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19</w:t>
      </w:r>
    </w:p>
    <w:p>
      <w:pPr>
        <w:pStyle w:val="Heading1"/>
      </w:pPr>
      <w:r>
        <w:t>SEARCH, MAP &amp; DISCOVERY TECHNICAL ARCHITECTURE</w:t>
      </w:r>
    </w:p>
    <w:p>
      <w:r>
        <w:t>Architecture: transactional database → indexing pipeline → search/geospatial index → discovery API → cache → client. Index only eligible public content. Use asynchronous indexing events for publication and material updates. Support full-text plus structured/geospatial filters. Map uses viewport queries, clustering and progressive detail loading. Ranking is deterministic/configurable and never pay-to-rank. Public discovery may use cache; private data must be excluded. Provide timeouts, graceful degradation, observable index lag and prompt removal of restricted content.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