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21</w:t>
      </w:r>
    </w:p>
    <w:p>
      <w:pPr>
        <w:pStyle w:val="Heading1"/>
      </w:pPr>
      <w:r>
        <w:t>PRIVACY, DATA GOVERNANCE &amp; RETENTION</w:t>
      </w:r>
    </w:p>
    <w:p>
      <w:r>
        <w:t>Classify data into public Place content, Producer operational data, User/private data, security/audit data, analytics and AI usage. Collect only what is necessary. Enforce least privilege. Define retention per class and deletion/anonymization rules. Account deletion must address Visit Intent, audit, moderation and analytics implications. Notification preferences and optional consent must be explicit where applicable. Avoid sending unnecessary personal/confidential data to AI services.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