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24</w:t>
      </w:r>
    </w:p>
    <w:p>
      <w:pPr>
        <w:pStyle w:val="Heading1"/>
      </w:pPr>
      <w:r>
        <w:t>PERFORMANCE, SCALABILITY &amp; CACHING</w:t>
      </w:r>
    </w:p>
    <w:p>
      <w:r>
        <w:t>Establish measurable budgets for Home/map, search, Place Detail, API p95/p99, database and media. Frontend uses lazy media, debounced search, bounded map requests and progressive loading. Backend uses indexes, connection pooling, bounded results and asynchronous expensive work. Cache public discovery/media safely; never put private data in shared caches. Use queues for media, AI and notifications. Rate-limit and gracefully degrade under load.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