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25</w:t>
      </w:r>
    </w:p>
    <w:p>
      <w:pPr>
        <w:pStyle w:val="Heading1"/>
      </w:pPr>
      <w:r>
        <w:t>ERROR HANDLING, RECOVERY &amp; OPERATIONAL RUNBOOK</w:t>
      </w:r>
    </w:p>
    <w:p>
      <w:r>
        <w:t>Define validation, authentication, authorization, domain conflict, timeout, dependency failure, rate-limit and internal error classes. Show safe actionable user messages; never expose secrets/stack traces. Retry only transient/idempotent work with backoff and jitter. Use idempotency for retriable commands such as Visit Intent and AI generation where appropriate. Failed jobs use retry/dead-letter handling and safe replay. Maintain incident severity, diagnosis, mitigation, rollback, recovery and post-incident procedures.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