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76A86" w14:textId="6FBF95BD" w:rsidR="00BE1377" w:rsidRPr="00BD71F8" w:rsidRDefault="00BE1377" w:rsidP="00BE1377">
      <w:pPr>
        <w:spacing w:line="278" w:lineRule="auto"/>
        <w:rPr>
          <w:rFonts w:cs="Calibri"/>
        </w:rPr>
      </w:pPr>
    </w:p>
    <w:p w14:paraId="615E4B6D" w14:textId="51E3F74A" w:rsidR="00BE1377" w:rsidRPr="00BD71F8" w:rsidRDefault="00BE1377" w:rsidP="00BE1377">
      <w:pPr>
        <w:spacing w:line="278" w:lineRule="auto"/>
        <w:rPr>
          <w:rFonts w:cs="Calibri"/>
        </w:rPr>
      </w:pPr>
    </w:p>
    <w:p w14:paraId="79809000" w14:textId="3192B71D" w:rsidR="00BE1377" w:rsidRPr="00BD71F8" w:rsidRDefault="00CF5280" w:rsidP="00BE1377">
      <w:pPr>
        <w:rPr>
          <w:rFonts w:cs="Calibri"/>
        </w:rPr>
      </w:pPr>
      <w:r w:rsidRPr="00BD71F8">
        <w:rPr>
          <w:rFonts w:cs="Calibri"/>
          <w:noProof/>
        </w:rPr>
        <w:drawing>
          <wp:anchor distT="0" distB="0" distL="114300" distR="114300" simplePos="0" relativeHeight="251658240" behindDoc="1" locked="0" layoutInCell="1" allowOverlap="1" wp14:anchorId="20A81636" wp14:editId="409AD582">
            <wp:simplePos x="0" y="0"/>
            <wp:positionH relativeFrom="margin">
              <wp:posOffset>738505</wp:posOffset>
            </wp:positionH>
            <wp:positionV relativeFrom="page">
              <wp:posOffset>1528445</wp:posOffset>
            </wp:positionV>
            <wp:extent cx="1049655" cy="1076325"/>
            <wp:effectExtent l="0" t="0" r="0" b="9525"/>
            <wp:wrapThrough wrapText="bothSides">
              <wp:wrapPolygon edited="0">
                <wp:start x="0" y="0"/>
                <wp:lineTo x="0" y="21409"/>
                <wp:lineTo x="21169" y="21409"/>
                <wp:lineTo x="21169" y="0"/>
                <wp:lineTo x="0" y="0"/>
              </wp:wrapPolygon>
            </wp:wrapThrough>
            <wp:docPr id="810524092"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64" t="15948" r="16496" b="15944"/>
                    <a:stretch/>
                  </pic:blipFill>
                  <pic:spPr bwMode="auto">
                    <a:xfrm>
                      <a:off x="0" y="0"/>
                      <a:ext cx="1049655" cy="1076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377" w:rsidRPr="00BD71F8">
        <w:rPr>
          <w:rFonts w:cs="Calibri"/>
          <w:noProof/>
        </w:rPr>
        <mc:AlternateContent>
          <mc:Choice Requires="wps">
            <w:drawing>
              <wp:anchor distT="45720" distB="45720" distL="114300" distR="114300" simplePos="0" relativeHeight="251658243" behindDoc="0" locked="0" layoutInCell="1" allowOverlap="1" wp14:anchorId="2F8CBD28" wp14:editId="45417B60">
                <wp:simplePos x="0" y="0"/>
                <wp:positionH relativeFrom="margin">
                  <wp:posOffset>1872615</wp:posOffset>
                </wp:positionH>
                <wp:positionV relativeFrom="paragraph">
                  <wp:posOffset>265430</wp:posOffset>
                </wp:positionV>
                <wp:extent cx="4133850" cy="1404620"/>
                <wp:effectExtent l="0" t="0" r="0" b="0"/>
                <wp:wrapSquare wrapText="bothSides"/>
                <wp:docPr id="1693928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404620"/>
                        </a:xfrm>
                        <a:prstGeom prst="rect">
                          <a:avLst/>
                        </a:prstGeom>
                        <a:solidFill>
                          <a:srgbClr val="FFFFFF"/>
                        </a:solidFill>
                        <a:ln w="9525">
                          <a:noFill/>
                          <a:miter lim="800000"/>
                          <a:headEnd/>
                          <a:tailEnd/>
                        </a:ln>
                      </wps:spPr>
                      <wps:txbx>
                        <w:txbxContent>
                          <w:p w14:paraId="1C9455A8" w14:textId="77777777" w:rsidR="00BE1377" w:rsidRPr="00BD71F8" w:rsidRDefault="00BE1377" w:rsidP="00BE1377">
                            <w:pPr>
                              <w:rPr>
                                <w:b/>
                                <w:bCs/>
                                <w:sz w:val="56"/>
                                <w:szCs w:val="56"/>
                              </w:rPr>
                            </w:pPr>
                            <w:bookmarkStart w:id="0" w:name="_Hlk179478817"/>
                            <w:bookmarkEnd w:id="0"/>
                            <w:proofErr w:type="spellStart"/>
                            <w:r w:rsidRPr="00BD71F8">
                              <w:rPr>
                                <w:b/>
                                <w:bCs/>
                                <w:sz w:val="56"/>
                                <w:szCs w:val="56"/>
                              </w:rPr>
                              <w:t>ProcessPro</w:t>
                            </w:r>
                            <w:proofErr w:type="spellEnd"/>
                            <w:r w:rsidRPr="00BD71F8">
                              <w:rPr>
                                <w:b/>
                                <w:bCs/>
                                <w:sz w:val="56"/>
                                <w:szCs w:val="56"/>
                              </w:rPr>
                              <w:t xml:space="preserve"> Partners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8CBD28" id="_x0000_t202" coordsize="21600,21600" o:spt="202" path="m,l,21600r21600,l21600,xe">
                <v:stroke joinstyle="miter"/>
                <v:path gradientshapeok="t" o:connecttype="rect"/>
              </v:shapetype>
              <v:shape id="Text Box 2" o:spid="_x0000_s1026" type="#_x0000_t202" style="position:absolute;left:0;text-align:left;margin-left:147.45pt;margin-top:20.9pt;width: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" stroked="f">
                <v:textbox style="mso-fit-shape-to-text:t">
                  <w:txbxContent>
                    <w:p w14:paraId="1C9455A8" w14:textId="77777777" w:rsidR="00BE1377" w:rsidRPr="00BD71F8" w:rsidRDefault="00BE1377" w:rsidP="00BE1377">
                      <w:pPr>
                        <w:rPr>
                          <w:b/>
                          <w:bCs/>
                          <w:sz w:val="56"/>
                          <w:szCs w:val="56"/>
                        </w:rPr>
                      </w:pPr>
                      <w:bookmarkStart w:id="1" w:name="_Hlk179478817"/>
                      <w:bookmarkEnd w:id="1"/>
                      <w:proofErr w:type="spellStart"/>
                      <w:r w:rsidRPr="00BD71F8">
                        <w:rPr>
                          <w:b/>
                          <w:bCs/>
                          <w:sz w:val="56"/>
                          <w:szCs w:val="56"/>
                        </w:rPr>
                        <w:t>ProcessPro</w:t>
                      </w:r>
                      <w:proofErr w:type="spellEnd"/>
                      <w:r w:rsidRPr="00BD71F8">
                        <w:rPr>
                          <w:b/>
                          <w:bCs/>
                          <w:sz w:val="56"/>
                          <w:szCs w:val="56"/>
                        </w:rPr>
                        <w:t xml:space="preserve"> Partners</w:t>
                      </w:r>
                    </w:p>
                  </w:txbxContent>
                </v:textbox>
                <w10:wrap type="square" anchorx="margin"/>
              </v:shape>
            </w:pict>
          </mc:Fallback>
        </mc:AlternateContent>
      </w:r>
    </w:p>
    <w:p w14:paraId="5421566C" w14:textId="77777777" w:rsidR="00BE1377" w:rsidRPr="00BD71F8" w:rsidRDefault="00BE1377" w:rsidP="00BE1377">
      <w:pPr>
        <w:rPr>
          <w:rFonts w:cs="Calibri"/>
        </w:rPr>
      </w:pPr>
    </w:p>
    <w:p w14:paraId="1DFD41FB" w14:textId="77777777" w:rsidR="00BE1377" w:rsidRPr="00BD71F8" w:rsidRDefault="00BE1377" w:rsidP="00BE1377">
      <w:pPr>
        <w:rPr>
          <w:rFonts w:cs="Calibri"/>
        </w:rPr>
      </w:pPr>
    </w:p>
    <w:p w14:paraId="17D8FE5F" w14:textId="77777777" w:rsidR="00BE1377" w:rsidRPr="00BD71F8" w:rsidRDefault="00BE1377" w:rsidP="00BE1377">
      <w:pPr>
        <w:rPr>
          <w:rFonts w:cs="Calibri"/>
        </w:rPr>
      </w:pPr>
    </w:p>
    <w:p w14:paraId="7AA34139" w14:textId="77777777" w:rsidR="00BE1377" w:rsidRPr="00BD71F8" w:rsidRDefault="00BE1377" w:rsidP="00BE1377">
      <w:pPr>
        <w:rPr>
          <w:rFonts w:cs="Calibri"/>
        </w:rPr>
      </w:pPr>
    </w:p>
    <w:p w14:paraId="640A292E" w14:textId="5A3DD8E9" w:rsidR="00BE1377" w:rsidRPr="00BD71F8" w:rsidRDefault="00CF5280" w:rsidP="00BE1377">
      <w:pPr>
        <w:rPr>
          <w:rFonts w:cs="Calibri"/>
        </w:rPr>
      </w:pPr>
      <w:r w:rsidRPr="00BD71F8">
        <w:rPr>
          <w:rFonts w:cs="Calibri"/>
          <w:noProof/>
        </w:rPr>
        <w:drawing>
          <wp:anchor distT="0" distB="0" distL="114300" distR="114300" simplePos="0" relativeHeight="251658241" behindDoc="0" locked="0" layoutInCell="1" allowOverlap="1" wp14:anchorId="7C26F587" wp14:editId="5C418E7B">
            <wp:simplePos x="0" y="0"/>
            <wp:positionH relativeFrom="column">
              <wp:posOffset>1315720</wp:posOffset>
            </wp:positionH>
            <wp:positionV relativeFrom="page">
              <wp:posOffset>3226435</wp:posOffset>
            </wp:positionV>
            <wp:extent cx="551180" cy="492760"/>
            <wp:effectExtent l="0" t="0" r="1270" b="2540"/>
            <wp:wrapSquare wrapText="bothSides"/>
            <wp:docPr id="1942646568" name="Picture 4"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46568" name="Picture 4" descr="A green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180" cy="49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DAC51D" w14:textId="5FE11DB7" w:rsidR="00BE1377" w:rsidRPr="00BD71F8" w:rsidRDefault="00BE1377" w:rsidP="00BE1377">
      <w:pPr>
        <w:rPr>
          <w:rFonts w:cs="Calibri"/>
        </w:rPr>
      </w:pPr>
      <w:r w:rsidRPr="00BD71F8">
        <w:rPr>
          <w:rFonts w:cs="Calibri"/>
          <w:noProof/>
        </w:rPr>
        <mc:AlternateContent>
          <mc:Choice Requires="wps">
            <w:drawing>
              <wp:anchor distT="45720" distB="45720" distL="114300" distR="114300" simplePos="0" relativeHeight="251658242" behindDoc="0" locked="0" layoutInCell="1" allowOverlap="1" wp14:anchorId="6AFAEA4F" wp14:editId="13B10D2C">
                <wp:simplePos x="0" y="0"/>
                <wp:positionH relativeFrom="margin">
                  <wp:posOffset>1920240</wp:posOffset>
                </wp:positionH>
                <wp:positionV relativeFrom="paragraph">
                  <wp:posOffset>17780</wp:posOffset>
                </wp:positionV>
                <wp:extent cx="37414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noFill/>
                          <a:miter lim="800000"/>
                          <a:headEnd/>
                          <a:tailEnd/>
                        </a:ln>
                      </wps:spPr>
                      <wps:txbx>
                        <w:txbxContent>
                          <w:p w14:paraId="79345D89" w14:textId="77777777" w:rsidR="00BE1377" w:rsidRPr="00BD71F8" w:rsidRDefault="00BE1377" w:rsidP="00BE1377">
                            <w:pPr>
                              <w:rPr>
                                <w:rFonts w:cs="Calibri"/>
                                <w:b/>
                                <w:sz w:val="44"/>
                                <w:szCs w:val="44"/>
                              </w:rPr>
                            </w:pPr>
                            <w:r w:rsidRPr="00BD71F8">
                              <w:rPr>
                                <w:rFonts w:cs="Calibri"/>
                                <w:b/>
                                <w:sz w:val="44"/>
                                <w:szCs w:val="44"/>
                              </w:rPr>
                              <w:t>Toronto Dominion Bank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FAEA4F" id="_x0000_s1027" type="#_x0000_t202" style="position:absolute;left:0;text-align:left;margin-left:151.2pt;margin-top:1.4pt;width:294.6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" stroked="f">
                <v:textbox style="mso-fit-shape-to-text:t">
                  <w:txbxContent>
                    <w:p w14:paraId="79345D89" w14:textId="77777777" w:rsidR="00BE1377" w:rsidRPr="00BD71F8" w:rsidRDefault="00BE1377" w:rsidP="00BE1377">
                      <w:pPr>
                        <w:rPr>
                          <w:rFonts w:cs="Calibri"/>
                          <w:b/>
                          <w:sz w:val="44"/>
                          <w:szCs w:val="44"/>
                        </w:rPr>
                      </w:pPr>
                      <w:r w:rsidRPr="00BD71F8">
                        <w:rPr>
                          <w:rFonts w:cs="Calibri"/>
                          <w:b/>
                          <w:sz w:val="44"/>
                          <w:szCs w:val="44"/>
                        </w:rPr>
                        <w:t>Toronto Dominion Bank</w:t>
                      </w:r>
                    </w:p>
                  </w:txbxContent>
                </v:textbox>
                <w10:wrap type="square" anchorx="margin"/>
              </v:shape>
            </w:pict>
          </mc:Fallback>
        </mc:AlternateContent>
      </w:r>
    </w:p>
    <w:p w14:paraId="07C8EFF6" w14:textId="77777777" w:rsidR="00BE1377" w:rsidRPr="00BD71F8" w:rsidRDefault="00BE1377" w:rsidP="00BE1377">
      <w:pPr>
        <w:rPr>
          <w:rFonts w:cs="Calibri"/>
        </w:rPr>
      </w:pPr>
    </w:p>
    <w:p w14:paraId="42AA5EBF" w14:textId="77777777" w:rsidR="00BE1377" w:rsidRPr="00BD71F8" w:rsidRDefault="00BE1377" w:rsidP="00BE1377">
      <w:pPr>
        <w:rPr>
          <w:rFonts w:cs="Calibri"/>
        </w:rPr>
      </w:pPr>
    </w:p>
    <w:p w14:paraId="1D01AFF0" w14:textId="77777777" w:rsidR="00BE1377" w:rsidRPr="00BD71F8" w:rsidRDefault="00BE1377" w:rsidP="00BE1377">
      <w:pPr>
        <w:rPr>
          <w:rFonts w:cs="Calibri"/>
        </w:rPr>
      </w:pPr>
    </w:p>
    <w:p w14:paraId="64C748E7" w14:textId="77777777" w:rsidR="00BE1377" w:rsidRPr="00BD71F8" w:rsidRDefault="00BE1377" w:rsidP="00BE1377">
      <w:pPr>
        <w:rPr>
          <w:rFonts w:cs="Calibri"/>
        </w:rPr>
      </w:pPr>
      <w:r w:rsidRPr="00BD71F8">
        <w:rPr>
          <w:rFonts w:cs="Calibri"/>
          <w:noProof/>
        </w:rPr>
        <mc:AlternateContent>
          <mc:Choice Requires="wps">
            <w:drawing>
              <wp:anchor distT="45720" distB="45720" distL="114300" distR="114300" simplePos="0" relativeHeight="251658245" behindDoc="0" locked="0" layoutInCell="1" allowOverlap="1" wp14:anchorId="71E8DF46" wp14:editId="5B51EAEA">
                <wp:simplePos x="0" y="0"/>
                <wp:positionH relativeFrom="margin">
                  <wp:posOffset>736600</wp:posOffset>
                </wp:positionH>
                <wp:positionV relativeFrom="paragraph">
                  <wp:posOffset>16510</wp:posOffset>
                </wp:positionV>
                <wp:extent cx="4979035" cy="1404620"/>
                <wp:effectExtent l="0" t="0" r="0" b="6350"/>
                <wp:wrapSquare wrapText="bothSides"/>
                <wp:docPr id="460713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9035" cy="1404620"/>
                        </a:xfrm>
                        <a:prstGeom prst="rect">
                          <a:avLst/>
                        </a:prstGeom>
                        <a:solidFill>
                          <a:srgbClr val="FFFFFF"/>
                        </a:solidFill>
                        <a:ln w="9525">
                          <a:noFill/>
                          <a:miter lim="800000"/>
                          <a:headEnd/>
                          <a:tailEnd/>
                        </a:ln>
                      </wps:spPr>
                      <wps:txbx>
                        <w:txbxContent>
                          <w:p w14:paraId="2702143B" w14:textId="0B0CB6FB" w:rsidR="00BE1377" w:rsidRPr="00BD71F8" w:rsidRDefault="00220636" w:rsidP="00220636">
                            <w:pPr>
                              <w:jc w:val="left"/>
                              <w:rPr>
                                <w:b/>
                                <w:bCs/>
                                <w:sz w:val="48"/>
                                <w:szCs w:val="48"/>
                              </w:rPr>
                            </w:pPr>
                            <w:r w:rsidRPr="00BD71F8">
                              <w:rPr>
                                <w:b/>
                                <w:bCs/>
                                <w:sz w:val="48"/>
                                <w:szCs w:val="48"/>
                              </w:rPr>
                              <w:t>Solution</w:t>
                            </w:r>
                            <w:r w:rsidR="006519BC" w:rsidRPr="00BD71F8">
                              <w:rPr>
                                <w:b/>
                                <w:bCs/>
                                <w:sz w:val="48"/>
                                <w:szCs w:val="48"/>
                              </w:rPr>
                              <w:t xml:space="preserve"> Design Options </w:t>
                            </w:r>
                            <w:r w:rsidRPr="00BD71F8">
                              <w:rPr>
                                <w:b/>
                                <w:bCs/>
                                <w:sz w:val="48"/>
                                <w:szCs w:val="48"/>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E8DF46" id="_x0000_s1028" type="#_x0000_t202" style="position:absolute;left:0;text-align:left;margin-left:58pt;margin-top:1.3pt;width:392.05pt;height:110.6pt;z-index:25165824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" stroked="f">
                <v:textbox style="mso-fit-shape-to-text:t">
                  <w:txbxContent>
                    <w:p w14:paraId="2702143B" w14:textId="0B0CB6FB" w:rsidR="00BE1377" w:rsidRPr="00BD71F8" w:rsidRDefault="00220636" w:rsidP="00220636">
                      <w:pPr>
                        <w:jc w:val="left"/>
                        <w:rPr>
                          <w:b/>
                          <w:bCs/>
                          <w:sz w:val="48"/>
                          <w:szCs w:val="48"/>
                        </w:rPr>
                      </w:pPr>
                      <w:r w:rsidRPr="00BD71F8">
                        <w:rPr>
                          <w:b/>
                          <w:bCs/>
                          <w:sz w:val="48"/>
                          <w:szCs w:val="48"/>
                        </w:rPr>
                        <w:t>Solution</w:t>
                      </w:r>
                      <w:r w:rsidR="006519BC" w:rsidRPr="00BD71F8">
                        <w:rPr>
                          <w:b/>
                          <w:bCs/>
                          <w:sz w:val="48"/>
                          <w:szCs w:val="48"/>
                        </w:rPr>
                        <w:t xml:space="preserve"> Design Options </w:t>
                      </w:r>
                      <w:r w:rsidRPr="00BD71F8">
                        <w:rPr>
                          <w:b/>
                          <w:bCs/>
                          <w:sz w:val="48"/>
                          <w:szCs w:val="48"/>
                        </w:rPr>
                        <w:t>Document</w:t>
                      </w:r>
                    </w:p>
                  </w:txbxContent>
                </v:textbox>
                <w10:wrap type="square" anchorx="margin"/>
              </v:shape>
            </w:pict>
          </mc:Fallback>
        </mc:AlternateContent>
      </w:r>
    </w:p>
    <w:p w14:paraId="4C44A108" w14:textId="77777777" w:rsidR="00BE1377" w:rsidRPr="00BD71F8" w:rsidRDefault="00BE1377" w:rsidP="00BE1377">
      <w:pPr>
        <w:rPr>
          <w:rFonts w:cs="Calibri"/>
        </w:rPr>
      </w:pPr>
    </w:p>
    <w:p w14:paraId="30133E56" w14:textId="77777777" w:rsidR="00BE1377" w:rsidRPr="00BD71F8" w:rsidRDefault="00BE1377" w:rsidP="00BE1377">
      <w:pPr>
        <w:rPr>
          <w:rFonts w:cs="Calibri"/>
        </w:rPr>
      </w:pPr>
    </w:p>
    <w:p w14:paraId="6D4B3DFC" w14:textId="77777777" w:rsidR="00BE1377" w:rsidRPr="00BD71F8" w:rsidRDefault="00BE1377" w:rsidP="00BE1377">
      <w:pPr>
        <w:rPr>
          <w:rFonts w:cs="Calibri"/>
        </w:rPr>
      </w:pPr>
    </w:p>
    <w:p w14:paraId="7A95D717" w14:textId="77777777" w:rsidR="00BE1377" w:rsidRPr="00BD71F8" w:rsidRDefault="00BE1377" w:rsidP="00BE1377">
      <w:pPr>
        <w:rPr>
          <w:rFonts w:cs="Calibri"/>
        </w:rPr>
      </w:pPr>
      <w:r w:rsidRPr="00BD71F8">
        <w:rPr>
          <w:rFonts w:cs="Calibri"/>
          <w:noProof/>
        </w:rPr>
        <mc:AlternateContent>
          <mc:Choice Requires="wps">
            <w:drawing>
              <wp:anchor distT="45720" distB="45720" distL="114300" distR="114300" simplePos="0" relativeHeight="251658244" behindDoc="0" locked="0" layoutInCell="1" allowOverlap="1" wp14:anchorId="2909A2D1" wp14:editId="4A3514A7">
                <wp:simplePos x="0" y="0"/>
                <wp:positionH relativeFrom="margin">
                  <wp:posOffset>1301115</wp:posOffset>
                </wp:positionH>
                <wp:positionV relativeFrom="paragraph">
                  <wp:posOffset>12700</wp:posOffset>
                </wp:positionV>
                <wp:extent cx="3421380" cy="1404620"/>
                <wp:effectExtent l="0" t="0" r="7620" b="0"/>
                <wp:wrapSquare wrapText="bothSides"/>
                <wp:docPr id="1982777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404620"/>
                        </a:xfrm>
                        <a:prstGeom prst="rect">
                          <a:avLst/>
                        </a:prstGeom>
                        <a:solidFill>
                          <a:srgbClr val="FFFFFF"/>
                        </a:solidFill>
                        <a:ln w="9525">
                          <a:noFill/>
                          <a:miter lim="800000"/>
                          <a:headEnd/>
                          <a:tailEnd/>
                        </a:ln>
                      </wps:spPr>
                      <wps:txbx>
                        <w:txbxContent>
                          <w:p w14:paraId="3A93EA6E" w14:textId="201BA981" w:rsidR="00BE1377" w:rsidRPr="00BD71F8" w:rsidRDefault="00BE1377" w:rsidP="00BE1377">
                            <w:pPr>
                              <w:jc w:val="center"/>
                              <w:rPr>
                                <w:b/>
                                <w:bCs/>
                                <w:sz w:val="32"/>
                                <w:szCs w:val="32"/>
                              </w:rPr>
                            </w:pPr>
                            <w:r w:rsidRPr="00BD71F8">
                              <w:rPr>
                                <w:b/>
                                <w:bCs/>
                                <w:sz w:val="32"/>
                                <w:szCs w:val="32"/>
                              </w:rPr>
                              <w:t>8</w:t>
                            </w:r>
                            <w:r w:rsidRPr="00BD71F8">
                              <w:rPr>
                                <w:b/>
                                <w:bCs/>
                                <w:sz w:val="32"/>
                                <w:szCs w:val="32"/>
                                <w:vertAlign w:val="superscript"/>
                              </w:rPr>
                              <w:t xml:space="preserve">th </w:t>
                            </w:r>
                            <w:r w:rsidR="006519BC" w:rsidRPr="00BD71F8">
                              <w:rPr>
                                <w:b/>
                                <w:bCs/>
                                <w:sz w:val="32"/>
                                <w:szCs w:val="32"/>
                              </w:rPr>
                              <w:t>November</w:t>
                            </w:r>
                            <w:r w:rsidRPr="00BD71F8">
                              <w:rPr>
                                <w:b/>
                                <w:bCs/>
                                <w:sz w:val="32"/>
                                <w:szCs w:val="32"/>
                              </w:rPr>
                              <w:t xml:space="preserve">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09A2D1" id="_x0000_s1029" type="#_x0000_t202" style="position:absolute;left:0;text-align:left;margin-left:102.45pt;margin-top:1pt;width:269.4pt;height:110.6pt;z-index:2516582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" stroked="f">
                <v:textbox style="mso-fit-shape-to-text:t">
                  <w:txbxContent>
                    <w:p w14:paraId="3A93EA6E" w14:textId="201BA981" w:rsidR="00BE1377" w:rsidRPr="00BD71F8" w:rsidRDefault="00BE1377" w:rsidP="00BE1377">
                      <w:pPr>
                        <w:jc w:val="center"/>
                        <w:rPr>
                          <w:b/>
                          <w:bCs/>
                          <w:sz w:val="32"/>
                          <w:szCs w:val="32"/>
                        </w:rPr>
                      </w:pPr>
                      <w:r w:rsidRPr="00BD71F8">
                        <w:rPr>
                          <w:b/>
                          <w:bCs/>
                          <w:sz w:val="32"/>
                          <w:szCs w:val="32"/>
                        </w:rPr>
                        <w:t>8</w:t>
                      </w:r>
                      <w:r w:rsidRPr="00BD71F8">
                        <w:rPr>
                          <w:b/>
                          <w:bCs/>
                          <w:sz w:val="32"/>
                          <w:szCs w:val="32"/>
                          <w:vertAlign w:val="superscript"/>
                        </w:rPr>
                        <w:t xml:space="preserve">th </w:t>
                      </w:r>
                      <w:r w:rsidR="006519BC" w:rsidRPr="00BD71F8">
                        <w:rPr>
                          <w:b/>
                          <w:bCs/>
                          <w:sz w:val="32"/>
                          <w:szCs w:val="32"/>
                        </w:rPr>
                        <w:t>November</w:t>
                      </w:r>
                      <w:r w:rsidRPr="00BD71F8">
                        <w:rPr>
                          <w:b/>
                          <w:bCs/>
                          <w:sz w:val="32"/>
                          <w:szCs w:val="32"/>
                        </w:rPr>
                        <w:t xml:space="preserve"> 2024</w:t>
                      </w:r>
                    </w:p>
                  </w:txbxContent>
                </v:textbox>
                <w10:wrap type="square" anchorx="margin"/>
              </v:shape>
            </w:pict>
          </mc:Fallback>
        </mc:AlternateContent>
      </w:r>
    </w:p>
    <w:p w14:paraId="616998F2" w14:textId="77777777" w:rsidR="00BE1377" w:rsidRPr="00BD71F8" w:rsidRDefault="00BE1377" w:rsidP="00BE1377">
      <w:pPr>
        <w:rPr>
          <w:rFonts w:cs="Calibri"/>
        </w:rPr>
      </w:pPr>
    </w:p>
    <w:p w14:paraId="2B1D650A" w14:textId="77777777" w:rsidR="00BE1377" w:rsidRPr="00BD71F8" w:rsidRDefault="00BE1377" w:rsidP="00BE1377">
      <w:pPr>
        <w:rPr>
          <w:rFonts w:cs="Calibri"/>
        </w:rPr>
      </w:pPr>
    </w:p>
    <w:tbl>
      <w:tblPr>
        <w:tblStyle w:val="PlainTable1"/>
        <w:tblW w:w="10360" w:type="dxa"/>
        <w:tblInd w:w="-572" w:type="dxa"/>
        <w:tblLook w:val="04A0" w:firstRow="1" w:lastRow="0" w:firstColumn="1" w:lastColumn="0" w:noHBand="0" w:noVBand="1"/>
      </w:tblPr>
      <w:tblGrid>
        <w:gridCol w:w="4962"/>
        <w:gridCol w:w="5398"/>
      </w:tblGrid>
      <w:tr w:rsidR="00BE1377" w:rsidRPr="00BD71F8" w14:paraId="1993978B" w14:textId="77777777">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962" w:type="dxa"/>
          </w:tcPr>
          <w:p w14:paraId="7847C01A" w14:textId="77777777" w:rsidR="00BE1377" w:rsidRPr="00BD71F8" w:rsidRDefault="00BE1377">
            <w:pPr>
              <w:spacing w:line="256" w:lineRule="auto"/>
              <w:jc w:val="center"/>
              <w:rPr>
                <w:rFonts w:eastAsia="Aptos" w:cs="Calibri"/>
                <w:bCs w:val="0"/>
                <w:color w:val="000000" w:themeColor="dark1"/>
                <w:sz w:val="24"/>
                <w:szCs w:val="24"/>
              </w:rPr>
            </w:pPr>
            <w:r w:rsidRPr="00BD71F8">
              <w:rPr>
                <w:rFonts w:eastAsia="Aptos" w:cs="Calibri"/>
                <w:bCs w:val="0"/>
                <w:color w:val="000000" w:themeColor="dark1"/>
                <w:sz w:val="24"/>
                <w:szCs w:val="24"/>
              </w:rPr>
              <w:t>Name</w:t>
            </w:r>
          </w:p>
        </w:tc>
        <w:tc>
          <w:tcPr>
            <w:tcW w:w="5398" w:type="dxa"/>
          </w:tcPr>
          <w:p w14:paraId="73A199BB" w14:textId="77777777" w:rsidR="00BE1377" w:rsidRPr="00BD71F8" w:rsidRDefault="00BE1377">
            <w:pPr>
              <w:spacing w:line="256" w:lineRule="auto"/>
              <w:jc w:val="center"/>
              <w:cnfStyle w:val="100000000000" w:firstRow="1" w:lastRow="0" w:firstColumn="0" w:lastColumn="0" w:oddVBand="0" w:evenVBand="0" w:oddHBand="0" w:evenHBand="0" w:firstRowFirstColumn="0" w:firstRowLastColumn="0" w:lastRowFirstColumn="0" w:lastRowLastColumn="0"/>
              <w:rPr>
                <w:rFonts w:eastAsia="Aptos" w:cs="Calibri"/>
                <w:bCs w:val="0"/>
                <w:color w:val="000000" w:themeColor="dark1"/>
                <w:sz w:val="24"/>
                <w:szCs w:val="24"/>
              </w:rPr>
            </w:pPr>
            <w:r w:rsidRPr="00BD71F8">
              <w:rPr>
                <w:rFonts w:eastAsia="Aptos" w:cs="Calibri"/>
                <w:bCs w:val="0"/>
                <w:color w:val="000000" w:themeColor="dark1"/>
                <w:sz w:val="24"/>
                <w:szCs w:val="24"/>
              </w:rPr>
              <w:t>Designation</w:t>
            </w:r>
          </w:p>
        </w:tc>
      </w:tr>
      <w:tr w:rsidR="00BE1377" w:rsidRPr="00BD71F8" w14:paraId="7912FB70" w14:textId="77777777">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4962" w:type="dxa"/>
          </w:tcPr>
          <w:p w14:paraId="4E2965AB" w14:textId="77777777" w:rsidR="00BE1377" w:rsidRPr="00BD71F8" w:rsidRDefault="00BE1377">
            <w:pPr>
              <w:spacing w:line="256" w:lineRule="auto"/>
              <w:jc w:val="left"/>
              <w:rPr>
                <w:rFonts w:eastAsia="Aptos" w:cs="Calibri"/>
                <w:b w:val="0"/>
                <w:color w:val="000000" w:themeColor="dark1"/>
                <w:sz w:val="24"/>
                <w:szCs w:val="24"/>
              </w:rPr>
            </w:pPr>
            <w:proofErr w:type="spellStart"/>
            <w:r w:rsidRPr="00BD71F8">
              <w:rPr>
                <w:rFonts w:eastAsia="Aptos" w:cs="Calibri"/>
                <w:b w:val="0"/>
                <w:color w:val="000000" w:themeColor="dark1"/>
                <w:sz w:val="24"/>
                <w:szCs w:val="24"/>
              </w:rPr>
              <w:t>Varahabhatla</w:t>
            </w:r>
            <w:proofErr w:type="spellEnd"/>
            <w:r w:rsidRPr="00BD71F8">
              <w:rPr>
                <w:rFonts w:eastAsia="Aptos" w:cs="Calibri"/>
                <w:b w:val="0"/>
                <w:color w:val="000000" w:themeColor="dark1"/>
                <w:sz w:val="24"/>
                <w:szCs w:val="24"/>
              </w:rPr>
              <w:t xml:space="preserve"> Karthik Venkata, Rama Murthy</w:t>
            </w:r>
          </w:p>
        </w:tc>
        <w:tc>
          <w:tcPr>
            <w:tcW w:w="5398" w:type="dxa"/>
          </w:tcPr>
          <w:p w14:paraId="252E377A" w14:textId="77777777" w:rsidR="00BE1377" w:rsidRPr="00BD71F8" w:rsidRDefault="00BE1377">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r w:rsidRPr="00BD71F8">
              <w:rPr>
                <w:rFonts w:eastAsia="Aptos" w:cs="Calibri"/>
                <w:bCs/>
                <w:color w:val="000000" w:themeColor="dark1"/>
                <w:sz w:val="24"/>
                <w:szCs w:val="24"/>
              </w:rPr>
              <w:t xml:space="preserve">Project </w:t>
            </w:r>
            <w:r w:rsidRPr="00BD71F8">
              <w:rPr>
                <w:rFonts w:cs="Calibri"/>
                <w:bCs/>
                <w:color w:val="000000" w:themeColor="dark1"/>
                <w:sz w:val="24"/>
                <w:szCs w:val="24"/>
              </w:rPr>
              <w:t>M</w:t>
            </w:r>
            <w:r w:rsidRPr="00BD71F8">
              <w:rPr>
                <w:rFonts w:eastAsia="Aptos" w:cs="Calibri"/>
                <w:bCs/>
                <w:color w:val="000000" w:themeColor="dark1"/>
                <w:sz w:val="24"/>
                <w:szCs w:val="24"/>
              </w:rPr>
              <w:t>anager</w:t>
            </w:r>
          </w:p>
        </w:tc>
      </w:tr>
      <w:tr w:rsidR="00BE1377" w:rsidRPr="00BD71F8" w14:paraId="14900820" w14:textId="77777777">
        <w:trPr>
          <w:trHeight w:val="364"/>
        </w:trPr>
        <w:tc>
          <w:tcPr>
            <w:cnfStyle w:val="001000000000" w:firstRow="0" w:lastRow="0" w:firstColumn="1" w:lastColumn="0" w:oddVBand="0" w:evenVBand="0" w:oddHBand="0" w:evenHBand="0" w:firstRowFirstColumn="0" w:firstRowLastColumn="0" w:lastRowFirstColumn="0" w:lastRowLastColumn="0"/>
            <w:tcW w:w="4962" w:type="dxa"/>
          </w:tcPr>
          <w:p w14:paraId="6844F9C3" w14:textId="77777777" w:rsidR="00BE1377" w:rsidRPr="00BD71F8" w:rsidRDefault="00BE1377">
            <w:pPr>
              <w:spacing w:line="256" w:lineRule="auto"/>
              <w:jc w:val="left"/>
              <w:rPr>
                <w:rFonts w:eastAsia="Aptos" w:cs="Calibri"/>
                <w:b w:val="0"/>
                <w:color w:val="000000" w:themeColor="dark1"/>
                <w:sz w:val="24"/>
                <w:szCs w:val="24"/>
              </w:rPr>
            </w:pPr>
            <w:r w:rsidRPr="00BD71F8">
              <w:rPr>
                <w:rFonts w:eastAsia="Aptos" w:cs="Calibri"/>
                <w:b w:val="0"/>
                <w:color w:val="000000" w:themeColor="dark1"/>
                <w:sz w:val="24"/>
                <w:szCs w:val="24"/>
              </w:rPr>
              <w:t>Sandra Marya</w:t>
            </w:r>
          </w:p>
          <w:p w14:paraId="392E9444" w14:textId="77777777" w:rsidR="00BE1377" w:rsidRPr="00BD71F8" w:rsidRDefault="00BE1377">
            <w:pPr>
              <w:spacing w:line="256" w:lineRule="auto"/>
              <w:jc w:val="left"/>
              <w:rPr>
                <w:rFonts w:eastAsia="Aptos" w:cs="Calibri"/>
                <w:b w:val="0"/>
                <w:color w:val="000000" w:themeColor="dark1"/>
                <w:sz w:val="24"/>
                <w:szCs w:val="24"/>
              </w:rPr>
            </w:pPr>
          </w:p>
        </w:tc>
        <w:tc>
          <w:tcPr>
            <w:tcW w:w="5398" w:type="dxa"/>
          </w:tcPr>
          <w:p w14:paraId="4AFADA28" w14:textId="77777777" w:rsidR="00BE1377" w:rsidRPr="00BD71F8" w:rsidRDefault="00BE1377">
            <w:pPr>
              <w:spacing w:line="256" w:lineRule="auto"/>
              <w:jc w:val="left"/>
              <w:cnfStyle w:val="000000000000" w:firstRow="0" w:lastRow="0" w:firstColumn="0" w:lastColumn="0" w:oddVBand="0" w:evenVBand="0" w:oddHBand="0" w:evenHBand="0" w:firstRowFirstColumn="0" w:firstRowLastColumn="0" w:lastRowFirstColumn="0" w:lastRowLastColumn="0"/>
              <w:rPr>
                <w:rFonts w:eastAsia="Aptos" w:cs="Calibri"/>
                <w:bCs/>
                <w:color w:val="000000" w:themeColor="dark1"/>
                <w:sz w:val="24"/>
                <w:szCs w:val="24"/>
              </w:rPr>
            </w:pPr>
            <w:r w:rsidRPr="00BD71F8">
              <w:rPr>
                <w:rFonts w:eastAsia="Aptos" w:cs="Calibri"/>
                <w:bCs/>
                <w:color w:val="000000" w:themeColor="dark1"/>
                <w:sz w:val="24"/>
                <w:szCs w:val="24"/>
              </w:rPr>
              <w:t>Team Lead</w:t>
            </w:r>
          </w:p>
        </w:tc>
      </w:tr>
      <w:tr w:rsidR="00BE1377" w:rsidRPr="00BD71F8" w14:paraId="7AA2A221" w14:textId="77777777">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962" w:type="dxa"/>
          </w:tcPr>
          <w:p w14:paraId="7494740F" w14:textId="77777777" w:rsidR="00BE1377" w:rsidRPr="00BD71F8" w:rsidRDefault="00BE1377">
            <w:pPr>
              <w:spacing w:line="256" w:lineRule="auto"/>
              <w:jc w:val="left"/>
              <w:rPr>
                <w:rFonts w:eastAsia="Aptos" w:cs="Calibri"/>
                <w:b w:val="0"/>
                <w:color w:val="000000" w:themeColor="dark1"/>
                <w:sz w:val="24"/>
                <w:szCs w:val="24"/>
              </w:rPr>
            </w:pPr>
            <w:r w:rsidRPr="00BD71F8">
              <w:rPr>
                <w:rFonts w:eastAsia="Aptos" w:cs="Calibri"/>
                <w:b w:val="0"/>
                <w:color w:val="000000" w:themeColor="dark1"/>
                <w:sz w:val="24"/>
                <w:szCs w:val="24"/>
              </w:rPr>
              <w:t xml:space="preserve">Patel, Rutvi </w:t>
            </w:r>
            <w:proofErr w:type="spellStart"/>
            <w:r w:rsidRPr="00BD71F8">
              <w:rPr>
                <w:rFonts w:eastAsia="Aptos" w:cs="Calibri"/>
                <w:b w:val="0"/>
                <w:color w:val="000000" w:themeColor="dark1"/>
                <w:sz w:val="24"/>
                <w:szCs w:val="24"/>
              </w:rPr>
              <w:t>Manishbhai</w:t>
            </w:r>
            <w:proofErr w:type="spellEnd"/>
          </w:p>
        </w:tc>
        <w:tc>
          <w:tcPr>
            <w:tcW w:w="5398" w:type="dxa"/>
          </w:tcPr>
          <w:p w14:paraId="7E356BBE" w14:textId="77777777" w:rsidR="00BE1377" w:rsidRPr="00BD71F8" w:rsidRDefault="00BE1377">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r w:rsidRPr="00BD71F8">
              <w:rPr>
                <w:rFonts w:eastAsia="Aptos" w:cs="Calibri"/>
                <w:bCs/>
                <w:color w:val="000000" w:themeColor="dark1"/>
                <w:sz w:val="24"/>
                <w:szCs w:val="24"/>
              </w:rPr>
              <w:t>Business Analyst</w:t>
            </w:r>
          </w:p>
          <w:p w14:paraId="62734172" w14:textId="77777777" w:rsidR="00BE1377" w:rsidRPr="00BD71F8" w:rsidRDefault="00BE1377">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p>
        </w:tc>
      </w:tr>
      <w:tr w:rsidR="00BE1377" w:rsidRPr="00BD71F8" w14:paraId="5219724B" w14:textId="77777777">
        <w:trPr>
          <w:trHeight w:val="364"/>
        </w:trPr>
        <w:tc>
          <w:tcPr>
            <w:cnfStyle w:val="001000000000" w:firstRow="0" w:lastRow="0" w:firstColumn="1" w:lastColumn="0" w:oddVBand="0" w:evenVBand="0" w:oddHBand="0" w:evenHBand="0" w:firstRowFirstColumn="0" w:firstRowLastColumn="0" w:lastRowFirstColumn="0" w:lastRowLastColumn="0"/>
            <w:tcW w:w="4962" w:type="dxa"/>
          </w:tcPr>
          <w:p w14:paraId="4C32C586" w14:textId="77777777" w:rsidR="00BE1377" w:rsidRPr="00BD71F8" w:rsidRDefault="00BE1377">
            <w:pPr>
              <w:jc w:val="left"/>
              <w:rPr>
                <w:rFonts w:eastAsia="Aptos" w:cs="Calibri"/>
                <w:b w:val="0"/>
                <w:color w:val="000000" w:themeColor="dark1"/>
                <w:sz w:val="24"/>
                <w:szCs w:val="24"/>
              </w:rPr>
            </w:pPr>
            <w:r w:rsidRPr="00BD71F8">
              <w:rPr>
                <w:rFonts w:eastAsia="Aptos" w:cs="Calibri"/>
                <w:b w:val="0"/>
                <w:color w:val="000000" w:themeColor="dark1"/>
                <w:sz w:val="24"/>
                <w:szCs w:val="24"/>
              </w:rPr>
              <w:t>Abraham, Sruthi</w:t>
            </w:r>
          </w:p>
          <w:p w14:paraId="52D07122" w14:textId="77777777" w:rsidR="00BE1377" w:rsidRPr="00BD71F8" w:rsidRDefault="00BE1377">
            <w:pPr>
              <w:spacing w:line="256" w:lineRule="auto"/>
              <w:jc w:val="left"/>
              <w:rPr>
                <w:rFonts w:eastAsia="Aptos" w:cs="Calibri"/>
                <w:b w:val="0"/>
                <w:color w:val="000000" w:themeColor="dark1"/>
                <w:sz w:val="24"/>
                <w:szCs w:val="24"/>
              </w:rPr>
            </w:pPr>
          </w:p>
        </w:tc>
        <w:tc>
          <w:tcPr>
            <w:tcW w:w="5398" w:type="dxa"/>
          </w:tcPr>
          <w:p w14:paraId="2190FBD2" w14:textId="77777777" w:rsidR="00BE1377" w:rsidRPr="00BD71F8" w:rsidRDefault="00BE1377">
            <w:pPr>
              <w:spacing w:line="256" w:lineRule="auto"/>
              <w:jc w:val="left"/>
              <w:cnfStyle w:val="000000000000" w:firstRow="0" w:lastRow="0" w:firstColumn="0" w:lastColumn="0" w:oddVBand="0" w:evenVBand="0" w:oddHBand="0" w:evenHBand="0" w:firstRowFirstColumn="0" w:firstRowLastColumn="0" w:lastRowFirstColumn="0" w:lastRowLastColumn="0"/>
              <w:rPr>
                <w:rFonts w:eastAsia="Aptos" w:cs="Calibri"/>
                <w:bCs/>
                <w:color w:val="000000" w:themeColor="dark1"/>
                <w:sz w:val="24"/>
                <w:szCs w:val="24"/>
              </w:rPr>
            </w:pPr>
            <w:r w:rsidRPr="00BD71F8">
              <w:rPr>
                <w:rFonts w:eastAsia="Aptos" w:cs="Calibri"/>
                <w:bCs/>
                <w:color w:val="000000" w:themeColor="dark1"/>
                <w:sz w:val="24"/>
                <w:szCs w:val="24"/>
              </w:rPr>
              <w:t>Business Analyst</w:t>
            </w:r>
          </w:p>
        </w:tc>
      </w:tr>
      <w:tr w:rsidR="00BE1377" w:rsidRPr="00BD71F8" w14:paraId="16546E95" w14:textId="77777777">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962" w:type="dxa"/>
          </w:tcPr>
          <w:p w14:paraId="35427A45" w14:textId="77777777" w:rsidR="00BE1377" w:rsidRPr="00BD71F8" w:rsidRDefault="00BE1377">
            <w:pPr>
              <w:spacing w:line="256" w:lineRule="auto"/>
              <w:jc w:val="left"/>
              <w:rPr>
                <w:rFonts w:eastAsia="Aptos" w:cs="Calibri"/>
                <w:b w:val="0"/>
                <w:color w:val="000000" w:themeColor="dark1"/>
                <w:sz w:val="24"/>
                <w:szCs w:val="24"/>
              </w:rPr>
            </w:pPr>
            <w:r w:rsidRPr="00BD71F8">
              <w:rPr>
                <w:rFonts w:eastAsia="Aptos" w:cs="Calibri"/>
                <w:b w:val="0"/>
                <w:color w:val="000000" w:themeColor="dark1"/>
                <w:sz w:val="24"/>
                <w:szCs w:val="24"/>
              </w:rPr>
              <w:t>Arora, Prachi</w:t>
            </w:r>
          </w:p>
          <w:p w14:paraId="5259666F" w14:textId="77777777" w:rsidR="00BE1377" w:rsidRPr="00BD71F8" w:rsidRDefault="00BE1377">
            <w:pPr>
              <w:jc w:val="left"/>
              <w:rPr>
                <w:rFonts w:eastAsia="Aptos" w:cs="Calibri"/>
                <w:b w:val="0"/>
                <w:color w:val="000000" w:themeColor="dark1"/>
                <w:sz w:val="24"/>
                <w:szCs w:val="24"/>
              </w:rPr>
            </w:pPr>
          </w:p>
        </w:tc>
        <w:tc>
          <w:tcPr>
            <w:tcW w:w="5398" w:type="dxa"/>
          </w:tcPr>
          <w:p w14:paraId="4ABB8119" w14:textId="77777777" w:rsidR="00BE1377" w:rsidRPr="00BD71F8" w:rsidRDefault="00BE1377">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r w:rsidRPr="00BD71F8">
              <w:rPr>
                <w:rFonts w:eastAsia="Aptos" w:cs="Calibri"/>
                <w:bCs/>
                <w:color w:val="000000" w:themeColor="dark1"/>
                <w:sz w:val="24"/>
                <w:szCs w:val="24"/>
              </w:rPr>
              <w:t>Business Analyst</w:t>
            </w:r>
          </w:p>
        </w:tc>
      </w:tr>
    </w:tbl>
    <w:sdt>
      <w:sdtPr>
        <w:rPr>
          <w:rFonts w:ascii="Calibri" w:eastAsiaTheme="minorHAnsi" w:hAnsi="Calibri" w:cs="Calibri"/>
          <w:color w:val="auto"/>
          <w:kern w:val="2"/>
          <w:sz w:val="22"/>
          <w:szCs w:val="22"/>
          <w:lang w:val="en-GB"/>
          <w14:ligatures w14:val="standardContextual"/>
        </w:rPr>
        <w:id w:val="-1268300450"/>
        <w:docPartObj>
          <w:docPartGallery w:val="Table of Contents"/>
          <w:docPartUnique/>
        </w:docPartObj>
      </w:sdtPr>
      <w:sdtEndPr>
        <w:rPr>
          <w:b/>
          <w:bCs/>
        </w:rPr>
      </w:sdtEndPr>
      <w:sdtContent>
        <w:p w14:paraId="6F79D923" w14:textId="06112139" w:rsidR="00BE1377" w:rsidRPr="00BD71F8" w:rsidRDefault="00BE1377">
          <w:pPr>
            <w:pStyle w:val="TOCHeading"/>
            <w:rPr>
              <w:rFonts w:ascii="Calibri" w:hAnsi="Calibri" w:cs="Calibri"/>
              <w:lang w:val="en-GB"/>
            </w:rPr>
          </w:pPr>
          <w:r w:rsidRPr="00BD71F8">
            <w:rPr>
              <w:rFonts w:ascii="Calibri" w:hAnsi="Calibri" w:cs="Calibri"/>
              <w:lang w:val="en-GB"/>
            </w:rPr>
            <w:t>Table of Contents</w:t>
          </w:r>
        </w:p>
        <w:p w14:paraId="04CA2755" w14:textId="35E80821" w:rsidR="00644434" w:rsidRDefault="00BE1377">
          <w:pPr>
            <w:pStyle w:val="TOC1"/>
            <w:tabs>
              <w:tab w:val="right" w:leader="dot" w:pos="9350"/>
            </w:tabs>
            <w:rPr>
              <w:rFonts w:asciiTheme="minorHAnsi" w:eastAsiaTheme="minorEastAsia" w:hAnsiTheme="minorHAnsi"/>
              <w:noProof/>
              <w:sz w:val="24"/>
              <w:szCs w:val="24"/>
              <w:lang w:val="en-CA" w:eastAsia="en-CA"/>
            </w:rPr>
          </w:pPr>
          <w:r w:rsidRPr="00BD71F8">
            <w:rPr>
              <w:rFonts w:cs="Calibri"/>
            </w:rPr>
            <w:fldChar w:fldCharType="begin"/>
          </w:r>
          <w:r w:rsidRPr="00BD71F8">
            <w:rPr>
              <w:rFonts w:cs="Calibri"/>
            </w:rPr>
            <w:instrText xml:space="preserve"> TOC \o "1-3" \h \z \u </w:instrText>
          </w:r>
          <w:r w:rsidRPr="00BD71F8">
            <w:rPr>
              <w:rFonts w:cs="Calibri"/>
            </w:rPr>
            <w:fldChar w:fldCharType="separate"/>
          </w:r>
          <w:hyperlink w:anchor="_Toc182000872" w:history="1">
            <w:r w:rsidR="00644434" w:rsidRPr="000D76F3">
              <w:rPr>
                <w:rStyle w:val="Hyperlink"/>
                <w:rFonts w:cs="Calibri"/>
                <w:noProof/>
              </w:rPr>
              <w:t>Introduction</w:t>
            </w:r>
            <w:r w:rsidR="00644434">
              <w:rPr>
                <w:noProof/>
                <w:webHidden/>
              </w:rPr>
              <w:tab/>
            </w:r>
            <w:r w:rsidR="00644434">
              <w:rPr>
                <w:noProof/>
                <w:webHidden/>
              </w:rPr>
              <w:fldChar w:fldCharType="begin"/>
            </w:r>
            <w:r w:rsidR="00644434">
              <w:rPr>
                <w:noProof/>
                <w:webHidden/>
              </w:rPr>
              <w:instrText xml:space="preserve"> PAGEREF _Toc182000872 \h </w:instrText>
            </w:r>
            <w:r w:rsidR="00644434">
              <w:rPr>
                <w:noProof/>
                <w:webHidden/>
              </w:rPr>
            </w:r>
            <w:r w:rsidR="00644434">
              <w:rPr>
                <w:noProof/>
                <w:webHidden/>
              </w:rPr>
              <w:fldChar w:fldCharType="separate"/>
            </w:r>
            <w:r w:rsidR="00644434">
              <w:rPr>
                <w:noProof/>
                <w:webHidden/>
              </w:rPr>
              <w:t>3</w:t>
            </w:r>
            <w:r w:rsidR="00644434">
              <w:rPr>
                <w:noProof/>
                <w:webHidden/>
              </w:rPr>
              <w:fldChar w:fldCharType="end"/>
            </w:r>
          </w:hyperlink>
        </w:p>
        <w:p w14:paraId="5A53A4B8" w14:textId="5D7B7C8A" w:rsidR="00644434" w:rsidRDefault="00644434">
          <w:pPr>
            <w:pStyle w:val="TOC1"/>
            <w:tabs>
              <w:tab w:val="right" w:leader="dot" w:pos="9350"/>
            </w:tabs>
            <w:rPr>
              <w:rFonts w:asciiTheme="minorHAnsi" w:eastAsiaTheme="minorEastAsia" w:hAnsiTheme="minorHAnsi"/>
              <w:noProof/>
              <w:sz w:val="24"/>
              <w:szCs w:val="24"/>
              <w:lang w:val="en-CA" w:eastAsia="en-CA"/>
            </w:rPr>
          </w:pPr>
          <w:hyperlink w:anchor="_Toc182000873" w:history="1">
            <w:r w:rsidRPr="000D76F3">
              <w:rPr>
                <w:rStyle w:val="Hyperlink"/>
                <w:rFonts w:cs="Calibri"/>
                <w:noProof/>
              </w:rPr>
              <w:t>Solution 1: Product Implementation of WiTricity’s Wireless Charging Technology</w:t>
            </w:r>
            <w:r>
              <w:rPr>
                <w:noProof/>
                <w:webHidden/>
              </w:rPr>
              <w:tab/>
            </w:r>
            <w:r>
              <w:rPr>
                <w:noProof/>
                <w:webHidden/>
              </w:rPr>
              <w:fldChar w:fldCharType="begin"/>
            </w:r>
            <w:r>
              <w:rPr>
                <w:noProof/>
                <w:webHidden/>
              </w:rPr>
              <w:instrText xml:space="preserve"> PAGEREF _Toc182000873 \h </w:instrText>
            </w:r>
            <w:r>
              <w:rPr>
                <w:noProof/>
                <w:webHidden/>
              </w:rPr>
            </w:r>
            <w:r>
              <w:rPr>
                <w:noProof/>
                <w:webHidden/>
              </w:rPr>
              <w:fldChar w:fldCharType="separate"/>
            </w:r>
            <w:r>
              <w:rPr>
                <w:noProof/>
                <w:webHidden/>
              </w:rPr>
              <w:t>4</w:t>
            </w:r>
            <w:r>
              <w:rPr>
                <w:noProof/>
                <w:webHidden/>
              </w:rPr>
              <w:fldChar w:fldCharType="end"/>
            </w:r>
          </w:hyperlink>
        </w:p>
        <w:p w14:paraId="55E31390" w14:textId="0AD82670"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74" w:history="1">
            <w:r w:rsidRPr="000D76F3">
              <w:rPr>
                <w:rStyle w:val="Hyperlink"/>
                <w:rFonts w:cs="Calibri"/>
                <w:noProof/>
              </w:rPr>
              <w:t>High-Level Design</w:t>
            </w:r>
            <w:r>
              <w:rPr>
                <w:noProof/>
                <w:webHidden/>
              </w:rPr>
              <w:tab/>
            </w:r>
            <w:r>
              <w:rPr>
                <w:noProof/>
                <w:webHidden/>
              </w:rPr>
              <w:fldChar w:fldCharType="begin"/>
            </w:r>
            <w:r>
              <w:rPr>
                <w:noProof/>
                <w:webHidden/>
              </w:rPr>
              <w:instrText xml:space="preserve"> PAGEREF _Toc182000874 \h </w:instrText>
            </w:r>
            <w:r>
              <w:rPr>
                <w:noProof/>
                <w:webHidden/>
              </w:rPr>
            </w:r>
            <w:r>
              <w:rPr>
                <w:noProof/>
                <w:webHidden/>
              </w:rPr>
              <w:fldChar w:fldCharType="separate"/>
            </w:r>
            <w:r>
              <w:rPr>
                <w:noProof/>
                <w:webHidden/>
              </w:rPr>
              <w:t>4</w:t>
            </w:r>
            <w:r>
              <w:rPr>
                <w:noProof/>
                <w:webHidden/>
              </w:rPr>
              <w:fldChar w:fldCharType="end"/>
            </w:r>
          </w:hyperlink>
        </w:p>
        <w:p w14:paraId="03726AA9" w14:textId="10CA0B0A"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75" w:history="1">
            <w:r w:rsidRPr="000D76F3">
              <w:rPr>
                <w:rStyle w:val="Hyperlink"/>
                <w:rFonts w:cs="Calibri"/>
                <w:noProof/>
              </w:rPr>
              <w:t>Low-Level Design</w:t>
            </w:r>
            <w:r>
              <w:rPr>
                <w:noProof/>
                <w:webHidden/>
              </w:rPr>
              <w:tab/>
            </w:r>
            <w:r>
              <w:rPr>
                <w:noProof/>
                <w:webHidden/>
              </w:rPr>
              <w:fldChar w:fldCharType="begin"/>
            </w:r>
            <w:r>
              <w:rPr>
                <w:noProof/>
                <w:webHidden/>
              </w:rPr>
              <w:instrText xml:space="preserve"> PAGEREF _Toc182000875 \h </w:instrText>
            </w:r>
            <w:r>
              <w:rPr>
                <w:noProof/>
                <w:webHidden/>
              </w:rPr>
            </w:r>
            <w:r>
              <w:rPr>
                <w:noProof/>
                <w:webHidden/>
              </w:rPr>
              <w:fldChar w:fldCharType="separate"/>
            </w:r>
            <w:r>
              <w:rPr>
                <w:noProof/>
                <w:webHidden/>
              </w:rPr>
              <w:t>4</w:t>
            </w:r>
            <w:r>
              <w:rPr>
                <w:noProof/>
                <w:webHidden/>
              </w:rPr>
              <w:fldChar w:fldCharType="end"/>
            </w:r>
          </w:hyperlink>
        </w:p>
        <w:p w14:paraId="577285B9" w14:textId="57D081BF"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76" w:history="1">
            <w:r w:rsidRPr="000D76F3">
              <w:rPr>
                <w:rStyle w:val="Hyperlink"/>
                <w:rFonts w:cs="Calibri"/>
                <w:noProof/>
              </w:rPr>
              <w:t>Impact Analysis</w:t>
            </w:r>
            <w:r>
              <w:rPr>
                <w:noProof/>
                <w:webHidden/>
              </w:rPr>
              <w:tab/>
            </w:r>
            <w:r>
              <w:rPr>
                <w:noProof/>
                <w:webHidden/>
              </w:rPr>
              <w:fldChar w:fldCharType="begin"/>
            </w:r>
            <w:r>
              <w:rPr>
                <w:noProof/>
                <w:webHidden/>
              </w:rPr>
              <w:instrText xml:space="preserve"> PAGEREF _Toc182000876 \h </w:instrText>
            </w:r>
            <w:r>
              <w:rPr>
                <w:noProof/>
                <w:webHidden/>
              </w:rPr>
            </w:r>
            <w:r>
              <w:rPr>
                <w:noProof/>
                <w:webHidden/>
              </w:rPr>
              <w:fldChar w:fldCharType="separate"/>
            </w:r>
            <w:r>
              <w:rPr>
                <w:noProof/>
                <w:webHidden/>
              </w:rPr>
              <w:t>6</w:t>
            </w:r>
            <w:r>
              <w:rPr>
                <w:noProof/>
                <w:webHidden/>
              </w:rPr>
              <w:fldChar w:fldCharType="end"/>
            </w:r>
          </w:hyperlink>
        </w:p>
        <w:p w14:paraId="5F80EA1D" w14:textId="629271D2"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77" w:history="1">
            <w:r w:rsidRPr="000D76F3">
              <w:rPr>
                <w:rStyle w:val="Hyperlink"/>
                <w:noProof/>
              </w:rPr>
              <w:t>Out of Scope</w:t>
            </w:r>
            <w:r>
              <w:rPr>
                <w:noProof/>
                <w:webHidden/>
              </w:rPr>
              <w:tab/>
            </w:r>
            <w:r>
              <w:rPr>
                <w:noProof/>
                <w:webHidden/>
              </w:rPr>
              <w:fldChar w:fldCharType="begin"/>
            </w:r>
            <w:r>
              <w:rPr>
                <w:noProof/>
                <w:webHidden/>
              </w:rPr>
              <w:instrText xml:space="preserve"> PAGEREF _Toc182000877 \h </w:instrText>
            </w:r>
            <w:r>
              <w:rPr>
                <w:noProof/>
                <w:webHidden/>
              </w:rPr>
            </w:r>
            <w:r>
              <w:rPr>
                <w:noProof/>
                <w:webHidden/>
              </w:rPr>
              <w:fldChar w:fldCharType="separate"/>
            </w:r>
            <w:r>
              <w:rPr>
                <w:noProof/>
                <w:webHidden/>
              </w:rPr>
              <w:t>6</w:t>
            </w:r>
            <w:r>
              <w:rPr>
                <w:noProof/>
                <w:webHidden/>
              </w:rPr>
              <w:fldChar w:fldCharType="end"/>
            </w:r>
          </w:hyperlink>
        </w:p>
        <w:p w14:paraId="6FA2478E" w14:textId="79275AC4"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78" w:history="1">
            <w:r w:rsidRPr="000D76F3">
              <w:rPr>
                <w:rStyle w:val="Hyperlink"/>
                <w:rFonts w:cs="Calibri"/>
                <w:noProof/>
              </w:rPr>
              <w:t>Risk Mitigation</w:t>
            </w:r>
            <w:r>
              <w:rPr>
                <w:noProof/>
                <w:webHidden/>
              </w:rPr>
              <w:tab/>
            </w:r>
            <w:r>
              <w:rPr>
                <w:noProof/>
                <w:webHidden/>
              </w:rPr>
              <w:fldChar w:fldCharType="begin"/>
            </w:r>
            <w:r>
              <w:rPr>
                <w:noProof/>
                <w:webHidden/>
              </w:rPr>
              <w:instrText xml:space="preserve"> PAGEREF _Toc182000878 \h </w:instrText>
            </w:r>
            <w:r>
              <w:rPr>
                <w:noProof/>
                <w:webHidden/>
              </w:rPr>
            </w:r>
            <w:r>
              <w:rPr>
                <w:noProof/>
                <w:webHidden/>
              </w:rPr>
              <w:fldChar w:fldCharType="separate"/>
            </w:r>
            <w:r>
              <w:rPr>
                <w:noProof/>
                <w:webHidden/>
              </w:rPr>
              <w:t>7</w:t>
            </w:r>
            <w:r>
              <w:rPr>
                <w:noProof/>
                <w:webHidden/>
              </w:rPr>
              <w:fldChar w:fldCharType="end"/>
            </w:r>
          </w:hyperlink>
        </w:p>
        <w:p w14:paraId="3F9FF771" w14:textId="243A825B" w:rsidR="00644434" w:rsidRDefault="00644434">
          <w:pPr>
            <w:pStyle w:val="TOC1"/>
            <w:tabs>
              <w:tab w:val="right" w:leader="dot" w:pos="9350"/>
            </w:tabs>
            <w:rPr>
              <w:rFonts w:asciiTheme="minorHAnsi" w:eastAsiaTheme="minorEastAsia" w:hAnsiTheme="minorHAnsi"/>
              <w:noProof/>
              <w:sz w:val="24"/>
              <w:szCs w:val="24"/>
              <w:lang w:val="en-CA" w:eastAsia="en-CA"/>
            </w:rPr>
          </w:pPr>
          <w:hyperlink w:anchor="_Toc182000879" w:history="1">
            <w:r w:rsidRPr="000D76F3">
              <w:rPr>
                <w:rStyle w:val="Hyperlink"/>
                <w:rFonts w:cs="Calibri"/>
                <w:noProof/>
              </w:rPr>
              <w:t>Solution 2: Space Sector Financial Products</w:t>
            </w:r>
            <w:r>
              <w:rPr>
                <w:noProof/>
                <w:webHidden/>
              </w:rPr>
              <w:tab/>
            </w:r>
            <w:r>
              <w:rPr>
                <w:noProof/>
                <w:webHidden/>
              </w:rPr>
              <w:fldChar w:fldCharType="begin"/>
            </w:r>
            <w:r>
              <w:rPr>
                <w:noProof/>
                <w:webHidden/>
              </w:rPr>
              <w:instrText xml:space="preserve"> PAGEREF _Toc182000879 \h </w:instrText>
            </w:r>
            <w:r>
              <w:rPr>
                <w:noProof/>
                <w:webHidden/>
              </w:rPr>
            </w:r>
            <w:r>
              <w:rPr>
                <w:noProof/>
                <w:webHidden/>
              </w:rPr>
              <w:fldChar w:fldCharType="separate"/>
            </w:r>
            <w:r>
              <w:rPr>
                <w:noProof/>
                <w:webHidden/>
              </w:rPr>
              <w:t>8</w:t>
            </w:r>
            <w:r>
              <w:rPr>
                <w:noProof/>
                <w:webHidden/>
              </w:rPr>
              <w:fldChar w:fldCharType="end"/>
            </w:r>
          </w:hyperlink>
        </w:p>
        <w:p w14:paraId="76E47068" w14:textId="6C2AF6B4"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80" w:history="1">
            <w:r w:rsidRPr="000D76F3">
              <w:rPr>
                <w:rStyle w:val="Hyperlink"/>
                <w:rFonts w:cs="Calibri"/>
                <w:noProof/>
              </w:rPr>
              <w:t>High-Level Design</w:t>
            </w:r>
            <w:r>
              <w:rPr>
                <w:noProof/>
                <w:webHidden/>
              </w:rPr>
              <w:tab/>
            </w:r>
            <w:r>
              <w:rPr>
                <w:noProof/>
                <w:webHidden/>
              </w:rPr>
              <w:fldChar w:fldCharType="begin"/>
            </w:r>
            <w:r>
              <w:rPr>
                <w:noProof/>
                <w:webHidden/>
              </w:rPr>
              <w:instrText xml:space="preserve"> PAGEREF _Toc182000880 \h </w:instrText>
            </w:r>
            <w:r>
              <w:rPr>
                <w:noProof/>
                <w:webHidden/>
              </w:rPr>
            </w:r>
            <w:r>
              <w:rPr>
                <w:noProof/>
                <w:webHidden/>
              </w:rPr>
              <w:fldChar w:fldCharType="separate"/>
            </w:r>
            <w:r>
              <w:rPr>
                <w:noProof/>
                <w:webHidden/>
              </w:rPr>
              <w:t>9</w:t>
            </w:r>
            <w:r>
              <w:rPr>
                <w:noProof/>
                <w:webHidden/>
              </w:rPr>
              <w:fldChar w:fldCharType="end"/>
            </w:r>
          </w:hyperlink>
        </w:p>
        <w:p w14:paraId="34B93520" w14:textId="1FFBEBDA"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81" w:history="1">
            <w:r w:rsidRPr="000D76F3">
              <w:rPr>
                <w:rStyle w:val="Hyperlink"/>
                <w:rFonts w:cs="Calibri"/>
                <w:noProof/>
              </w:rPr>
              <w:t>Low-level design</w:t>
            </w:r>
            <w:r>
              <w:rPr>
                <w:noProof/>
                <w:webHidden/>
              </w:rPr>
              <w:tab/>
            </w:r>
            <w:r>
              <w:rPr>
                <w:noProof/>
                <w:webHidden/>
              </w:rPr>
              <w:fldChar w:fldCharType="begin"/>
            </w:r>
            <w:r>
              <w:rPr>
                <w:noProof/>
                <w:webHidden/>
              </w:rPr>
              <w:instrText xml:space="preserve"> PAGEREF _Toc182000881 \h </w:instrText>
            </w:r>
            <w:r>
              <w:rPr>
                <w:noProof/>
                <w:webHidden/>
              </w:rPr>
            </w:r>
            <w:r>
              <w:rPr>
                <w:noProof/>
                <w:webHidden/>
              </w:rPr>
              <w:fldChar w:fldCharType="separate"/>
            </w:r>
            <w:r>
              <w:rPr>
                <w:noProof/>
                <w:webHidden/>
              </w:rPr>
              <w:t>9</w:t>
            </w:r>
            <w:r>
              <w:rPr>
                <w:noProof/>
                <w:webHidden/>
              </w:rPr>
              <w:fldChar w:fldCharType="end"/>
            </w:r>
          </w:hyperlink>
        </w:p>
        <w:p w14:paraId="4037E378" w14:textId="555B9317"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82" w:history="1">
            <w:r w:rsidRPr="000D76F3">
              <w:rPr>
                <w:rStyle w:val="Hyperlink"/>
                <w:rFonts w:cs="Calibri"/>
                <w:noProof/>
              </w:rPr>
              <w:t>Impact Analysis</w:t>
            </w:r>
            <w:r>
              <w:rPr>
                <w:noProof/>
                <w:webHidden/>
              </w:rPr>
              <w:tab/>
            </w:r>
            <w:r>
              <w:rPr>
                <w:noProof/>
                <w:webHidden/>
              </w:rPr>
              <w:fldChar w:fldCharType="begin"/>
            </w:r>
            <w:r>
              <w:rPr>
                <w:noProof/>
                <w:webHidden/>
              </w:rPr>
              <w:instrText xml:space="preserve"> PAGEREF _Toc182000882 \h </w:instrText>
            </w:r>
            <w:r>
              <w:rPr>
                <w:noProof/>
                <w:webHidden/>
              </w:rPr>
            </w:r>
            <w:r>
              <w:rPr>
                <w:noProof/>
                <w:webHidden/>
              </w:rPr>
              <w:fldChar w:fldCharType="separate"/>
            </w:r>
            <w:r>
              <w:rPr>
                <w:noProof/>
                <w:webHidden/>
              </w:rPr>
              <w:t>10</w:t>
            </w:r>
            <w:r>
              <w:rPr>
                <w:noProof/>
                <w:webHidden/>
              </w:rPr>
              <w:fldChar w:fldCharType="end"/>
            </w:r>
          </w:hyperlink>
        </w:p>
        <w:p w14:paraId="3B1E3A13" w14:textId="1C8B4ADF"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83" w:history="1">
            <w:r w:rsidRPr="000D76F3">
              <w:rPr>
                <w:rStyle w:val="Hyperlink"/>
                <w:rFonts w:cs="Calibri"/>
                <w:noProof/>
              </w:rPr>
              <w:t>Out of Scope</w:t>
            </w:r>
            <w:r>
              <w:rPr>
                <w:noProof/>
                <w:webHidden/>
              </w:rPr>
              <w:tab/>
            </w:r>
            <w:r>
              <w:rPr>
                <w:noProof/>
                <w:webHidden/>
              </w:rPr>
              <w:fldChar w:fldCharType="begin"/>
            </w:r>
            <w:r>
              <w:rPr>
                <w:noProof/>
                <w:webHidden/>
              </w:rPr>
              <w:instrText xml:space="preserve"> PAGEREF _Toc182000883 \h </w:instrText>
            </w:r>
            <w:r>
              <w:rPr>
                <w:noProof/>
                <w:webHidden/>
              </w:rPr>
            </w:r>
            <w:r>
              <w:rPr>
                <w:noProof/>
                <w:webHidden/>
              </w:rPr>
              <w:fldChar w:fldCharType="separate"/>
            </w:r>
            <w:r>
              <w:rPr>
                <w:noProof/>
                <w:webHidden/>
              </w:rPr>
              <w:t>11</w:t>
            </w:r>
            <w:r>
              <w:rPr>
                <w:noProof/>
                <w:webHidden/>
              </w:rPr>
              <w:fldChar w:fldCharType="end"/>
            </w:r>
          </w:hyperlink>
        </w:p>
        <w:p w14:paraId="11A6CFAF" w14:textId="0358C3A6"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84" w:history="1">
            <w:r w:rsidRPr="000D76F3">
              <w:rPr>
                <w:rStyle w:val="Hyperlink"/>
                <w:rFonts w:cs="Calibri"/>
                <w:noProof/>
              </w:rPr>
              <w:t>Risk and Mitigation</w:t>
            </w:r>
            <w:r>
              <w:rPr>
                <w:noProof/>
                <w:webHidden/>
              </w:rPr>
              <w:tab/>
            </w:r>
            <w:r>
              <w:rPr>
                <w:noProof/>
                <w:webHidden/>
              </w:rPr>
              <w:fldChar w:fldCharType="begin"/>
            </w:r>
            <w:r>
              <w:rPr>
                <w:noProof/>
                <w:webHidden/>
              </w:rPr>
              <w:instrText xml:space="preserve"> PAGEREF _Toc182000884 \h </w:instrText>
            </w:r>
            <w:r>
              <w:rPr>
                <w:noProof/>
                <w:webHidden/>
              </w:rPr>
            </w:r>
            <w:r>
              <w:rPr>
                <w:noProof/>
                <w:webHidden/>
              </w:rPr>
              <w:fldChar w:fldCharType="separate"/>
            </w:r>
            <w:r>
              <w:rPr>
                <w:noProof/>
                <w:webHidden/>
              </w:rPr>
              <w:t>11</w:t>
            </w:r>
            <w:r>
              <w:rPr>
                <w:noProof/>
                <w:webHidden/>
              </w:rPr>
              <w:fldChar w:fldCharType="end"/>
            </w:r>
          </w:hyperlink>
        </w:p>
        <w:p w14:paraId="477A2BD0" w14:textId="131CA910" w:rsidR="00644434" w:rsidRDefault="00644434">
          <w:pPr>
            <w:pStyle w:val="TOC1"/>
            <w:tabs>
              <w:tab w:val="right" w:leader="dot" w:pos="9350"/>
            </w:tabs>
            <w:rPr>
              <w:rFonts w:asciiTheme="minorHAnsi" w:eastAsiaTheme="minorEastAsia" w:hAnsiTheme="minorHAnsi"/>
              <w:noProof/>
              <w:sz w:val="24"/>
              <w:szCs w:val="24"/>
              <w:lang w:val="en-CA" w:eastAsia="en-CA"/>
            </w:rPr>
          </w:pPr>
          <w:hyperlink w:anchor="_Toc182000885" w:history="1">
            <w:r w:rsidRPr="000D76F3">
              <w:rPr>
                <w:rStyle w:val="Hyperlink"/>
                <w:rFonts w:cs="Calibri"/>
                <w:noProof/>
              </w:rPr>
              <w:t>Do-Nothing Solution: Assessing the Risks and Opportunity Costs of Inaction</w:t>
            </w:r>
            <w:r>
              <w:rPr>
                <w:noProof/>
                <w:webHidden/>
              </w:rPr>
              <w:tab/>
            </w:r>
            <w:r>
              <w:rPr>
                <w:noProof/>
                <w:webHidden/>
              </w:rPr>
              <w:fldChar w:fldCharType="begin"/>
            </w:r>
            <w:r>
              <w:rPr>
                <w:noProof/>
                <w:webHidden/>
              </w:rPr>
              <w:instrText xml:space="preserve"> PAGEREF _Toc182000885 \h </w:instrText>
            </w:r>
            <w:r>
              <w:rPr>
                <w:noProof/>
                <w:webHidden/>
              </w:rPr>
            </w:r>
            <w:r>
              <w:rPr>
                <w:noProof/>
                <w:webHidden/>
              </w:rPr>
              <w:fldChar w:fldCharType="separate"/>
            </w:r>
            <w:r>
              <w:rPr>
                <w:noProof/>
                <w:webHidden/>
              </w:rPr>
              <w:t>12</w:t>
            </w:r>
            <w:r>
              <w:rPr>
                <w:noProof/>
                <w:webHidden/>
              </w:rPr>
              <w:fldChar w:fldCharType="end"/>
            </w:r>
          </w:hyperlink>
        </w:p>
        <w:p w14:paraId="34EFB017" w14:textId="4FFDC327"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86" w:history="1">
            <w:r w:rsidRPr="000D76F3">
              <w:rPr>
                <w:rStyle w:val="Hyperlink"/>
                <w:rFonts w:cs="Calibri"/>
                <w:noProof/>
              </w:rPr>
              <w:t>High-Level Design</w:t>
            </w:r>
            <w:r>
              <w:rPr>
                <w:noProof/>
                <w:webHidden/>
              </w:rPr>
              <w:tab/>
            </w:r>
            <w:r>
              <w:rPr>
                <w:noProof/>
                <w:webHidden/>
              </w:rPr>
              <w:fldChar w:fldCharType="begin"/>
            </w:r>
            <w:r>
              <w:rPr>
                <w:noProof/>
                <w:webHidden/>
              </w:rPr>
              <w:instrText xml:space="preserve"> PAGEREF _Toc182000886 \h </w:instrText>
            </w:r>
            <w:r>
              <w:rPr>
                <w:noProof/>
                <w:webHidden/>
              </w:rPr>
            </w:r>
            <w:r>
              <w:rPr>
                <w:noProof/>
                <w:webHidden/>
              </w:rPr>
              <w:fldChar w:fldCharType="separate"/>
            </w:r>
            <w:r>
              <w:rPr>
                <w:noProof/>
                <w:webHidden/>
              </w:rPr>
              <w:t>12</w:t>
            </w:r>
            <w:r>
              <w:rPr>
                <w:noProof/>
                <w:webHidden/>
              </w:rPr>
              <w:fldChar w:fldCharType="end"/>
            </w:r>
          </w:hyperlink>
        </w:p>
        <w:p w14:paraId="6A4340EA" w14:textId="086DD144"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87" w:history="1">
            <w:r w:rsidRPr="000D76F3">
              <w:rPr>
                <w:rStyle w:val="Hyperlink"/>
                <w:rFonts w:cs="Calibri"/>
                <w:noProof/>
              </w:rPr>
              <w:t>Low-Level Design</w:t>
            </w:r>
            <w:r>
              <w:rPr>
                <w:noProof/>
                <w:webHidden/>
              </w:rPr>
              <w:tab/>
            </w:r>
            <w:r>
              <w:rPr>
                <w:noProof/>
                <w:webHidden/>
              </w:rPr>
              <w:fldChar w:fldCharType="begin"/>
            </w:r>
            <w:r>
              <w:rPr>
                <w:noProof/>
                <w:webHidden/>
              </w:rPr>
              <w:instrText xml:space="preserve"> PAGEREF _Toc182000887 \h </w:instrText>
            </w:r>
            <w:r>
              <w:rPr>
                <w:noProof/>
                <w:webHidden/>
              </w:rPr>
            </w:r>
            <w:r>
              <w:rPr>
                <w:noProof/>
                <w:webHidden/>
              </w:rPr>
              <w:fldChar w:fldCharType="separate"/>
            </w:r>
            <w:r>
              <w:rPr>
                <w:noProof/>
                <w:webHidden/>
              </w:rPr>
              <w:t>12</w:t>
            </w:r>
            <w:r>
              <w:rPr>
                <w:noProof/>
                <w:webHidden/>
              </w:rPr>
              <w:fldChar w:fldCharType="end"/>
            </w:r>
          </w:hyperlink>
        </w:p>
        <w:p w14:paraId="311E33B1" w14:textId="5016F215"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88" w:history="1">
            <w:r w:rsidRPr="000D76F3">
              <w:rPr>
                <w:rStyle w:val="Hyperlink"/>
                <w:rFonts w:cs="Calibri"/>
                <w:noProof/>
              </w:rPr>
              <w:t>Impact Analysis</w:t>
            </w:r>
            <w:r>
              <w:rPr>
                <w:noProof/>
                <w:webHidden/>
              </w:rPr>
              <w:tab/>
            </w:r>
            <w:r>
              <w:rPr>
                <w:noProof/>
                <w:webHidden/>
              </w:rPr>
              <w:fldChar w:fldCharType="begin"/>
            </w:r>
            <w:r>
              <w:rPr>
                <w:noProof/>
                <w:webHidden/>
              </w:rPr>
              <w:instrText xml:space="preserve"> PAGEREF _Toc182000888 \h </w:instrText>
            </w:r>
            <w:r>
              <w:rPr>
                <w:noProof/>
                <w:webHidden/>
              </w:rPr>
            </w:r>
            <w:r>
              <w:rPr>
                <w:noProof/>
                <w:webHidden/>
              </w:rPr>
              <w:fldChar w:fldCharType="separate"/>
            </w:r>
            <w:r>
              <w:rPr>
                <w:noProof/>
                <w:webHidden/>
              </w:rPr>
              <w:t>13</w:t>
            </w:r>
            <w:r>
              <w:rPr>
                <w:noProof/>
                <w:webHidden/>
              </w:rPr>
              <w:fldChar w:fldCharType="end"/>
            </w:r>
          </w:hyperlink>
        </w:p>
        <w:p w14:paraId="6EB1C93E" w14:textId="3EA832DB"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89" w:history="1">
            <w:r w:rsidRPr="000D76F3">
              <w:rPr>
                <w:rStyle w:val="Hyperlink"/>
                <w:rFonts w:cs="Calibri"/>
                <w:noProof/>
              </w:rPr>
              <w:t>Out of Scope</w:t>
            </w:r>
            <w:r>
              <w:rPr>
                <w:noProof/>
                <w:webHidden/>
              </w:rPr>
              <w:tab/>
            </w:r>
            <w:r>
              <w:rPr>
                <w:noProof/>
                <w:webHidden/>
              </w:rPr>
              <w:fldChar w:fldCharType="begin"/>
            </w:r>
            <w:r>
              <w:rPr>
                <w:noProof/>
                <w:webHidden/>
              </w:rPr>
              <w:instrText xml:space="preserve"> PAGEREF _Toc182000889 \h </w:instrText>
            </w:r>
            <w:r>
              <w:rPr>
                <w:noProof/>
                <w:webHidden/>
              </w:rPr>
            </w:r>
            <w:r>
              <w:rPr>
                <w:noProof/>
                <w:webHidden/>
              </w:rPr>
              <w:fldChar w:fldCharType="separate"/>
            </w:r>
            <w:r>
              <w:rPr>
                <w:noProof/>
                <w:webHidden/>
              </w:rPr>
              <w:t>13</w:t>
            </w:r>
            <w:r>
              <w:rPr>
                <w:noProof/>
                <w:webHidden/>
              </w:rPr>
              <w:fldChar w:fldCharType="end"/>
            </w:r>
          </w:hyperlink>
        </w:p>
        <w:p w14:paraId="3582355A" w14:textId="70A4ACA7"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90" w:history="1">
            <w:r w:rsidRPr="000D76F3">
              <w:rPr>
                <w:rStyle w:val="Hyperlink"/>
                <w:rFonts w:cs="Calibri"/>
                <w:noProof/>
              </w:rPr>
              <w:t>Risk and Mitigation</w:t>
            </w:r>
            <w:r>
              <w:rPr>
                <w:noProof/>
                <w:webHidden/>
              </w:rPr>
              <w:tab/>
            </w:r>
            <w:r>
              <w:rPr>
                <w:noProof/>
                <w:webHidden/>
              </w:rPr>
              <w:fldChar w:fldCharType="begin"/>
            </w:r>
            <w:r>
              <w:rPr>
                <w:noProof/>
                <w:webHidden/>
              </w:rPr>
              <w:instrText xml:space="preserve"> PAGEREF _Toc182000890 \h </w:instrText>
            </w:r>
            <w:r>
              <w:rPr>
                <w:noProof/>
                <w:webHidden/>
              </w:rPr>
            </w:r>
            <w:r>
              <w:rPr>
                <w:noProof/>
                <w:webHidden/>
              </w:rPr>
              <w:fldChar w:fldCharType="separate"/>
            </w:r>
            <w:r>
              <w:rPr>
                <w:noProof/>
                <w:webHidden/>
              </w:rPr>
              <w:t>14</w:t>
            </w:r>
            <w:r>
              <w:rPr>
                <w:noProof/>
                <w:webHidden/>
              </w:rPr>
              <w:fldChar w:fldCharType="end"/>
            </w:r>
          </w:hyperlink>
        </w:p>
        <w:p w14:paraId="5F4591D7" w14:textId="37246F29" w:rsidR="00644434" w:rsidRDefault="00644434">
          <w:pPr>
            <w:pStyle w:val="TOC1"/>
            <w:tabs>
              <w:tab w:val="right" w:leader="dot" w:pos="9350"/>
            </w:tabs>
            <w:rPr>
              <w:rFonts w:asciiTheme="minorHAnsi" w:eastAsiaTheme="minorEastAsia" w:hAnsiTheme="minorHAnsi"/>
              <w:noProof/>
              <w:sz w:val="24"/>
              <w:szCs w:val="24"/>
              <w:lang w:val="en-CA" w:eastAsia="en-CA"/>
            </w:rPr>
          </w:pPr>
          <w:hyperlink w:anchor="_Toc182000891" w:history="1">
            <w:r w:rsidRPr="000D76F3">
              <w:rPr>
                <w:rStyle w:val="Hyperlink"/>
                <w:rFonts w:cs="Calibri"/>
                <w:noProof/>
              </w:rPr>
              <w:t>Evaluation Criteria</w:t>
            </w:r>
            <w:r>
              <w:rPr>
                <w:noProof/>
                <w:webHidden/>
              </w:rPr>
              <w:tab/>
            </w:r>
            <w:r>
              <w:rPr>
                <w:noProof/>
                <w:webHidden/>
              </w:rPr>
              <w:fldChar w:fldCharType="begin"/>
            </w:r>
            <w:r>
              <w:rPr>
                <w:noProof/>
                <w:webHidden/>
              </w:rPr>
              <w:instrText xml:space="preserve"> PAGEREF _Toc182000891 \h </w:instrText>
            </w:r>
            <w:r>
              <w:rPr>
                <w:noProof/>
                <w:webHidden/>
              </w:rPr>
            </w:r>
            <w:r>
              <w:rPr>
                <w:noProof/>
                <w:webHidden/>
              </w:rPr>
              <w:fldChar w:fldCharType="separate"/>
            </w:r>
            <w:r>
              <w:rPr>
                <w:noProof/>
                <w:webHidden/>
              </w:rPr>
              <w:t>15</w:t>
            </w:r>
            <w:r>
              <w:rPr>
                <w:noProof/>
                <w:webHidden/>
              </w:rPr>
              <w:fldChar w:fldCharType="end"/>
            </w:r>
          </w:hyperlink>
        </w:p>
        <w:p w14:paraId="0AF8BE46" w14:textId="5D9AA16B" w:rsidR="00644434" w:rsidRDefault="00644434">
          <w:pPr>
            <w:pStyle w:val="TOC1"/>
            <w:tabs>
              <w:tab w:val="right" w:leader="dot" w:pos="9350"/>
            </w:tabs>
            <w:rPr>
              <w:rFonts w:asciiTheme="minorHAnsi" w:eastAsiaTheme="minorEastAsia" w:hAnsiTheme="minorHAnsi"/>
              <w:noProof/>
              <w:sz w:val="24"/>
              <w:szCs w:val="24"/>
              <w:lang w:val="en-CA" w:eastAsia="en-CA"/>
            </w:rPr>
          </w:pPr>
          <w:hyperlink w:anchor="_Toc182000892" w:history="1">
            <w:r>
              <w:rPr>
                <w:noProof/>
                <w:webHidden/>
              </w:rPr>
              <w:tab/>
            </w:r>
            <w:r>
              <w:rPr>
                <w:noProof/>
                <w:webHidden/>
              </w:rPr>
              <w:fldChar w:fldCharType="begin"/>
            </w:r>
            <w:r>
              <w:rPr>
                <w:noProof/>
                <w:webHidden/>
              </w:rPr>
              <w:instrText xml:space="preserve"> PAGEREF _Toc182000892 \h </w:instrText>
            </w:r>
            <w:r>
              <w:rPr>
                <w:noProof/>
                <w:webHidden/>
              </w:rPr>
            </w:r>
            <w:r>
              <w:rPr>
                <w:noProof/>
                <w:webHidden/>
              </w:rPr>
              <w:fldChar w:fldCharType="separate"/>
            </w:r>
            <w:r>
              <w:rPr>
                <w:noProof/>
                <w:webHidden/>
              </w:rPr>
              <w:t>19</w:t>
            </w:r>
            <w:r>
              <w:rPr>
                <w:noProof/>
                <w:webHidden/>
              </w:rPr>
              <w:fldChar w:fldCharType="end"/>
            </w:r>
          </w:hyperlink>
        </w:p>
        <w:p w14:paraId="03A83CC1" w14:textId="3A29476C" w:rsidR="00644434" w:rsidRDefault="00644434">
          <w:pPr>
            <w:pStyle w:val="TOC1"/>
            <w:tabs>
              <w:tab w:val="right" w:leader="dot" w:pos="9350"/>
            </w:tabs>
            <w:rPr>
              <w:rFonts w:asciiTheme="minorHAnsi" w:eastAsiaTheme="minorEastAsia" w:hAnsiTheme="minorHAnsi"/>
              <w:noProof/>
              <w:sz w:val="24"/>
              <w:szCs w:val="24"/>
              <w:lang w:val="en-CA" w:eastAsia="en-CA"/>
            </w:rPr>
          </w:pPr>
          <w:hyperlink w:anchor="_Toc182000893" w:history="1">
            <w:r w:rsidRPr="000D76F3">
              <w:rPr>
                <w:rStyle w:val="Hyperlink"/>
                <w:rFonts w:cs="Calibri"/>
                <w:noProof/>
              </w:rPr>
              <w:t>Feasibility Study</w:t>
            </w:r>
            <w:r>
              <w:rPr>
                <w:noProof/>
                <w:webHidden/>
              </w:rPr>
              <w:tab/>
            </w:r>
            <w:r>
              <w:rPr>
                <w:noProof/>
                <w:webHidden/>
              </w:rPr>
              <w:fldChar w:fldCharType="begin"/>
            </w:r>
            <w:r>
              <w:rPr>
                <w:noProof/>
                <w:webHidden/>
              </w:rPr>
              <w:instrText xml:space="preserve"> PAGEREF _Toc182000893 \h </w:instrText>
            </w:r>
            <w:r>
              <w:rPr>
                <w:noProof/>
                <w:webHidden/>
              </w:rPr>
            </w:r>
            <w:r>
              <w:rPr>
                <w:noProof/>
                <w:webHidden/>
              </w:rPr>
              <w:fldChar w:fldCharType="separate"/>
            </w:r>
            <w:r>
              <w:rPr>
                <w:noProof/>
                <w:webHidden/>
              </w:rPr>
              <w:t>20</w:t>
            </w:r>
            <w:r>
              <w:rPr>
                <w:noProof/>
                <w:webHidden/>
              </w:rPr>
              <w:fldChar w:fldCharType="end"/>
            </w:r>
          </w:hyperlink>
        </w:p>
        <w:p w14:paraId="682F69DD" w14:textId="75E97AEF"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94" w:history="1">
            <w:r w:rsidRPr="000D76F3">
              <w:rPr>
                <w:rStyle w:val="Hyperlink"/>
                <w:rFonts w:cs="Calibri"/>
                <w:noProof/>
              </w:rPr>
              <w:t>Revenue</w:t>
            </w:r>
            <w:r>
              <w:rPr>
                <w:noProof/>
                <w:webHidden/>
              </w:rPr>
              <w:tab/>
            </w:r>
            <w:r>
              <w:rPr>
                <w:noProof/>
                <w:webHidden/>
              </w:rPr>
              <w:fldChar w:fldCharType="begin"/>
            </w:r>
            <w:r>
              <w:rPr>
                <w:noProof/>
                <w:webHidden/>
              </w:rPr>
              <w:instrText xml:space="preserve"> PAGEREF _Toc182000894 \h </w:instrText>
            </w:r>
            <w:r>
              <w:rPr>
                <w:noProof/>
                <w:webHidden/>
              </w:rPr>
            </w:r>
            <w:r>
              <w:rPr>
                <w:noProof/>
                <w:webHidden/>
              </w:rPr>
              <w:fldChar w:fldCharType="separate"/>
            </w:r>
            <w:r>
              <w:rPr>
                <w:noProof/>
                <w:webHidden/>
              </w:rPr>
              <w:t>20</w:t>
            </w:r>
            <w:r>
              <w:rPr>
                <w:noProof/>
                <w:webHidden/>
              </w:rPr>
              <w:fldChar w:fldCharType="end"/>
            </w:r>
          </w:hyperlink>
        </w:p>
        <w:p w14:paraId="7DFD3480" w14:textId="3D1E27D8"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95" w:history="1">
            <w:r w:rsidRPr="000D76F3">
              <w:rPr>
                <w:rStyle w:val="Hyperlink"/>
                <w:rFonts w:cs="Calibri"/>
                <w:noProof/>
              </w:rPr>
              <w:t>Expenses</w:t>
            </w:r>
            <w:r>
              <w:rPr>
                <w:noProof/>
                <w:webHidden/>
              </w:rPr>
              <w:tab/>
            </w:r>
            <w:r>
              <w:rPr>
                <w:noProof/>
                <w:webHidden/>
              </w:rPr>
              <w:fldChar w:fldCharType="begin"/>
            </w:r>
            <w:r>
              <w:rPr>
                <w:noProof/>
                <w:webHidden/>
              </w:rPr>
              <w:instrText xml:space="preserve"> PAGEREF _Toc182000895 \h </w:instrText>
            </w:r>
            <w:r>
              <w:rPr>
                <w:noProof/>
                <w:webHidden/>
              </w:rPr>
            </w:r>
            <w:r>
              <w:rPr>
                <w:noProof/>
                <w:webHidden/>
              </w:rPr>
              <w:fldChar w:fldCharType="separate"/>
            </w:r>
            <w:r>
              <w:rPr>
                <w:noProof/>
                <w:webHidden/>
              </w:rPr>
              <w:t>26</w:t>
            </w:r>
            <w:r>
              <w:rPr>
                <w:noProof/>
                <w:webHidden/>
              </w:rPr>
              <w:fldChar w:fldCharType="end"/>
            </w:r>
          </w:hyperlink>
        </w:p>
        <w:p w14:paraId="75D3FDF2" w14:textId="3771F28D" w:rsidR="00644434" w:rsidRDefault="00644434">
          <w:pPr>
            <w:pStyle w:val="TOC2"/>
            <w:tabs>
              <w:tab w:val="right" w:leader="dot" w:pos="9350"/>
            </w:tabs>
            <w:rPr>
              <w:rFonts w:asciiTheme="minorHAnsi" w:eastAsiaTheme="minorEastAsia" w:hAnsiTheme="minorHAnsi"/>
              <w:noProof/>
              <w:sz w:val="24"/>
              <w:szCs w:val="24"/>
              <w:lang w:val="en-CA" w:eastAsia="en-CA"/>
            </w:rPr>
          </w:pPr>
          <w:hyperlink w:anchor="_Toc182000896" w:history="1">
            <w:r w:rsidRPr="000D76F3">
              <w:rPr>
                <w:rStyle w:val="Hyperlink"/>
                <w:rFonts w:cs="Calibri"/>
                <w:noProof/>
                <w:lang w:val="en-US"/>
              </w:rPr>
              <w:t>Return On Investment (ROI)</w:t>
            </w:r>
            <w:r>
              <w:rPr>
                <w:noProof/>
                <w:webHidden/>
              </w:rPr>
              <w:tab/>
            </w:r>
            <w:r>
              <w:rPr>
                <w:noProof/>
                <w:webHidden/>
              </w:rPr>
              <w:fldChar w:fldCharType="begin"/>
            </w:r>
            <w:r>
              <w:rPr>
                <w:noProof/>
                <w:webHidden/>
              </w:rPr>
              <w:instrText xml:space="preserve"> PAGEREF _Toc182000896 \h </w:instrText>
            </w:r>
            <w:r>
              <w:rPr>
                <w:noProof/>
                <w:webHidden/>
              </w:rPr>
            </w:r>
            <w:r>
              <w:rPr>
                <w:noProof/>
                <w:webHidden/>
              </w:rPr>
              <w:fldChar w:fldCharType="separate"/>
            </w:r>
            <w:r>
              <w:rPr>
                <w:noProof/>
                <w:webHidden/>
              </w:rPr>
              <w:t>56</w:t>
            </w:r>
            <w:r>
              <w:rPr>
                <w:noProof/>
                <w:webHidden/>
              </w:rPr>
              <w:fldChar w:fldCharType="end"/>
            </w:r>
          </w:hyperlink>
        </w:p>
        <w:p w14:paraId="60C21909" w14:textId="4BCF29AA" w:rsidR="00644434" w:rsidRDefault="00644434">
          <w:pPr>
            <w:pStyle w:val="TOC1"/>
            <w:tabs>
              <w:tab w:val="right" w:leader="dot" w:pos="9350"/>
            </w:tabs>
            <w:rPr>
              <w:rFonts w:asciiTheme="minorHAnsi" w:eastAsiaTheme="minorEastAsia" w:hAnsiTheme="minorHAnsi"/>
              <w:noProof/>
              <w:sz w:val="24"/>
              <w:szCs w:val="24"/>
              <w:lang w:val="en-CA" w:eastAsia="en-CA"/>
            </w:rPr>
          </w:pPr>
          <w:hyperlink w:anchor="_Toc182000897" w:history="1">
            <w:r w:rsidRPr="000D76F3">
              <w:rPr>
                <w:rStyle w:val="Hyperlink"/>
                <w:rFonts w:cs="Calibri"/>
                <w:noProof/>
              </w:rPr>
              <w:t>News Board</w:t>
            </w:r>
            <w:r>
              <w:rPr>
                <w:noProof/>
                <w:webHidden/>
              </w:rPr>
              <w:tab/>
            </w:r>
            <w:r>
              <w:rPr>
                <w:noProof/>
                <w:webHidden/>
              </w:rPr>
              <w:fldChar w:fldCharType="begin"/>
            </w:r>
            <w:r>
              <w:rPr>
                <w:noProof/>
                <w:webHidden/>
              </w:rPr>
              <w:instrText xml:space="preserve"> PAGEREF _Toc182000897 \h </w:instrText>
            </w:r>
            <w:r>
              <w:rPr>
                <w:noProof/>
                <w:webHidden/>
              </w:rPr>
            </w:r>
            <w:r>
              <w:rPr>
                <w:noProof/>
                <w:webHidden/>
              </w:rPr>
              <w:fldChar w:fldCharType="separate"/>
            </w:r>
            <w:r>
              <w:rPr>
                <w:noProof/>
                <w:webHidden/>
              </w:rPr>
              <w:t>58</w:t>
            </w:r>
            <w:r>
              <w:rPr>
                <w:noProof/>
                <w:webHidden/>
              </w:rPr>
              <w:fldChar w:fldCharType="end"/>
            </w:r>
          </w:hyperlink>
        </w:p>
        <w:p w14:paraId="11474C4F" w14:textId="257C2524" w:rsidR="00644434" w:rsidRDefault="00644434">
          <w:pPr>
            <w:pStyle w:val="TOC1"/>
            <w:tabs>
              <w:tab w:val="right" w:leader="dot" w:pos="9350"/>
            </w:tabs>
            <w:rPr>
              <w:rFonts w:asciiTheme="minorHAnsi" w:eastAsiaTheme="minorEastAsia" w:hAnsiTheme="minorHAnsi"/>
              <w:noProof/>
              <w:sz w:val="24"/>
              <w:szCs w:val="24"/>
              <w:lang w:val="en-CA" w:eastAsia="en-CA"/>
            </w:rPr>
          </w:pPr>
          <w:hyperlink w:anchor="_Toc182000898" w:history="1">
            <w:r w:rsidRPr="000D76F3">
              <w:rPr>
                <w:rStyle w:val="Hyperlink"/>
                <w:rFonts w:cs="Calibri"/>
                <w:noProof/>
              </w:rPr>
              <w:t>Conclusion</w:t>
            </w:r>
            <w:r>
              <w:rPr>
                <w:noProof/>
                <w:webHidden/>
              </w:rPr>
              <w:tab/>
            </w:r>
            <w:r>
              <w:rPr>
                <w:noProof/>
                <w:webHidden/>
              </w:rPr>
              <w:fldChar w:fldCharType="begin"/>
            </w:r>
            <w:r>
              <w:rPr>
                <w:noProof/>
                <w:webHidden/>
              </w:rPr>
              <w:instrText xml:space="preserve"> PAGEREF _Toc182000898 \h </w:instrText>
            </w:r>
            <w:r>
              <w:rPr>
                <w:noProof/>
                <w:webHidden/>
              </w:rPr>
            </w:r>
            <w:r>
              <w:rPr>
                <w:noProof/>
                <w:webHidden/>
              </w:rPr>
              <w:fldChar w:fldCharType="separate"/>
            </w:r>
            <w:r>
              <w:rPr>
                <w:noProof/>
                <w:webHidden/>
              </w:rPr>
              <w:t>60</w:t>
            </w:r>
            <w:r>
              <w:rPr>
                <w:noProof/>
                <w:webHidden/>
              </w:rPr>
              <w:fldChar w:fldCharType="end"/>
            </w:r>
          </w:hyperlink>
        </w:p>
        <w:p w14:paraId="77472499" w14:textId="7F39B5F2" w:rsidR="00644434" w:rsidRDefault="00644434">
          <w:pPr>
            <w:pStyle w:val="TOC1"/>
            <w:tabs>
              <w:tab w:val="right" w:leader="dot" w:pos="9350"/>
            </w:tabs>
            <w:rPr>
              <w:rFonts w:asciiTheme="minorHAnsi" w:eastAsiaTheme="minorEastAsia" w:hAnsiTheme="minorHAnsi"/>
              <w:noProof/>
              <w:sz w:val="24"/>
              <w:szCs w:val="24"/>
              <w:lang w:val="en-CA" w:eastAsia="en-CA"/>
            </w:rPr>
          </w:pPr>
          <w:hyperlink w:anchor="_Toc182000899" w:history="1">
            <w:r w:rsidRPr="000D76F3">
              <w:rPr>
                <w:rStyle w:val="Hyperlink"/>
                <w:rFonts w:cs="Calibri"/>
                <w:noProof/>
              </w:rPr>
              <w:t>Call of Action</w:t>
            </w:r>
            <w:r>
              <w:rPr>
                <w:noProof/>
                <w:webHidden/>
              </w:rPr>
              <w:tab/>
            </w:r>
            <w:r>
              <w:rPr>
                <w:noProof/>
                <w:webHidden/>
              </w:rPr>
              <w:fldChar w:fldCharType="begin"/>
            </w:r>
            <w:r>
              <w:rPr>
                <w:noProof/>
                <w:webHidden/>
              </w:rPr>
              <w:instrText xml:space="preserve"> PAGEREF _Toc182000899 \h </w:instrText>
            </w:r>
            <w:r>
              <w:rPr>
                <w:noProof/>
                <w:webHidden/>
              </w:rPr>
            </w:r>
            <w:r>
              <w:rPr>
                <w:noProof/>
                <w:webHidden/>
              </w:rPr>
              <w:fldChar w:fldCharType="separate"/>
            </w:r>
            <w:r>
              <w:rPr>
                <w:noProof/>
                <w:webHidden/>
              </w:rPr>
              <w:t>61</w:t>
            </w:r>
            <w:r>
              <w:rPr>
                <w:noProof/>
                <w:webHidden/>
              </w:rPr>
              <w:fldChar w:fldCharType="end"/>
            </w:r>
          </w:hyperlink>
        </w:p>
        <w:p w14:paraId="7F5400BB" w14:textId="162E4F26" w:rsidR="00644434" w:rsidRDefault="00644434">
          <w:pPr>
            <w:pStyle w:val="TOC1"/>
            <w:tabs>
              <w:tab w:val="right" w:leader="dot" w:pos="9350"/>
            </w:tabs>
            <w:rPr>
              <w:rFonts w:asciiTheme="minorHAnsi" w:eastAsiaTheme="minorEastAsia" w:hAnsiTheme="minorHAnsi"/>
              <w:noProof/>
              <w:sz w:val="24"/>
              <w:szCs w:val="24"/>
              <w:lang w:val="en-CA" w:eastAsia="en-CA"/>
            </w:rPr>
          </w:pPr>
          <w:hyperlink w:anchor="_Toc182000900" w:history="1">
            <w:r w:rsidRPr="000D76F3">
              <w:rPr>
                <w:rStyle w:val="Hyperlink"/>
                <w:noProof/>
              </w:rPr>
              <w:t>References</w:t>
            </w:r>
            <w:r>
              <w:rPr>
                <w:noProof/>
                <w:webHidden/>
              </w:rPr>
              <w:tab/>
            </w:r>
            <w:r>
              <w:rPr>
                <w:noProof/>
                <w:webHidden/>
              </w:rPr>
              <w:fldChar w:fldCharType="begin"/>
            </w:r>
            <w:r>
              <w:rPr>
                <w:noProof/>
                <w:webHidden/>
              </w:rPr>
              <w:instrText xml:space="preserve"> PAGEREF _Toc182000900 \h </w:instrText>
            </w:r>
            <w:r>
              <w:rPr>
                <w:noProof/>
                <w:webHidden/>
              </w:rPr>
            </w:r>
            <w:r>
              <w:rPr>
                <w:noProof/>
                <w:webHidden/>
              </w:rPr>
              <w:fldChar w:fldCharType="separate"/>
            </w:r>
            <w:r>
              <w:rPr>
                <w:noProof/>
                <w:webHidden/>
              </w:rPr>
              <w:t>62</w:t>
            </w:r>
            <w:r>
              <w:rPr>
                <w:noProof/>
                <w:webHidden/>
              </w:rPr>
              <w:fldChar w:fldCharType="end"/>
            </w:r>
          </w:hyperlink>
        </w:p>
        <w:p w14:paraId="308C162B" w14:textId="54AD0F93" w:rsidR="00BE1377" w:rsidRPr="00BD71F8" w:rsidRDefault="00BE1377">
          <w:pPr>
            <w:rPr>
              <w:rFonts w:cs="Calibri"/>
            </w:rPr>
          </w:pPr>
          <w:r w:rsidRPr="00BD71F8">
            <w:rPr>
              <w:rFonts w:cs="Calibri"/>
              <w:b/>
              <w:bCs/>
            </w:rPr>
            <w:fldChar w:fldCharType="end"/>
          </w:r>
        </w:p>
      </w:sdtContent>
    </w:sdt>
    <w:p w14:paraId="75867C11" w14:textId="77777777" w:rsidR="00BE1377" w:rsidRPr="00BD71F8" w:rsidRDefault="00BE1377">
      <w:pPr>
        <w:rPr>
          <w:rFonts w:cs="Calibri"/>
        </w:rPr>
      </w:pPr>
    </w:p>
    <w:p w14:paraId="09F46D62" w14:textId="77777777" w:rsidR="00BE1377" w:rsidRPr="00BD71F8" w:rsidRDefault="00BE1377">
      <w:pPr>
        <w:rPr>
          <w:rFonts w:cs="Calibri"/>
        </w:rPr>
      </w:pPr>
    </w:p>
    <w:p w14:paraId="4BF51768" w14:textId="77777777" w:rsidR="00BE1377" w:rsidRPr="00BD71F8" w:rsidRDefault="00BE1377">
      <w:pPr>
        <w:rPr>
          <w:rFonts w:cs="Calibri"/>
        </w:rPr>
      </w:pPr>
    </w:p>
    <w:p w14:paraId="2B678610" w14:textId="18D41E71" w:rsidR="001A1CD5" w:rsidRPr="00BD71F8" w:rsidRDefault="00BE1377" w:rsidP="00377B07">
      <w:pPr>
        <w:pStyle w:val="Heading1"/>
        <w:rPr>
          <w:rFonts w:ascii="Calibri" w:hAnsi="Calibri" w:cs="Calibri"/>
        </w:rPr>
      </w:pPr>
      <w:bookmarkStart w:id="2" w:name="_Toc182000872"/>
      <w:r w:rsidRPr="00BD71F8">
        <w:rPr>
          <w:rFonts w:ascii="Calibri" w:hAnsi="Calibri" w:cs="Calibri"/>
        </w:rPr>
        <w:t>Introduction</w:t>
      </w:r>
      <w:bookmarkEnd w:id="2"/>
    </w:p>
    <w:p w14:paraId="0C0F4B78" w14:textId="254EBEFC" w:rsidR="001A1CD5" w:rsidRPr="00BD71F8" w:rsidRDefault="00264CCA" w:rsidP="00494FF9">
      <w:pPr>
        <w:spacing w:line="276" w:lineRule="auto"/>
        <w:rPr>
          <w:rFonts w:cs="Calibri"/>
          <w:sz w:val="24"/>
          <w:szCs w:val="24"/>
        </w:rPr>
      </w:pPr>
      <w:proofErr w:type="spellStart"/>
      <w:r w:rsidRPr="00BD71F8">
        <w:rPr>
          <w:rFonts w:cs="Calibri"/>
          <w:sz w:val="24"/>
          <w:szCs w:val="24"/>
        </w:rPr>
        <w:t>ProcessPro</w:t>
      </w:r>
      <w:proofErr w:type="spellEnd"/>
      <w:r w:rsidRPr="00BD71F8">
        <w:rPr>
          <w:rFonts w:cs="Calibri"/>
          <w:sz w:val="24"/>
          <w:szCs w:val="24"/>
        </w:rPr>
        <w:t xml:space="preserve"> Partners consultancy aims to assist TD Bank in assessing strategic choices for entering the electric vehicle (EV) market. As the demand for sustainable technology and clean energy solutions continues to rise TD Bank has a chance to secure a presence in the EV charging market. We suggest the possible purchase of WiTricity an innovative firm in wireless electric vehicle charging technology. This report presents various solution alternatives including the "do nothing" option to evaluate the feasibility and compatibility of each with TD Bank’s business objectives and resource availability. By applying established assessment </w:t>
      </w:r>
      <w:r w:rsidR="00BD71F8" w:rsidRPr="00BD71F8">
        <w:rPr>
          <w:rFonts w:cs="Calibri"/>
          <w:sz w:val="24"/>
          <w:szCs w:val="24"/>
        </w:rPr>
        <w:t>standards,</w:t>
      </w:r>
      <w:r w:rsidRPr="00BD71F8">
        <w:rPr>
          <w:rFonts w:cs="Calibri"/>
          <w:sz w:val="24"/>
          <w:szCs w:val="24"/>
        </w:rPr>
        <w:t xml:space="preserve"> we seek to determine the most feasible route ahead to enhance long-term expansion, creativity and investment returns.</w:t>
      </w:r>
    </w:p>
    <w:p w14:paraId="392FC006" w14:textId="77777777" w:rsidR="001A1CD5" w:rsidRPr="00BD71F8" w:rsidRDefault="001A1CD5" w:rsidP="00BE1377">
      <w:pPr>
        <w:rPr>
          <w:rFonts w:cs="Calibri"/>
        </w:rPr>
      </w:pPr>
    </w:p>
    <w:p w14:paraId="058CC53E" w14:textId="77777777" w:rsidR="001A1CD5" w:rsidRPr="00BD71F8" w:rsidRDefault="001A1CD5" w:rsidP="00BE1377">
      <w:pPr>
        <w:rPr>
          <w:rFonts w:cs="Calibri"/>
        </w:rPr>
      </w:pPr>
    </w:p>
    <w:p w14:paraId="5F1F5305" w14:textId="77777777" w:rsidR="001A1CD5" w:rsidRPr="00BD71F8" w:rsidRDefault="001A1CD5" w:rsidP="00BE1377">
      <w:pPr>
        <w:rPr>
          <w:rFonts w:cs="Calibri"/>
        </w:rPr>
      </w:pPr>
    </w:p>
    <w:p w14:paraId="764ABFAA" w14:textId="77777777" w:rsidR="001A1CD5" w:rsidRPr="00BD71F8" w:rsidRDefault="001A1CD5" w:rsidP="00BE1377">
      <w:pPr>
        <w:rPr>
          <w:rFonts w:cs="Calibri"/>
        </w:rPr>
      </w:pPr>
    </w:p>
    <w:p w14:paraId="5AEFD624" w14:textId="77777777" w:rsidR="001A1CD5" w:rsidRPr="00BD71F8" w:rsidRDefault="001A1CD5" w:rsidP="00BE1377">
      <w:pPr>
        <w:rPr>
          <w:rFonts w:cs="Calibri"/>
        </w:rPr>
      </w:pPr>
    </w:p>
    <w:p w14:paraId="16011B9F" w14:textId="77777777" w:rsidR="00264CCA" w:rsidRPr="00BD71F8" w:rsidRDefault="00264CCA" w:rsidP="00F2521A">
      <w:pPr>
        <w:pStyle w:val="Heading1"/>
      </w:pPr>
      <w:r w:rsidRPr="00BD71F8">
        <w:br w:type="page"/>
      </w:r>
    </w:p>
    <w:p w14:paraId="2E32C4C2" w14:textId="2BFFF906" w:rsidR="00BE1377" w:rsidRPr="00BD71F8" w:rsidRDefault="00377B07" w:rsidP="00F2521A">
      <w:pPr>
        <w:pStyle w:val="Heading1"/>
        <w:rPr>
          <w:rFonts w:ascii="Calibri" w:hAnsi="Calibri" w:cs="Calibri"/>
          <w:sz w:val="36"/>
          <w:szCs w:val="36"/>
        </w:rPr>
      </w:pPr>
      <w:bookmarkStart w:id="3" w:name="_Toc182000873"/>
      <w:r w:rsidRPr="00BD71F8">
        <w:rPr>
          <w:rFonts w:ascii="Calibri" w:hAnsi="Calibri" w:cs="Calibri"/>
          <w:sz w:val="36"/>
          <w:szCs w:val="36"/>
        </w:rPr>
        <w:lastRenderedPageBreak/>
        <w:t>Solution 1</w:t>
      </w:r>
      <w:r w:rsidR="007E2163" w:rsidRPr="00BD71F8">
        <w:rPr>
          <w:rFonts w:ascii="Calibri" w:hAnsi="Calibri" w:cs="Calibri"/>
          <w:sz w:val="36"/>
          <w:szCs w:val="36"/>
        </w:rPr>
        <w:t>: Product Implementation of WiTricity’s Wireless Charging Technology</w:t>
      </w:r>
      <w:bookmarkEnd w:id="3"/>
    </w:p>
    <w:p w14:paraId="6C87989D" w14:textId="77777777" w:rsidR="007E2163" w:rsidRPr="00BD71F8" w:rsidRDefault="007E2163" w:rsidP="007E2163">
      <w:pPr>
        <w:pStyle w:val="Heading2"/>
        <w:rPr>
          <w:rFonts w:ascii="Calibri" w:hAnsi="Calibri" w:cs="Calibri"/>
        </w:rPr>
      </w:pPr>
      <w:bookmarkStart w:id="4" w:name="_Toc182000874"/>
      <w:r w:rsidRPr="00BD71F8">
        <w:rPr>
          <w:rFonts w:ascii="Calibri" w:hAnsi="Calibri" w:cs="Calibri"/>
        </w:rPr>
        <w:t>High-Level Design</w:t>
      </w:r>
      <w:bookmarkEnd w:id="4"/>
      <w:r w:rsidRPr="00BD71F8">
        <w:rPr>
          <w:rFonts w:ascii="Calibri" w:hAnsi="Calibri" w:cs="Calibri"/>
        </w:rPr>
        <w:t xml:space="preserve"> </w:t>
      </w:r>
    </w:p>
    <w:p w14:paraId="28F6C1F0" w14:textId="77777777" w:rsidR="007E2163" w:rsidRPr="007E2163" w:rsidRDefault="007E2163" w:rsidP="00494FF9">
      <w:pPr>
        <w:spacing w:line="276" w:lineRule="auto"/>
        <w:rPr>
          <w:sz w:val="24"/>
          <w:szCs w:val="24"/>
        </w:rPr>
      </w:pPr>
      <w:r w:rsidRPr="007E2163">
        <w:t xml:space="preserve"> </w:t>
      </w:r>
      <w:r w:rsidRPr="007E2163">
        <w:rPr>
          <w:sz w:val="24"/>
          <w:szCs w:val="24"/>
        </w:rPr>
        <w:t>WiTricity's wireless electric vehicle (EV) charging technology will be integrated in a few TD Bank branches and busy partner locations as part of this solution. The strategy is to position TD Bank as a leader in the financial industry by providing a sustainable and client-focused EV charging solution. This is strengthening TD's adherence to ESG values and fostering brand loyalty which results in customer engagement.</w:t>
      </w:r>
    </w:p>
    <w:p w14:paraId="1D7AD441" w14:textId="77777777" w:rsidR="007E2163" w:rsidRPr="007E2163" w:rsidRDefault="007E2163" w:rsidP="00494FF9">
      <w:pPr>
        <w:spacing w:line="276" w:lineRule="auto"/>
        <w:rPr>
          <w:sz w:val="24"/>
          <w:szCs w:val="24"/>
        </w:rPr>
      </w:pPr>
      <w:r w:rsidRPr="007E2163">
        <w:rPr>
          <w:sz w:val="24"/>
          <w:szCs w:val="24"/>
        </w:rPr>
        <w:t>Objective: TD hopes to establish itself as a pioneer in sustainable banking, improving customer convenience and bolstering its dedication to ESG objectives by providing an innovative EV charging service.</w:t>
      </w:r>
    </w:p>
    <w:p w14:paraId="0C2D80B5" w14:textId="77777777" w:rsidR="007E2163" w:rsidRPr="007E2163" w:rsidRDefault="007E2163" w:rsidP="00494FF9">
      <w:pPr>
        <w:spacing w:line="276" w:lineRule="auto"/>
        <w:rPr>
          <w:sz w:val="24"/>
          <w:szCs w:val="24"/>
        </w:rPr>
      </w:pPr>
      <w:r w:rsidRPr="007E2163">
        <w:rPr>
          <w:sz w:val="24"/>
          <w:szCs w:val="24"/>
        </w:rPr>
        <w:t xml:space="preserve">Components: </w:t>
      </w:r>
    </w:p>
    <w:p w14:paraId="48AF50FB" w14:textId="77777777" w:rsidR="007E2163" w:rsidRPr="007E2163" w:rsidRDefault="007E2163" w:rsidP="00B76B0D">
      <w:pPr>
        <w:numPr>
          <w:ilvl w:val="0"/>
          <w:numId w:val="4"/>
        </w:numPr>
        <w:spacing w:line="276" w:lineRule="auto"/>
        <w:rPr>
          <w:sz w:val="24"/>
          <w:szCs w:val="24"/>
        </w:rPr>
      </w:pPr>
      <w:r w:rsidRPr="007E2163">
        <w:rPr>
          <w:sz w:val="24"/>
          <w:szCs w:val="24"/>
        </w:rPr>
        <w:t>Hardware: Piloting the installation of WiTricity's innovative wireless charging pads in TD Bank branches with plenty of foot activity as well as parking spaces. These pads support TD's customer-focused approach by providing users with a smooth and contactless charging experience.</w:t>
      </w:r>
    </w:p>
    <w:p w14:paraId="08C293FD" w14:textId="77777777" w:rsidR="007E2163" w:rsidRPr="007E2163" w:rsidRDefault="007E2163" w:rsidP="00B76B0D">
      <w:pPr>
        <w:numPr>
          <w:ilvl w:val="0"/>
          <w:numId w:val="4"/>
        </w:numPr>
        <w:spacing w:line="276" w:lineRule="auto"/>
        <w:rPr>
          <w:sz w:val="24"/>
          <w:szCs w:val="24"/>
        </w:rPr>
      </w:pPr>
      <w:r w:rsidRPr="007E2163">
        <w:rPr>
          <w:sz w:val="24"/>
          <w:szCs w:val="24"/>
        </w:rPr>
        <w:t>Software: Adding a new function to the TD mobile app that helps user to locate charging stations. It will also help user to start wireless charging sessions and keep a track of charging. It will also allow user to make payments using credit cards or TD accounts that are linked. This improves user experience by establishing a single platform for banking and EV-related services.</w:t>
      </w:r>
    </w:p>
    <w:p w14:paraId="2BB40C7B" w14:textId="77777777" w:rsidR="007E2163" w:rsidRPr="007E2163" w:rsidRDefault="007E2163" w:rsidP="00B76B0D">
      <w:pPr>
        <w:numPr>
          <w:ilvl w:val="0"/>
          <w:numId w:val="4"/>
        </w:numPr>
        <w:spacing w:line="276" w:lineRule="auto"/>
        <w:rPr>
          <w:sz w:val="24"/>
          <w:szCs w:val="24"/>
        </w:rPr>
      </w:pPr>
      <w:r w:rsidRPr="007E2163">
        <w:rPr>
          <w:sz w:val="24"/>
          <w:szCs w:val="24"/>
        </w:rPr>
        <w:t>Infrastructure: Setting up the required equipment at each charging station which includes improved power supplies and internet access for data transfer. It also includes real-time monitoring systems. WiTricity's technical staff would work with TD's IT and facilities departments to ensure compatibility as well as its functionality.</w:t>
      </w:r>
    </w:p>
    <w:p w14:paraId="354F8DAC" w14:textId="77777777" w:rsidR="007E2163" w:rsidRPr="007E2163" w:rsidRDefault="007E2163" w:rsidP="00B76B0D">
      <w:pPr>
        <w:numPr>
          <w:ilvl w:val="0"/>
          <w:numId w:val="4"/>
        </w:numPr>
        <w:spacing w:line="276" w:lineRule="auto"/>
        <w:rPr>
          <w:sz w:val="24"/>
          <w:szCs w:val="24"/>
        </w:rPr>
      </w:pPr>
      <w:r w:rsidRPr="007E2163">
        <w:rPr>
          <w:sz w:val="24"/>
          <w:szCs w:val="24"/>
        </w:rPr>
        <w:t xml:space="preserve">Customer Engagement: Include the EV charging service in TD's current rewards program so that users can accrue points or receive savings for utilising the wireless charging stations. Targeted advertising efforts would also be implemented on TD's digital platforms to raise awareness and encourage users. </w:t>
      </w:r>
    </w:p>
    <w:p w14:paraId="47FAC1CC" w14:textId="4861CB92" w:rsidR="007E2163" w:rsidRPr="00BD71F8" w:rsidRDefault="007E2163" w:rsidP="007E2163">
      <w:pPr>
        <w:pStyle w:val="Heading2"/>
        <w:rPr>
          <w:rFonts w:ascii="Calibri" w:hAnsi="Calibri" w:cs="Calibri"/>
        </w:rPr>
      </w:pPr>
      <w:bookmarkStart w:id="5" w:name="_Toc182000875"/>
      <w:r w:rsidRPr="00BD71F8">
        <w:rPr>
          <w:rFonts w:ascii="Calibri" w:hAnsi="Calibri" w:cs="Calibri"/>
        </w:rPr>
        <w:t>Low-Level Design</w:t>
      </w:r>
      <w:bookmarkEnd w:id="5"/>
    </w:p>
    <w:p w14:paraId="79E97F6E" w14:textId="77777777" w:rsidR="007E2163" w:rsidRPr="007E2163" w:rsidRDefault="007E2163" w:rsidP="00494FF9">
      <w:pPr>
        <w:spacing w:line="276" w:lineRule="auto"/>
        <w:rPr>
          <w:sz w:val="24"/>
          <w:szCs w:val="24"/>
        </w:rPr>
      </w:pPr>
      <w:r w:rsidRPr="007E2163">
        <w:rPr>
          <w:sz w:val="24"/>
          <w:szCs w:val="24"/>
        </w:rPr>
        <w:t>This section describes the operational and technical procedures for putting the wireless charging service into place. It includes data administration, mobile app integration and hardware setup.</w:t>
      </w:r>
    </w:p>
    <w:p w14:paraId="0DCA9461" w14:textId="77777777" w:rsidR="007E2163" w:rsidRPr="007E2163" w:rsidRDefault="007E2163" w:rsidP="00494FF9">
      <w:pPr>
        <w:spacing w:line="276" w:lineRule="auto"/>
        <w:rPr>
          <w:sz w:val="24"/>
          <w:szCs w:val="24"/>
        </w:rPr>
      </w:pPr>
      <w:r w:rsidRPr="007E2163">
        <w:rPr>
          <w:sz w:val="24"/>
          <w:szCs w:val="24"/>
        </w:rPr>
        <w:lastRenderedPageBreak/>
        <w:t xml:space="preserve">Hardware Installation: </w:t>
      </w:r>
    </w:p>
    <w:p w14:paraId="2FAAF2A1" w14:textId="77777777" w:rsidR="007E2163" w:rsidRPr="007E2163" w:rsidRDefault="007E2163" w:rsidP="00B76B0D">
      <w:pPr>
        <w:numPr>
          <w:ilvl w:val="0"/>
          <w:numId w:val="5"/>
        </w:numPr>
        <w:spacing w:line="276" w:lineRule="auto"/>
        <w:rPr>
          <w:sz w:val="24"/>
          <w:szCs w:val="24"/>
        </w:rPr>
      </w:pPr>
      <w:r w:rsidRPr="007E2163">
        <w:rPr>
          <w:sz w:val="24"/>
          <w:szCs w:val="24"/>
        </w:rPr>
        <w:t>Deployment of charging pads: Set up WiTricity's wireless charging pads in specific parking spaces within TD Bank branches. Major EV models will be compatible with these pads that ensures widespread accessibility.</w:t>
      </w:r>
    </w:p>
    <w:p w14:paraId="4C2AD677" w14:textId="77777777" w:rsidR="007E2163" w:rsidRPr="007E2163" w:rsidRDefault="007E2163" w:rsidP="00B76B0D">
      <w:pPr>
        <w:numPr>
          <w:ilvl w:val="0"/>
          <w:numId w:val="5"/>
        </w:numPr>
        <w:spacing w:line="276" w:lineRule="auto"/>
        <w:rPr>
          <w:sz w:val="24"/>
          <w:szCs w:val="24"/>
        </w:rPr>
      </w:pPr>
      <w:r w:rsidRPr="007E2163">
        <w:rPr>
          <w:sz w:val="24"/>
          <w:szCs w:val="24"/>
        </w:rPr>
        <w:t>Power Supply and Connectivity: The electrical grid needs to be upgraded at each location to provide sufficient power flow for charging without interfering with branch operations. Real-time data transfer made possible by internet connectivity will let TD track usage trends as well as remotely troubleshoot problems and collecting analytics.</w:t>
      </w:r>
    </w:p>
    <w:p w14:paraId="2272741D" w14:textId="77777777" w:rsidR="007E2163" w:rsidRPr="007E2163" w:rsidRDefault="007E2163" w:rsidP="00B76B0D">
      <w:pPr>
        <w:numPr>
          <w:ilvl w:val="0"/>
          <w:numId w:val="5"/>
        </w:numPr>
        <w:spacing w:line="276" w:lineRule="auto"/>
        <w:rPr>
          <w:sz w:val="24"/>
          <w:szCs w:val="24"/>
        </w:rPr>
      </w:pPr>
      <w:r w:rsidRPr="007E2163">
        <w:rPr>
          <w:sz w:val="24"/>
          <w:szCs w:val="24"/>
        </w:rPr>
        <w:t>Instructions and signage: Install prominent signage and charging instructions at each place. It should include explanation of the usage procedure as well as costs. There should be proper instructions to make sure that customers get required support.</w:t>
      </w:r>
    </w:p>
    <w:p w14:paraId="1BDD510F" w14:textId="77777777" w:rsidR="007E2163" w:rsidRPr="007E2163" w:rsidRDefault="007E2163" w:rsidP="00494FF9">
      <w:pPr>
        <w:spacing w:line="276" w:lineRule="auto"/>
        <w:rPr>
          <w:sz w:val="24"/>
          <w:szCs w:val="24"/>
        </w:rPr>
      </w:pPr>
      <w:r w:rsidRPr="007E2163">
        <w:rPr>
          <w:sz w:val="24"/>
          <w:szCs w:val="24"/>
        </w:rPr>
        <w:t xml:space="preserve">Mobile Application Integration: </w:t>
      </w:r>
    </w:p>
    <w:p w14:paraId="147B5BBB" w14:textId="77777777" w:rsidR="007E2163" w:rsidRPr="007E2163" w:rsidRDefault="007E2163" w:rsidP="00B76B0D">
      <w:pPr>
        <w:numPr>
          <w:ilvl w:val="0"/>
          <w:numId w:val="6"/>
        </w:numPr>
        <w:spacing w:line="276" w:lineRule="auto"/>
        <w:rPr>
          <w:sz w:val="24"/>
          <w:szCs w:val="24"/>
        </w:rPr>
      </w:pPr>
      <w:r w:rsidRPr="007E2163">
        <w:rPr>
          <w:sz w:val="24"/>
          <w:szCs w:val="24"/>
        </w:rPr>
        <w:t>Location and Availability: Include an option in the TD mobile app that lets consumers see which local branches have wireless charging stations and receive real-time updates on each charging pad's availability.</w:t>
      </w:r>
    </w:p>
    <w:p w14:paraId="5B7AE003" w14:textId="77777777" w:rsidR="007E2163" w:rsidRPr="007E2163" w:rsidRDefault="007E2163" w:rsidP="00B76B0D">
      <w:pPr>
        <w:numPr>
          <w:ilvl w:val="0"/>
          <w:numId w:val="6"/>
        </w:numPr>
        <w:spacing w:line="276" w:lineRule="auto"/>
        <w:rPr>
          <w:sz w:val="24"/>
          <w:szCs w:val="24"/>
        </w:rPr>
      </w:pPr>
      <w:r w:rsidRPr="007E2163">
        <w:rPr>
          <w:sz w:val="24"/>
          <w:szCs w:val="24"/>
        </w:rPr>
        <w:t>Session Management: Customers should be able to start, track and terminate charging sessions from within the app. They can also examine the estimated time to completion of the charging. They should also be notified when the charging process is finished.</w:t>
      </w:r>
    </w:p>
    <w:p w14:paraId="13F0AD15" w14:textId="77777777" w:rsidR="007E2163" w:rsidRPr="007E2163" w:rsidRDefault="007E2163" w:rsidP="00B76B0D">
      <w:pPr>
        <w:numPr>
          <w:ilvl w:val="0"/>
          <w:numId w:val="6"/>
        </w:numPr>
        <w:spacing w:line="276" w:lineRule="auto"/>
        <w:rPr>
          <w:sz w:val="24"/>
          <w:szCs w:val="24"/>
        </w:rPr>
      </w:pPr>
      <w:r w:rsidRPr="007E2163">
        <w:rPr>
          <w:sz w:val="24"/>
          <w:szCs w:val="24"/>
        </w:rPr>
        <w:t>Payment Gateway: Customers will find it simple to pay for charges straight through their TD app by using their credit or debit cards. This gives the transaction data as well as the information about charge frequency and customer preferences to the TD.</w:t>
      </w:r>
    </w:p>
    <w:p w14:paraId="132CB7E1" w14:textId="77777777" w:rsidR="007E2163" w:rsidRPr="007E2163" w:rsidRDefault="007E2163" w:rsidP="00494FF9">
      <w:pPr>
        <w:spacing w:line="276" w:lineRule="auto"/>
        <w:rPr>
          <w:sz w:val="24"/>
          <w:szCs w:val="24"/>
        </w:rPr>
      </w:pPr>
      <w:r w:rsidRPr="007E2163">
        <w:rPr>
          <w:sz w:val="24"/>
          <w:szCs w:val="24"/>
        </w:rPr>
        <w:t xml:space="preserve">Data Collection and Analytics: </w:t>
      </w:r>
    </w:p>
    <w:p w14:paraId="3596DD86" w14:textId="77777777" w:rsidR="007E2163" w:rsidRPr="007E2163" w:rsidRDefault="007E2163" w:rsidP="00B76B0D">
      <w:pPr>
        <w:numPr>
          <w:ilvl w:val="0"/>
          <w:numId w:val="7"/>
        </w:numPr>
        <w:spacing w:line="276" w:lineRule="auto"/>
        <w:rPr>
          <w:sz w:val="24"/>
          <w:szCs w:val="24"/>
        </w:rPr>
      </w:pPr>
      <w:r w:rsidRPr="007E2163">
        <w:rPr>
          <w:sz w:val="24"/>
          <w:szCs w:val="24"/>
        </w:rPr>
        <w:t>Usage and Trend Analysis: Data analytics systems of TD will receive data from the wireless charging pads that provides information on geographical trends, peak usage periods and consumer behaviour. The data team at TD can use this information to gradually enhance the charging experience and optimise placement.</w:t>
      </w:r>
    </w:p>
    <w:p w14:paraId="77BD2CA7" w14:textId="77777777" w:rsidR="007E2163" w:rsidRPr="007E2163" w:rsidRDefault="007E2163" w:rsidP="00B76B0D">
      <w:pPr>
        <w:numPr>
          <w:ilvl w:val="0"/>
          <w:numId w:val="7"/>
        </w:numPr>
        <w:spacing w:line="276" w:lineRule="auto"/>
        <w:rPr>
          <w:sz w:val="24"/>
          <w:szCs w:val="24"/>
        </w:rPr>
      </w:pPr>
      <w:r w:rsidRPr="007E2163">
        <w:rPr>
          <w:sz w:val="24"/>
          <w:szCs w:val="24"/>
        </w:rPr>
        <w:t>Feedback Mechanism: Include a feedback function in the app to collect user input in real time. It will assist TD in improving its service portfolio and anticipating problems before they arise.</w:t>
      </w:r>
    </w:p>
    <w:p w14:paraId="2F66EDBE" w14:textId="77777777" w:rsidR="007E2163" w:rsidRPr="007E2163" w:rsidRDefault="007E2163" w:rsidP="00B76B0D">
      <w:pPr>
        <w:numPr>
          <w:ilvl w:val="0"/>
          <w:numId w:val="7"/>
        </w:numPr>
        <w:spacing w:line="276" w:lineRule="auto"/>
        <w:rPr>
          <w:sz w:val="24"/>
          <w:szCs w:val="24"/>
        </w:rPr>
      </w:pPr>
      <w:r w:rsidRPr="007E2163">
        <w:rPr>
          <w:sz w:val="24"/>
          <w:szCs w:val="24"/>
        </w:rPr>
        <w:t>Security Protocols: Verify that all information gathering complies with TD's security guidelines. It includes end-to-end encryption and multi-factor authentication for app access. It should also include adherence to data privacy laws.</w:t>
      </w:r>
    </w:p>
    <w:p w14:paraId="1ABB5B3B" w14:textId="77777777" w:rsidR="007E2163" w:rsidRPr="00BD71F8" w:rsidRDefault="007E2163" w:rsidP="007E2163">
      <w:pPr>
        <w:pStyle w:val="Heading2"/>
        <w:rPr>
          <w:rFonts w:ascii="Calibri" w:hAnsi="Calibri" w:cs="Calibri"/>
        </w:rPr>
      </w:pPr>
      <w:bookmarkStart w:id="6" w:name="_Toc182000876"/>
      <w:r w:rsidRPr="00BD71F8">
        <w:rPr>
          <w:rFonts w:ascii="Calibri" w:hAnsi="Calibri" w:cs="Calibri"/>
        </w:rPr>
        <w:lastRenderedPageBreak/>
        <w:t>Impact Analysis</w:t>
      </w:r>
      <w:bookmarkEnd w:id="6"/>
    </w:p>
    <w:p w14:paraId="20A7ABAB" w14:textId="77777777" w:rsidR="007E2163" w:rsidRPr="007E2163" w:rsidRDefault="007E2163" w:rsidP="00494FF9">
      <w:pPr>
        <w:spacing w:line="276" w:lineRule="auto"/>
        <w:rPr>
          <w:sz w:val="24"/>
          <w:szCs w:val="24"/>
        </w:rPr>
      </w:pPr>
      <w:r w:rsidRPr="007E2163">
        <w:rPr>
          <w:sz w:val="24"/>
          <w:szCs w:val="24"/>
        </w:rPr>
        <w:t>The solution is expected to deliver significant positive impact on following areas:</w:t>
      </w:r>
    </w:p>
    <w:p w14:paraId="5B7192AA" w14:textId="77777777" w:rsidR="007E2163" w:rsidRPr="007E2163" w:rsidRDefault="007E2163" w:rsidP="00B76B0D">
      <w:pPr>
        <w:numPr>
          <w:ilvl w:val="0"/>
          <w:numId w:val="8"/>
        </w:numPr>
        <w:spacing w:line="276" w:lineRule="auto"/>
        <w:rPr>
          <w:sz w:val="24"/>
          <w:szCs w:val="24"/>
        </w:rPr>
      </w:pPr>
      <w:r w:rsidRPr="007E2163">
        <w:rPr>
          <w:sz w:val="24"/>
          <w:szCs w:val="24"/>
        </w:rPr>
        <w:t>Customer Experience: Providing wireless charging at TD locations improves the bank's value proposition. Customer loyalty and convenience is promoted by meeting the needs of EV owners and environmentally conscious consumers. The seamless integration with TD’s app makes it easier to locate and utilise charging stations that overall results in increase in customer satisfaction.</w:t>
      </w:r>
    </w:p>
    <w:p w14:paraId="2F1471E7" w14:textId="77777777" w:rsidR="007E2163" w:rsidRPr="007E2163" w:rsidRDefault="007E2163" w:rsidP="00B76B0D">
      <w:pPr>
        <w:numPr>
          <w:ilvl w:val="0"/>
          <w:numId w:val="8"/>
        </w:numPr>
        <w:spacing w:line="276" w:lineRule="auto"/>
        <w:rPr>
          <w:sz w:val="24"/>
          <w:szCs w:val="24"/>
        </w:rPr>
      </w:pPr>
      <w:r w:rsidRPr="007E2163">
        <w:rPr>
          <w:sz w:val="24"/>
          <w:szCs w:val="24"/>
        </w:rPr>
        <w:t>Sustainability and ESG Compliance: The wireless charging project is in perfect harmony with TD's ESG strategy as it demonstrates bank’s dedication to lowering carbon emissions and promoting environmental-friendly technology. TD contributes to a reduced carbon footprint and establishes the bank as a pioneer in sustainable practices by facilitating wireless EV charging which lessens dependency on fossil fuels.</w:t>
      </w:r>
    </w:p>
    <w:p w14:paraId="3E628535" w14:textId="77777777" w:rsidR="007E2163" w:rsidRPr="007E2163" w:rsidRDefault="007E2163" w:rsidP="00B76B0D">
      <w:pPr>
        <w:numPr>
          <w:ilvl w:val="0"/>
          <w:numId w:val="8"/>
        </w:numPr>
        <w:spacing w:line="276" w:lineRule="auto"/>
        <w:rPr>
          <w:sz w:val="24"/>
          <w:szCs w:val="24"/>
        </w:rPr>
      </w:pPr>
      <w:r w:rsidRPr="007E2163">
        <w:rPr>
          <w:sz w:val="24"/>
          <w:szCs w:val="24"/>
        </w:rPr>
        <w:t>Revenue Growth: TD is expected to make money from wireless EV charging by charging usage fees and extending the service to partner locations. It is anticipated that this service will generate $500–700 million in income year by 2030 that will greatly enhance TD's long-term financial performance and bolstering its diversification plan.</w:t>
      </w:r>
    </w:p>
    <w:p w14:paraId="649D175F" w14:textId="77777777" w:rsidR="007E2163" w:rsidRPr="007E2163" w:rsidRDefault="007E2163" w:rsidP="00B76B0D">
      <w:pPr>
        <w:numPr>
          <w:ilvl w:val="0"/>
          <w:numId w:val="8"/>
        </w:numPr>
        <w:spacing w:line="276" w:lineRule="auto"/>
        <w:rPr>
          <w:sz w:val="24"/>
          <w:szCs w:val="24"/>
        </w:rPr>
      </w:pPr>
      <w:r w:rsidRPr="007E2163">
        <w:rPr>
          <w:sz w:val="24"/>
          <w:szCs w:val="24"/>
        </w:rPr>
        <w:t>Brand Differentiation: TD obtains a competitive advantage by putting this solution into practice. It can be one of the first financial institutions to include sustainable technology into its offerings. This creative initiative appeals to eco-sensitive investors and consumers by enhancing TD's brand reputation as a technologically advanced as well as ecologically conscientious organisation.</w:t>
      </w:r>
    </w:p>
    <w:p w14:paraId="79967E89" w14:textId="351A9E0A" w:rsidR="007E2163" w:rsidRPr="00BD71F8" w:rsidRDefault="007E2163" w:rsidP="007E2163">
      <w:pPr>
        <w:pStyle w:val="Heading2"/>
      </w:pPr>
      <w:bookmarkStart w:id="7" w:name="_Toc182000877"/>
      <w:r w:rsidRPr="00BD71F8">
        <w:t xml:space="preserve">Out of </w:t>
      </w:r>
      <w:r w:rsidR="008E4317" w:rsidRPr="00BD71F8">
        <w:t>S</w:t>
      </w:r>
      <w:r w:rsidRPr="00BD71F8">
        <w:t>cope</w:t>
      </w:r>
      <w:bookmarkEnd w:id="7"/>
    </w:p>
    <w:p w14:paraId="1D81449C" w14:textId="77777777" w:rsidR="007E2163" w:rsidRPr="007E2163" w:rsidRDefault="007E2163" w:rsidP="00494FF9">
      <w:pPr>
        <w:spacing w:line="276" w:lineRule="auto"/>
        <w:rPr>
          <w:sz w:val="24"/>
          <w:szCs w:val="24"/>
        </w:rPr>
      </w:pPr>
      <w:r w:rsidRPr="007E2163">
        <w:rPr>
          <w:sz w:val="24"/>
          <w:szCs w:val="24"/>
        </w:rPr>
        <w:t>Certain elements that are excluded from this solution are as follows:</w:t>
      </w:r>
    </w:p>
    <w:p w14:paraId="0331CB73" w14:textId="77777777" w:rsidR="007E2163" w:rsidRPr="007E2163" w:rsidRDefault="007E2163" w:rsidP="00B76B0D">
      <w:pPr>
        <w:numPr>
          <w:ilvl w:val="0"/>
          <w:numId w:val="9"/>
        </w:numPr>
        <w:spacing w:line="276" w:lineRule="auto"/>
        <w:rPr>
          <w:sz w:val="24"/>
          <w:szCs w:val="24"/>
        </w:rPr>
      </w:pPr>
      <w:r w:rsidRPr="007E2163">
        <w:rPr>
          <w:sz w:val="24"/>
          <w:szCs w:val="24"/>
        </w:rPr>
        <w:t>Non-TD Locations: This first phase of implementation does not cover the extension of wireless charging pads to non-TD-owned sites or retail partnerships. This scope restriction concentrates efforts on TD's own branches to streamline logistics, lower short-term expenses and gauge customer reaction prior to thinking about larger rollouts.</w:t>
      </w:r>
    </w:p>
    <w:p w14:paraId="2856A5CA" w14:textId="77777777" w:rsidR="007E2163" w:rsidRPr="007E2163" w:rsidRDefault="007E2163" w:rsidP="00B76B0D">
      <w:pPr>
        <w:numPr>
          <w:ilvl w:val="0"/>
          <w:numId w:val="9"/>
        </w:numPr>
        <w:spacing w:line="276" w:lineRule="auto"/>
        <w:rPr>
          <w:sz w:val="24"/>
          <w:szCs w:val="24"/>
        </w:rPr>
      </w:pPr>
      <w:r w:rsidRPr="007E2163">
        <w:rPr>
          <w:sz w:val="24"/>
          <w:szCs w:val="24"/>
        </w:rPr>
        <w:t>Alternative EV charging Technologies: WiTricity's wireless technology is the only one used in this solution. This excludes other EV charging techniques like plug-in chargers. The ease of wireless charging is still highlighted as a distinctive feature that sets TD's service apart.</w:t>
      </w:r>
    </w:p>
    <w:p w14:paraId="1F22F3E7" w14:textId="77777777" w:rsidR="007E2163" w:rsidRPr="007E2163" w:rsidRDefault="007E2163" w:rsidP="00B76B0D">
      <w:pPr>
        <w:numPr>
          <w:ilvl w:val="0"/>
          <w:numId w:val="9"/>
        </w:numPr>
        <w:spacing w:line="276" w:lineRule="auto"/>
        <w:rPr>
          <w:sz w:val="24"/>
          <w:szCs w:val="24"/>
        </w:rPr>
      </w:pPr>
      <w:r w:rsidRPr="007E2163">
        <w:rPr>
          <w:sz w:val="24"/>
          <w:szCs w:val="24"/>
        </w:rPr>
        <w:t xml:space="preserve">Third Party App Authenticator: This feature will only be supported by TD's mobile app. Integration with third-party apps that assist in finding EV charging stations (like </w:t>
      </w:r>
      <w:proofErr w:type="spellStart"/>
      <w:r w:rsidRPr="007E2163">
        <w:rPr>
          <w:sz w:val="24"/>
          <w:szCs w:val="24"/>
        </w:rPr>
        <w:t>PlugShare</w:t>
      </w:r>
      <w:proofErr w:type="spellEnd"/>
      <w:r w:rsidRPr="007E2163">
        <w:rPr>
          <w:sz w:val="24"/>
          <w:szCs w:val="24"/>
        </w:rPr>
        <w:t xml:space="preserve"> </w:t>
      </w:r>
      <w:r w:rsidRPr="007E2163">
        <w:rPr>
          <w:sz w:val="24"/>
          <w:szCs w:val="24"/>
        </w:rPr>
        <w:lastRenderedPageBreak/>
        <w:t>or ChargePoint) is prohibited to streamline service administration and preserve exclusive engagement through TDs.</w:t>
      </w:r>
    </w:p>
    <w:p w14:paraId="1AF3B445" w14:textId="77777777" w:rsidR="007E2163" w:rsidRPr="00BD71F8" w:rsidRDefault="007E2163" w:rsidP="007E2163">
      <w:pPr>
        <w:pStyle w:val="Heading2"/>
        <w:rPr>
          <w:rFonts w:ascii="Calibri" w:hAnsi="Calibri" w:cs="Calibri"/>
        </w:rPr>
      </w:pPr>
      <w:bookmarkStart w:id="8" w:name="_Toc182000878"/>
      <w:r w:rsidRPr="00BD71F8">
        <w:rPr>
          <w:rFonts w:ascii="Calibri" w:hAnsi="Calibri" w:cs="Calibri"/>
        </w:rPr>
        <w:t>Risk Mitigation</w:t>
      </w:r>
      <w:bookmarkEnd w:id="8"/>
    </w:p>
    <w:p w14:paraId="12577C42" w14:textId="77777777" w:rsidR="007E2163" w:rsidRPr="007E2163" w:rsidRDefault="007E2163" w:rsidP="00494FF9">
      <w:pPr>
        <w:spacing w:line="276" w:lineRule="auto"/>
        <w:rPr>
          <w:sz w:val="24"/>
          <w:szCs w:val="24"/>
        </w:rPr>
      </w:pPr>
      <w:r w:rsidRPr="007E2163">
        <w:rPr>
          <w:sz w:val="24"/>
          <w:szCs w:val="24"/>
        </w:rPr>
        <w:t>The primary risk involves in implementation of this solution is as follows:</w:t>
      </w:r>
    </w:p>
    <w:p w14:paraId="4146A480" w14:textId="77777777" w:rsidR="007E2163" w:rsidRPr="007E2163" w:rsidRDefault="007E2163" w:rsidP="00494FF9">
      <w:pPr>
        <w:spacing w:line="276" w:lineRule="auto"/>
        <w:rPr>
          <w:sz w:val="24"/>
          <w:szCs w:val="24"/>
        </w:rPr>
      </w:pPr>
      <w:r w:rsidRPr="007E2163">
        <w:rPr>
          <w:sz w:val="24"/>
          <w:szCs w:val="24"/>
        </w:rPr>
        <w:t>Risk 1: High initial cost</w:t>
      </w:r>
    </w:p>
    <w:p w14:paraId="4E21A900" w14:textId="77777777" w:rsidR="007E2163" w:rsidRPr="007E2163" w:rsidRDefault="007E2163" w:rsidP="00B76B0D">
      <w:pPr>
        <w:numPr>
          <w:ilvl w:val="0"/>
          <w:numId w:val="10"/>
        </w:numPr>
        <w:spacing w:line="276" w:lineRule="auto"/>
        <w:rPr>
          <w:sz w:val="24"/>
          <w:szCs w:val="24"/>
        </w:rPr>
      </w:pPr>
      <w:r w:rsidRPr="007E2163">
        <w:rPr>
          <w:sz w:val="24"/>
          <w:szCs w:val="24"/>
        </w:rPr>
        <w:t>Analysis: The short-term profitability may be impacted by the significant investment needed to set up wireless charging stations. Capital investment is also required to purchase equipment and incorporate new functions into the mobile app.</w:t>
      </w:r>
    </w:p>
    <w:p w14:paraId="7C5D516B" w14:textId="77777777" w:rsidR="007E2163" w:rsidRPr="007E2163" w:rsidRDefault="007E2163" w:rsidP="00B76B0D">
      <w:pPr>
        <w:numPr>
          <w:ilvl w:val="0"/>
          <w:numId w:val="10"/>
        </w:numPr>
        <w:spacing w:line="276" w:lineRule="auto"/>
        <w:rPr>
          <w:sz w:val="24"/>
          <w:szCs w:val="24"/>
        </w:rPr>
      </w:pPr>
      <w:r w:rsidRPr="007E2163">
        <w:rPr>
          <w:sz w:val="24"/>
          <w:szCs w:val="24"/>
        </w:rPr>
        <w:t>Mitigation: Start with branches that see a lot of traffic then roll out gradually so that TD can assess consumer adoption and modify resource allocation as necessary. Cost benefit analysis should be done after the pilot phase to improve the expansion strategy as well as to fine-tune financial estimates.</w:t>
      </w:r>
    </w:p>
    <w:p w14:paraId="23096FB5" w14:textId="77777777" w:rsidR="007E2163" w:rsidRPr="007E2163" w:rsidRDefault="007E2163" w:rsidP="00494FF9">
      <w:pPr>
        <w:spacing w:line="276" w:lineRule="auto"/>
        <w:rPr>
          <w:sz w:val="24"/>
          <w:szCs w:val="24"/>
        </w:rPr>
      </w:pPr>
      <w:r w:rsidRPr="007E2163">
        <w:rPr>
          <w:sz w:val="24"/>
          <w:szCs w:val="24"/>
        </w:rPr>
        <w:t>Risk 2: Technology adoption risk</w:t>
      </w:r>
    </w:p>
    <w:p w14:paraId="3C0F33B8" w14:textId="77777777" w:rsidR="007E2163" w:rsidRPr="007E2163" w:rsidRDefault="007E2163" w:rsidP="00B76B0D">
      <w:pPr>
        <w:numPr>
          <w:ilvl w:val="0"/>
          <w:numId w:val="11"/>
        </w:numPr>
        <w:spacing w:line="276" w:lineRule="auto"/>
        <w:rPr>
          <w:sz w:val="24"/>
          <w:szCs w:val="24"/>
        </w:rPr>
      </w:pPr>
      <w:r w:rsidRPr="007E2163">
        <w:rPr>
          <w:sz w:val="24"/>
          <w:szCs w:val="24"/>
        </w:rPr>
        <w:t>Analysis: Some consumers might not be aware of the wireless charging technology as it is in its infancy. Consumers might not be aware of this or be dubious of its advantages.</w:t>
      </w:r>
    </w:p>
    <w:p w14:paraId="2E3FDFD4" w14:textId="77777777" w:rsidR="007E2163" w:rsidRPr="007E2163" w:rsidRDefault="007E2163" w:rsidP="00B76B0D">
      <w:pPr>
        <w:numPr>
          <w:ilvl w:val="0"/>
          <w:numId w:val="11"/>
        </w:numPr>
        <w:spacing w:line="276" w:lineRule="auto"/>
        <w:rPr>
          <w:sz w:val="24"/>
          <w:szCs w:val="24"/>
        </w:rPr>
      </w:pPr>
      <w:r w:rsidRPr="007E2163">
        <w:rPr>
          <w:sz w:val="24"/>
          <w:szCs w:val="24"/>
        </w:rPr>
        <w:t xml:space="preserve">Mitigation: Start focused customer education initiatives on TD's social media, mobile app and website. These advertisements would promote acceptance as well as familiarity by highlighting the advantages of wireless charging in terms of convenience and safety. </w:t>
      </w:r>
    </w:p>
    <w:p w14:paraId="637A9484" w14:textId="77777777" w:rsidR="007E2163" w:rsidRPr="007E2163" w:rsidRDefault="007E2163" w:rsidP="00494FF9">
      <w:pPr>
        <w:spacing w:line="276" w:lineRule="auto"/>
        <w:rPr>
          <w:sz w:val="24"/>
          <w:szCs w:val="24"/>
        </w:rPr>
      </w:pPr>
      <w:r w:rsidRPr="007E2163">
        <w:rPr>
          <w:sz w:val="24"/>
          <w:szCs w:val="24"/>
        </w:rPr>
        <w:t>Risk 3: Security and Privacy</w:t>
      </w:r>
    </w:p>
    <w:p w14:paraId="70A0773F" w14:textId="77777777" w:rsidR="007E2163" w:rsidRPr="007E2163" w:rsidRDefault="007E2163" w:rsidP="00B76B0D">
      <w:pPr>
        <w:numPr>
          <w:ilvl w:val="0"/>
          <w:numId w:val="12"/>
        </w:numPr>
        <w:spacing w:line="276" w:lineRule="auto"/>
        <w:rPr>
          <w:sz w:val="24"/>
          <w:szCs w:val="24"/>
        </w:rPr>
      </w:pPr>
      <w:r w:rsidRPr="007E2163">
        <w:rPr>
          <w:sz w:val="24"/>
          <w:szCs w:val="24"/>
        </w:rPr>
        <w:t>Analysis: Adding new payment methods and technology to TD's app may put user data at risk for security breaches.</w:t>
      </w:r>
    </w:p>
    <w:p w14:paraId="570BB049" w14:textId="77777777" w:rsidR="007E2163" w:rsidRPr="007E2163" w:rsidRDefault="007E2163" w:rsidP="00B76B0D">
      <w:pPr>
        <w:numPr>
          <w:ilvl w:val="0"/>
          <w:numId w:val="12"/>
        </w:numPr>
        <w:spacing w:line="276" w:lineRule="auto"/>
        <w:rPr>
          <w:sz w:val="24"/>
          <w:szCs w:val="24"/>
        </w:rPr>
      </w:pPr>
      <w:r w:rsidRPr="007E2163">
        <w:rPr>
          <w:sz w:val="24"/>
          <w:szCs w:val="24"/>
        </w:rPr>
        <w:t>Mitigation: Perform periodic audits to ensure WiTricity complies with TD's cybersecurity standards. Protecting consumer information and transaction data will require security features. This should include data encryption, access controls and recurring vulnerability assessments.</w:t>
      </w:r>
    </w:p>
    <w:p w14:paraId="7676B8DB" w14:textId="77777777" w:rsidR="007E2163" w:rsidRPr="007E2163" w:rsidRDefault="007E2163" w:rsidP="00494FF9">
      <w:pPr>
        <w:spacing w:line="276" w:lineRule="auto"/>
        <w:rPr>
          <w:sz w:val="24"/>
          <w:szCs w:val="24"/>
        </w:rPr>
      </w:pPr>
      <w:r w:rsidRPr="007E2163">
        <w:rPr>
          <w:sz w:val="24"/>
          <w:szCs w:val="24"/>
        </w:rPr>
        <w:t>Risk 4: Regulatory Compliance</w:t>
      </w:r>
    </w:p>
    <w:p w14:paraId="439EAFAE" w14:textId="77777777" w:rsidR="007E2163" w:rsidRPr="007E2163" w:rsidRDefault="007E2163" w:rsidP="00B76B0D">
      <w:pPr>
        <w:numPr>
          <w:ilvl w:val="0"/>
          <w:numId w:val="13"/>
        </w:numPr>
        <w:spacing w:line="276" w:lineRule="auto"/>
        <w:rPr>
          <w:sz w:val="24"/>
          <w:szCs w:val="24"/>
        </w:rPr>
      </w:pPr>
      <w:r w:rsidRPr="007E2163">
        <w:rPr>
          <w:sz w:val="24"/>
          <w:szCs w:val="24"/>
        </w:rPr>
        <w:t>Analysis: Adherence to local laws pertaining to environmental standards and EV charging infrastructure is crucial. It may cause delays in implementation.</w:t>
      </w:r>
    </w:p>
    <w:p w14:paraId="39C68572" w14:textId="77777777" w:rsidR="007E2163" w:rsidRPr="007E2163" w:rsidRDefault="007E2163" w:rsidP="00B76B0D">
      <w:pPr>
        <w:numPr>
          <w:ilvl w:val="0"/>
          <w:numId w:val="13"/>
        </w:numPr>
        <w:spacing w:line="276" w:lineRule="auto"/>
      </w:pPr>
      <w:r w:rsidRPr="007E2163">
        <w:rPr>
          <w:sz w:val="24"/>
          <w:szCs w:val="24"/>
        </w:rPr>
        <w:t xml:space="preserve">Mitigation: Cooperate with local government agencies at the beginning of the planning stage to comprehend legal requirements and obtain required licenses. Uniform regulatory </w:t>
      </w:r>
      <w:r w:rsidRPr="007E2163">
        <w:rPr>
          <w:sz w:val="24"/>
          <w:szCs w:val="24"/>
        </w:rPr>
        <w:lastRenderedPageBreak/>
        <w:t>checklist should be created to make sure TD’s installations meets environmental and municipal requirements that will facilitate future expansions.</w:t>
      </w:r>
    </w:p>
    <w:p w14:paraId="7E6A9CA3" w14:textId="46AFF7F6" w:rsidR="007E2163" w:rsidRPr="00BD71F8" w:rsidRDefault="007E2163" w:rsidP="007E2163">
      <w:pPr>
        <w:pStyle w:val="Heading1"/>
        <w:rPr>
          <w:rFonts w:ascii="Calibri" w:hAnsi="Calibri" w:cs="Calibri"/>
          <w:sz w:val="36"/>
          <w:szCs w:val="36"/>
        </w:rPr>
      </w:pPr>
      <w:bookmarkStart w:id="9" w:name="_Toc182000879"/>
      <w:r w:rsidRPr="00BD71F8">
        <w:rPr>
          <w:rFonts w:ascii="Calibri" w:hAnsi="Calibri" w:cs="Calibri"/>
          <w:sz w:val="36"/>
          <w:szCs w:val="36"/>
        </w:rPr>
        <w:t xml:space="preserve">Solution 2: </w:t>
      </w:r>
      <w:r w:rsidR="00264CCA" w:rsidRPr="00BD71F8">
        <w:rPr>
          <w:rFonts w:ascii="Calibri" w:hAnsi="Calibri" w:cs="Calibri"/>
          <w:sz w:val="36"/>
          <w:szCs w:val="36"/>
        </w:rPr>
        <w:t>Space Sector Financial Products</w:t>
      </w:r>
      <w:bookmarkEnd w:id="9"/>
    </w:p>
    <w:p w14:paraId="06BF0A33" w14:textId="2321FDD0" w:rsidR="007E2163" w:rsidRPr="007E2163" w:rsidRDefault="007E2163" w:rsidP="00494FF9">
      <w:pPr>
        <w:spacing w:line="276" w:lineRule="auto"/>
        <w:rPr>
          <w:sz w:val="24"/>
          <w:szCs w:val="24"/>
        </w:rPr>
      </w:pPr>
      <w:r w:rsidRPr="007E2163">
        <w:rPr>
          <w:sz w:val="24"/>
          <w:szCs w:val="24"/>
        </w:rPr>
        <w:t>The proposed solution analy</w:t>
      </w:r>
      <w:r w:rsidR="00BD71F8" w:rsidRPr="00BD71F8">
        <w:rPr>
          <w:sz w:val="24"/>
          <w:szCs w:val="24"/>
        </w:rPr>
        <w:t>s</w:t>
      </w:r>
      <w:r w:rsidRPr="007E2163">
        <w:rPr>
          <w:sz w:val="24"/>
          <w:szCs w:val="24"/>
        </w:rPr>
        <w:t>es TD Bank's entry into the Canadian space economy through strategic relationships with the Canadian Space Agency (CSA). This strategy seeks to capitali</w:t>
      </w:r>
      <w:r w:rsidR="00BD71F8" w:rsidRPr="00BD71F8">
        <w:rPr>
          <w:sz w:val="24"/>
          <w:szCs w:val="24"/>
        </w:rPr>
        <w:t>s</w:t>
      </w:r>
      <w:r w:rsidRPr="007E2163">
        <w:rPr>
          <w:sz w:val="24"/>
          <w:szCs w:val="24"/>
        </w:rPr>
        <w:t>e on projected development in the space sector which is expected to reach $1 trillion in 2040 by investing in aerospace businesses producing speciali</w:t>
      </w:r>
      <w:r w:rsidR="00BD71F8" w:rsidRPr="00BD71F8">
        <w:rPr>
          <w:sz w:val="24"/>
          <w:szCs w:val="24"/>
        </w:rPr>
        <w:t>s</w:t>
      </w:r>
      <w:r w:rsidRPr="007E2163">
        <w:rPr>
          <w:sz w:val="24"/>
          <w:szCs w:val="24"/>
        </w:rPr>
        <w:t>ed financial products and co-creating fintech breakthroughs that leverage satellite technologies. This partnership backs TD's commitment to sustainable finance, technological innovation and ESG principles.</w:t>
      </w:r>
    </w:p>
    <w:p w14:paraId="42B6ABFA" w14:textId="77777777" w:rsidR="007E2163" w:rsidRPr="007E2163" w:rsidRDefault="007E2163" w:rsidP="00494FF9">
      <w:pPr>
        <w:spacing w:line="276" w:lineRule="auto"/>
      </w:pPr>
      <w:r w:rsidRPr="007E2163">
        <w:rPr>
          <w:sz w:val="24"/>
          <w:szCs w:val="24"/>
        </w:rPr>
        <w:t>TD Bank's present operations are focused on sustainable financing, technology innovation and community involvement. The bank has a solid financial base with assets exceeding $1.9 trillion and a stable annual earnings growth rate of 7-10%. TD Bank's current revenue streams include traditional banking products, sustainable financing choices and community-focused projects.</w:t>
      </w:r>
    </w:p>
    <w:p w14:paraId="74F0604C" w14:textId="77777777" w:rsidR="007E2163" w:rsidRPr="007E2163" w:rsidRDefault="007E2163" w:rsidP="00494FF9">
      <w:pPr>
        <w:spacing w:line="276" w:lineRule="auto"/>
        <w:rPr>
          <w:b/>
          <w:bCs/>
          <w:sz w:val="24"/>
          <w:szCs w:val="24"/>
        </w:rPr>
      </w:pPr>
      <w:r w:rsidRPr="007E2163">
        <w:rPr>
          <w:b/>
          <w:bCs/>
          <w:sz w:val="24"/>
          <w:szCs w:val="24"/>
        </w:rPr>
        <w:t>Requirements Details</w:t>
      </w:r>
    </w:p>
    <w:p w14:paraId="44AB3294" w14:textId="5359DF9B" w:rsidR="007E2163" w:rsidRPr="007E2163" w:rsidRDefault="007E2163" w:rsidP="00B76B0D">
      <w:pPr>
        <w:numPr>
          <w:ilvl w:val="0"/>
          <w:numId w:val="22"/>
        </w:numPr>
        <w:spacing w:line="276" w:lineRule="auto"/>
        <w:rPr>
          <w:sz w:val="24"/>
          <w:szCs w:val="24"/>
        </w:rPr>
      </w:pPr>
      <w:r w:rsidRPr="007E2163">
        <w:rPr>
          <w:sz w:val="24"/>
          <w:szCs w:val="24"/>
        </w:rPr>
        <w:t>Create customi</w:t>
      </w:r>
      <w:r w:rsidR="00BD71F8">
        <w:rPr>
          <w:sz w:val="24"/>
          <w:szCs w:val="24"/>
        </w:rPr>
        <w:t>s</w:t>
      </w:r>
      <w:r w:rsidRPr="007E2163">
        <w:rPr>
          <w:sz w:val="24"/>
          <w:szCs w:val="24"/>
        </w:rPr>
        <w:t>ed financial products for the aircraft sector.</w:t>
      </w:r>
    </w:p>
    <w:p w14:paraId="76C0320D" w14:textId="77777777" w:rsidR="007E2163" w:rsidRPr="007E2163" w:rsidRDefault="007E2163" w:rsidP="00B76B0D">
      <w:pPr>
        <w:numPr>
          <w:ilvl w:val="0"/>
          <w:numId w:val="22"/>
        </w:numPr>
        <w:spacing w:line="276" w:lineRule="auto"/>
        <w:rPr>
          <w:sz w:val="24"/>
          <w:szCs w:val="24"/>
        </w:rPr>
      </w:pPr>
      <w:r w:rsidRPr="007E2163">
        <w:rPr>
          <w:sz w:val="24"/>
          <w:szCs w:val="24"/>
        </w:rPr>
        <w:t>Create a venture capital fund exclusively for aerospace entrepreneurs.</w:t>
      </w:r>
    </w:p>
    <w:p w14:paraId="464D1834" w14:textId="77777777" w:rsidR="007E2163" w:rsidRPr="007E2163" w:rsidRDefault="007E2163" w:rsidP="00B76B0D">
      <w:pPr>
        <w:numPr>
          <w:ilvl w:val="0"/>
          <w:numId w:val="22"/>
        </w:numPr>
        <w:spacing w:line="276" w:lineRule="auto"/>
        <w:rPr>
          <w:sz w:val="24"/>
          <w:szCs w:val="24"/>
        </w:rPr>
      </w:pPr>
      <w:r w:rsidRPr="007E2163">
        <w:rPr>
          <w:sz w:val="24"/>
          <w:szCs w:val="24"/>
        </w:rPr>
        <w:t>Collaborate on finance solutions that use space technology.</w:t>
      </w:r>
    </w:p>
    <w:p w14:paraId="16A669EB" w14:textId="77777777" w:rsidR="007E2163" w:rsidRPr="007E2163" w:rsidRDefault="007E2163" w:rsidP="00B76B0D">
      <w:pPr>
        <w:numPr>
          <w:ilvl w:val="0"/>
          <w:numId w:val="22"/>
        </w:numPr>
        <w:spacing w:line="276" w:lineRule="auto"/>
        <w:rPr>
          <w:sz w:val="24"/>
          <w:szCs w:val="24"/>
        </w:rPr>
      </w:pPr>
      <w:r w:rsidRPr="007E2163">
        <w:rPr>
          <w:sz w:val="24"/>
          <w:szCs w:val="24"/>
        </w:rPr>
        <w:t>Improve brand reputation among environmentally sensitive customers.</w:t>
      </w:r>
    </w:p>
    <w:p w14:paraId="093A2CD9" w14:textId="77777777" w:rsidR="007E2163" w:rsidRPr="007E2163" w:rsidRDefault="007E2163" w:rsidP="00B76B0D">
      <w:pPr>
        <w:numPr>
          <w:ilvl w:val="0"/>
          <w:numId w:val="22"/>
        </w:numPr>
        <w:spacing w:line="276" w:lineRule="auto"/>
        <w:rPr>
          <w:sz w:val="24"/>
          <w:szCs w:val="24"/>
        </w:rPr>
      </w:pPr>
      <w:r w:rsidRPr="007E2163">
        <w:rPr>
          <w:sz w:val="24"/>
          <w:szCs w:val="24"/>
        </w:rPr>
        <w:t>Aligning with CSA objectives to promote technology-driven revenue development.</w:t>
      </w:r>
    </w:p>
    <w:p w14:paraId="17D73775" w14:textId="77777777" w:rsidR="007E2163" w:rsidRPr="007E2163" w:rsidRDefault="007E2163" w:rsidP="00494FF9">
      <w:pPr>
        <w:spacing w:line="276" w:lineRule="auto"/>
        <w:rPr>
          <w:b/>
          <w:bCs/>
          <w:sz w:val="24"/>
          <w:szCs w:val="24"/>
        </w:rPr>
      </w:pPr>
      <w:r w:rsidRPr="007E2163">
        <w:rPr>
          <w:b/>
          <w:bCs/>
          <w:sz w:val="24"/>
          <w:szCs w:val="24"/>
        </w:rPr>
        <w:t>Assumptions and prerequisites</w:t>
      </w:r>
    </w:p>
    <w:p w14:paraId="367746F1" w14:textId="77777777" w:rsidR="007E2163" w:rsidRPr="007E2163" w:rsidRDefault="007E2163" w:rsidP="00B76B0D">
      <w:pPr>
        <w:numPr>
          <w:ilvl w:val="0"/>
          <w:numId w:val="23"/>
        </w:numPr>
        <w:spacing w:line="276" w:lineRule="auto"/>
        <w:rPr>
          <w:sz w:val="24"/>
          <w:szCs w:val="24"/>
        </w:rPr>
      </w:pPr>
      <w:r w:rsidRPr="007E2163">
        <w:rPr>
          <w:sz w:val="24"/>
          <w:szCs w:val="24"/>
        </w:rPr>
        <w:t>TD Bank will invest 1% of its capital (roughly $1 billion) in space-related projects.</w:t>
      </w:r>
    </w:p>
    <w:p w14:paraId="18E95150" w14:textId="77777777" w:rsidR="007E2163" w:rsidRPr="007E2163" w:rsidRDefault="007E2163" w:rsidP="00B76B0D">
      <w:pPr>
        <w:numPr>
          <w:ilvl w:val="0"/>
          <w:numId w:val="23"/>
        </w:numPr>
        <w:spacing w:line="276" w:lineRule="auto"/>
        <w:rPr>
          <w:sz w:val="24"/>
          <w:szCs w:val="24"/>
        </w:rPr>
      </w:pPr>
      <w:r w:rsidRPr="007E2163">
        <w:rPr>
          <w:sz w:val="24"/>
          <w:szCs w:val="24"/>
        </w:rPr>
        <w:t>The expected annual return on investment (ROI) ranges between 10-15%.</w:t>
      </w:r>
    </w:p>
    <w:p w14:paraId="49E121A9" w14:textId="77777777" w:rsidR="007E2163" w:rsidRPr="007E2163" w:rsidRDefault="007E2163" w:rsidP="00B76B0D">
      <w:pPr>
        <w:numPr>
          <w:ilvl w:val="0"/>
          <w:numId w:val="23"/>
        </w:numPr>
        <w:spacing w:line="276" w:lineRule="auto"/>
        <w:rPr>
          <w:sz w:val="24"/>
          <w:szCs w:val="24"/>
        </w:rPr>
      </w:pPr>
      <w:r w:rsidRPr="007E2163">
        <w:rPr>
          <w:sz w:val="24"/>
          <w:szCs w:val="24"/>
        </w:rPr>
        <w:t>CSA and TD Bank can collaborate to develop fintech solutions focusing on secure transactions.</w:t>
      </w:r>
    </w:p>
    <w:p w14:paraId="5CD521B1" w14:textId="77777777" w:rsidR="007E2163" w:rsidRPr="007E2163" w:rsidRDefault="007E2163" w:rsidP="00B76B0D">
      <w:pPr>
        <w:numPr>
          <w:ilvl w:val="0"/>
          <w:numId w:val="23"/>
        </w:numPr>
        <w:spacing w:line="276" w:lineRule="auto"/>
        <w:rPr>
          <w:sz w:val="24"/>
          <w:szCs w:val="24"/>
        </w:rPr>
      </w:pPr>
      <w:r w:rsidRPr="007E2163">
        <w:rPr>
          <w:sz w:val="24"/>
          <w:szCs w:val="24"/>
        </w:rPr>
        <w:t>Community participation through CSA-supported STEM outreach activities can help TD Bank's brand reputation.</w:t>
      </w:r>
    </w:p>
    <w:p w14:paraId="777A6035" w14:textId="77777777" w:rsidR="007E2163" w:rsidRPr="007E2163" w:rsidRDefault="007E2163" w:rsidP="00B76B0D">
      <w:pPr>
        <w:numPr>
          <w:ilvl w:val="0"/>
          <w:numId w:val="23"/>
        </w:numPr>
        <w:spacing w:line="276" w:lineRule="auto"/>
        <w:rPr>
          <w:sz w:val="24"/>
          <w:szCs w:val="24"/>
        </w:rPr>
      </w:pPr>
      <w:r w:rsidRPr="007E2163">
        <w:rPr>
          <w:sz w:val="24"/>
          <w:szCs w:val="24"/>
        </w:rPr>
        <w:t>All financial and legal compliance requirements under the CSA agreement will be met.</w:t>
      </w:r>
    </w:p>
    <w:p w14:paraId="2CC9DA73" w14:textId="77777777" w:rsidR="007E2163" w:rsidRPr="007E2163" w:rsidRDefault="007E2163" w:rsidP="00494FF9">
      <w:pPr>
        <w:spacing w:line="276" w:lineRule="auto"/>
        <w:rPr>
          <w:b/>
          <w:bCs/>
          <w:sz w:val="24"/>
          <w:szCs w:val="24"/>
        </w:rPr>
      </w:pPr>
      <w:r w:rsidRPr="007E2163">
        <w:rPr>
          <w:b/>
          <w:bCs/>
          <w:sz w:val="24"/>
          <w:szCs w:val="24"/>
        </w:rPr>
        <w:t>Possible Solution – Space-Related Financial Products</w:t>
      </w:r>
    </w:p>
    <w:p w14:paraId="56CE37BB" w14:textId="77777777" w:rsidR="007E2163" w:rsidRPr="00BD71F8" w:rsidRDefault="007E2163" w:rsidP="007E2163">
      <w:pPr>
        <w:pStyle w:val="Heading2"/>
        <w:rPr>
          <w:rFonts w:ascii="Calibri" w:hAnsi="Calibri" w:cs="Calibri"/>
        </w:rPr>
      </w:pPr>
      <w:bookmarkStart w:id="10" w:name="_Toc182000880"/>
      <w:r w:rsidRPr="00BD71F8">
        <w:rPr>
          <w:rFonts w:ascii="Calibri" w:hAnsi="Calibri" w:cs="Calibri"/>
        </w:rPr>
        <w:lastRenderedPageBreak/>
        <w:t>High-Level Design</w:t>
      </w:r>
      <w:bookmarkEnd w:id="10"/>
    </w:p>
    <w:p w14:paraId="403CE57D" w14:textId="77777777" w:rsidR="007E2163" w:rsidRPr="007E2163" w:rsidRDefault="007E2163" w:rsidP="00B76B0D">
      <w:pPr>
        <w:numPr>
          <w:ilvl w:val="0"/>
          <w:numId w:val="24"/>
        </w:numPr>
        <w:spacing w:line="276" w:lineRule="auto"/>
        <w:rPr>
          <w:sz w:val="24"/>
          <w:szCs w:val="24"/>
        </w:rPr>
      </w:pPr>
      <w:r w:rsidRPr="007E2163">
        <w:rPr>
          <w:b/>
          <w:bCs/>
          <w:sz w:val="24"/>
          <w:szCs w:val="24"/>
        </w:rPr>
        <w:t xml:space="preserve">Objective: </w:t>
      </w:r>
      <w:r w:rsidRPr="007E2163">
        <w:rPr>
          <w:sz w:val="24"/>
          <w:szCs w:val="24"/>
        </w:rPr>
        <w:t xml:space="preserve">Create financial products tailored to the needs of aerospace and space businesses especially those with CSA cooperation. </w:t>
      </w:r>
    </w:p>
    <w:p w14:paraId="7B3CBD1B" w14:textId="77777777" w:rsidR="007E2163" w:rsidRPr="007E2163" w:rsidRDefault="007E2163" w:rsidP="00494FF9">
      <w:pPr>
        <w:spacing w:line="276" w:lineRule="auto"/>
        <w:rPr>
          <w:sz w:val="24"/>
          <w:szCs w:val="24"/>
        </w:rPr>
      </w:pPr>
      <w:r w:rsidRPr="007E2163">
        <w:rPr>
          <w:sz w:val="24"/>
          <w:szCs w:val="24"/>
        </w:rPr>
        <w:t>These items should contain:</w:t>
      </w:r>
    </w:p>
    <w:p w14:paraId="642FA6B3" w14:textId="77777777" w:rsidR="007E2163" w:rsidRPr="007E2163" w:rsidRDefault="007E2163" w:rsidP="00B76B0D">
      <w:pPr>
        <w:numPr>
          <w:ilvl w:val="0"/>
          <w:numId w:val="25"/>
        </w:numPr>
        <w:spacing w:line="276" w:lineRule="auto"/>
        <w:rPr>
          <w:b/>
          <w:bCs/>
          <w:sz w:val="24"/>
          <w:szCs w:val="24"/>
        </w:rPr>
      </w:pPr>
      <w:r w:rsidRPr="007E2163">
        <w:rPr>
          <w:b/>
          <w:bCs/>
          <w:sz w:val="24"/>
          <w:szCs w:val="24"/>
        </w:rPr>
        <w:t xml:space="preserve">Loans: </w:t>
      </w:r>
      <w:r w:rsidRPr="007E2163">
        <w:rPr>
          <w:sz w:val="24"/>
          <w:szCs w:val="24"/>
        </w:rPr>
        <w:t>Loans with flexible repayment options tailored to the project lifecycles common in the space sector where returns may be longer-term.</w:t>
      </w:r>
    </w:p>
    <w:p w14:paraId="131AFE77" w14:textId="77777777" w:rsidR="007E2163" w:rsidRPr="007E2163" w:rsidRDefault="007E2163" w:rsidP="00B76B0D">
      <w:pPr>
        <w:numPr>
          <w:ilvl w:val="0"/>
          <w:numId w:val="25"/>
        </w:numPr>
        <w:spacing w:line="276" w:lineRule="auto"/>
        <w:rPr>
          <w:sz w:val="24"/>
          <w:szCs w:val="24"/>
        </w:rPr>
      </w:pPr>
      <w:r w:rsidRPr="007E2163">
        <w:rPr>
          <w:b/>
          <w:bCs/>
          <w:sz w:val="24"/>
          <w:szCs w:val="24"/>
        </w:rPr>
        <w:t xml:space="preserve">Credit lines: </w:t>
      </w:r>
      <w:r w:rsidRPr="007E2163">
        <w:rPr>
          <w:sz w:val="24"/>
          <w:szCs w:val="24"/>
        </w:rPr>
        <w:t>Working capital solutions to support daily operations and growing initiatives allowing firms to borrow money as needed and repay it when cash flow allows.</w:t>
      </w:r>
    </w:p>
    <w:p w14:paraId="0DA0E21E" w14:textId="77777777" w:rsidR="007E2163" w:rsidRPr="007E2163" w:rsidRDefault="007E2163" w:rsidP="00B76B0D">
      <w:pPr>
        <w:numPr>
          <w:ilvl w:val="0"/>
          <w:numId w:val="25"/>
        </w:numPr>
        <w:spacing w:line="276" w:lineRule="auto"/>
        <w:rPr>
          <w:sz w:val="24"/>
          <w:szCs w:val="24"/>
        </w:rPr>
      </w:pPr>
      <w:r w:rsidRPr="007E2163">
        <w:rPr>
          <w:b/>
          <w:bCs/>
          <w:sz w:val="24"/>
          <w:szCs w:val="24"/>
        </w:rPr>
        <w:t xml:space="preserve">Asset-Backed Securities (ABS): </w:t>
      </w:r>
      <w:r w:rsidRPr="007E2163">
        <w:rPr>
          <w:sz w:val="24"/>
          <w:szCs w:val="24"/>
        </w:rPr>
        <w:t>A type of financing in which space sector enterprises can use their assets (such as intellectual property, contracts with CSA or satellite technology) to raise finance allowing them to access funds without reducing stock.</w:t>
      </w:r>
    </w:p>
    <w:p w14:paraId="14FA9BAC" w14:textId="35ADFB94" w:rsidR="007E2163" w:rsidRPr="007E2163" w:rsidRDefault="007E2163" w:rsidP="00494FF9">
      <w:pPr>
        <w:spacing w:line="276" w:lineRule="auto"/>
        <w:rPr>
          <w:sz w:val="24"/>
          <w:szCs w:val="24"/>
        </w:rPr>
      </w:pPr>
      <w:r w:rsidRPr="007E2163">
        <w:rPr>
          <w:sz w:val="24"/>
          <w:szCs w:val="24"/>
        </w:rPr>
        <w:t>By developing these services</w:t>
      </w:r>
      <w:r w:rsidR="00FF66E4">
        <w:rPr>
          <w:sz w:val="24"/>
          <w:szCs w:val="24"/>
        </w:rPr>
        <w:t xml:space="preserve"> </w:t>
      </w:r>
      <w:r w:rsidRPr="007E2163">
        <w:rPr>
          <w:sz w:val="24"/>
          <w:szCs w:val="24"/>
        </w:rPr>
        <w:t>TD Bank can position itself as a vital financial partner to the Canadian aerospace industry providing critical support that is tailored to the space sector's particular growth trajectory and capital requirements.</w:t>
      </w:r>
    </w:p>
    <w:p w14:paraId="6D32D1A6" w14:textId="77777777" w:rsidR="007E2163" w:rsidRPr="00BD71F8" w:rsidRDefault="007E2163" w:rsidP="007E2163">
      <w:pPr>
        <w:pStyle w:val="Heading2"/>
        <w:rPr>
          <w:rFonts w:ascii="Calibri" w:hAnsi="Calibri" w:cs="Calibri"/>
        </w:rPr>
      </w:pPr>
      <w:bookmarkStart w:id="11" w:name="_Toc182000881"/>
      <w:r w:rsidRPr="00BD71F8">
        <w:rPr>
          <w:rFonts w:ascii="Calibri" w:hAnsi="Calibri" w:cs="Calibri"/>
        </w:rPr>
        <w:t>Low-level design</w:t>
      </w:r>
      <w:bookmarkEnd w:id="11"/>
      <w:r w:rsidRPr="00BD71F8">
        <w:rPr>
          <w:rFonts w:ascii="Calibri" w:hAnsi="Calibri" w:cs="Calibri"/>
        </w:rPr>
        <w:t> </w:t>
      </w:r>
    </w:p>
    <w:p w14:paraId="51A1C809" w14:textId="77777777" w:rsidR="007E2163" w:rsidRPr="007E2163" w:rsidRDefault="007E2163" w:rsidP="00B76B0D">
      <w:pPr>
        <w:numPr>
          <w:ilvl w:val="0"/>
          <w:numId w:val="26"/>
        </w:numPr>
        <w:spacing w:line="276" w:lineRule="auto"/>
        <w:rPr>
          <w:b/>
          <w:bCs/>
          <w:sz w:val="24"/>
          <w:szCs w:val="24"/>
        </w:rPr>
      </w:pPr>
      <w:r w:rsidRPr="007E2163">
        <w:rPr>
          <w:b/>
          <w:bCs/>
          <w:sz w:val="24"/>
          <w:szCs w:val="24"/>
        </w:rPr>
        <w:t>Product offering structure and lending parameters:</w:t>
      </w:r>
    </w:p>
    <w:p w14:paraId="4683EF7D" w14:textId="00B48353" w:rsidR="007E2163" w:rsidRPr="007E2163" w:rsidRDefault="007E2163" w:rsidP="00B76B0D">
      <w:pPr>
        <w:numPr>
          <w:ilvl w:val="0"/>
          <w:numId w:val="27"/>
        </w:numPr>
        <w:spacing w:line="276" w:lineRule="auto"/>
        <w:rPr>
          <w:sz w:val="24"/>
          <w:szCs w:val="24"/>
        </w:rPr>
      </w:pPr>
      <w:r w:rsidRPr="007E2163">
        <w:rPr>
          <w:b/>
          <w:bCs/>
          <w:sz w:val="24"/>
          <w:szCs w:val="24"/>
        </w:rPr>
        <w:t>Customi</w:t>
      </w:r>
      <w:r w:rsidR="00BD71F8">
        <w:rPr>
          <w:b/>
          <w:bCs/>
          <w:sz w:val="24"/>
          <w:szCs w:val="24"/>
        </w:rPr>
        <w:t>s</w:t>
      </w:r>
      <w:r w:rsidRPr="007E2163">
        <w:rPr>
          <w:b/>
          <w:bCs/>
          <w:sz w:val="24"/>
          <w:szCs w:val="24"/>
        </w:rPr>
        <w:t>ed Loan Terms:</w:t>
      </w:r>
      <w:r w:rsidRPr="007E2163">
        <w:rPr>
          <w:sz w:val="24"/>
          <w:szCs w:val="24"/>
        </w:rPr>
        <w:t xml:space="preserve"> Loans will be structured around space sector enterprises' specific milestones and revenue predictions which frequently require lengthy development periods before generating regular revenue. Terms may include:</w:t>
      </w:r>
    </w:p>
    <w:p w14:paraId="4E876FAB" w14:textId="77777777" w:rsidR="007E2163" w:rsidRPr="007E2163" w:rsidRDefault="007E2163" w:rsidP="00B76B0D">
      <w:pPr>
        <w:numPr>
          <w:ilvl w:val="0"/>
          <w:numId w:val="27"/>
        </w:numPr>
        <w:spacing w:line="276" w:lineRule="auto"/>
        <w:rPr>
          <w:sz w:val="24"/>
          <w:szCs w:val="24"/>
        </w:rPr>
      </w:pPr>
      <w:r w:rsidRPr="007E2163">
        <w:rPr>
          <w:b/>
          <w:bCs/>
          <w:sz w:val="24"/>
          <w:szCs w:val="24"/>
        </w:rPr>
        <w:t>Deferred Payment Options:</w:t>
      </w:r>
      <w:r w:rsidRPr="007E2163">
        <w:rPr>
          <w:sz w:val="24"/>
          <w:szCs w:val="24"/>
        </w:rPr>
        <w:t xml:space="preserve"> Grant exceptions until projects reach major milestones or generate income.</w:t>
      </w:r>
    </w:p>
    <w:p w14:paraId="3CD3C41E" w14:textId="77777777" w:rsidR="007E2163" w:rsidRPr="007E2163" w:rsidRDefault="007E2163" w:rsidP="00B76B0D">
      <w:pPr>
        <w:numPr>
          <w:ilvl w:val="0"/>
          <w:numId w:val="27"/>
        </w:numPr>
        <w:spacing w:line="276" w:lineRule="auto"/>
        <w:rPr>
          <w:sz w:val="24"/>
          <w:szCs w:val="24"/>
        </w:rPr>
      </w:pPr>
      <w:r w:rsidRPr="007E2163">
        <w:rPr>
          <w:b/>
          <w:bCs/>
          <w:sz w:val="24"/>
          <w:szCs w:val="24"/>
        </w:rPr>
        <w:t>Extended Loan Terms</w:t>
      </w:r>
      <w:r w:rsidRPr="007E2163">
        <w:rPr>
          <w:sz w:val="24"/>
          <w:szCs w:val="24"/>
        </w:rPr>
        <w:t>: To account for the extended timescales needed for aerospace breakthroughs to mature.</w:t>
      </w:r>
    </w:p>
    <w:p w14:paraId="23179A4D" w14:textId="77777777" w:rsidR="007E2163" w:rsidRPr="007E2163" w:rsidRDefault="007E2163" w:rsidP="00B76B0D">
      <w:pPr>
        <w:numPr>
          <w:ilvl w:val="0"/>
          <w:numId w:val="27"/>
        </w:numPr>
        <w:spacing w:line="276" w:lineRule="auto"/>
        <w:rPr>
          <w:sz w:val="24"/>
          <w:szCs w:val="24"/>
        </w:rPr>
      </w:pPr>
      <w:r w:rsidRPr="007E2163">
        <w:rPr>
          <w:b/>
          <w:bCs/>
          <w:sz w:val="24"/>
          <w:szCs w:val="24"/>
        </w:rPr>
        <w:t>Competitive Interest Rates:</w:t>
      </w:r>
      <w:r w:rsidRPr="007E2163">
        <w:rPr>
          <w:sz w:val="24"/>
          <w:szCs w:val="24"/>
        </w:rPr>
        <w:t xml:space="preserve"> Rates are set to match the strong growth potential of space entrepreneurs with TD Bank's risk exposure.</w:t>
      </w:r>
    </w:p>
    <w:p w14:paraId="5B8748EC" w14:textId="77777777" w:rsidR="007E2163" w:rsidRPr="007E2163" w:rsidRDefault="007E2163" w:rsidP="00B76B0D">
      <w:pPr>
        <w:numPr>
          <w:ilvl w:val="0"/>
          <w:numId w:val="26"/>
        </w:numPr>
        <w:spacing w:line="276" w:lineRule="auto"/>
        <w:rPr>
          <w:b/>
          <w:bCs/>
          <w:sz w:val="24"/>
          <w:szCs w:val="24"/>
        </w:rPr>
      </w:pPr>
      <w:r w:rsidRPr="007E2163">
        <w:rPr>
          <w:b/>
          <w:bCs/>
          <w:sz w:val="24"/>
          <w:szCs w:val="24"/>
        </w:rPr>
        <w:t>Flexible Credit Lines</w:t>
      </w:r>
    </w:p>
    <w:p w14:paraId="7005747A" w14:textId="325BE7B0" w:rsidR="007E2163" w:rsidRPr="007E2163" w:rsidRDefault="007E2163" w:rsidP="00494FF9">
      <w:pPr>
        <w:spacing w:line="276" w:lineRule="auto"/>
        <w:rPr>
          <w:sz w:val="24"/>
          <w:szCs w:val="24"/>
        </w:rPr>
      </w:pPr>
      <w:r w:rsidRPr="007E2163">
        <w:rPr>
          <w:sz w:val="24"/>
          <w:szCs w:val="24"/>
        </w:rPr>
        <w:t>Space</w:t>
      </w:r>
      <w:r w:rsidR="008E4317" w:rsidRPr="00BD71F8">
        <w:rPr>
          <w:sz w:val="24"/>
          <w:szCs w:val="24"/>
        </w:rPr>
        <w:t xml:space="preserve"> </w:t>
      </w:r>
      <w:r w:rsidRPr="007E2163">
        <w:rPr>
          <w:sz w:val="24"/>
          <w:szCs w:val="24"/>
        </w:rPr>
        <w:t xml:space="preserve">enterprises particularly those in early development may require revolving credit payroll and operations expenses. </w:t>
      </w:r>
    </w:p>
    <w:p w14:paraId="1C5257FF" w14:textId="77777777" w:rsidR="007E2163" w:rsidRPr="007E2163" w:rsidRDefault="007E2163" w:rsidP="00494FF9">
      <w:pPr>
        <w:spacing w:line="276" w:lineRule="auto"/>
        <w:rPr>
          <w:sz w:val="24"/>
          <w:szCs w:val="24"/>
        </w:rPr>
      </w:pPr>
      <w:r w:rsidRPr="007E2163">
        <w:rPr>
          <w:sz w:val="24"/>
          <w:szCs w:val="24"/>
        </w:rPr>
        <w:t>The credit lines will:</w:t>
      </w:r>
    </w:p>
    <w:p w14:paraId="1E0685DD" w14:textId="77777777" w:rsidR="007E2163" w:rsidRPr="007E2163" w:rsidRDefault="007E2163" w:rsidP="00B76B0D">
      <w:pPr>
        <w:numPr>
          <w:ilvl w:val="0"/>
          <w:numId w:val="28"/>
        </w:numPr>
        <w:spacing w:line="276" w:lineRule="auto"/>
        <w:rPr>
          <w:sz w:val="24"/>
          <w:szCs w:val="24"/>
        </w:rPr>
      </w:pPr>
      <w:r w:rsidRPr="007E2163">
        <w:rPr>
          <w:sz w:val="24"/>
          <w:szCs w:val="24"/>
        </w:rPr>
        <w:lastRenderedPageBreak/>
        <w:t>Allow entrepreneurs to access funds as needed with flexible repayment periods.</w:t>
      </w:r>
    </w:p>
    <w:p w14:paraId="7B4A39E9" w14:textId="4710661B" w:rsidR="007E2163" w:rsidRPr="007E2163" w:rsidRDefault="007E2163" w:rsidP="00B76B0D">
      <w:pPr>
        <w:numPr>
          <w:ilvl w:val="0"/>
          <w:numId w:val="28"/>
        </w:numPr>
        <w:spacing w:line="276" w:lineRule="auto"/>
        <w:rPr>
          <w:sz w:val="24"/>
          <w:szCs w:val="24"/>
        </w:rPr>
      </w:pPr>
      <w:r w:rsidRPr="007E2163">
        <w:rPr>
          <w:sz w:val="24"/>
          <w:szCs w:val="24"/>
        </w:rPr>
        <w:t>Scalability is a feature that allows credit limitations to alter as businesses expand and secure contracts</w:t>
      </w:r>
      <w:r w:rsidR="00FF66E4">
        <w:rPr>
          <w:sz w:val="24"/>
          <w:szCs w:val="24"/>
        </w:rPr>
        <w:t xml:space="preserve"> </w:t>
      </w:r>
      <w:r w:rsidRPr="007E2163">
        <w:rPr>
          <w:sz w:val="24"/>
          <w:szCs w:val="24"/>
        </w:rPr>
        <w:t>particularly those sponsored by the CSA.</w:t>
      </w:r>
    </w:p>
    <w:p w14:paraId="699C9C8C" w14:textId="77777777" w:rsidR="007E2163" w:rsidRPr="007E2163" w:rsidRDefault="007E2163" w:rsidP="00B76B0D">
      <w:pPr>
        <w:numPr>
          <w:ilvl w:val="0"/>
          <w:numId w:val="26"/>
        </w:numPr>
        <w:spacing w:line="276" w:lineRule="auto"/>
        <w:rPr>
          <w:sz w:val="24"/>
          <w:szCs w:val="24"/>
        </w:rPr>
      </w:pPr>
      <w:r w:rsidRPr="007E2163">
        <w:rPr>
          <w:b/>
          <w:bCs/>
          <w:sz w:val="24"/>
          <w:szCs w:val="24"/>
        </w:rPr>
        <w:t>Asset-Backed Securities (ABS):</w:t>
      </w:r>
      <w:r w:rsidRPr="007E2163">
        <w:rPr>
          <w:sz w:val="24"/>
          <w:szCs w:val="24"/>
        </w:rPr>
        <w:t xml:space="preserve"> ABS offerings may enable enterprises with established tangible assets or contractual commitments with the CSA to leverage these for funding. </w:t>
      </w:r>
    </w:p>
    <w:p w14:paraId="382E9F45" w14:textId="77777777" w:rsidR="007E2163" w:rsidRPr="007E2163" w:rsidRDefault="007E2163" w:rsidP="00494FF9">
      <w:pPr>
        <w:spacing w:line="276" w:lineRule="auto"/>
        <w:rPr>
          <w:sz w:val="24"/>
          <w:szCs w:val="24"/>
        </w:rPr>
      </w:pPr>
      <w:r w:rsidRPr="007E2163">
        <w:rPr>
          <w:sz w:val="24"/>
          <w:szCs w:val="24"/>
        </w:rPr>
        <w:t>This may include:</w:t>
      </w:r>
    </w:p>
    <w:p w14:paraId="6FA0EFEF" w14:textId="77777777" w:rsidR="007E2163" w:rsidRPr="007E2163" w:rsidRDefault="007E2163" w:rsidP="00B76B0D">
      <w:pPr>
        <w:numPr>
          <w:ilvl w:val="0"/>
          <w:numId w:val="29"/>
        </w:numPr>
        <w:spacing w:line="276" w:lineRule="auto"/>
        <w:rPr>
          <w:sz w:val="24"/>
          <w:szCs w:val="24"/>
        </w:rPr>
      </w:pPr>
      <w:r w:rsidRPr="007E2163">
        <w:rPr>
          <w:sz w:val="24"/>
          <w:szCs w:val="24"/>
        </w:rPr>
        <w:t>Loans backed by certain high-value assets such as satellite technology or intellectual property (IP).</w:t>
      </w:r>
    </w:p>
    <w:p w14:paraId="0C2183D0" w14:textId="77777777" w:rsidR="007E2163" w:rsidRPr="007E2163" w:rsidRDefault="007E2163" w:rsidP="00B76B0D">
      <w:pPr>
        <w:numPr>
          <w:ilvl w:val="0"/>
          <w:numId w:val="29"/>
        </w:numPr>
        <w:spacing w:line="276" w:lineRule="auto"/>
        <w:rPr>
          <w:sz w:val="24"/>
          <w:szCs w:val="24"/>
        </w:rPr>
      </w:pPr>
      <w:r w:rsidRPr="007E2163">
        <w:rPr>
          <w:sz w:val="24"/>
          <w:szCs w:val="24"/>
        </w:rPr>
        <w:t>CSA-backed contracts as collateral Using CSA partnership agreements as a form of security companies can obtain finance at cheaper interest rates.</w:t>
      </w:r>
    </w:p>
    <w:p w14:paraId="7C4D8441" w14:textId="2E34ECAC" w:rsidR="007E2163" w:rsidRPr="007E2163" w:rsidRDefault="007E2163" w:rsidP="00B76B0D">
      <w:pPr>
        <w:numPr>
          <w:ilvl w:val="0"/>
          <w:numId w:val="26"/>
        </w:numPr>
        <w:spacing w:line="276" w:lineRule="auto"/>
        <w:rPr>
          <w:sz w:val="24"/>
          <w:szCs w:val="24"/>
        </w:rPr>
      </w:pPr>
      <w:r w:rsidRPr="007E2163">
        <w:rPr>
          <w:b/>
          <w:bCs/>
          <w:sz w:val="24"/>
          <w:szCs w:val="24"/>
        </w:rPr>
        <w:t>Operational Scalability:</w:t>
      </w:r>
      <w:r w:rsidRPr="007E2163">
        <w:rPr>
          <w:sz w:val="24"/>
          <w:szCs w:val="24"/>
        </w:rPr>
        <w:t xml:space="preserve"> As space sector enterprises grow TD Bank can design products that grow in lockstep with the company's trajectory allowing TD to capture a larger share of financing needs over time.</w:t>
      </w:r>
    </w:p>
    <w:p w14:paraId="44D79A70" w14:textId="77777777" w:rsidR="007E2163" w:rsidRPr="007E2163" w:rsidRDefault="007E2163" w:rsidP="007E2163"/>
    <w:p w14:paraId="1E4C9906" w14:textId="77777777" w:rsidR="007E2163" w:rsidRPr="00BD71F8" w:rsidRDefault="007E2163" w:rsidP="007E2163">
      <w:pPr>
        <w:pStyle w:val="Heading2"/>
        <w:rPr>
          <w:rFonts w:ascii="Calibri" w:hAnsi="Calibri" w:cs="Calibri"/>
        </w:rPr>
      </w:pPr>
      <w:bookmarkStart w:id="12" w:name="_Toc182000882"/>
      <w:r w:rsidRPr="00BD71F8">
        <w:rPr>
          <w:rFonts w:ascii="Calibri" w:hAnsi="Calibri" w:cs="Calibri"/>
        </w:rPr>
        <w:t>Impact Analysis</w:t>
      </w:r>
      <w:bookmarkEnd w:id="12"/>
    </w:p>
    <w:p w14:paraId="7B9748F4" w14:textId="77777777" w:rsidR="007E2163" w:rsidRPr="007E2163" w:rsidRDefault="007E2163" w:rsidP="00494FF9">
      <w:pPr>
        <w:spacing w:line="276" w:lineRule="auto"/>
        <w:rPr>
          <w:b/>
          <w:bCs/>
          <w:sz w:val="24"/>
          <w:szCs w:val="24"/>
        </w:rPr>
      </w:pPr>
      <w:r w:rsidRPr="007E2163">
        <w:rPr>
          <w:b/>
          <w:bCs/>
          <w:sz w:val="24"/>
          <w:szCs w:val="24"/>
        </w:rPr>
        <w:t>Market Differentiation and Brand Positioning:</w:t>
      </w:r>
    </w:p>
    <w:p w14:paraId="75D6A74F" w14:textId="77777777" w:rsidR="007E2163" w:rsidRPr="007E2163" w:rsidRDefault="007E2163" w:rsidP="00B76B0D">
      <w:pPr>
        <w:numPr>
          <w:ilvl w:val="0"/>
          <w:numId w:val="30"/>
        </w:numPr>
        <w:spacing w:line="276" w:lineRule="auto"/>
        <w:rPr>
          <w:sz w:val="24"/>
          <w:szCs w:val="24"/>
        </w:rPr>
      </w:pPr>
      <w:r w:rsidRPr="007E2163">
        <w:rPr>
          <w:b/>
          <w:bCs/>
          <w:sz w:val="24"/>
          <w:szCs w:val="24"/>
        </w:rPr>
        <w:t xml:space="preserve">Special Financing Leader: </w:t>
      </w:r>
      <w:r w:rsidRPr="007E2163">
        <w:rPr>
          <w:sz w:val="24"/>
          <w:szCs w:val="24"/>
        </w:rPr>
        <w:t>By producing these space-specific financial solutions TD Bank may position itself as the leading financial institution in Canada's space sector distinguishing itself from competitors.</w:t>
      </w:r>
    </w:p>
    <w:p w14:paraId="46DD667A" w14:textId="77777777" w:rsidR="007E2163" w:rsidRPr="007E2163" w:rsidRDefault="007E2163" w:rsidP="00B76B0D">
      <w:pPr>
        <w:numPr>
          <w:ilvl w:val="0"/>
          <w:numId w:val="30"/>
        </w:numPr>
        <w:spacing w:line="276" w:lineRule="auto"/>
        <w:rPr>
          <w:b/>
          <w:bCs/>
          <w:sz w:val="24"/>
          <w:szCs w:val="24"/>
        </w:rPr>
      </w:pPr>
      <w:r w:rsidRPr="007E2163">
        <w:rPr>
          <w:b/>
          <w:bCs/>
          <w:sz w:val="24"/>
          <w:szCs w:val="24"/>
        </w:rPr>
        <w:t xml:space="preserve">Long-Term Customer Commitment: </w:t>
      </w:r>
      <w:r w:rsidRPr="007E2163">
        <w:rPr>
          <w:sz w:val="24"/>
          <w:szCs w:val="24"/>
        </w:rPr>
        <w:t>Building ties with high-potential aerospace startups will help ensure long-term commitment as these companies grow potentially making TD their primary banking partner.</w:t>
      </w:r>
    </w:p>
    <w:p w14:paraId="36B13C00" w14:textId="77777777" w:rsidR="007E2163" w:rsidRPr="007E2163" w:rsidRDefault="007E2163" w:rsidP="00B76B0D">
      <w:pPr>
        <w:numPr>
          <w:ilvl w:val="0"/>
          <w:numId w:val="30"/>
        </w:numPr>
        <w:spacing w:line="276" w:lineRule="auto"/>
        <w:rPr>
          <w:b/>
          <w:bCs/>
          <w:sz w:val="24"/>
          <w:szCs w:val="24"/>
        </w:rPr>
      </w:pPr>
      <w:r w:rsidRPr="007E2163">
        <w:rPr>
          <w:b/>
          <w:bCs/>
          <w:sz w:val="24"/>
          <w:szCs w:val="24"/>
        </w:rPr>
        <w:t xml:space="preserve">New Customer Segments: </w:t>
      </w:r>
      <w:r w:rsidRPr="007E2163">
        <w:rPr>
          <w:sz w:val="24"/>
          <w:szCs w:val="24"/>
        </w:rPr>
        <w:t>This focus creates a currently untapped market sector in aerospace finance attracting technology-driven and environmentally concerned customers interested in space-related enterprises which is consistent with TD's commitment to innovation and sustainability.</w:t>
      </w:r>
    </w:p>
    <w:p w14:paraId="48579222" w14:textId="77777777" w:rsidR="007E2163" w:rsidRPr="007E2163" w:rsidRDefault="007E2163" w:rsidP="00B76B0D">
      <w:pPr>
        <w:numPr>
          <w:ilvl w:val="0"/>
          <w:numId w:val="30"/>
        </w:numPr>
        <w:spacing w:line="276" w:lineRule="auto"/>
        <w:rPr>
          <w:sz w:val="24"/>
          <w:szCs w:val="24"/>
        </w:rPr>
      </w:pPr>
      <w:r w:rsidRPr="007E2163">
        <w:rPr>
          <w:b/>
          <w:bCs/>
          <w:sz w:val="24"/>
          <w:szCs w:val="24"/>
        </w:rPr>
        <w:t xml:space="preserve">Increased Market Share: </w:t>
      </w:r>
      <w:r w:rsidRPr="007E2163">
        <w:rPr>
          <w:sz w:val="24"/>
          <w:szCs w:val="24"/>
        </w:rPr>
        <w:t>By establishing TD Bank as a helpful and forward-thinking financier in the space sector this strategy may result in a considerable increase in TD's market share among tech-driven entrepreneurs.</w:t>
      </w:r>
    </w:p>
    <w:p w14:paraId="7C27B46F" w14:textId="3AA329ED" w:rsidR="007E2163" w:rsidRPr="007E2163" w:rsidRDefault="007E2163" w:rsidP="00B76B0D">
      <w:pPr>
        <w:numPr>
          <w:ilvl w:val="0"/>
          <w:numId w:val="30"/>
        </w:numPr>
        <w:spacing w:line="276" w:lineRule="auto"/>
        <w:rPr>
          <w:sz w:val="24"/>
          <w:szCs w:val="24"/>
        </w:rPr>
      </w:pPr>
      <w:r w:rsidRPr="007E2163">
        <w:rPr>
          <w:b/>
          <w:bCs/>
          <w:sz w:val="24"/>
          <w:szCs w:val="24"/>
        </w:rPr>
        <w:lastRenderedPageBreak/>
        <w:t xml:space="preserve">Revenue Potential: </w:t>
      </w:r>
      <w:r w:rsidRPr="007E2163">
        <w:rPr>
          <w:sz w:val="24"/>
          <w:szCs w:val="24"/>
        </w:rPr>
        <w:t>As the space economy evolves the projected returns on these financial products might significantly increase TD's total profitability. The bank can capitali</w:t>
      </w:r>
      <w:r w:rsidR="00BD71F8">
        <w:rPr>
          <w:sz w:val="24"/>
          <w:szCs w:val="24"/>
        </w:rPr>
        <w:t>s</w:t>
      </w:r>
      <w:r w:rsidRPr="007E2163">
        <w:rPr>
          <w:sz w:val="24"/>
          <w:szCs w:val="24"/>
        </w:rPr>
        <w:t>e on the space sector's predicted annual growth rate of 6-8% per year resulting in a consistent increase in returns from this specialist industry.</w:t>
      </w:r>
    </w:p>
    <w:p w14:paraId="1A420B79" w14:textId="08572F2D" w:rsidR="007E2163" w:rsidRPr="00BD71F8" w:rsidRDefault="007E2163" w:rsidP="007E2163">
      <w:pPr>
        <w:pStyle w:val="Heading2"/>
        <w:rPr>
          <w:rFonts w:ascii="Calibri" w:hAnsi="Calibri" w:cs="Calibri"/>
        </w:rPr>
      </w:pPr>
      <w:bookmarkStart w:id="13" w:name="_Toc182000883"/>
      <w:r w:rsidRPr="00BD71F8">
        <w:rPr>
          <w:rFonts w:ascii="Calibri" w:hAnsi="Calibri" w:cs="Calibri"/>
        </w:rPr>
        <w:t xml:space="preserve">Out of </w:t>
      </w:r>
      <w:r w:rsidR="008E4317" w:rsidRPr="00BD71F8">
        <w:rPr>
          <w:rFonts w:ascii="Calibri" w:hAnsi="Calibri" w:cs="Calibri"/>
        </w:rPr>
        <w:t>S</w:t>
      </w:r>
      <w:r w:rsidRPr="00BD71F8">
        <w:rPr>
          <w:rFonts w:ascii="Calibri" w:hAnsi="Calibri" w:cs="Calibri"/>
        </w:rPr>
        <w:t>cope</w:t>
      </w:r>
      <w:bookmarkEnd w:id="13"/>
    </w:p>
    <w:p w14:paraId="72BEF240" w14:textId="77777777" w:rsidR="007E2163" w:rsidRPr="007E2163" w:rsidRDefault="007E2163" w:rsidP="00B76B0D">
      <w:pPr>
        <w:numPr>
          <w:ilvl w:val="0"/>
          <w:numId w:val="31"/>
        </w:numPr>
        <w:spacing w:line="276" w:lineRule="auto"/>
        <w:rPr>
          <w:sz w:val="24"/>
          <w:szCs w:val="24"/>
        </w:rPr>
      </w:pPr>
      <w:r w:rsidRPr="007E2163">
        <w:rPr>
          <w:b/>
          <w:bCs/>
          <w:sz w:val="24"/>
          <w:szCs w:val="24"/>
        </w:rPr>
        <w:t>Non-CSA-Endorsed Ventures:</w:t>
      </w:r>
      <w:r w:rsidRPr="007E2163">
        <w:rPr>
          <w:sz w:val="24"/>
          <w:szCs w:val="24"/>
        </w:rPr>
        <w:t xml:space="preserve"> The financial solutions offered by this effort will specifically target enterprises with CSA partnerships or contracts to reduce risk and increase trust.</w:t>
      </w:r>
    </w:p>
    <w:p w14:paraId="22608487" w14:textId="77777777" w:rsidR="007E2163" w:rsidRPr="007E2163" w:rsidRDefault="007E2163" w:rsidP="00B76B0D">
      <w:pPr>
        <w:numPr>
          <w:ilvl w:val="0"/>
          <w:numId w:val="31"/>
        </w:numPr>
        <w:spacing w:line="276" w:lineRule="auto"/>
        <w:rPr>
          <w:sz w:val="24"/>
          <w:szCs w:val="24"/>
        </w:rPr>
      </w:pPr>
      <w:r w:rsidRPr="007E2163">
        <w:rPr>
          <w:sz w:val="24"/>
          <w:szCs w:val="24"/>
        </w:rPr>
        <w:t xml:space="preserve">High-risk ventures. </w:t>
      </w:r>
    </w:p>
    <w:p w14:paraId="6BC8EB82" w14:textId="77777777" w:rsidR="007E2163" w:rsidRPr="007E2163" w:rsidRDefault="007E2163" w:rsidP="00B76B0D">
      <w:pPr>
        <w:numPr>
          <w:ilvl w:val="0"/>
          <w:numId w:val="31"/>
        </w:numPr>
        <w:spacing w:line="276" w:lineRule="auto"/>
        <w:rPr>
          <w:sz w:val="24"/>
          <w:szCs w:val="24"/>
        </w:rPr>
      </w:pPr>
      <w:r w:rsidRPr="007E2163">
        <w:rPr>
          <w:b/>
          <w:bCs/>
          <w:sz w:val="24"/>
          <w:szCs w:val="24"/>
        </w:rPr>
        <w:t>Outside of the CSA Collaboration:</w:t>
      </w:r>
      <w:r w:rsidRPr="007E2163">
        <w:rPr>
          <w:sz w:val="24"/>
          <w:szCs w:val="24"/>
        </w:rPr>
        <w:t xml:space="preserve"> Space projects or startups that are not CSA-backed are excluded from this financing model to reduce risk exposure.</w:t>
      </w:r>
    </w:p>
    <w:p w14:paraId="11073B55" w14:textId="1084D8F4" w:rsidR="007E2163" w:rsidRPr="007E2163" w:rsidRDefault="007E2163" w:rsidP="00B76B0D">
      <w:pPr>
        <w:numPr>
          <w:ilvl w:val="0"/>
          <w:numId w:val="31"/>
        </w:numPr>
        <w:spacing w:line="276" w:lineRule="auto"/>
        <w:rPr>
          <w:sz w:val="24"/>
          <w:szCs w:val="24"/>
        </w:rPr>
      </w:pPr>
      <w:r w:rsidRPr="007E2163">
        <w:rPr>
          <w:b/>
          <w:bCs/>
          <w:sz w:val="24"/>
          <w:szCs w:val="24"/>
        </w:rPr>
        <w:t>Direct Investment in Space Technological Development:</w:t>
      </w:r>
      <w:r w:rsidRPr="007E2163">
        <w:rPr>
          <w:sz w:val="24"/>
          <w:szCs w:val="24"/>
        </w:rPr>
        <w:t xml:space="preserve"> TD will not participate directly in technological R&amp;D or development but will instead finance and support those who collaborate with CSA.</w:t>
      </w:r>
    </w:p>
    <w:p w14:paraId="5D7BE845" w14:textId="436EE7DA" w:rsidR="007E2163" w:rsidRPr="00BD71F8" w:rsidRDefault="007E2163" w:rsidP="007E2163">
      <w:pPr>
        <w:pStyle w:val="Heading2"/>
        <w:rPr>
          <w:rFonts w:ascii="Calibri" w:hAnsi="Calibri" w:cs="Calibri"/>
        </w:rPr>
      </w:pPr>
      <w:bookmarkStart w:id="14" w:name="_Toc182000884"/>
      <w:r w:rsidRPr="00BD71F8">
        <w:rPr>
          <w:rFonts w:ascii="Calibri" w:hAnsi="Calibri" w:cs="Calibri"/>
        </w:rPr>
        <w:t xml:space="preserve">Risk </w:t>
      </w:r>
      <w:r w:rsidR="00BD71F8" w:rsidRPr="00BD71F8">
        <w:rPr>
          <w:rFonts w:ascii="Calibri" w:hAnsi="Calibri" w:cs="Calibri"/>
        </w:rPr>
        <w:t xml:space="preserve">and </w:t>
      </w:r>
      <w:r w:rsidR="008E4317" w:rsidRPr="00BD71F8">
        <w:rPr>
          <w:rFonts w:ascii="Calibri" w:hAnsi="Calibri" w:cs="Calibri"/>
        </w:rPr>
        <w:t>M</w:t>
      </w:r>
      <w:r w:rsidRPr="00BD71F8">
        <w:rPr>
          <w:rFonts w:ascii="Calibri" w:hAnsi="Calibri" w:cs="Calibri"/>
        </w:rPr>
        <w:t>itigation</w:t>
      </w:r>
      <w:bookmarkEnd w:id="14"/>
    </w:p>
    <w:p w14:paraId="758A8856" w14:textId="77777777" w:rsidR="007E2163" w:rsidRPr="007E2163" w:rsidRDefault="007E2163" w:rsidP="00494FF9">
      <w:pPr>
        <w:spacing w:line="276" w:lineRule="auto"/>
        <w:rPr>
          <w:sz w:val="24"/>
          <w:szCs w:val="24"/>
        </w:rPr>
      </w:pPr>
      <w:r w:rsidRPr="007E2163">
        <w:rPr>
          <w:b/>
          <w:bCs/>
          <w:sz w:val="24"/>
          <w:szCs w:val="24"/>
        </w:rPr>
        <w:t>Default Risk from Startups:</w:t>
      </w:r>
      <w:r w:rsidRPr="007E2163">
        <w:rPr>
          <w:sz w:val="24"/>
          <w:szCs w:val="24"/>
        </w:rPr>
        <w:t xml:space="preserve"> The space industry is inherently high-risk with long lead periods and considerable capital requirements before profitability. This raises the risk of loan default particularly among early-stage enterprises that are still developing technologies or scaling operations.</w:t>
      </w:r>
    </w:p>
    <w:p w14:paraId="5491F881" w14:textId="396B9B41" w:rsidR="007E2163" w:rsidRPr="007E2163" w:rsidRDefault="007E2163" w:rsidP="00494FF9">
      <w:pPr>
        <w:spacing w:line="276" w:lineRule="auto"/>
        <w:rPr>
          <w:b/>
          <w:bCs/>
          <w:sz w:val="24"/>
          <w:szCs w:val="24"/>
        </w:rPr>
      </w:pPr>
      <w:r w:rsidRPr="007E2163">
        <w:rPr>
          <w:b/>
          <w:bCs/>
          <w:sz w:val="24"/>
          <w:szCs w:val="24"/>
        </w:rPr>
        <w:t>Mitigation Strategies:</w:t>
      </w:r>
    </w:p>
    <w:p w14:paraId="7EF761E6" w14:textId="77777777" w:rsidR="007E2163" w:rsidRPr="00BD71F8" w:rsidRDefault="007E2163" w:rsidP="00B76B0D">
      <w:pPr>
        <w:pStyle w:val="ListParagraph"/>
        <w:numPr>
          <w:ilvl w:val="0"/>
          <w:numId w:val="26"/>
        </w:numPr>
        <w:spacing w:line="276" w:lineRule="auto"/>
        <w:rPr>
          <w:sz w:val="24"/>
          <w:szCs w:val="24"/>
        </w:rPr>
      </w:pPr>
      <w:r w:rsidRPr="00BD71F8">
        <w:rPr>
          <w:b/>
          <w:bCs/>
          <w:sz w:val="24"/>
          <w:szCs w:val="24"/>
        </w:rPr>
        <w:t>Collaborative Testing with CSA:</w:t>
      </w:r>
      <w:r w:rsidRPr="00BD71F8">
        <w:rPr>
          <w:sz w:val="24"/>
          <w:szCs w:val="24"/>
        </w:rPr>
        <w:t xml:space="preserve"> To reduce risk TD Bank would collaborate closely with the CSA to discover and evaluate businesses with strong potential for stability and growth. Using CSA's insights and help TD can better examine the sustainability of each company's business strategy and technological improvements.</w:t>
      </w:r>
    </w:p>
    <w:p w14:paraId="7373AA1D" w14:textId="77777777" w:rsidR="007E2163" w:rsidRPr="00BD71F8" w:rsidRDefault="007E2163" w:rsidP="00B76B0D">
      <w:pPr>
        <w:pStyle w:val="ListParagraph"/>
        <w:numPr>
          <w:ilvl w:val="0"/>
          <w:numId w:val="26"/>
        </w:numPr>
        <w:spacing w:line="276" w:lineRule="auto"/>
        <w:rPr>
          <w:sz w:val="24"/>
          <w:szCs w:val="24"/>
        </w:rPr>
      </w:pPr>
      <w:r w:rsidRPr="00BD71F8">
        <w:rPr>
          <w:b/>
          <w:bCs/>
          <w:sz w:val="24"/>
          <w:szCs w:val="24"/>
        </w:rPr>
        <w:t>Collateral Requirements:</w:t>
      </w:r>
      <w:r w:rsidRPr="00BD71F8">
        <w:rPr>
          <w:sz w:val="24"/>
          <w:szCs w:val="24"/>
        </w:rPr>
        <w:t xml:space="preserve"> To reduce liability in the event of default on loans involving asset-backed securities. TD Bank may request collateral in the form of intellectual property, equipment or contracts. The bank may also structure loan agreements to include exclusive rights to specific technology or intellectual property as collateral so preserving its investment.</w:t>
      </w:r>
    </w:p>
    <w:p w14:paraId="37521A97" w14:textId="77777777" w:rsidR="007E2163" w:rsidRPr="00BD71F8" w:rsidRDefault="007E2163" w:rsidP="00B76B0D">
      <w:pPr>
        <w:pStyle w:val="ListParagraph"/>
        <w:numPr>
          <w:ilvl w:val="0"/>
          <w:numId w:val="26"/>
        </w:numPr>
        <w:spacing w:line="276" w:lineRule="auto"/>
        <w:rPr>
          <w:sz w:val="24"/>
          <w:szCs w:val="24"/>
        </w:rPr>
      </w:pPr>
      <w:r w:rsidRPr="00BD71F8">
        <w:rPr>
          <w:b/>
          <w:bCs/>
          <w:sz w:val="24"/>
          <w:szCs w:val="24"/>
        </w:rPr>
        <w:t>Gradual Capital Allocation:</w:t>
      </w:r>
      <w:r w:rsidRPr="00BD71F8">
        <w:rPr>
          <w:sz w:val="24"/>
          <w:szCs w:val="24"/>
        </w:rPr>
        <w:t xml:space="preserve"> Start with cautious credit limits and gradually increase financing as firms meet verifiable milestones.</w:t>
      </w:r>
    </w:p>
    <w:p w14:paraId="3B0F69CE" w14:textId="44A65FEC" w:rsidR="007E2163" w:rsidRPr="00BD71F8" w:rsidRDefault="007E2163" w:rsidP="00B76B0D">
      <w:pPr>
        <w:pStyle w:val="ListParagraph"/>
        <w:numPr>
          <w:ilvl w:val="0"/>
          <w:numId w:val="26"/>
        </w:numPr>
        <w:spacing w:line="276" w:lineRule="auto"/>
        <w:rPr>
          <w:sz w:val="24"/>
          <w:szCs w:val="24"/>
        </w:rPr>
      </w:pPr>
      <w:r w:rsidRPr="00BD71F8">
        <w:rPr>
          <w:b/>
          <w:bCs/>
          <w:sz w:val="24"/>
          <w:szCs w:val="24"/>
        </w:rPr>
        <w:t>Adjustable Interest Rates Based on Performance:</w:t>
      </w:r>
      <w:r w:rsidRPr="00BD71F8">
        <w:rPr>
          <w:sz w:val="24"/>
          <w:szCs w:val="24"/>
        </w:rPr>
        <w:t xml:space="preserve"> By modifying interest rates to reflect each startup's development and risk profile TD Bank can better manage its profitability. Companies with a higher risk profile may face somewhat higher rates unless they demonstrate steady growth or acquire new capital.</w:t>
      </w:r>
    </w:p>
    <w:p w14:paraId="0DB97836" w14:textId="77777777" w:rsidR="007E2163" w:rsidRPr="00BD71F8" w:rsidRDefault="007E2163" w:rsidP="007E2163">
      <w:pPr>
        <w:pStyle w:val="Heading1"/>
        <w:rPr>
          <w:rFonts w:ascii="Calibri" w:hAnsi="Calibri" w:cs="Calibri"/>
          <w:sz w:val="36"/>
          <w:szCs w:val="36"/>
        </w:rPr>
      </w:pPr>
      <w:bookmarkStart w:id="15" w:name="_Toc182000885"/>
      <w:r w:rsidRPr="00BD71F8">
        <w:rPr>
          <w:rFonts w:ascii="Calibri" w:hAnsi="Calibri" w:cs="Calibri"/>
          <w:sz w:val="36"/>
          <w:szCs w:val="36"/>
        </w:rPr>
        <w:lastRenderedPageBreak/>
        <w:t>Do-Nothing Solution: Assessing the Risks and Opportunity Costs of Inaction</w:t>
      </w:r>
      <w:bookmarkEnd w:id="15"/>
    </w:p>
    <w:p w14:paraId="1F457275" w14:textId="77777777" w:rsidR="007E2163" w:rsidRPr="00BD71F8" w:rsidRDefault="007E2163" w:rsidP="007E2163">
      <w:pPr>
        <w:pStyle w:val="Heading2"/>
        <w:rPr>
          <w:rFonts w:ascii="Calibri" w:hAnsi="Calibri" w:cs="Calibri"/>
        </w:rPr>
      </w:pPr>
      <w:bookmarkStart w:id="16" w:name="_Toc182000886"/>
      <w:r w:rsidRPr="00BD71F8">
        <w:rPr>
          <w:rFonts w:ascii="Calibri" w:hAnsi="Calibri" w:cs="Calibri"/>
        </w:rPr>
        <w:t>High-Level Design</w:t>
      </w:r>
      <w:bookmarkEnd w:id="16"/>
    </w:p>
    <w:p w14:paraId="4644A6E1" w14:textId="77777777" w:rsidR="007E2163" w:rsidRPr="007E2163" w:rsidRDefault="007E2163" w:rsidP="00494FF9">
      <w:pPr>
        <w:spacing w:line="276" w:lineRule="auto"/>
        <w:rPr>
          <w:sz w:val="24"/>
          <w:szCs w:val="24"/>
        </w:rPr>
      </w:pPr>
      <w:r w:rsidRPr="007E2163">
        <w:rPr>
          <w:sz w:val="24"/>
          <w:szCs w:val="24"/>
        </w:rPr>
        <w:t>TD Bank chooses not to acquire WiTricity or incorporate wireless EV charging technology into its operations in this scenario. TD can maintain its current operations without investing in new EV technology which focuses on resource conservation. The initial financial costs and technology integration difficulties related to wireless charging infrastructure will be avoided by TD by choosing this course of action.</w:t>
      </w:r>
    </w:p>
    <w:p w14:paraId="52C2DE4D" w14:textId="77777777" w:rsidR="007E2163" w:rsidRPr="007E2163" w:rsidRDefault="007E2163" w:rsidP="00B76B0D">
      <w:pPr>
        <w:numPr>
          <w:ilvl w:val="0"/>
          <w:numId w:val="14"/>
        </w:numPr>
        <w:spacing w:line="276" w:lineRule="auto"/>
        <w:rPr>
          <w:sz w:val="24"/>
          <w:szCs w:val="24"/>
        </w:rPr>
      </w:pPr>
      <w:r w:rsidRPr="007E2163">
        <w:rPr>
          <w:sz w:val="24"/>
          <w:szCs w:val="24"/>
        </w:rPr>
        <w:t>Objective: The primary objective is to preserve financial stability by avoiding the expenses as well as the risks associated with purchasing and using WiTricity’s technology. TD may keep up its current ESG programs without hastily entering the EV market.</w:t>
      </w:r>
    </w:p>
    <w:p w14:paraId="18D724A4" w14:textId="77777777" w:rsidR="007E2163" w:rsidRPr="007E2163" w:rsidRDefault="007E2163" w:rsidP="00B76B0D">
      <w:pPr>
        <w:numPr>
          <w:ilvl w:val="0"/>
          <w:numId w:val="14"/>
        </w:numPr>
        <w:spacing w:line="276" w:lineRule="auto"/>
        <w:rPr>
          <w:sz w:val="24"/>
          <w:szCs w:val="24"/>
        </w:rPr>
      </w:pPr>
      <w:r w:rsidRPr="007E2163">
        <w:rPr>
          <w:sz w:val="24"/>
          <w:szCs w:val="24"/>
        </w:rPr>
        <w:t>Strategic Positioning: TD will concentrate on its core banking and financial services by prioritising present operations as well as customer services over potentially expensive new market expansion. TD avoids the risks associated with implementing a new technology whose demand is still developing and whose technical requirements are always changing by choosing not to invest.</w:t>
      </w:r>
    </w:p>
    <w:p w14:paraId="10A553F0" w14:textId="77777777" w:rsidR="007E2163" w:rsidRPr="007E2163" w:rsidRDefault="007E2163" w:rsidP="00B76B0D">
      <w:pPr>
        <w:numPr>
          <w:ilvl w:val="0"/>
          <w:numId w:val="14"/>
        </w:numPr>
        <w:spacing w:line="276" w:lineRule="auto"/>
        <w:rPr>
          <w:sz w:val="24"/>
          <w:szCs w:val="24"/>
        </w:rPr>
      </w:pPr>
      <w:r w:rsidRPr="007E2163">
        <w:rPr>
          <w:sz w:val="24"/>
          <w:szCs w:val="24"/>
        </w:rPr>
        <w:t>Market impact: TD avoids the danger of poor performance or technical setbacks even though it misses the chance to be a pioneer in EV charging. TD will continue to concentrate on well-established financial growth paths and enhancements to its current digital products.</w:t>
      </w:r>
    </w:p>
    <w:p w14:paraId="3191E60C" w14:textId="77777777" w:rsidR="007E2163" w:rsidRPr="00BD71F8" w:rsidRDefault="007E2163" w:rsidP="007E2163">
      <w:pPr>
        <w:pStyle w:val="Heading2"/>
        <w:rPr>
          <w:rFonts w:ascii="Calibri" w:hAnsi="Calibri" w:cs="Calibri"/>
        </w:rPr>
      </w:pPr>
      <w:bookmarkStart w:id="17" w:name="_Toc182000887"/>
      <w:r w:rsidRPr="00BD71F8">
        <w:rPr>
          <w:rFonts w:ascii="Calibri" w:hAnsi="Calibri" w:cs="Calibri"/>
        </w:rPr>
        <w:t>Low-Level Design</w:t>
      </w:r>
      <w:bookmarkEnd w:id="17"/>
    </w:p>
    <w:p w14:paraId="45331541" w14:textId="77777777" w:rsidR="007E2163" w:rsidRPr="007E2163" w:rsidRDefault="007E2163" w:rsidP="00494FF9">
      <w:pPr>
        <w:spacing w:line="276" w:lineRule="auto"/>
        <w:rPr>
          <w:sz w:val="24"/>
          <w:szCs w:val="24"/>
        </w:rPr>
      </w:pPr>
      <w:r w:rsidRPr="007E2163">
        <w:t xml:space="preserve">This approach has a low-level architecture with no direct resource allocation to WiTricity or any </w:t>
      </w:r>
      <w:r w:rsidRPr="007E2163">
        <w:rPr>
          <w:sz w:val="24"/>
          <w:szCs w:val="24"/>
        </w:rPr>
        <w:t>investments linked to wireless charging because it involves inaction on EV charging technologies. TD will instead continue to concentrate on its current operating priorities. This approach includes backup plans to re-enter the wireless charging market if new conditions demand it.</w:t>
      </w:r>
    </w:p>
    <w:p w14:paraId="53C32F9C" w14:textId="77777777" w:rsidR="007E2163" w:rsidRPr="007E2163" w:rsidRDefault="007E2163" w:rsidP="00B76B0D">
      <w:pPr>
        <w:numPr>
          <w:ilvl w:val="0"/>
          <w:numId w:val="15"/>
        </w:numPr>
        <w:spacing w:line="276" w:lineRule="auto"/>
        <w:rPr>
          <w:sz w:val="24"/>
          <w:szCs w:val="24"/>
        </w:rPr>
      </w:pPr>
      <w:r w:rsidRPr="007E2163">
        <w:rPr>
          <w:sz w:val="24"/>
          <w:szCs w:val="24"/>
        </w:rPr>
        <w:t>Existing ESG Efforts: TD Bank will keep up its current ESG efforts which include issuing green bonds and financing renewable energy projects. It also focuses on implementing energy-efficient procedures throughout all its locations. These continuous initiatives support TD's dedication to sustainability without requiring financial investment in the EV charging industry.</w:t>
      </w:r>
    </w:p>
    <w:p w14:paraId="02065B14" w14:textId="77777777" w:rsidR="007E2163" w:rsidRPr="007E2163" w:rsidRDefault="007E2163" w:rsidP="00B76B0D">
      <w:pPr>
        <w:numPr>
          <w:ilvl w:val="0"/>
          <w:numId w:val="15"/>
        </w:numPr>
        <w:spacing w:line="276" w:lineRule="auto"/>
        <w:rPr>
          <w:sz w:val="24"/>
          <w:szCs w:val="24"/>
        </w:rPr>
      </w:pPr>
      <w:r w:rsidRPr="007E2163">
        <w:rPr>
          <w:sz w:val="24"/>
          <w:szCs w:val="24"/>
        </w:rPr>
        <w:t xml:space="preserve">Customer Engagement: TD might bolster its messaging regarding its ongoing ESG initiatives to highlight its dedication to environmental sustainability without getting </w:t>
      </w:r>
      <w:r w:rsidRPr="007E2163">
        <w:rPr>
          <w:sz w:val="24"/>
          <w:szCs w:val="24"/>
        </w:rPr>
        <w:lastRenderedPageBreak/>
        <w:t>involved in the EV charging market. Environmentally friendly loan products or education on sustainable banking practices are examples of initiatives.</w:t>
      </w:r>
    </w:p>
    <w:p w14:paraId="48E0B4DA" w14:textId="77777777" w:rsidR="007E2163" w:rsidRPr="007E2163" w:rsidRDefault="007E2163" w:rsidP="00B76B0D">
      <w:pPr>
        <w:numPr>
          <w:ilvl w:val="0"/>
          <w:numId w:val="15"/>
        </w:numPr>
        <w:spacing w:line="276" w:lineRule="auto"/>
        <w:rPr>
          <w:sz w:val="24"/>
          <w:szCs w:val="24"/>
        </w:rPr>
      </w:pPr>
      <w:r w:rsidRPr="007E2163">
        <w:rPr>
          <w:sz w:val="24"/>
          <w:szCs w:val="24"/>
        </w:rPr>
        <w:t>Future Market Monitoring: The bank will keep an eye on competitor activity and consumer demand for wireless EV charging to preserve the possibility to enter in EV market later. This “Watch and Wait” approach ensures that TD can stay informed as well as modify its strategy without initial capital outlay.</w:t>
      </w:r>
    </w:p>
    <w:p w14:paraId="6F86FDF0" w14:textId="77777777" w:rsidR="007E2163" w:rsidRPr="00BD71F8" w:rsidRDefault="007E2163" w:rsidP="007E2163">
      <w:pPr>
        <w:pStyle w:val="Heading2"/>
        <w:rPr>
          <w:rFonts w:ascii="Calibri" w:hAnsi="Calibri" w:cs="Calibri"/>
        </w:rPr>
      </w:pPr>
      <w:bookmarkStart w:id="18" w:name="_Toc182000888"/>
      <w:r w:rsidRPr="00BD71F8">
        <w:rPr>
          <w:rFonts w:ascii="Calibri" w:hAnsi="Calibri" w:cs="Calibri"/>
        </w:rPr>
        <w:t>Impact Analysis</w:t>
      </w:r>
      <w:bookmarkEnd w:id="18"/>
    </w:p>
    <w:p w14:paraId="28C8E2DD" w14:textId="77777777" w:rsidR="007E2163" w:rsidRPr="007E2163" w:rsidRDefault="007E2163" w:rsidP="00494FF9">
      <w:pPr>
        <w:spacing w:line="276" w:lineRule="auto"/>
        <w:rPr>
          <w:sz w:val="24"/>
          <w:szCs w:val="24"/>
        </w:rPr>
      </w:pPr>
      <w:r w:rsidRPr="007E2163">
        <w:rPr>
          <w:sz w:val="24"/>
          <w:szCs w:val="24"/>
        </w:rPr>
        <w:t>The “Do-Nothing” solution has significant ramifications for TD’s competitive differentiation, long-term revenue growth and sustainability positioning.</w:t>
      </w:r>
    </w:p>
    <w:p w14:paraId="3DB409BC" w14:textId="77777777" w:rsidR="007E2163" w:rsidRPr="007E2163" w:rsidRDefault="007E2163" w:rsidP="00B76B0D">
      <w:pPr>
        <w:numPr>
          <w:ilvl w:val="0"/>
          <w:numId w:val="16"/>
        </w:numPr>
        <w:spacing w:line="276" w:lineRule="auto"/>
        <w:rPr>
          <w:sz w:val="24"/>
          <w:szCs w:val="24"/>
        </w:rPr>
      </w:pPr>
      <w:r w:rsidRPr="007E2163">
        <w:rPr>
          <w:sz w:val="24"/>
          <w:szCs w:val="24"/>
        </w:rPr>
        <w:t>Short-Term Financial Strategy: TD avoids the high capital costs associated with purchasing as well as deploying WiTricity's technology by not investing in EV charging. This strategy saves money that may be used for core banking or other high-return projects.</w:t>
      </w:r>
    </w:p>
    <w:p w14:paraId="3EE635C8" w14:textId="77777777" w:rsidR="007E2163" w:rsidRPr="007E2163" w:rsidRDefault="007E2163" w:rsidP="00B76B0D">
      <w:pPr>
        <w:numPr>
          <w:ilvl w:val="0"/>
          <w:numId w:val="16"/>
        </w:numPr>
        <w:spacing w:line="276" w:lineRule="auto"/>
        <w:rPr>
          <w:sz w:val="24"/>
          <w:szCs w:val="24"/>
        </w:rPr>
      </w:pPr>
      <w:r w:rsidRPr="007E2163">
        <w:rPr>
          <w:sz w:val="24"/>
          <w:szCs w:val="24"/>
        </w:rPr>
        <w:t>Lost Revenue Opportunity: Long-term EV charging service revenues that are expected to reach $500–700 million a year by 2030 will be lost. TD will be unable to take advantage of the anticipated demand from EV owners without EV services. It won’t be able to profit from any partnerships with automakers or municipal infrastructure initiatives.</w:t>
      </w:r>
    </w:p>
    <w:p w14:paraId="20AA143F" w14:textId="77777777" w:rsidR="007E2163" w:rsidRPr="007E2163" w:rsidRDefault="007E2163" w:rsidP="00B76B0D">
      <w:pPr>
        <w:numPr>
          <w:ilvl w:val="0"/>
          <w:numId w:val="16"/>
        </w:numPr>
        <w:spacing w:line="276" w:lineRule="auto"/>
        <w:rPr>
          <w:sz w:val="24"/>
          <w:szCs w:val="24"/>
        </w:rPr>
      </w:pPr>
      <w:r w:rsidRPr="007E2163">
        <w:rPr>
          <w:sz w:val="24"/>
          <w:szCs w:val="24"/>
        </w:rPr>
        <w:t>Competitive Disadvantage: The EV charging sector might be taken over by rival banks that would win over eco-aware businesses and customers. These rivals might position themselves as industry leaders in sustainability innovation that would diminish TD's reputation as a progressive or forward-thinking environmental technology company. TD may also lose eco-aware clients to banks with strong green technology solutions as consumers choose eco-friendly services more and more.</w:t>
      </w:r>
    </w:p>
    <w:p w14:paraId="37D77F84" w14:textId="77777777" w:rsidR="007E2163" w:rsidRPr="007E2163" w:rsidRDefault="007E2163" w:rsidP="00B76B0D">
      <w:pPr>
        <w:numPr>
          <w:ilvl w:val="0"/>
          <w:numId w:val="16"/>
        </w:numPr>
        <w:spacing w:line="276" w:lineRule="auto"/>
        <w:rPr>
          <w:sz w:val="24"/>
          <w:szCs w:val="24"/>
        </w:rPr>
      </w:pPr>
      <w:r w:rsidRPr="007E2163">
        <w:rPr>
          <w:sz w:val="24"/>
          <w:szCs w:val="24"/>
        </w:rPr>
        <w:t xml:space="preserve">Sustainability and Brand Perception: A "Do-Nothing" approach might have an impact on brand perception even when TD continues to uphold its present ESG commitments. Customers and stakeholders might start to doubt TD's dedication to sustainability if rivals start providing tech driven as well as </w:t>
      </w:r>
      <w:proofErr w:type="gramStart"/>
      <w:r w:rsidRPr="007E2163">
        <w:rPr>
          <w:sz w:val="24"/>
          <w:szCs w:val="24"/>
        </w:rPr>
        <w:t>environmental</w:t>
      </w:r>
      <w:proofErr w:type="gramEnd"/>
      <w:r w:rsidRPr="007E2163">
        <w:rPr>
          <w:sz w:val="24"/>
          <w:szCs w:val="24"/>
        </w:rPr>
        <w:t xml:space="preserve"> friendly alternatives like EV wireless charging. The younger environmentally conscious consumers and investors may be impacted that prioritise green investments.</w:t>
      </w:r>
    </w:p>
    <w:p w14:paraId="6143C17E" w14:textId="07C62AFF" w:rsidR="007E2163" w:rsidRPr="00BD71F8" w:rsidRDefault="007E2163" w:rsidP="007E2163">
      <w:pPr>
        <w:pStyle w:val="Heading2"/>
        <w:rPr>
          <w:rFonts w:ascii="Calibri" w:hAnsi="Calibri" w:cs="Calibri"/>
        </w:rPr>
      </w:pPr>
      <w:bookmarkStart w:id="19" w:name="_Toc182000889"/>
      <w:r w:rsidRPr="00BD71F8">
        <w:rPr>
          <w:rFonts w:ascii="Calibri" w:hAnsi="Calibri" w:cs="Calibri"/>
        </w:rPr>
        <w:t xml:space="preserve">Out of </w:t>
      </w:r>
      <w:r w:rsidR="00BD71F8" w:rsidRPr="00BD71F8">
        <w:rPr>
          <w:rFonts w:ascii="Calibri" w:hAnsi="Calibri" w:cs="Calibri"/>
        </w:rPr>
        <w:t>S</w:t>
      </w:r>
      <w:r w:rsidRPr="00BD71F8">
        <w:rPr>
          <w:rFonts w:ascii="Calibri" w:hAnsi="Calibri" w:cs="Calibri"/>
        </w:rPr>
        <w:t>cope</w:t>
      </w:r>
      <w:bookmarkEnd w:id="19"/>
    </w:p>
    <w:p w14:paraId="7F62F71B" w14:textId="77777777" w:rsidR="007E2163" w:rsidRPr="007E2163" w:rsidRDefault="007E2163" w:rsidP="00494FF9">
      <w:pPr>
        <w:spacing w:line="276" w:lineRule="auto"/>
        <w:rPr>
          <w:sz w:val="24"/>
          <w:szCs w:val="24"/>
        </w:rPr>
      </w:pPr>
      <w:r w:rsidRPr="007E2163">
        <w:rPr>
          <w:sz w:val="24"/>
          <w:szCs w:val="24"/>
        </w:rPr>
        <w:t>This solution is an intentional choice to avoid investing in EV charging infrastructure. Several criteria are considered out of scope for this:</w:t>
      </w:r>
    </w:p>
    <w:p w14:paraId="12AEBC13" w14:textId="77777777" w:rsidR="007E2163" w:rsidRPr="007E2163" w:rsidRDefault="007E2163" w:rsidP="00B76B0D">
      <w:pPr>
        <w:numPr>
          <w:ilvl w:val="0"/>
          <w:numId w:val="17"/>
        </w:numPr>
        <w:spacing w:line="276" w:lineRule="auto"/>
        <w:rPr>
          <w:sz w:val="24"/>
          <w:szCs w:val="24"/>
        </w:rPr>
      </w:pPr>
      <w:r w:rsidRPr="007E2163">
        <w:rPr>
          <w:sz w:val="24"/>
          <w:szCs w:val="24"/>
        </w:rPr>
        <w:t>EV Infrastructure Development: WiTricity’s EV charging systems will not be installed. TD parking lots will not offer any services linked to electric vehicles.</w:t>
      </w:r>
    </w:p>
    <w:p w14:paraId="5471E2B8" w14:textId="77777777" w:rsidR="007E2163" w:rsidRPr="007E2163" w:rsidRDefault="007E2163" w:rsidP="00B76B0D">
      <w:pPr>
        <w:numPr>
          <w:ilvl w:val="0"/>
          <w:numId w:val="17"/>
        </w:numPr>
        <w:spacing w:line="276" w:lineRule="auto"/>
        <w:rPr>
          <w:sz w:val="24"/>
          <w:szCs w:val="24"/>
        </w:rPr>
      </w:pPr>
      <w:r w:rsidRPr="007E2163">
        <w:rPr>
          <w:sz w:val="24"/>
          <w:szCs w:val="24"/>
        </w:rPr>
        <w:lastRenderedPageBreak/>
        <w:t>Mobile Application Development for EV Services: TD will not include EV charging location services, payment interfaces or incentive programs associated with EV use to its digital platforms</w:t>
      </w:r>
    </w:p>
    <w:p w14:paraId="30138110" w14:textId="77777777" w:rsidR="007E2163" w:rsidRPr="007E2163" w:rsidRDefault="007E2163" w:rsidP="00B76B0D">
      <w:pPr>
        <w:numPr>
          <w:ilvl w:val="0"/>
          <w:numId w:val="17"/>
        </w:numPr>
        <w:spacing w:line="276" w:lineRule="auto"/>
        <w:rPr>
          <w:sz w:val="24"/>
          <w:szCs w:val="24"/>
        </w:rPr>
      </w:pPr>
      <w:r w:rsidRPr="007E2163">
        <w:rPr>
          <w:sz w:val="24"/>
          <w:szCs w:val="24"/>
        </w:rPr>
        <w:t>Customer Education on EV or Charging Technology: TD will not launch customer education campaigns about EV or charging technology unless it provides EV-related services. The bank can keep advertising its current financial services and ESG programs.</w:t>
      </w:r>
    </w:p>
    <w:p w14:paraId="774B22F1" w14:textId="77777777" w:rsidR="007E2163" w:rsidRPr="007E2163" w:rsidRDefault="007E2163" w:rsidP="00B76B0D">
      <w:pPr>
        <w:numPr>
          <w:ilvl w:val="0"/>
          <w:numId w:val="17"/>
        </w:numPr>
        <w:spacing w:line="276" w:lineRule="auto"/>
        <w:rPr>
          <w:sz w:val="24"/>
          <w:szCs w:val="24"/>
        </w:rPr>
      </w:pPr>
      <w:r w:rsidRPr="007E2163">
        <w:rPr>
          <w:sz w:val="24"/>
          <w:szCs w:val="24"/>
        </w:rPr>
        <w:t>EV related Partnership: This solution will not involve any partnerships or collaborations with information technology companies or EV manufacturers.</w:t>
      </w:r>
    </w:p>
    <w:p w14:paraId="1888797B" w14:textId="77777777" w:rsidR="007E2163" w:rsidRPr="00BD71F8" w:rsidRDefault="007E2163" w:rsidP="007E2163">
      <w:pPr>
        <w:pStyle w:val="Heading2"/>
        <w:rPr>
          <w:rFonts w:ascii="Calibri" w:hAnsi="Calibri" w:cs="Calibri"/>
        </w:rPr>
      </w:pPr>
      <w:bookmarkStart w:id="20" w:name="_Toc182000890"/>
      <w:r w:rsidRPr="00BD71F8">
        <w:rPr>
          <w:rFonts w:ascii="Calibri" w:hAnsi="Calibri" w:cs="Calibri"/>
        </w:rPr>
        <w:t>Risk and Mitigation</w:t>
      </w:r>
      <w:bookmarkEnd w:id="20"/>
    </w:p>
    <w:p w14:paraId="46A915F6" w14:textId="77777777" w:rsidR="007E2163" w:rsidRPr="007E2163" w:rsidRDefault="007E2163" w:rsidP="00494FF9">
      <w:pPr>
        <w:spacing w:line="276" w:lineRule="auto"/>
        <w:rPr>
          <w:sz w:val="24"/>
          <w:szCs w:val="24"/>
        </w:rPr>
      </w:pPr>
      <w:r w:rsidRPr="007E2163">
        <w:rPr>
          <w:sz w:val="24"/>
          <w:szCs w:val="24"/>
        </w:rPr>
        <w:t>Risk 1: Missed Revenue and Market Opportunity</w:t>
      </w:r>
    </w:p>
    <w:p w14:paraId="5FBC53A2" w14:textId="77777777" w:rsidR="007E2163" w:rsidRPr="007E2163" w:rsidRDefault="007E2163" w:rsidP="00B76B0D">
      <w:pPr>
        <w:numPr>
          <w:ilvl w:val="0"/>
          <w:numId w:val="18"/>
        </w:numPr>
        <w:spacing w:line="276" w:lineRule="auto"/>
        <w:rPr>
          <w:sz w:val="24"/>
          <w:szCs w:val="24"/>
        </w:rPr>
      </w:pPr>
      <w:r w:rsidRPr="007E2163">
        <w:rPr>
          <w:sz w:val="24"/>
          <w:szCs w:val="24"/>
        </w:rPr>
        <w:t>Analysis: TD loses out on possible income from EV-related services by not investing in the EV charging industry. The need for easily available wireless charging solutions is anticipated to grow as EV ownership rises. TD will lose the opportunity to cater to this new market.</w:t>
      </w:r>
    </w:p>
    <w:p w14:paraId="56E162D0" w14:textId="77777777" w:rsidR="007E2163" w:rsidRPr="007E2163" w:rsidRDefault="007E2163" w:rsidP="00B76B0D">
      <w:pPr>
        <w:numPr>
          <w:ilvl w:val="0"/>
          <w:numId w:val="18"/>
        </w:numPr>
        <w:spacing w:line="276" w:lineRule="auto"/>
        <w:rPr>
          <w:sz w:val="24"/>
          <w:szCs w:val="24"/>
        </w:rPr>
      </w:pPr>
      <w:r w:rsidRPr="007E2163">
        <w:rPr>
          <w:sz w:val="24"/>
          <w:szCs w:val="24"/>
        </w:rPr>
        <w:t>Mitigation: TD can make up for this lost revenue opportunity by enhancing its current products. It can focus on growing its digital banking services as well as developing new traditional financial products. It can also focus on bettering the client experience. This will lessen dependency on new and unpredictable technologies while keeping TD competitive in its core market.</w:t>
      </w:r>
    </w:p>
    <w:p w14:paraId="1F98B429" w14:textId="77777777" w:rsidR="007E2163" w:rsidRPr="007E2163" w:rsidRDefault="007E2163" w:rsidP="00494FF9">
      <w:pPr>
        <w:spacing w:line="276" w:lineRule="auto"/>
        <w:rPr>
          <w:sz w:val="24"/>
          <w:szCs w:val="24"/>
        </w:rPr>
      </w:pPr>
      <w:r w:rsidRPr="007E2163">
        <w:rPr>
          <w:sz w:val="24"/>
          <w:szCs w:val="24"/>
        </w:rPr>
        <w:t>Risk 2: Reputational Impact on Sustainability Image</w:t>
      </w:r>
    </w:p>
    <w:p w14:paraId="40444044" w14:textId="77777777" w:rsidR="007E2163" w:rsidRPr="007E2163" w:rsidRDefault="007E2163" w:rsidP="00B76B0D">
      <w:pPr>
        <w:numPr>
          <w:ilvl w:val="0"/>
          <w:numId w:val="19"/>
        </w:numPr>
        <w:spacing w:line="276" w:lineRule="auto"/>
        <w:rPr>
          <w:sz w:val="24"/>
          <w:szCs w:val="24"/>
        </w:rPr>
      </w:pPr>
      <w:r w:rsidRPr="007E2163">
        <w:rPr>
          <w:sz w:val="24"/>
          <w:szCs w:val="24"/>
        </w:rPr>
        <w:t>Analysis: TD may come under fire from investors and consumers who are concerned about environmental issues since other banks may implement green technologies like EV charging. The perception of TD's dedication to sustainability may be impacted by the lack of innovative environmental projects.</w:t>
      </w:r>
    </w:p>
    <w:p w14:paraId="15625376" w14:textId="77777777" w:rsidR="007E2163" w:rsidRPr="007E2163" w:rsidRDefault="007E2163" w:rsidP="00B76B0D">
      <w:pPr>
        <w:numPr>
          <w:ilvl w:val="0"/>
          <w:numId w:val="19"/>
        </w:numPr>
        <w:spacing w:line="276" w:lineRule="auto"/>
        <w:rPr>
          <w:sz w:val="24"/>
          <w:szCs w:val="24"/>
        </w:rPr>
      </w:pPr>
      <w:r w:rsidRPr="007E2163">
        <w:rPr>
          <w:sz w:val="24"/>
          <w:szCs w:val="24"/>
        </w:rPr>
        <w:t>Mitigation: TD can increase the scope of its present ESG initiatives such as issuing green bonds or funding community-based sustainable projects to improve its reputation. Maintaining a favourable sustainability image while staying out of the EV market will be made easier for TD with regular communication about these measures. TD might potentially publish studies on its environmental impact to bolster its ESG credentials.</w:t>
      </w:r>
    </w:p>
    <w:p w14:paraId="782898C6" w14:textId="77777777" w:rsidR="007E2163" w:rsidRPr="007E2163" w:rsidRDefault="007E2163" w:rsidP="00494FF9">
      <w:pPr>
        <w:spacing w:line="276" w:lineRule="auto"/>
        <w:rPr>
          <w:sz w:val="24"/>
          <w:szCs w:val="24"/>
        </w:rPr>
      </w:pPr>
      <w:r w:rsidRPr="007E2163">
        <w:rPr>
          <w:sz w:val="24"/>
          <w:szCs w:val="24"/>
        </w:rPr>
        <w:t>Risk 3: Competitive Disadvantage and Customer Attrition</w:t>
      </w:r>
    </w:p>
    <w:p w14:paraId="4879EC00" w14:textId="77777777" w:rsidR="007E2163" w:rsidRPr="007E2163" w:rsidRDefault="007E2163" w:rsidP="00B76B0D">
      <w:pPr>
        <w:numPr>
          <w:ilvl w:val="0"/>
          <w:numId w:val="20"/>
        </w:numPr>
        <w:spacing w:line="276" w:lineRule="auto"/>
        <w:rPr>
          <w:sz w:val="24"/>
          <w:szCs w:val="24"/>
        </w:rPr>
      </w:pPr>
      <w:r w:rsidRPr="007E2163">
        <w:rPr>
          <w:sz w:val="24"/>
          <w:szCs w:val="24"/>
        </w:rPr>
        <w:t xml:space="preserve">Analysis: TD may lose clients who care about the environment to banks that provide EV and wireless charging services when competitors develop similar services. This issue is </w:t>
      </w:r>
      <w:r w:rsidRPr="007E2163">
        <w:rPr>
          <w:sz w:val="24"/>
          <w:szCs w:val="24"/>
        </w:rPr>
        <w:lastRenderedPageBreak/>
        <w:t>especially pertinent if consumers start to consider sustainability as a major consideration when choosing a bank.</w:t>
      </w:r>
    </w:p>
    <w:p w14:paraId="085F9073" w14:textId="77777777" w:rsidR="007E2163" w:rsidRPr="007E2163" w:rsidRDefault="007E2163" w:rsidP="00B76B0D">
      <w:pPr>
        <w:numPr>
          <w:ilvl w:val="0"/>
          <w:numId w:val="20"/>
        </w:numPr>
        <w:spacing w:line="276" w:lineRule="auto"/>
        <w:rPr>
          <w:sz w:val="24"/>
          <w:szCs w:val="24"/>
        </w:rPr>
      </w:pPr>
      <w:r w:rsidRPr="007E2163">
        <w:rPr>
          <w:sz w:val="24"/>
          <w:szCs w:val="24"/>
        </w:rPr>
        <w:t>Mitigation: TD should keep an eye on competition actions and customer attitude to handle possible customer loss. TD can evaluate entering the EV industry later if market conditions show a change. TD can also look at additional green banking efforts such as energy-efficient branch designs or sustainable loan programs to keep environmentally aware clients.</w:t>
      </w:r>
    </w:p>
    <w:p w14:paraId="55353416" w14:textId="77777777" w:rsidR="007E2163" w:rsidRPr="007E2163" w:rsidRDefault="007E2163" w:rsidP="00494FF9">
      <w:pPr>
        <w:spacing w:line="276" w:lineRule="auto"/>
        <w:rPr>
          <w:sz w:val="24"/>
          <w:szCs w:val="24"/>
        </w:rPr>
      </w:pPr>
      <w:r w:rsidRPr="007E2163">
        <w:rPr>
          <w:sz w:val="24"/>
          <w:szCs w:val="24"/>
        </w:rPr>
        <w:t>Risk 4: Future Market Entry Barriers</w:t>
      </w:r>
    </w:p>
    <w:p w14:paraId="751C258D" w14:textId="77777777" w:rsidR="007E2163" w:rsidRPr="007E2163" w:rsidRDefault="007E2163" w:rsidP="00B76B0D">
      <w:pPr>
        <w:numPr>
          <w:ilvl w:val="0"/>
          <w:numId w:val="21"/>
        </w:numPr>
        <w:spacing w:line="276" w:lineRule="auto"/>
        <w:rPr>
          <w:sz w:val="24"/>
          <w:szCs w:val="24"/>
        </w:rPr>
      </w:pPr>
      <w:r w:rsidRPr="007E2163">
        <w:rPr>
          <w:sz w:val="24"/>
          <w:szCs w:val="24"/>
        </w:rPr>
        <w:t>Analysis: Delaying its entry into the EV charging market may make TD's subsequent participation more challenging and expensive. Late entry could result in increased prices as well as fiercer rivalry if the EV charging sector concentrates around a small number of early entrants.</w:t>
      </w:r>
    </w:p>
    <w:p w14:paraId="53D99233" w14:textId="77777777" w:rsidR="007E2163" w:rsidRPr="007E2163" w:rsidRDefault="007E2163" w:rsidP="00B76B0D">
      <w:pPr>
        <w:numPr>
          <w:ilvl w:val="0"/>
          <w:numId w:val="21"/>
        </w:numPr>
        <w:spacing w:line="276" w:lineRule="auto"/>
        <w:rPr>
          <w:sz w:val="24"/>
          <w:szCs w:val="24"/>
        </w:rPr>
      </w:pPr>
      <w:r w:rsidRPr="007E2163">
        <w:rPr>
          <w:sz w:val="24"/>
          <w:szCs w:val="24"/>
        </w:rPr>
        <w:t>Mitigation: TD can set up a contingency plan for market entrance that would enable quick entry in case of future condition turns out to be favourable. TD may stay ready without having to make large upfront investments with this strategy.</w:t>
      </w:r>
    </w:p>
    <w:p w14:paraId="4228D9FA" w14:textId="77777777" w:rsidR="007E2163" w:rsidRPr="00BD71F8" w:rsidRDefault="007E2163" w:rsidP="00494FF9">
      <w:pPr>
        <w:spacing w:line="276" w:lineRule="auto"/>
        <w:rPr>
          <w:sz w:val="24"/>
          <w:szCs w:val="24"/>
        </w:rPr>
      </w:pPr>
    </w:p>
    <w:p w14:paraId="24FC0342" w14:textId="45704406" w:rsidR="00377B07" w:rsidRPr="00BD71F8" w:rsidRDefault="00377B07" w:rsidP="00377B07">
      <w:pPr>
        <w:pStyle w:val="Heading1"/>
        <w:rPr>
          <w:rFonts w:ascii="Calibri" w:hAnsi="Calibri" w:cs="Calibri"/>
        </w:rPr>
      </w:pPr>
      <w:bookmarkStart w:id="21" w:name="_Toc182000891"/>
      <w:r w:rsidRPr="00BD71F8">
        <w:rPr>
          <w:rFonts w:ascii="Calibri" w:hAnsi="Calibri" w:cs="Calibri"/>
        </w:rPr>
        <w:t>Evaluation Criteria</w:t>
      </w:r>
      <w:bookmarkEnd w:id="21"/>
    </w:p>
    <w:tbl>
      <w:tblPr>
        <w:tblStyle w:val="TableGrid"/>
        <w:tblW w:w="9493" w:type="dxa"/>
        <w:tblLook w:val="04A0" w:firstRow="1" w:lastRow="0" w:firstColumn="1" w:lastColumn="0" w:noHBand="0" w:noVBand="1"/>
      </w:tblPr>
      <w:tblGrid>
        <w:gridCol w:w="1781"/>
        <w:gridCol w:w="3615"/>
        <w:gridCol w:w="4097"/>
      </w:tblGrid>
      <w:tr w:rsidR="007845A0" w:rsidRPr="00BD71F8" w14:paraId="60154478" w14:textId="77777777" w:rsidTr="00B26D6D">
        <w:tc>
          <w:tcPr>
            <w:tcW w:w="1315" w:type="dxa"/>
            <w:shd w:val="clear" w:color="auto" w:fill="D1D1D1" w:themeFill="background2" w:themeFillShade="E6"/>
          </w:tcPr>
          <w:p w14:paraId="6374404D" w14:textId="77777777" w:rsidR="007845A0" w:rsidRPr="00BD71F8" w:rsidRDefault="007845A0" w:rsidP="00B26D6D">
            <w:pPr>
              <w:rPr>
                <w:rFonts w:cs="Calibri"/>
                <w:b/>
                <w:bCs/>
                <w:sz w:val="24"/>
                <w:szCs w:val="24"/>
              </w:rPr>
            </w:pPr>
            <w:r w:rsidRPr="00BD71F8">
              <w:rPr>
                <w:rFonts w:cs="Calibri"/>
                <w:b/>
                <w:bCs/>
                <w:sz w:val="24"/>
                <w:szCs w:val="24"/>
              </w:rPr>
              <w:t>Aspect</w:t>
            </w:r>
          </w:p>
        </w:tc>
        <w:tc>
          <w:tcPr>
            <w:tcW w:w="3833" w:type="dxa"/>
            <w:shd w:val="clear" w:color="auto" w:fill="D1D1D1" w:themeFill="background2" w:themeFillShade="E6"/>
          </w:tcPr>
          <w:p w14:paraId="7DD3AB27" w14:textId="77777777" w:rsidR="007845A0" w:rsidRPr="00BD71F8" w:rsidRDefault="007845A0" w:rsidP="00B26D6D">
            <w:pPr>
              <w:rPr>
                <w:rFonts w:cs="Calibri"/>
                <w:b/>
                <w:bCs/>
                <w:sz w:val="24"/>
                <w:szCs w:val="24"/>
              </w:rPr>
            </w:pPr>
            <w:r w:rsidRPr="00BD71F8">
              <w:rPr>
                <w:rFonts w:cs="Calibri"/>
                <w:b/>
                <w:bCs/>
                <w:sz w:val="24"/>
                <w:szCs w:val="24"/>
              </w:rPr>
              <w:t>Solution 1: Wireless EV charging</w:t>
            </w:r>
          </w:p>
        </w:tc>
        <w:tc>
          <w:tcPr>
            <w:tcW w:w="4345" w:type="dxa"/>
            <w:shd w:val="clear" w:color="auto" w:fill="D1D1D1" w:themeFill="background2" w:themeFillShade="E6"/>
          </w:tcPr>
          <w:p w14:paraId="3C59E790" w14:textId="77777777" w:rsidR="007845A0" w:rsidRPr="00BD71F8" w:rsidRDefault="007845A0" w:rsidP="00B26D6D">
            <w:pPr>
              <w:rPr>
                <w:rFonts w:cs="Calibri"/>
                <w:b/>
                <w:bCs/>
                <w:sz w:val="24"/>
                <w:szCs w:val="24"/>
              </w:rPr>
            </w:pPr>
            <w:r w:rsidRPr="00BD71F8">
              <w:rPr>
                <w:rFonts w:cs="Calibri"/>
                <w:b/>
                <w:bCs/>
                <w:sz w:val="24"/>
                <w:szCs w:val="24"/>
              </w:rPr>
              <w:t>Solution 2: Space Economy Financing</w:t>
            </w:r>
          </w:p>
        </w:tc>
      </w:tr>
      <w:tr w:rsidR="007845A0" w:rsidRPr="00BD71F8" w14:paraId="639896B1" w14:textId="77777777" w:rsidTr="00B26D6D">
        <w:tc>
          <w:tcPr>
            <w:tcW w:w="1315" w:type="dxa"/>
          </w:tcPr>
          <w:p w14:paraId="2AF0A289" w14:textId="77777777" w:rsidR="007845A0" w:rsidRPr="00BD71F8" w:rsidRDefault="007845A0" w:rsidP="00B26D6D">
            <w:pPr>
              <w:rPr>
                <w:rFonts w:cs="Calibri"/>
                <w:sz w:val="24"/>
                <w:szCs w:val="24"/>
              </w:rPr>
            </w:pPr>
            <w:r w:rsidRPr="00BD71F8">
              <w:rPr>
                <w:rFonts w:cs="Calibri"/>
                <w:sz w:val="24"/>
                <w:szCs w:val="24"/>
              </w:rPr>
              <w:t>Primary Focus</w:t>
            </w:r>
          </w:p>
        </w:tc>
        <w:tc>
          <w:tcPr>
            <w:tcW w:w="3833" w:type="dxa"/>
          </w:tcPr>
          <w:p w14:paraId="6C982DAB" w14:textId="77777777" w:rsidR="007845A0" w:rsidRPr="00BD71F8" w:rsidRDefault="007845A0" w:rsidP="00B26D6D">
            <w:pPr>
              <w:rPr>
                <w:rFonts w:cs="Calibri"/>
                <w:sz w:val="24"/>
                <w:szCs w:val="24"/>
              </w:rPr>
            </w:pPr>
            <w:r w:rsidRPr="00BD71F8">
              <w:rPr>
                <w:rFonts w:cs="Calibri"/>
                <w:sz w:val="24"/>
                <w:szCs w:val="24"/>
              </w:rPr>
              <w:t>The primary focus is sustainable banking through offering wireless EV charging services for electric vehicle (EV) owners.</w:t>
            </w:r>
          </w:p>
        </w:tc>
        <w:tc>
          <w:tcPr>
            <w:tcW w:w="4345" w:type="dxa"/>
          </w:tcPr>
          <w:p w14:paraId="251CF966" w14:textId="77777777" w:rsidR="007845A0" w:rsidRPr="00BD71F8" w:rsidRDefault="007845A0" w:rsidP="00B26D6D">
            <w:pPr>
              <w:rPr>
                <w:rFonts w:cs="Calibri"/>
                <w:sz w:val="24"/>
                <w:szCs w:val="24"/>
              </w:rPr>
            </w:pPr>
            <w:r w:rsidRPr="00BD71F8">
              <w:rPr>
                <w:rFonts w:cs="Calibri"/>
                <w:sz w:val="24"/>
                <w:szCs w:val="24"/>
              </w:rPr>
              <w:t>The focus is on enabling TD to enter the space economy by providing financial services for space-tech ventures and satellite companies.</w:t>
            </w:r>
          </w:p>
        </w:tc>
      </w:tr>
      <w:tr w:rsidR="007845A0" w:rsidRPr="00BD71F8" w14:paraId="614FF5E8" w14:textId="77777777" w:rsidTr="00B26D6D">
        <w:tc>
          <w:tcPr>
            <w:tcW w:w="1315" w:type="dxa"/>
          </w:tcPr>
          <w:p w14:paraId="6FD9FFEE" w14:textId="77777777" w:rsidR="007845A0" w:rsidRPr="00BD71F8" w:rsidRDefault="007845A0" w:rsidP="00B26D6D">
            <w:pPr>
              <w:rPr>
                <w:rFonts w:cs="Calibri"/>
                <w:sz w:val="24"/>
                <w:szCs w:val="24"/>
              </w:rPr>
            </w:pPr>
            <w:r w:rsidRPr="00BD71F8">
              <w:rPr>
                <w:rFonts w:cs="Calibri"/>
                <w:sz w:val="24"/>
                <w:szCs w:val="24"/>
              </w:rPr>
              <w:t>Technology Involved</w:t>
            </w:r>
          </w:p>
        </w:tc>
        <w:tc>
          <w:tcPr>
            <w:tcW w:w="38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45A0" w:rsidRPr="00BD71F8" w14:paraId="37CD17E7" w14:textId="77777777" w:rsidTr="00B26D6D">
              <w:trPr>
                <w:tblCellSpacing w:w="15" w:type="dxa"/>
              </w:trPr>
              <w:tc>
                <w:tcPr>
                  <w:tcW w:w="0" w:type="auto"/>
                  <w:vAlign w:val="center"/>
                  <w:hideMark/>
                </w:tcPr>
                <w:p w14:paraId="193C426D" w14:textId="77777777" w:rsidR="007845A0" w:rsidRPr="00BD71F8" w:rsidRDefault="007845A0" w:rsidP="00B26D6D">
                  <w:pPr>
                    <w:spacing w:after="0" w:line="240" w:lineRule="auto"/>
                    <w:rPr>
                      <w:rFonts w:eastAsia="Times New Roman" w:cs="Calibri"/>
                      <w:kern w:val="0"/>
                      <w:sz w:val="24"/>
                      <w:szCs w:val="24"/>
                      <w:lang w:eastAsia="en-IN"/>
                      <w14:ligatures w14:val="none"/>
                    </w:rPr>
                  </w:pPr>
                </w:p>
              </w:tc>
            </w:tr>
          </w:tbl>
          <w:p w14:paraId="521ADD9F" w14:textId="77777777" w:rsidR="007845A0" w:rsidRPr="00BD71F8" w:rsidRDefault="007845A0" w:rsidP="00B26D6D">
            <w:pPr>
              <w:rPr>
                <w:rFonts w:eastAsia="Times New Roman" w:cs="Calibri"/>
                <w:kern w:val="0"/>
                <w:sz w:val="24"/>
                <w:szCs w:val="24"/>
                <w:lang w:eastAsia="en-IN"/>
                <w14:ligatures w14:val="none"/>
              </w:rPr>
            </w:pPr>
            <w:r w:rsidRPr="00BD71F8">
              <w:rPr>
                <w:rFonts w:eastAsia="Times New Roman" w:cs="Calibri"/>
                <w:kern w:val="0"/>
                <w:sz w:val="24"/>
                <w:szCs w:val="24"/>
                <w:lang w:eastAsia="en-IN"/>
                <w14:ligatures w14:val="none"/>
              </w:rPr>
              <w:t>- Wireless EV charging technology for electric vehicles (EVs).</w:t>
            </w:r>
          </w:p>
          <w:p w14:paraId="6BB4FB65" w14:textId="77777777" w:rsidR="007845A0" w:rsidRPr="00BD71F8" w:rsidRDefault="007845A0" w:rsidP="00B26D6D">
            <w:pPr>
              <w:rPr>
                <w:rFonts w:eastAsia="Times New Roman" w:cs="Calibri"/>
                <w:kern w:val="0"/>
                <w:sz w:val="24"/>
                <w:szCs w:val="24"/>
                <w:lang w:eastAsia="en-IN"/>
                <w14:ligatures w14:val="none"/>
              </w:rPr>
            </w:pPr>
            <w:r w:rsidRPr="00BD71F8">
              <w:rPr>
                <w:rFonts w:eastAsia="Times New Roman" w:cs="Calibri"/>
                <w:kern w:val="0"/>
                <w:sz w:val="24"/>
                <w:szCs w:val="24"/>
                <w:lang w:eastAsia="en-IN"/>
                <w14:ligatures w14:val="none"/>
              </w:rPr>
              <w:t>- Mobile apps for locating charging stations.</w:t>
            </w:r>
          </w:p>
          <w:p w14:paraId="191D3B58" w14:textId="77777777" w:rsidR="007845A0" w:rsidRPr="00BD71F8" w:rsidRDefault="007845A0" w:rsidP="00B26D6D">
            <w:pPr>
              <w:rPr>
                <w:rFonts w:eastAsia="Times New Roman" w:cs="Calibri"/>
                <w:vanish/>
                <w:kern w:val="0"/>
                <w:sz w:val="24"/>
                <w:szCs w:val="24"/>
                <w:lang w:eastAsia="en-IN"/>
                <w14:ligatures w14:val="none"/>
              </w:rPr>
            </w:pPr>
            <w:r w:rsidRPr="00BD71F8">
              <w:rPr>
                <w:rFonts w:eastAsia="Times New Roman" w:cs="Calibri"/>
                <w:kern w:val="0"/>
                <w:sz w:val="24"/>
                <w:szCs w:val="24"/>
                <w:lang w:eastAsia="en-IN"/>
                <w14:ligatures w14:val="none"/>
              </w:rPr>
              <w:t>- Integration with TD banking for seamless payments and incentives.</w:t>
            </w:r>
          </w:p>
          <w:p w14:paraId="117A56F1" w14:textId="77777777" w:rsidR="007845A0" w:rsidRPr="00BD71F8" w:rsidRDefault="007845A0" w:rsidP="00B26D6D">
            <w:pPr>
              <w:rPr>
                <w:rFonts w:cs="Calibri"/>
                <w:sz w:val="24"/>
                <w:szCs w:val="24"/>
              </w:rPr>
            </w:pPr>
          </w:p>
        </w:tc>
        <w:tc>
          <w:tcPr>
            <w:tcW w:w="4345" w:type="dxa"/>
          </w:tcPr>
          <w:p w14:paraId="1D662954" w14:textId="77777777" w:rsidR="007845A0" w:rsidRPr="00BD71F8" w:rsidRDefault="007845A0" w:rsidP="00B26D6D">
            <w:pPr>
              <w:rPr>
                <w:rFonts w:cs="Calibri"/>
                <w:sz w:val="24"/>
                <w:szCs w:val="24"/>
              </w:rPr>
            </w:pPr>
            <w:r w:rsidRPr="00BD71F8">
              <w:rPr>
                <w:rFonts w:cs="Calibri"/>
                <w:sz w:val="24"/>
                <w:szCs w:val="24"/>
              </w:rPr>
              <w:t>-Financial services for space industry startups.</w:t>
            </w:r>
          </w:p>
          <w:p w14:paraId="734C43D2" w14:textId="77777777" w:rsidR="007845A0" w:rsidRPr="00BD71F8" w:rsidRDefault="007845A0" w:rsidP="00B26D6D">
            <w:pPr>
              <w:rPr>
                <w:rFonts w:cs="Calibri"/>
                <w:sz w:val="24"/>
                <w:szCs w:val="24"/>
              </w:rPr>
            </w:pPr>
            <w:r w:rsidRPr="00BD71F8">
              <w:rPr>
                <w:rFonts w:cs="Calibri"/>
                <w:sz w:val="24"/>
                <w:szCs w:val="24"/>
              </w:rPr>
              <w:t>-Satellite technology financing.</w:t>
            </w:r>
          </w:p>
          <w:p w14:paraId="4FD2B3FE" w14:textId="77777777" w:rsidR="007845A0" w:rsidRPr="00BD71F8" w:rsidRDefault="007845A0" w:rsidP="00B26D6D">
            <w:pPr>
              <w:rPr>
                <w:rFonts w:cs="Calibri"/>
                <w:sz w:val="24"/>
                <w:szCs w:val="24"/>
              </w:rPr>
            </w:pPr>
            <w:r w:rsidRPr="00BD71F8">
              <w:rPr>
                <w:rFonts w:cs="Calibri"/>
                <w:sz w:val="24"/>
                <w:szCs w:val="24"/>
              </w:rPr>
              <w:t>-Products like loans, asset-backed securities and credit lines for space ventures.</w:t>
            </w:r>
          </w:p>
        </w:tc>
      </w:tr>
      <w:tr w:rsidR="007845A0" w:rsidRPr="00BD71F8" w14:paraId="45CA2DF6" w14:textId="77777777" w:rsidTr="00B26D6D">
        <w:tc>
          <w:tcPr>
            <w:tcW w:w="1315" w:type="dxa"/>
          </w:tcPr>
          <w:p w14:paraId="5399AEEE" w14:textId="77777777" w:rsidR="007845A0" w:rsidRPr="00BD71F8" w:rsidRDefault="007845A0" w:rsidP="00B26D6D">
            <w:pPr>
              <w:rPr>
                <w:rFonts w:cs="Calibri"/>
                <w:sz w:val="24"/>
                <w:szCs w:val="24"/>
              </w:rPr>
            </w:pPr>
            <w:r w:rsidRPr="00BD71F8">
              <w:rPr>
                <w:rFonts w:cs="Calibri"/>
                <w:sz w:val="24"/>
                <w:szCs w:val="24"/>
              </w:rPr>
              <w:t>Target Audience</w:t>
            </w:r>
          </w:p>
        </w:tc>
        <w:tc>
          <w:tcPr>
            <w:tcW w:w="3833" w:type="dxa"/>
          </w:tcPr>
          <w:p w14:paraId="49D8BEA5" w14:textId="77777777" w:rsidR="007845A0" w:rsidRPr="00BD71F8" w:rsidRDefault="007845A0" w:rsidP="00B26D6D">
            <w:pPr>
              <w:rPr>
                <w:rFonts w:cs="Calibri"/>
                <w:sz w:val="24"/>
                <w:szCs w:val="24"/>
              </w:rPr>
            </w:pPr>
            <w:r w:rsidRPr="00BD71F8">
              <w:rPr>
                <w:rFonts w:cs="Calibri"/>
                <w:sz w:val="24"/>
                <w:szCs w:val="24"/>
              </w:rPr>
              <w:t>-Electric vehicle owners who need access to wireless charging.</w:t>
            </w:r>
          </w:p>
          <w:p w14:paraId="1B16A625" w14:textId="4483AF3F" w:rsidR="007845A0" w:rsidRPr="00BD71F8" w:rsidRDefault="007845A0" w:rsidP="00B26D6D">
            <w:pPr>
              <w:rPr>
                <w:rFonts w:cs="Calibri"/>
                <w:sz w:val="24"/>
                <w:szCs w:val="24"/>
              </w:rPr>
            </w:pPr>
            <w:r w:rsidRPr="00BD71F8">
              <w:rPr>
                <w:rFonts w:cs="Calibri"/>
                <w:sz w:val="24"/>
                <w:szCs w:val="24"/>
              </w:rPr>
              <w:t>-TD customers who use electric vehicles and seek a sustainable</w:t>
            </w:r>
            <w:r w:rsidR="00FF66E4">
              <w:rPr>
                <w:rFonts w:cs="Calibri"/>
                <w:sz w:val="24"/>
                <w:szCs w:val="24"/>
              </w:rPr>
              <w:t xml:space="preserve"> </w:t>
            </w:r>
            <w:r w:rsidRPr="00BD71F8">
              <w:rPr>
                <w:rFonts w:cs="Calibri"/>
                <w:sz w:val="24"/>
                <w:szCs w:val="24"/>
              </w:rPr>
              <w:t>easy charging solution.</w:t>
            </w:r>
          </w:p>
          <w:p w14:paraId="4EF0A9FD" w14:textId="77777777" w:rsidR="007845A0" w:rsidRPr="00BD71F8" w:rsidRDefault="007845A0" w:rsidP="00B26D6D">
            <w:pPr>
              <w:rPr>
                <w:rFonts w:cs="Calibri"/>
                <w:sz w:val="24"/>
                <w:szCs w:val="24"/>
              </w:rPr>
            </w:pPr>
            <w:r w:rsidRPr="00BD71F8">
              <w:rPr>
                <w:rFonts w:cs="Calibri"/>
                <w:sz w:val="24"/>
                <w:szCs w:val="24"/>
              </w:rPr>
              <w:lastRenderedPageBreak/>
              <w:t>-EV manufacturers looking to integrate charging solutions with their vehicles.</w:t>
            </w:r>
          </w:p>
        </w:tc>
        <w:tc>
          <w:tcPr>
            <w:tcW w:w="4345" w:type="dxa"/>
          </w:tcPr>
          <w:p w14:paraId="01B632DE" w14:textId="3DF569B9" w:rsidR="007845A0" w:rsidRPr="00BD71F8" w:rsidRDefault="007845A0" w:rsidP="00B26D6D">
            <w:pPr>
              <w:rPr>
                <w:rFonts w:cs="Calibri"/>
                <w:sz w:val="24"/>
                <w:szCs w:val="24"/>
              </w:rPr>
            </w:pPr>
            <w:r w:rsidRPr="00BD71F8">
              <w:rPr>
                <w:rFonts w:cs="Calibri"/>
                <w:sz w:val="24"/>
                <w:szCs w:val="24"/>
              </w:rPr>
              <w:lastRenderedPageBreak/>
              <w:t xml:space="preserve"> -Space-tech startups and businesses in the aerospace industry.</w:t>
            </w:r>
            <w:r w:rsidRPr="00BD71F8">
              <w:rPr>
                <w:rFonts w:cs="Calibri"/>
                <w:sz w:val="24"/>
                <w:szCs w:val="24"/>
              </w:rPr>
              <w:br/>
              <w:t>-Companies working on satellite technology or those requiring funding for space exploration.</w:t>
            </w:r>
            <w:r w:rsidRPr="00BD71F8">
              <w:rPr>
                <w:rFonts w:cs="Calibri"/>
                <w:sz w:val="24"/>
                <w:szCs w:val="24"/>
              </w:rPr>
              <w:br/>
            </w:r>
            <w:r w:rsidRPr="00BD71F8">
              <w:rPr>
                <w:rFonts w:cs="Calibri"/>
                <w:sz w:val="24"/>
                <w:szCs w:val="24"/>
              </w:rPr>
              <w:lastRenderedPageBreak/>
              <w:t>-Canadian Space Agency (CSA) partnered organi</w:t>
            </w:r>
            <w:r w:rsidR="00BD71F8">
              <w:rPr>
                <w:rFonts w:cs="Calibri"/>
                <w:sz w:val="24"/>
                <w:szCs w:val="24"/>
              </w:rPr>
              <w:t>s</w:t>
            </w:r>
            <w:r w:rsidRPr="00BD71F8">
              <w:rPr>
                <w:rFonts w:cs="Calibri"/>
                <w:sz w:val="24"/>
                <w:szCs w:val="24"/>
              </w:rPr>
              <w:t>ations.</w:t>
            </w:r>
          </w:p>
        </w:tc>
      </w:tr>
      <w:tr w:rsidR="007845A0" w:rsidRPr="00BD71F8" w14:paraId="17D0B34E" w14:textId="77777777" w:rsidTr="00B26D6D">
        <w:tc>
          <w:tcPr>
            <w:tcW w:w="1315" w:type="dxa"/>
          </w:tcPr>
          <w:p w14:paraId="785222DD" w14:textId="77777777" w:rsidR="007845A0" w:rsidRPr="00BD71F8" w:rsidRDefault="007845A0" w:rsidP="00B26D6D">
            <w:pPr>
              <w:rPr>
                <w:rFonts w:cs="Calibri"/>
                <w:sz w:val="24"/>
                <w:szCs w:val="24"/>
              </w:rPr>
            </w:pPr>
            <w:r w:rsidRPr="00BD71F8">
              <w:rPr>
                <w:rFonts w:cs="Calibri"/>
                <w:sz w:val="24"/>
                <w:szCs w:val="24"/>
              </w:rPr>
              <w:lastRenderedPageBreak/>
              <w:t>Revenue Model</w:t>
            </w:r>
          </w:p>
        </w:tc>
        <w:tc>
          <w:tcPr>
            <w:tcW w:w="3833" w:type="dxa"/>
          </w:tcPr>
          <w:p w14:paraId="021069BB" w14:textId="77777777" w:rsidR="007845A0" w:rsidRPr="00BD71F8" w:rsidRDefault="007845A0" w:rsidP="00B26D6D">
            <w:pPr>
              <w:rPr>
                <w:rFonts w:cs="Calibri"/>
                <w:sz w:val="24"/>
                <w:szCs w:val="24"/>
              </w:rPr>
            </w:pPr>
            <w:r w:rsidRPr="00BD71F8">
              <w:rPr>
                <w:rFonts w:cs="Calibri"/>
                <w:sz w:val="24"/>
                <w:szCs w:val="24"/>
              </w:rPr>
              <w:t>-Charging fees collected through TD-integrated mobile apps.</w:t>
            </w:r>
            <w:r w:rsidRPr="00BD71F8">
              <w:rPr>
                <w:rFonts w:cs="Calibri"/>
                <w:sz w:val="24"/>
                <w:szCs w:val="24"/>
              </w:rPr>
              <w:br/>
              <w:t>-Revenue from rewards and partnerships with other green initiatives as well as eco-friendly businesses.</w:t>
            </w:r>
            <w:r w:rsidRPr="00BD71F8">
              <w:rPr>
                <w:rFonts w:cs="Calibri"/>
                <w:sz w:val="24"/>
                <w:szCs w:val="24"/>
              </w:rPr>
              <w:br/>
              <w:t>-Potential revenue from TD-branded EV charging stations.</w:t>
            </w:r>
          </w:p>
        </w:tc>
        <w:tc>
          <w:tcPr>
            <w:tcW w:w="4345" w:type="dxa"/>
          </w:tcPr>
          <w:p w14:paraId="4AB4DEB5" w14:textId="77777777" w:rsidR="007845A0" w:rsidRPr="00BD71F8" w:rsidRDefault="007845A0" w:rsidP="00B26D6D">
            <w:pPr>
              <w:rPr>
                <w:rFonts w:cs="Calibri"/>
                <w:sz w:val="24"/>
                <w:szCs w:val="24"/>
              </w:rPr>
            </w:pPr>
            <w:r w:rsidRPr="00BD71F8">
              <w:rPr>
                <w:rFonts w:cs="Calibri"/>
                <w:sz w:val="24"/>
                <w:szCs w:val="24"/>
              </w:rPr>
              <w:t>- Revenue generated from loans provided to space-tech companies.</w:t>
            </w:r>
            <w:r w:rsidRPr="00BD71F8">
              <w:rPr>
                <w:rFonts w:cs="Calibri"/>
                <w:sz w:val="24"/>
                <w:szCs w:val="24"/>
              </w:rPr>
              <w:br/>
              <w:t>- Fees for credit lines and asset-backed securities for businesses.</w:t>
            </w:r>
            <w:r w:rsidRPr="00BD71F8">
              <w:rPr>
                <w:rFonts w:cs="Calibri"/>
                <w:sz w:val="24"/>
                <w:szCs w:val="24"/>
              </w:rPr>
              <w:br/>
              <w:t>- Long-term partnerships and investment returns in the growing space economy.</w:t>
            </w:r>
          </w:p>
        </w:tc>
      </w:tr>
      <w:tr w:rsidR="007845A0" w:rsidRPr="00BD71F8" w14:paraId="449E3216" w14:textId="77777777" w:rsidTr="00B26D6D">
        <w:tc>
          <w:tcPr>
            <w:tcW w:w="1315" w:type="dxa"/>
          </w:tcPr>
          <w:p w14:paraId="3C7B70E2" w14:textId="77777777" w:rsidR="007845A0" w:rsidRPr="00BD71F8" w:rsidRDefault="007845A0" w:rsidP="00B26D6D">
            <w:pPr>
              <w:rPr>
                <w:rFonts w:cs="Calibri"/>
                <w:sz w:val="24"/>
                <w:szCs w:val="24"/>
              </w:rPr>
            </w:pPr>
            <w:r w:rsidRPr="00BD71F8">
              <w:rPr>
                <w:rFonts w:cs="Calibri"/>
                <w:sz w:val="24"/>
                <w:szCs w:val="24"/>
              </w:rPr>
              <w:t>Potential for impact</w:t>
            </w:r>
          </w:p>
        </w:tc>
        <w:tc>
          <w:tcPr>
            <w:tcW w:w="3833" w:type="dxa"/>
          </w:tcPr>
          <w:p w14:paraId="66A654C2" w14:textId="0AE6EF6A" w:rsidR="007845A0" w:rsidRPr="00BD71F8" w:rsidRDefault="007845A0" w:rsidP="00B26D6D">
            <w:pPr>
              <w:rPr>
                <w:rFonts w:cs="Calibri"/>
                <w:sz w:val="24"/>
                <w:szCs w:val="24"/>
              </w:rPr>
            </w:pPr>
            <w:r w:rsidRPr="00BD71F8">
              <w:rPr>
                <w:rFonts w:cs="Calibri"/>
                <w:sz w:val="24"/>
                <w:szCs w:val="24"/>
              </w:rPr>
              <w:t>- Increases TD's commitment to sustainability.</w:t>
            </w:r>
            <w:r w:rsidRPr="00BD71F8">
              <w:rPr>
                <w:rFonts w:cs="Calibri"/>
                <w:sz w:val="24"/>
                <w:szCs w:val="24"/>
              </w:rPr>
              <w:br/>
              <w:t>- Strengthens customer loyalty particularly with EV owners who value eco-friendly solutions.</w:t>
            </w:r>
            <w:r w:rsidRPr="00BD71F8">
              <w:rPr>
                <w:rFonts w:cs="Calibri"/>
                <w:sz w:val="24"/>
                <w:szCs w:val="24"/>
              </w:rPr>
              <w:br/>
              <w:t>- Aligns with Canada's goal of supporting clean technologies.</w:t>
            </w:r>
            <w:r w:rsidRPr="00BD71F8">
              <w:rPr>
                <w:rFonts w:cs="Calibri"/>
                <w:sz w:val="24"/>
                <w:szCs w:val="24"/>
              </w:rPr>
              <w:br/>
              <w:t>- Enhances TD’s brand image as an eco-conscious bank.</w:t>
            </w:r>
          </w:p>
        </w:tc>
        <w:tc>
          <w:tcPr>
            <w:tcW w:w="4345" w:type="dxa"/>
          </w:tcPr>
          <w:p w14:paraId="160E7B55" w14:textId="4C21A2AB" w:rsidR="007845A0" w:rsidRPr="00BD71F8" w:rsidRDefault="007845A0" w:rsidP="00B26D6D">
            <w:pPr>
              <w:rPr>
                <w:rFonts w:cs="Calibri"/>
                <w:sz w:val="24"/>
                <w:szCs w:val="24"/>
              </w:rPr>
            </w:pPr>
            <w:r w:rsidRPr="00BD71F8">
              <w:rPr>
                <w:rFonts w:cs="Calibri"/>
                <w:sz w:val="24"/>
                <w:szCs w:val="24"/>
              </w:rPr>
              <w:t>- Establishes TD as a pioneer in the space economy.</w:t>
            </w:r>
            <w:r w:rsidRPr="00BD71F8">
              <w:rPr>
                <w:rFonts w:cs="Calibri"/>
                <w:sz w:val="24"/>
                <w:szCs w:val="24"/>
              </w:rPr>
              <w:br/>
              <w:t xml:space="preserve">- Creates long-term partnerships with space-sector companies and </w:t>
            </w:r>
            <w:r w:rsidR="00BD71F8" w:rsidRPr="00BD71F8">
              <w:rPr>
                <w:rFonts w:cs="Calibri"/>
                <w:sz w:val="24"/>
                <w:szCs w:val="24"/>
              </w:rPr>
              <w:t>organisations</w:t>
            </w:r>
            <w:r w:rsidRPr="00BD71F8">
              <w:rPr>
                <w:rFonts w:cs="Calibri"/>
                <w:sz w:val="24"/>
                <w:szCs w:val="24"/>
              </w:rPr>
              <w:t>.</w:t>
            </w:r>
            <w:r w:rsidRPr="00BD71F8">
              <w:rPr>
                <w:rFonts w:cs="Calibri"/>
                <w:sz w:val="24"/>
                <w:szCs w:val="24"/>
              </w:rPr>
              <w:br/>
              <w:t>- Provides TD with access to new growth areas like space-tech financing.</w:t>
            </w:r>
            <w:r w:rsidRPr="00BD71F8">
              <w:rPr>
                <w:rFonts w:cs="Calibri"/>
                <w:sz w:val="24"/>
                <w:szCs w:val="24"/>
              </w:rPr>
              <w:br/>
              <w:t>- Potential for high returns due to the evolving space industry.</w:t>
            </w:r>
          </w:p>
        </w:tc>
      </w:tr>
      <w:tr w:rsidR="007845A0" w:rsidRPr="00BD71F8" w14:paraId="5DFBD73D" w14:textId="77777777" w:rsidTr="00B26D6D">
        <w:tc>
          <w:tcPr>
            <w:tcW w:w="1315" w:type="dxa"/>
          </w:tcPr>
          <w:p w14:paraId="03F45767" w14:textId="77777777" w:rsidR="007845A0" w:rsidRPr="00BD71F8" w:rsidRDefault="007845A0" w:rsidP="00B26D6D">
            <w:pPr>
              <w:rPr>
                <w:rFonts w:cs="Calibri"/>
                <w:sz w:val="24"/>
                <w:szCs w:val="24"/>
              </w:rPr>
            </w:pPr>
            <w:r w:rsidRPr="00BD71F8">
              <w:rPr>
                <w:rFonts w:cs="Calibri"/>
                <w:sz w:val="24"/>
                <w:szCs w:val="24"/>
              </w:rPr>
              <w:t>Revenue Growth Potential</w:t>
            </w:r>
          </w:p>
        </w:tc>
        <w:tc>
          <w:tcPr>
            <w:tcW w:w="3833" w:type="dxa"/>
          </w:tcPr>
          <w:p w14:paraId="4FC9C2FD" w14:textId="77777777" w:rsidR="007845A0" w:rsidRPr="00BD71F8" w:rsidRDefault="007845A0" w:rsidP="00B26D6D">
            <w:pPr>
              <w:rPr>
                <w:rFonts w:cs="Calibri"/>
                <w:sz w:val="24"/>
                <w:szCs w:val="24"/>
              </w:rPr>
            </w:pPr>
            <w:r w:rsidRPr="00BD71F8">
              <w:rPr>
                <w:rFonts w:cs="Calibri"/>
                <w:sz w:val="24"/>
                <w:szCs w:val="24"/>
              </w:rPr>
              <w:t>- Wireless charging infrastructure growth can provide recurring revenue streams.</w:t>
            </w:r>
            <w:r w:rsidRPr="00BD71F8">
              <w:rPr>
                <w:rFonts w:cs="Calibri"/>
                <w:sz w:val="24"/>
                <w:szCs w:val="24"/>
              </w:rPr>
              <w:br/>
              <w:t>- Expanding to new locations and partnering with EV manufacturers could boost market share.</w:t>
            </w:r>
            <w:r w:rsidRPr="00BD71F8">
              <w:rPr>
                <w:rFonts w:cs="Calibri"/>
                <w:sz w:val="24"/>
                <w:szCs w:val="24"/>
              </w:rPr>
              <w:br/>
              <w:t>- Increased demand for sustainable solutions could drive higher adoption rates.</w:t>
            </w:r>
          </w:p>
        </w:tc>
        <w:tc>
          <w:tcPr>
            <w:tcW w:w="4345" w:type="dxa"/>
          </w:tcPr>
          <w:p w14:paraId="0A4A4313" w14:textId="77777777" w:rsidR="007845A0" w:rsidRPr="00BD71F8" w:rsidRDefault="007845A0" w:rsidP="00B26D6D">
            <w:pPr>
              <w:rPr>
                <w:rFonts w:cs="Calibri"/>
                <w:sz w:val="24"/>
                <w:szCs w:val="24"/>
              </w:rPr>
            </w:pPr>
            <w:r w:rsidRPr="00BD71F8">
              <w:rPr>
                <w:rFonts w:cs="Calibri"/>
                <w:sz w:val="24"/>
                <w:szCs w:val="24"/>
              </w:rPr>
              <w:t>- Space-tech financing is an emerging market with high growth potential as the space economy expands.</w:t>
            </w:r>
            <w:r w:rsidRPr="00BD71F8">
              <w:rPr>
                <w:rFonts w:cs="Calibri"/>
                <w:sz w:val="24"/>
                <w:szCs w:val="24"/>
              </w:rPr>
              <w:br/>
              <w:t>- As satellite and space missions increase, demand for financing and insurance products will grow.</w:t>
            </w:r>
            <w:r w:rsidRPr="00BD71F8">
              <w:rPr>
                <w:rFonts w:cs="Calibri"/>
                <w:sz w:val="24"/>
                <w:szCs w:val="24"/>
              </w:rPr>
              <w:br/>
              <w:t>- Long-term revenue growth as space exploration and commercial satellite launches increase.</w:t>
            </w:r>
          </w:p>
        </w:tc>
      </w:tr>
      <w:tr w:rsidR="007845A0" w:rsidRPr="00BD71F8" w14:paraId="364CAE1D" w14:textId="77777777" w:rsidTr="00B26D6D">
        <w:tc>
          <w:tcPr>
            <w:tcW w:w="1315" w:type="dxa"/>
          </w:tcPr>
          <w:p w14:paraId="217D26DD" w14:textId="77777777" w:rsidR="007845A0" w:rsidRPr="00BD71F8" w:rsidRDefault="007845A0" w:rsidP="00B26D6D">
            <w:pPr>
              <w:rPr>
                <w:rFonts w:cs="Calibri"/>
                <w:sz w:val="24"/>
                <w:szCs w:val="24"/>
              </w:rPr>
            </w:pPr>
            <w:r w:rsidRPr="00BD71F8">
              <w:rPr>
                <w:rFonts w:cs="Calibri"/>
                <w:sz w:val="24"/>
                <w:szCs w:val="24"/>
              </w:rPr>
              <w:t>Out-of-Scope Elements</w:t>
            </w:r>
          </w:p>
        </w:tc>
        <w:tc>
          <w:tcPr>
            <w:tcW w:w="3833" w:type="dxa"/>
          </w:tcPr>
          <w:p w14:paraId="5948AEBF" w14:textId="55E8BE84" w:rsidR="007845A0" w:rsidRPr="00BD71F8" w:rsidRDefault="007845A0" w:rsidP="00B26D6D">
            <w:pPr>
              <w:rPr>
                <w:rFonts w:cs="Calibri"/>
                <w:sz w:val="24"/>
                <w:szCs w:val="24"/>
              </w:rPr>
            </w:pPr>
            <w:r w:rsidRPr="00BD71F8">
              <w:rPr>
                <w:rFonts w:cs="Calibri"/>
                <w:sz w:val="24"/>
                <w:szCs w:val="24"/>
              </w:rPr>
              <w:t>- Non-TD locations (charging stations outside of TD bank’s ecosystem).</w:t>
            </w:r>
            <w:r w:rsidRPr="00BD71F8">
              <w:rPr>
                <w:rFonts w:cs="Calibri"/>
                <w:sz w:val="24"/>
                <w:szCs w:val="24"/>
              </w:rPr>
              <w:br/>
              <w:t>- Technologies like wired charging or non-integrated charging apps.</w:t>
            </w:r>
            <w:r w:rsidRPr="00BD71F8">
              <w:rPr>
                <w:rFonts w:cs="Calibri"/>
                <w:sz w:val="24"/>
                <w:szCs w:val="24"/>
              </w:rPr>
              <w:br/>
              <w:t xml:space="preserve">- </w:t>
            </w:r>
            <w:r w:rsidR="00341FDB" w:rsidRPr="00BD71F8">
              <w:rPr>
                <w:rFonts w:cs="Calibri"/>
                <w:sz w:val="24"/>
                <w:szCs w:val="24"/>
              </w:rPr>
              <w:t>non-EV</w:t>
            </w:r>
            <w:r w:rsidRPr="00BD71F8">
              <w:rPr>
                <w:rFonts w:cs="Calibri"/>
                <w:sz w:val="24"/>
                <w:szCs w:val="24"/>
              </w:rPr>
              <w:t xml:space="preserve"> vehicles.</w:t>
            </w:r>
          </w:p>
        </w:tc>
        <w:tc>
          <w:tcPr>
            <w:tcW w:w="4345" w:type="dxa"/>
          </w:tcPr>
          <w:p w14:paraId="5464B3A5" w14:textId="56D53517" w:rsidR="007845A0" w:rsidRPr="00BD71F8" w:rsidRDefault="007845A0" w:rsidP="00B26D6D">
            <w:pPr>
              <w:rPr>
                <w:rFonts w:cs="Calibri"/>
                <w:sz w:val="24"/>
                <w:szCs w:val="24"/>
              </w:rPr>
            </w:pPr>
            <w:r w:rsidRPr="00BD71F8">
              <w:rPr>
                <w:rFonts w:cs="Calibri"/>
                <w:sz w:val="24"/>
                <w:szCs w:val="24"/>
              </w:rPr>
              <w:t>- Space-tech ventures not associated with CSA or other aerospace-related partnerships.</w:t>
            </w:r>
            <w:r w:rsidRPr="00BD71F8">
              <w:rPr>
                <w:rFonts w:cs="Calibri"/>
                <w:sz w:val="24"/>
                <w:szCs w:val="24"/>
              </w:rPr>
              <w:br/>
              <w:t>- Direct investments in space exploration (e.g., satellite launches or space travel).</w:t>
            </w:r>
            <w:r w:rsidRPr="00BD71F8">
              <w:rPr>
                <w:rFonts w:cs="Calibri"/>
                <w:sz w:val="24"/>
                <w:szCs w:val="24"/>
              </w:rPr>
              <w:br/>
              <w:t xml:space="preserve">- </w:t>
            </w:r>
            <w:r w:rsidR="00341FDB" w:rsidRPr="00BD71F8">
              <w:rPr>
                <w:rFonts w:cs="Calibri"/>
                <w:sz w:val="24"/>
                <w:szCs w:val="24"/>
              </w:rPr>
              <w:t>non-Canadian</w:t>
            </w:r>
            <w:r w:rsidRPr="00BD71F8">
              <w:rPr>
                <w:rFonts w:cs="Calibri"/>
                <w:sz w:val="24"/>
                <w:szCs w:val="24"/>
              </w:rPr>
              <w:t xml:space="preserve"> space ventures.</w:t>
            </w:r>
          </w:p>
        </w:tc>
      </w:tr>
      <w:tr w:rsidR="007845A0" w:rsidRPr="00BD71F8" w14:paraId="723E312D" w14:textId="77777777" w:rsidTr="00B26D6D">
        <w:tc>
          <w:tcPr>
            <w:tcW w:w="1315" w:type="dxa"/>
          </w:tcPr>
          <w:p w14:paraId="36C05AF7" w14:textId="77777777" w:rsidR="007845A0" w:rsidRPr="00BD71F8" w:rsidRDefault="007845A0" w:rsidP="00B26D6D">
            <w:pPr>
              <w:rPr>
                <w:rFonts w:cs="Calibri"/>
                <w:sz w:val="24"/>
                <w:szCs w:val="24"/>
              </w:rPr>
            </w:pPr>
            <w:r w:rsidRPr="00BD71F8">
              <w:rPr>
                <w:rFonts w:cs="Calibri"/>
                <w:sz w:val="24"/>
                <w:szCs w:val="24"/>
              </w:rPr>
              <w:t>Risk Factors</w:t>
            </w:r>
          </w:p>
        </w:tc>
        <w:tc>
          <w:tcPr>
            <w:tcW w:w="3833" w:type="dxa"/>
          </w:tcPr>
          <w:p w14:paraId="0C6E73B3" w14:textId="77777777" w:rsidR="007845A0" w:rsidRPr="00BD71F8" w:rsidRDefault="007845A0" w:rsidP="00B26D6D">
            <w:pPr>
              <w:rPr>
                <w:rFonts w:cs="Calibri"/>
                <w:sz w:val="24"/>
                <w:szCs w:val="24"/>
              </w:rPr>
            </w:pPr>
            <w:r w:rsidRPr="00BD71F8">
              <w:rPr>
                <w:rFonts w:cs="Calibri"/>
                <w:sz w:val="24"/>
                <w:szCs w:val="24"/>
              </w:rPr>
              <w:t>- High initial investment in building wireless charging infrastructure.</w:t>
            </w:r>
            <w:r w:rsidRPr="00BD71F8">
              <w:rPr>
                <w:rFonts w:cs="Calibri"/>
                <w:sz w:val="24"/>
                <w:szCs w:val="24"/>
              </w:rPr>
              <w:br/>
              <w:t xml:space="preserve">- Technical challenges related to wireless charging efficiency and </w:t>
            </w:r>
            <w:r w:rsidRPr="00BD71F8">
              <w:rPr>
                <w:rFonts w:cs="Calibri"/>
                <w:sz w:val="24"/>
                <w:szCs w:val="24"/>
              </w:rPr>
              <w:lastRenderedPageBreak/>
              <w:t>compatibility with various EV models.</w:t>
            </w:r>
            <w:r w:rsidRPr="00BD71F8">
              <w:rPr>
                <w:rFonts w:cs="Calibri"/>
                <w:sz w:val="24"/>
                <w:szCs w:val="24"/>
              </w:rPr>
              <w:br/>
              <w:t>- Regulatory compliance risks related to energy distribution and environmental standards.</w:t>
            </w:r>
            <w:r w:rsidRPr="00BD71F8">
              <w:rPr>
                <w:rFonts w:cs="Calibri"/>
                <w:sz w:val="24"/>
                <w:szCs w:val="24"/>
              </w:rPr>
              <w:br/>
              <w:t>- Possible low adoption rates in regions with few EVs.</w:t>
            </w:r>
          </w:p>
        </w:tc>
        <w:tc>
          <w:tcPr>
            <w:tcW w:w="4345" w:type="dxa"/>
          </w:tcPr>
          <w:p w14:paraId="045955D3" w14:textId="587B5BB8" w:rsidR="007845A0" w:rsidRPr="00BD71F8" w:rsidRDefault="007845A0" w:rsidP="00B26D6D">
            <w:pPr>
              <w:rPr>
                <w:rFonts w:cs="Calibri"/>
                <w:sz w:val="24"/>
                <w:szCs w:val="24"/>
              </w:rPr>
            </w:pPr>
            <w:r w:rsidRPr="00BD71F8">
              <w:rPr>
                <w:rFonts w:cs="Calibri"/>
                <w:sz w:val="24"/>
                <w:szCs w:val="24"/>
              </w:rPr>
              <w:lastRenderedPageBreak/>
              <w:t>- Financial risk due to high startup failure rates in the space-tech industry.</w:t>
            </w:r>
            <w:r w:rsidRPr="00BD71F8">
              <w:rPr>
                <w:rFonts w:cs="Calibri"/>
                <w:sz w:val="24"/>
                <w:szCs w:val="24"/>
              </w:rPr>
              <w:br/>
              <w:t xml:space="preserve">- Market volatility in space exploration such as satellite launches and space </w:t>
            </w:r>
            <w:r w:rsidRPr="00BD71F8">
              <w:rPr>
                <w:rFonts w:cs="Calibri"/>
                <w:sz w:val="24"/>
                <w:szCs w:val="24"/>
              </w:rPr>
              <w:lastRenderedPageBreak/>
              <w:t>missions.</w:t>
            </w:r>
            <w:r w:rsidRPr="00BD71F8">
              <w:rPr>
                <w:rFonts w:cs="Calibri"/>
                <w:sz w:val="24"/>
                <w:szCs w:val="24"/>
              </w:rPr>
              <w:br/>
              <w:t>- Regulatory challenges in providing financing to space-tech ventures.</w:t>
            </w:r>
            <w:r w:rsidRPr="00BD71F8">
              <w:rPr>
                <w:rFonts w:cs="Calibri"/>
                <w:sz w:val="24"/>
                <w:szCs w:val="24"/>
              </w:rPr>
              <w:br/>
              <w:t>- Difficulty in assessing creditworthiness of space-tech startups.</w:t>
            </w:r>
          </w:p>
        </w:tc>
      </w:tr>
      <w:tr w:rsidR="007845A0" w:rsidRPr="00BD71F8" w14:paraId="397A5274" w14:textId="77777777" w:rsidTr="00B26D6D">
        <w:tc>
          <w:tcPr>
            <w:tcW w:w="1315" w:type="dxa"/>
          </w:tcPr>
          <w:p w14:paraId="56F18E06" w14:textId="77777777" w:rsidR="007845A0" w:rsidRPr="00BD71F8" w:rsidRDefault="007845A0" w:rsidP="00B26D6D">
            <w:pPr>
              <w:rPr>
                <w:rFonts w:cs="Calibri"/>
                <w:sz w:val="24"/>
                <w:szCs w:val="24"/>
              </w:rPr>
            </w:pPr>
            <w:r w:rsidRPr="00BD71F8">
              <w:rPr>
                <w:rFonts w:cs="Calibri"/>
                <w:sz w:val="24"/>
                <w:szCs w:val="24"/>
              </w:rPr>
              <w:lastRenderedPageBreak/>
              <w:t>Scalability Potential</w:t>
            </w:r>
          </w:p>
        </w:tc>
        <w:tc>
          <w:tcPr>
            <w:tcW w:w="3833" w:type="dxa"/>
          </w:tcPr>
          <w:p w14:paraId="0BE24DA1" w14:textId="77777777" w:rsidR="007845A0" w:rsidRPr="00BD71F8" w:rsidRDefault="007845A0" w:rsidP="00B26D6D">
            <w:pPr>
              <w:rPr>
                <w:rFonts w:cs="Calibri"/>
                <w:sz w:val="24"/>
                <w:szCs w:val="24"/>
              </w:rPr>
            </w:pPr>
            <w:r w:rsidRPr="00BD71F8">
              <w:rPr>
                <w:rFonts w:cs="Calibri"/>
                <w:sz w:val="24"/>
                <w:szCs w:val="24"/>
              </w:rPr>
              <w:t>- Can be expanded to numerous regions and partners.</w:t>
            </w:r>
            <w:r w:rsidRPr="00BD71F8">
              <w:rPr>
                <w:rFonts w:cs="Calibri"/>
                <w:sz w:val="24"/>
                <w:szCs w:val="24"/>
              </w:rPr>
              <w:br/>
              <w:t>- Possibility of integration with more types of electric vehicles and other green technologies.</w:t>
            </w:r>
            <w:r w:rsidRPr="00BD71F8">
              <w:rPr>
                <w:rFonts w:cs="Calibri"/>
                <w:sz w:val="24"/>
                <w:szCs w:val="24"/>
              </w:rPr>
              <w:br/>
              <w:t>- Can be scaled to offer additional services like in-car charging systems.</w:t>
            </w:r>
          </w:p>
        </w:tc>
        <w:tc>
          <w:tcPr>
            <w:tcW w:w="4345" w:type="dxa"/>
          </w:tcPr>
          <w:p w14:paraId="03C8DDFA" w14:textId="77777777" w:rsidR="007845A0" w:rsidRPr="00BD71F8" w:rsidRDefault="007845A0" w:rsidP="00B26D6D">
            <w:pPr>
              <w:rPr>
                <w:rFonts w:cs="Calibri"/>
                <w:sz w:val="24"/>
                <w:szCs w:val="24"/>
              </w:rPr>
            </w:pPr>
            <w:r w:rsidRPr="00BD71F8">
              <w:rPr>
                <w:rFonts w:cs="Calibri"/>
                <w:sz w:val="24"/>
                <w:szCs w:val="24"/>
              </w:rPr>
              <w:t>- Scalable as the space economy grows, with the ability to offer a range of financial products for space-tech businesses.</w:t>
            </w:r>
          </w:p>
          <w:p w14:paraId="4BF8740C" w14:textId="77777777" w:rsidR="007845A0" w:rsidRPr="00BD71F8" w:rsidRDefault="007845A0" w:rsidP="00B26D6D">
            <w:pPr>
              <w:rPr>
                <w:rFonts w:cs="Calibri"/>
                <w:sz w:val="24"/>
                <w:szCs w:val="24"/>
              </w:rPr>
            </w:pPr>
            <w:r w:rsidRPr="00BD71F8">
              <w:rPr>
                <w:rFonts w:cs="Calibri"/>
                <w:sz w:val="24"/>
                <w:szCs w:val="24"/>
              </w:rPr>
              <w:t>- Potential to scale offerings to include financing for other high-tech sectors beyond space-tech.</w:t>
            </w:r>
          </w:p>
          <w:p w14:paraId="1588BAFE" w14:textId="77777777" w:rsidR="007845A0" w:rsidRPr="00BD71F8" w:rsidRDefault="007845A0" w:rsidP="00B26D6D">
            <w:pPr>
              <w:rPr>
                <w:rFonts w:cs="Calibri"/>
                <w:sz w:val="24"/>
                <w:szCs w:val="24"/>
              </w:rPr>
            </w:pPr>
            <w:r w:rsidRPr="00BD71F8">
              <w:rPr>
                <w:rFonts w:cs="Calibri"/>
                <w:sz w:val="24"/>
                <w:szCs w:val="24"/>
              </w:rPr>
              <w:t>- Can leverage existing financial technologies to support scalability.</w:t>
            </w:r>
          </w:p>
        </w:tc>
      </w:tr>
      <w:tr w:rsidR="007845A0" w:rsidRPr="00BD71F8" w14:paraId="78F64AA7" w14:textId="77777777" w:rsidTr="00B26D6D">
        <w:tc>
          <w:tcPr>
            <w:tcW w:w="1315" w:type="dxa"/>
          </w:tcPr>
          <w:p w14:paraId="24B9FE1D" w14:textId="77777777" w:rsidR="007845A0" w:rsidRPr="00BD71F8" w:rsidRDefault="007845A0" w:rsidP="00B26D6D">
            <w:pPr>
              <w:rPr>
                <w:rFonts w:cs="Calibri"/>
                <w:sz w:val="24"/>
                <w:szCs w:val="24"/>
              </w:rPr>
            </w:pPr>
            <w:r w:rsidRPr="00BD71F8">
              <w:rPr>
                <w:rFonts w:cs="Calibri"/>
                <w:sz w:val="24"/>
                <w:szCs w:val="24"/>
              </w:rPr>
              <w:t>Implementation Timeline</w:t>
            </w:r>
          </w:p>
        </w:tc>
        <w:tc>
          <w:tcPr>
            <w:tcW w:w="38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45A0" w:rsidRPr="00BD71F8" w14:paraId="24B11F6E" w14:textId="77777777" w:rsidTr="00B26D6D">
              <w:trPr>
                <w:tblCellSpacing w:w="15" w:type="dxa"/>
              </w:trPr>
              <w:tc>
                <w:tcPr>
                  <w:tcW w:w="0" w:type="auto"/>
                  <w:vAlign w:val="center"/>
                  <w:hideMark/>
                </w:tcPr>
                <w:p w14:paraId="0E566D70" w14:textId="77777777" w:rsidR="007845A0" w:rsidRPr="00BD71F8" w:rsidRDefault="007845A0" w:rsidP="00B26D6D">
                  <w:pPr>
                    <w:spacing w:after="0" w:line="240" w:lineRule="auto"/>
                    <w:rPr>
                      <w:rFonts w:eastAsia="Times New Roman" w:cs="Calibri"/>
                      <w:kern w:val="0"/>
                      <w:sz w:val="24"/>
                      <w:szCs w:val="24"/>
                      <w:lang w:eastAsia="en-IN"/>
                      <w14:ligatures w14:val="none"/>
                    </w:rPr>
                  </w:pPr>
                </w:p>
              </w:tc>
            </w:tr>
          </w:tbl>
          <w:p w14:paraId="3A0F8C36" w14:textId="77777777" w:rsidR="007845A0" w:rsidRPr="00BD71F8" w:rsidRDefault="007845A0" w:rsidP="00B26D6D">
            <w:pPr>
              <w:rPr>
                <w:rFonts w:eastAsia="Times New Roman" w:cs="Calibri"/>
                <w:kern w:val="0"/>
                <w:sz w:val="24"/>
                <w:szCs w:val="24"/>
                <w:lang w:eastAsia="en-IN"/>
                <w14:ligatures w14:val="none"/>
              </w:rPr>
            </w:pPr>
            <w:r w:rsidRPr="00BD71F8">
              <w:rPr>
                <w:rFonts w:eastAsia="Times New Roman" w:cs="Calibri"/>
                <w:kern w:val="0"/>
                <w:sz w:val="24"/>
                <w:szCs w:val="24"/>
                <w:lang w:eastAsia="en-IN"/>
                <w14:ligatures w14:val="none"/>
              </w:rPr>
              <w:t>- Short-to-medium term (1-3 years) for initial setup, testing and launch of wireless charging services.</w:t>
            </w:r>
          </w:p>
          <w:p w14:paraId="0182D7E0" w14:textId="77777777" w:rsidR="007845A0" w:rsidRPr="00BD71F8" w:rsidRDefault="007845A0" w:rsidP="00B26D6D">
            <w:pPr>
              <w:rPr>
                <w:rFonts w:eastAsia="Times New Roman" w:cs="Calibri"/>
                <w:vanish/>
                <w:kern w:val="0"/>
                <w:sz w:val="24"/>
                <w:szCs w:val="24"/>
                <w:lang w:eastAsia="en-IN"/>
                <w14:ligatures w14:val="none"/>
              </w:rPr>
            </w:pPr>
            <w:r w:rsidRPr="00BD71F8">
              <w:rPr>
                <w:rFonts w:eastAsia="Times New Roman" w:cs="Calibri"/>
                <w:kern w:val="0"/>
                <w:sz w:val="24"/>
                <w:szCs w:val="24"/>
                <w:lang w:eastAsia="en-IN"/>
                <w14:ligatures w14:val="none"/>
              </w:rPr>
              <w:t>- Longer-term for widespread adoption and infrastructure build-out.</w:t>
            </w:r>
          </w:p>
          <w:p w14:paraId="13A06134" w14:textId="77777777" w:rsidR="007845A0" w:rsidRPr="00BD71F8" w:rsidRDefault="007845A0" w:rsidP="00B26D6D">
            <w:pPr>
              <w:rPr>
                <w:rFonts w:cs="Calibri"/>
                <w:sz w:val="24"/>
                <w:szCs w:val="24"/>
              </w:rPr>
            </w:pPr>
          </w:p>
        </w:tc>
        <w:tc>
          <w:tcPr>
            <w:tcW w:w="4345" w:type="dxa"/>
          </w:tcPr>
          <w:p w14:paraId="0ABDBD8B" w14:textId="77777777" w:rsidR="007845A0" w:rsidRPr="00BD71F8" w:rsidRDefault="007845A0" w:rsidP="00B26D6D">
            <w:pPr>
              <w:rPr>
                <w:rFonts w:cs="Calibri"/>
                <w:sz w:val="24"/>
                <w:szCs w:val="24"/>
              </w:rPr>
            </w:pPr>
            <w:r w:rsidRPr="00BD71F8">
              <w:rPr>
                <w:rFonts w:cs="Calibri"/>
                <w:sz w:val="24"/>
                <w:szCs w:val="24"/>
              </w:rPr>
              <w:t>- Long-term project (3-5 years) to develop partnerships and financial products specific to the space-tech sector.</w:t>
            </w:r>
          </w:p>
          <w:p w14:paraId="2C1D3E93" w14:textId="77777777" w:rsidR="007845A0" w:rsidRPr="00BD71F8" w:rsidRDefault="007845A0" w:rsidP="00B26D6D">
            <w:pPr>
              <w:rPr>
                <w:rFonts w:cs="Calibri"/>
                <w:sz w:val="24"/>
                <w:szCs w:val="24"/>
              </w:rPr>
            </w:pPr>
            <w:r w:rsidRPr="00BD71F8">
              <w:rPr>
                <w:rFonts w:cs="Calibri"/>
                <w:sz w:val="24"/>
                <w:szCs w:val="24"/>
              </w:rPr>
              <w:t>- Extended timeline for developing robust space-tech financing solutions.</w:t>
            </w:r>
          </w:p>
        </w:tc>
      </w:tr>
      <w:tr w:rsidR="007845A0" w:rsidRPr="00BD71F8" w14:paraId="38DAAEC7" w14:textId="77777777" w:rsidTr="00B26D6D">
        <w:tc>
          <w:tcPr>
            <w:tcW w:w="1315" w:type="dxa"/>
          </w:tcPr>
          <w:p w14:paraId="1B9AE889" w14:textId="77777777" w:rsidR="007845A0" w:rsidRPr="00BD71F8" w:rsidRDefault="007845A0" w:rsidP="00B26D6D">
            <w:pPr>
              <w:rPr>
                <w:rFonts w:cs="Calibri"/>
                <w:sz w:val="24"/>
                <w:szCs w:val="24"/>
              </w:rPr>
            </w:pPr>
            <w:r w:rsidRPr="00BD71F8">
              <w:rPr>
                <w:rFonts w:cs="Calibri"/>
                <w:sz w:val="24"/>
                <w:szCs w:val="24"/>
              </w:rPr>
              <w:t>Challenges</w:t>
            </w:r>
          </w:p>
        </w:tc>
        <w:tc>
          <w:tcPr>
            <w:tcW w:w="3833" w:type="dxa"/>
          </w:tcPr>
          <w:p w14:paraId="20D79561" w14:textId="77777777" w:rsidR="007845A0" w:rsidRPr="00BD71F8" w:rsidRDefault="007845A0" w:rsidP="00B26D6D">
            <w:pPr>
              <w:rPr>
                <w:rFonts w:eastAsia="Times New Roman" w:cs="Calibri"/>
                <w:kern w:val="0"/>
                <w:sz w:val="24"/>
                <w:szCs w:val="24"/>
                <w:lang w:eastAsia="en-IN"/>
                <w14:ligatures w14:val="none"/>
              </w:rPr>
            </w:pPr>
            <w:r w:rsidRPr="00BD71F8">
              <w:rPr>
                <w:rFonts w:eastAsia="Times New Roman" w:cs="Calibri"/>
                <w:kern w:val="0"/>
                <w:sz w:val="24"/>
                <w:szCs w:val="24"/>
                <w:lang w:eastAsia="en-IN"/>
                <w14:ligatures w14:val="none"/>
              </w:rPr>
              <w:t>- High initial costs for infrastructure build-out.</w:t>
            </w:r>
          </w:p>
          <w:p w14:paraId="098A7A44" w14:textId="77777777" w:rsidR="007845A0" w:rsidRPr="00BD71F8" w:rsidRDefault="007845A0" w:rsidP="00B26D6D">
            <w:pPr>
              <w:rPr>
                <w:rFonts w:eastAsia="Times New Roman" w:cs="Calibri"/>
                <w:kern w:val="0"/>
                <w:sz w:val="24"/>
                <w:szCs w:val="24"/>
                <w:lang w:eastAsia="en-IN"/>
                <w14:ligatures w14:val="none"/>
              </w:rPr>
            </w:pPr>
            <w:r w:rsidRPr="00BD71F8">
              <w:rPr>
                <w:rFonts w:eastAsia="Times New Roman" w:cs="Calibri"/>
                <w:kern w:val="0"/>
                <w:sz w:val="24"/>
                <w:szCs w:val="24"/>
                <w:lang w:eastAsia="en-IN"/>
                <w14:ligatures w14:val="none"/>
              </w:rPr>
              <w:t>- Risk of slower adoption in regions with fewer EV users.</w:t>
            </w:r>
          </w:p>
          <w:p w14:paraId="208135E2" w14:textId="77777777" w:rsidR="007845A0" w:rsidRPr="00BD71F8" w:rsidRDefault="007845A0" w:rsidP="00B26D6D">
            <w:pPr>
              <w:rPr>
                <w:rFonts w:eastAsia="Times New Roman" w:cs="Calibri"/>
                <w:kern w:val="0"/>
                <w:sz w:val="24"/>
                <w:szCs w:val="24"/>
                <w:lang w:eastAsia="en-IN"/>
                <w14:ligatures w14:val="none"/>
              </w:rPr>
            </w:pPr>
            <w:r w:rsidRPr="00BD71F8">
              <w:rPr>
                <w:rFonts w:eastAsia="Times New Roman" w:cs="Calibri"/>
                <w:kern w:val="0"/>
                <w:sz w:val="24"/>
                <w:szCs w:val="24"/>
                <w:lang w:eastAsia="en-IN"/>
                <w14:ligatures w14:val="none"/>
              </w:rPr>
              <w:t>- Potential technical issues with charging reliability and energy efficiency.</w:t>
            </w:r>
          </w:p>
        </w:tc>
        <w:tc>
          <w:tcPr>
            <w:tcW w:w="4345" w:type="dxa"/>
          </w:tcPr>
          <w:p w14:paraId="17FCD4E7" w14:textId="77777777" w:rsidR="007845A0" w:rsidRPr="00BD71F8" w:rsidRDefault="007845A0" w:rsidP="00B26D6D">
            <w:pPr>
              <w:rPr>
                <w:rFonts w:cs="Calibri"/>
                <w:sz w:val="24"/>
                <w:szCs w:val="24"/>
              </w:rPr>
            </w:pPr>
            <w:r w:rsidRPr="00BD71F8">
              <w:rPr>
                <w:rFonts w:cs="Calibri"/>
                <w:sz w:val="24"/>
                <w:szCs w:val="24"/>
              </w:rPr>
              <w:t>- Challenges in assessing and evaluating startups in the space-tech industry.</w:t>
            </w:r>
          </w:p>
          <w:p w14:paraId="5980656D" w14:textId="77777777" w:rsidR="007845A0" w:rsidRPr="00BD71F8" w:rsidRDefault="007845A0" w:rsidP="00B26D6D">
            <w:pPr>
              <w:rPr>
                <w:rFonts w:cs="Calibri"/>
                <w:sz w:val="24"/>
                <w:szCs w:val="24"/>
              </w:rPr>
            </w:pPr>
            <w:r w:rsidRPr="00BD71F8">
              <w:rPr>
                <w:rFonts w:cs="Calibri"/>
                <w:sz w:val="24"/>
                <w:szCs w:val="24"/>
              </w:rPr>
              <w:t>- Navigating regulatory complexities and international space regulations.</w:t>
            </w:r>
          </w:p>
          <w:p w14:paraId="2DBFF9B0" w14:textId="77777777" w:rsidR="007845A0" w:rsidRPr="00BD71F8" w:rsidRDefault="007845A0" w:rsidP="00B26D6D">
            <w:pPr>
              <w:rPr>
                <w:rFonts w:cs="Calibri"/>
                <w:sz w:val="24"/>
                <w:szCs w:val="24"/>
              </w:rPr>
            </w:pPr>
            <w:r w:rsidRPr="00BD71F8">
              <w:rPr>
                <w:rFonts w:cs="Calibri"/>
                <w:sz w:val="24"/>
                <w:szCs w:val="24"/>
              </w:rPr>
              <w:t>- Establishing credibility in an emerging market and competing with traditional venture capitalists.</w:t>
            </w:r>
          </w:p>
        </w:tc>
      </w:tr>
    </w:tbl>
    <w:p w14:paraId="386FD9F7" w14:textId="77777777" w:rsidR="007845A0" w:rsidRPr="00BD71F8" w:rsidRDefault="007845A0" w:rsidP="007845A0">
      <w:pPr>
        <w:rPr>
          <w:rFonts w:cs="Calibri"/>
        </w:rPr>
      </w:pPr>
    </w:p>
    <w:p w14:paraId="3609B21F" w14:textId="0A8BB4A3" w:rsidR="007845A0" w:rsidRPr="00BD71F8" w:rsidRDefault="007845A0" w:rsidP="00265697">
      <w:pPr>
        <w:pStyle w:val="NormalWeb"/>
        <w:spacing w:line="276" w:lineRule="auto"/>
        <w:rPr>
          <w:rFonts w:ascii="Calibri" w:hAnsi="Calibri" w:cs="Calibri"/>
        </w:rPr>
      </w:pPr>
      <w:r w:rsidRPr="00BD71F8">
        <w:rPr>
          <w:rFonts w:ascii="Calibri" w:hAnsi="Calibri" w:cs="Calibri"/>
        </w:rPr>
        <w:t>Wireless EV charging presents a more feasible and strategic opportunity for TD Bank compared to space economy financing. This technology aligns with TD’s sustainability goals and ongoing efforts to promote green energy solutions which helps to support the bank’s commitment to environmental responsibility. The rapidly growing electric vehicle market offers a clear revenue potential for TD through charging fees and partnerships. This is done by providing a direct link between the bank’s financial services and a tangible, eco-friendly initiative. Moreover, wireless EV charging is built on established technology which making it a lower-risk investment with immediate customer benefits such as convenience and enhanced loyalty. By offering this service</w:t>
      </w:r>
      <w:r w:rsidR="00FF66E4">
        <w:rPr>
          <w:rFonts w:ascii="Calibri" w:hAnsi="Calibri" w:cs="Calibri"/>
        </w:rPr>
        <w:t xml:space="preserve"> </w:t>
      </w:r>
      <w:r w:rsidRPr="00BD71F8">
        <w:rPr>
          <w:rFonts w:ascii="Calibri" w:hAnsi="Calibri" w:cs="Calibri"/>
        </w:rPr>
        <w:lastRenderedPageBreak/>
        <w:t>TD can strengthen its brand as an eco-conscious leader while encouraging long-term customer engagement.</w:t>
      </w:r>
    </w:p>
    <w:p w14:paraId="2D031D7D" w14:textId="28EB4EE5" w:rsidR="007845A0" w:rsidRPr="00BD71F8" w:rsidRDefault="007845A0" w:rsidP="00265697">
      <w:pPr>
        <w:pStyle w:val="NormalWeb"/>
        <w:spacing w:line="276" w:lineRule="auto"/>
        <w:rPr>
          <w:rFonts w:ascii="Calibri" w:hAnsi="Calibri" w:cs="Calibri"/>
        </w:rPr>
      </w:pPr>
      <w:r w:rsidRPr="00BD71F8">
        <w:rPr>
          <w:rFonts w:ascii="Calibri" w:hAnsi="Calibri" w:cs="Calibri"/>
        </w:rPr>
        <w:t>The scalability and relatively low complexity of wireless charging infrastructure make it an attractive option for TD. The bank can gradually roll out the service across high-traffic areas</w:t>
      </w:r>
      <w:r w:rsidR="00FF66E4">
        <w:rPr>
          <w:rFonts w:ascii="Calibri" w:hAnsi="Calibri" w:cs="Calibri"/>
        </w:rPr>
        <w:t xml:space="preserve"> </w:t>
      </w:r>
      <w:r w:rsidRPr="00BD71F8">
        <w:rPr>
          <w:rFonts w:ascii="Calibri" w:hAnsi="Calibri" w:cs="Calibri"/>
        </w:rPr>
        <w:t>expanding based on demand and integrating the technology seamlessly into its operations. Furthermore, the regulatory environment is favourable with governments incentivising EV adoption positioning TD to capitali</w:t>
      </w:r>
      <w:r w:rsidR="00BD71F8">
        <w:rPr>
          <w:rFonts w:ascii="Calibri" w:hAnsi="Calibri" w:cs="Calibri"/>
        </w:rPr>
        <w:t>s</w:t>
      </w:r>
      <w:r w:rsidRPr="00BD71F8">
        <w:rPr>
          <w:rFonts w:ascii="Calibri" w:hAnsi="Calibri" w:cs="Calibri"/>
        </w:rPr>
        <w:t>e on these trends. The clear business model with tangible returns through moneti</w:t>
      </w:r>
      <w:r w:rsidR="00341FDB">
        <w:rPr>
          <w:rFonts w:ascii="Calibri" w:hAnsi="Calibri" w:cs="Calibri"/>
        </w:rPr>
        <w:t>s</w:t>
      </w:r>
      <w:r w:rsidRPr="00BD71F8">
        <w:rPr>
          <w:rFonts w:ascii="Calibri" w:hAnsi="Calibri" w:cs="Calibri"/>
        </w:rPr>
        <w:t>ation of charging services provides TD with a reliable source of revenue and a more predictable ROI compared to the speculative nature of space economy financing. Overall, wireless EV charging offers a clear path for TD to enhance its sustainability efforts, engage customers and achieve financial growth.</w:t>
      </w:r>
    </w:p>
    <w:p w14:paraId="4D08BE2A" w14:textId="77777777" w:rsidR="007845A0" w:rsidRPr="00BD71F8" w:rsidRDefault="007845A0" w:rsidP="007845A0"/>
    <w:p w14:paraId="713F8AA2" w14:textId="77777777" w:rsidR="00BD71F8" w:rsidRPr="00BD71F8" w:rsidRDefault="00BD71F8" w:rsidP="00B12FA3">
      <w:pPr>
        <w:pStyle w:val="Heading1"/>
        <w:rPr>
          <w:rFonts w:ascii="Calibri" w:hAnsi="Calibri" w:cs="Calibri"/>
        </w:rPr>
      </w:pPr>
      <w:r w:rsidRPr="00BD71F8">
        <w:rPr>
          <w:rFonts w:ascii="Calibri" w:hAnsi="Calibri" w:cs="Calibri"/>
        </w:rPr>
        <w:br w:type="page"/>
      </w:r>
    </w:p>
    <w:bookmarkStart w:id="22" w:name="_Toc182000892"/>
    <w:p w14:paraId="48200452" w14:textId="6DE95863" w:rsidR="00BD71F8" w:rsidRPr="00BD71F8" w:rsidRDefault="00A82E97" w:rsidP="00B12FA3">
      <w:pPr>
        <w:pStyle w:val="Heading1"/>
        <w:rPr>
          <w:rFonts w:ascii="Calibri" w:hAnsi="Calibri" w:cs="Calibri"/>
        </w:rPr>
      </w:pPr>
      <w:r>
        <w:rPr>
          <w:rFonts w:ascii="Calibri" w:hAnsi="Calibri" w:cs="Calibri"/>
          <w:noProof/>
        </w:rPr>
        <w:lastRenderedPageBreak/>
        <mc:AlternateContent>
          <mc:Choice Requires="wps">
            <w:drawing>
              <wp:anchor distT="0" distB="0" distL="114300" distR="114300" simplePos="0" relativeHeight="251658246" behindDoc="0" locked="0" layoutInCell="1" allowOverlap="1" wp14:anchorId="5390E68F" wp14:editId="11F39ACA">
                <wp:simplePos x="0" y="0"/>
                <wp:positionH relativeFrom="column">
                  <wp:posOffset>-700644</wp:posOffset>
                </wp:positionH>
                <wp:positionV relativeFrom="paragraph">
                  <wp:posOffset>-201880</wp:posOffset>
                </wp:positionV>
                <wp:extent cx="7279574" cy="8478982"/>
                <wp:effectExtent l="0" t="0" r="17145" b="17780"/>
                <wp:wrapNone/>
                <wp:docPr id="333096293" name="Rectangle 5"/>
                <wp:cNvGraphicFramePr/>
                <a:graphic xmlns:a="http://schemas.openxmlformats.org/drawingml/2006/main">
                  <a:graphicData uri="http://schemas.microsoft.com/office/word/2010/wordprocessingShape">
                    <wps:wsp>
                      <wps:cNvSpPr/>
                      <wps:spPr>
                        <a:xfrm>
                          <a:off x="0" y="0"/>
                          <a:ext cx="7279574" cy="847898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C02AD1" id="Rectangle 5" o:spid="_x0000_s1026" style="position:absolute;margin-left:-55.15pt;margin-top:-15.9pt;width:573.2pt;height:667.65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" filled="f" strokecolor="black [3213]" strokeweight="1pt"/>
            </w:pict>
          </mc:Fallback>
        </mc:AlternateContent>
      </w:r>
      <w:bookmarkEnd w:id="22"/>
    </w:p>
    <w:p w14:paraId="7074E733" w14:textId="77777777" w:rsidR="00BD71F8" w:rsidRPr="00BD71F8" w:rsidRDefault="00BD71F8" w:rsidP="00BD71F8">
      <w:pPr>
        <w:spacing w:line="278" w:lineRule="auto"/>
        <w:jc w:val="center"/>
        <w:rPr>
          <w:rFonts w:cs="Calibri"/>
          <w:b/>
          <w:bCs/>
          <w:sz w:val="48"/>
          <w:szCs w:val="48"/>
        </w:rPr>
      </w:pPr>
    </w:p>
    <w:p w14:paraId="763DA021" w14:textId="77777777" w:rsidR="00BD71F8" w:rsidRPr="00BD71F8" w:rsidRDefault="00BD71F8" w:rsidP="00BD71F8">
      <w:pPr>
        <w:spacing w:line="278" w:lineRule="auto"/>
        <w:jc w:val="center"/>
        <w:rPr>
          <w:rFonts w:cs="Calibri"/>
          <w:b/>
          <w:bCs/>
          <w:sz w:val="48"/>
          <w:szCs w:val="48"/>
        </w:rPr>
      </w:pPr>
    </w:p>
    <w:p w14:paraId="4BEE82D3" w14:textId="77777777" w:rsidR="00BD71F8" w:rsidRPr="00BD71F8" w:rsidRDefault="00BD71F8" w:rsidP="00BD71F8">
      <w:pPr>
        <w:spacing w:line="278" w:lineRule="auto"/>
        <w:jc w:val="center"/>
        <w:rPr>
          <w:rFonts w:cs="Calibri"/>
          <w:b/>
          <w:bCs/>
          <w:sz w:val="48"/>
          <w:szCs w:val="48"/>
        </w:rPr>
      </w:pPr>
    </w:p>
    <w:p w14:paraId="498E5854" w14:textId="77777777" w:rsidR="00BD71F8" w:rsidRPr="00BD71F8" w:rsidRDefault="00BD71F8" w:rsidP="00BD71F8">
      <w:pPr>
        <w:spacing w:line="278" w:lineRule="auto"/>
        <w:jc w:val="center"/>
        <w:rPr>
          <w:rFonts w:cs="Calibri"/>
          <w:b/>
          <w:bCs/>
          <w:sz w:val="48"/>
          <w:szCs w:val="48"/>
        </w:rPr>
      </w:pPr>
    </w:p>
    <w:p w14:paraId="3A9C1241" w14:textId="77777777" w:rsidR="00BD71F8" w:rsidRPr="00BD71F8" w:rsidRDefault="00BD71F8" w:rsidP="00BD71F8">
      <w:pPr>
        <w:spacing w:line="278" w:lineRule="auto"/>
        <w:jc w:val="center"/>
        <w:rPr>
          <w:rFonts w:cs="Calibri"/>
          <w:b/>
          <w:bCs/>
          <w:sz w:val="48"/>
          <w:szCs w:val="48"/>
        </w:rPr>
      </w:pPr>
    </w:p>
    <w:p w14:paraId="7A3A9DAB" w14:textId="77777777" w:rsidR="00BD71F8" w:rsidRPr="00BD71F8" w:rsidRDefault="00BD71F8" w:rsidP="00BD71F8">
      <w:pPr>
        <w:spacing w:line="278" w:lineRule="auto"/>
        <w:jc w:val="center"/>
        <w:rPr>
          <w:rFonts w:cs="Calibri"/>
          <w:b/>
          <w:bCs/>
          <w:sz w:val="48"/>
          <w:szCs w:val="48"/>
        </w:rPr>
      </w:pPr>
    </w:p>
    <w:p w14:paraId="6EF468A2" w14:textId="10752C8B" w:rsidR="00BD71F8" w:rsidRPr="00BD71F8" w:rsidRDefault="00BD71F8" w:rsidP="00BD71F8">
      <w:pPr>
        <w:spacing w:line="278" w:lineRule="auto"/>
        <w:jc w:val="center"/>
        <w:rPr>
          <w:rFonts w:eastAsiaTheme="majorEastAsia" w:cs="Calibri"/>
          <w:b/>
          <w:bCs/>
          <w:color w:val="0F4761" w:themeColor="accent1" w:themeShade="BF"/>
          <w:sz w:val="40"/>
          <w:szCs w:val="40"/>
        </w:rPr>
      </w:pPr>
      <w:r w:rsidRPr="00BD71F8">
        <w:rPr>
          <w:rFonts w:cs="Calibri"/>
          <w:b/>
          <w:bCs/>
          <w:sz w:val="96"/>
          <w:szCs w:val="96"/>
        </w:rPr>
        <w:t>Feasibility Study</w:t>
      </w:r>
      <w:r w:rsidRPr="00BD71F8">
        <w:rPr>
          <w:rFonts w:cs="Calibri"/>
          <w:b/>
          <w:bCs/>
        </w:rPr>
        <w:br w:type="page"/>
      </w:r>
    </w:p>
    <w:p w14:paraId="1B60BEBA" w14:textId="0F529A41" w:rsidR="00B12FA3" w:rsidRPr="00BD71F8" w:rsidRDefault="00B12FA3" w:rsidP="00B12FA3">
      <w:pPr>
        <w:pStyle w:val="Heading1"/>
        <w:rPr>
          <w:rFonts w:ascii="Calibri" w:hAnsi="Calibri" w:cs="Calibri"/>
        </w:rPr>
      </w:pPr>
      <w:bookmarkStart w:id="23" w:name="_Toc182000893"/>
      <w:r w:rsidRPr="00BD71F8">
        <w:rPr>
          <w:rFonts w:ascii="Calibri" w:hAnsi="Calibri" w:cs="Calibri"/>
        </w:rPr>
        <w:lastRenderedPageBreak/>
        <w:t>Feasibility Study</w:t>
      </w:r>
      <w:bookmarkEnd w:id="23"/>
    </w:p>
    <w:p w14:paraId="0956E099" w14:textId="339738C3" w:rsidR="00B12FA3" w:rsidRDefault="00B12FA3" w:rsidP="00B12FA3">
      <w:pPr>
        <w:pStyle w:val="Heading2"/>
        <w:rPr>
          <w:rFonts w:ascii="Calibri" w:hAnsi="Calibri" w:cs="Calibri"/>
        </w:rPr>
      </w:pPr>
      <w:bookmarkStart w:id="24" w:name="_Toc182000894"/>
      <w:r w:rsidRPr="00BD71F8">
        <w:rPr>
          <w:rFonts w:ascii="Calibri" w:hAnsi="Calibri" w:cs="Calibri"/>
        </w:rPr>
        <w:t>Revenue</w:t>
      </w:r>
      <w:bookmarkEnd w:id="24"/>
    </w:p>
    <w:p w14:paraId="0BE647F4" w14:textId="77777777" w:rsidR="00165076" w:rsidRPr="00165076" w:rsidRDefault="00165076" w:rsidP="00165076">
      <w:pPr>
        <w:spacing w:line="276" w:lineRule="auto"/>
        <w:rPr>
          <w:sz w:val="24"/>
          <w:szCs w:val="24"/>
          <w:lang w:val="en-CA"/>
        </w:rPr>
      </w:pPr>
      <w:r w:rsidRPr="00165076">
        <w:rPr>
          <w:b/>
          <w:bCs/>
          <w:lang w:val="en-CA"/>
        </w:rPr>
        <w:t>Revenue From Charging Equipment</w:t>
      </w:r>
      <w:r w:rsidRPr="00165076">
        <w:rPr>
          <w:lang w:val="en-CA"/>
        </w:rPr>
        <w:br/>
      </w:r>
      <w:r w:rsidRPr="00165076">
        <w:rPr>
          <w:sz w:val="24"/>
          <w:szCs w:val="24"/>
          <w:lang w:val="en-CA"/>
        </w:rPr>
        <w:t>During the first year the income from charging equipment is low, indicating the beginning setup period. In Year 2 the substantial growth occurs with revenue soaring to around $25 million. This may suggest a successful launch and strong early demand for charging equipment.</w:t>
      </w:r>
    </w:p>
    <w:p w14:paraId="1C630E38" w14:textId="3FD3CAE0" w:rsidR="00165076" w:rsidRPr="00165076" w:rsidRDefault="00165076" w:rsidP="00165076">
      <w:pPr>
        <w:spacing w:line="276" w:lineRule="auto"/>
        <w:rPr>
          <w:sz w:val="24"/>
          <w:szCs w:val="24"/>
          <w:lang w:val="en-CA"/>
        </w:rPr>
      </w:pPr>
      <w:r w:rsidRPr="00165076">
        <w:rPr>
          <w:sz w:val="24"/>
          <w:szCs w:val="24"/>
          <w:lang w:val="en-CA"/>
        </w:rPr>
        <w:t>After Year 2 and at the start of Year 3 revenue increases steadily at a linear pace. By Year 10, it approaches approximately $40 million and keeps rising</w:t>
      </w:r>
      <w:r w:rsidR="00FF66E4">
        <w:rPr>
          <w:sz w:val="24"/>
          <w:szCs w:val="24"/>
          <w:lang w:val="en-CA"/>
        </w:rPr>
        <w:t xml:space="preserve"> </w:t>
      </w:r>
      <w:r w:rsidRPr="00165076">
        <w:rPr>
          <w:sz w:val="24"/>
          <w:szCs w:val="24"/>
          <w:lang w:val="en-CA"/>
        </w:rPr>
        <w:t>finally nearing $65 million by Year 20</w:t>
      </w:r>
      <w:r w:rsidR="00FF66E4">
        <w:rPr>
          <w:sz w:val="24"/>
          <w:szCs w:val="24"/>
          <w:lang w:val="en-CA"/>
        </w:rPr>
        <w:t>.</w:t>
      </w:r>
    </w:p>
    <w:p w14:paraId="1F254520" w14:textId="0CB2DA81" w:rsidR="00165076" w:rsidRPr="00165076" w:rsidRDefault="00165076" w:rsidP="00165076">
      <w:pPr>
        <w:spacing w:line="276" w:lineRule="auto"/>
        <w:rPr>
          <w:sz w:val="24"/>
          <w:szCs w:val="24"/>
          <w:lang w:val="en-CA"/>
        </w:rPr>
      </w:pPr>
      <w:r w:rsidRPr="00165076">
        <w:rPr>
          <w:sz w:val="24"/>
          <w:szCs w:val="24"/>
          <w:lang w:val="en-CA"/>
        </w:rPr>
        <w:t>Compound Annual Growth Rate (CAGR) Estimation: Using a rough estimate from Year 2 to Year 20 the CAGR for sales of charging equipment appears to be approximately 6.5% suggesting consistent and robust growth.</w:t>
      </w:r>
    </w:p>
    <w:p w14:paraId="73D99ABD" w14:textId="6C83D007" w:rsidR="00165076" w:rsidRPr="00165076" w:rsidRDefault="00165076" w:rsidP="00165076">
      <w:pPr>
        <w:spacing w:line="276" w:lineRule="auto"/>
        <w:rPr>
          <w:sz w:val="24"/>
          <w:szCs w:val="24"/>
          <w:lang w:val="en-CA"/>
        </w:rPr>
      </w:pPr>
      <w:r w:rsidRPr="00165076">
        <w:rPr>
          <w:sz w:val="24"/>
          <w:szCs w:val="24"/>
          <w:lang w:val="en-CA"/>
        </w:rPr>
        <w:t>Strategic Insight for TD Bank: The consistent rise in equipment sales indicates a dependable source of income</w:t>
      </w:r>
      <w:r w:rsidR="00FF66E4">
        <w:rPr>
          <w:sz w:val="24"/>
          <w:szCs w:val="24"/>
          <w:lang w:val="en-CA"/>
        </w:rPr>
        <w:t xml:space="preserve"> </w:t>
      </w:r>
      <w:r w:rsidRPr="00165076">
        <w:rPr>
          <w:sz w:val="24"/>
          <w:szCs w:val="24"/>
          <w:lang w:val="en-CA"/>
        </w:rPr>
        <w:t>as clients buy and may upgrade or substitute their equipment. TD Bank's investment in WiTricity could capitali</w:t>
      </w:r>
      <w:r>
        <w:rPr>
          <w:sz w:val="24"/>
          <w:szCs w:val="24"/>
          <w:lang w:val="en-CA"/>
        </w:rPr>
        <w:t>s</w:t>
      </w:r>
      <w:r w:rsidRPr="00165076">
        <w:rPr>
          <w:sz w:val="24"/>
          <w:szCs w:val="24"/>
          <w:lang w:val="en-CA"/>
        </w:rPr>
        <w:t>e on this trend</w:t>
      </w:r>
      <w:r w:rsidR="00FF66E4">
        <w:rPr>
          <w:sz w:val="24"/>
          <w:szCs w:val="24"/>
          <w:lang w:val="en-CA"/>
        </w:rPr>
        <w:t xml:space="preserve"> </w:t>
      </w:r>
      <w:r w:rsidRPr="00165076">
        <w:rPr>
          <w:sz w:val="24"/>
          <w:szCs w:val="24"/>
          <w:lang w:val="en-CA"/>
        </w:rPr>
        <w:t>increasing sales by marketing WiTricity products in the expanding EV market.</w:t>
      </w:r>
    </w:p>
    <w:p w14:paraId="7E1234C0" w14:textId="7D32B744" w:rsidR="00165076" w:rsidRPr="00165076" w:rsidRDefault="00165076" w:rsidP="00165076">
      <w:pPr>
        <w:rPr>
          <w:lang w:val="en-CA"/>
        </w:rPr>
      </w:pPr>
      <w:r w:rsidRPr="00165076">
        <w:rPr>
          <w:noProof/>
          <w:lang w:val="en-CA"/>
        </w:rPr>
        <w:drawing>
          <wp:inline distT="0" distB="0" distL="0" distR="0" wp14:anchorId="5C73B6E2" wp14:editId="64B7E0AA">
            <wp:extent cx="5958840" cy="2621280"/>
            <wp:effectExtent l="0" t="0" r="3810" b="7620"/>
            <wp:docPr id="667222033" name="Chart 20">
              <a:extLst xmlns:a="http://schemas.openxmlformats.org/drawingml/2006/main">
                <a:ext uri="{FF2B5EF4-FFF2-40B4-BE49-F238E27FC236}">
                  <a16:creationId xmlns:a16="http://schemas.microsoft.com/office/drawing/2014/main" id="{6C24C451-5481-403B-BD62-B3EE0E1643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C3D8F9" w14:textId="6A4B7CEE" w:rsidR="00165076" w:rsidRPr="00165076" w:rsidRDefault="00165076" w:rsidP="00165076">
      <w:pPr>
        <w:spacing w:line="276" w:lineRule="auto"/>
        <w:rPr>
          <w:sz w:val="24"/>
          <w:szCs w:val="24"/>
          <w:lang w:val="en-CA"/>
        </w:rPr>
      </w:pPr>
      <w:r w:rsidRPr="00165076">
        <w:rPr>
          <w:b/>
          <w:bCs/>
          <w:sz w:val="24"/>
          <w:szCs w:val="24"/>
          <w:lang w:val="en-CA"/>
        </w:rPr>
        <w:t>Revenue From Promotions and Funding</w:t>
      </w:r>
      <w:r w:rsidRPr="00165076">
        <w:rPr>
          <w:sz w:val="24"/>
          <w:szCs w:val="24"/>
          <w:lang w:val="en-CA"/>
        </w:rPr>
        <w:br/>
        <w:t>Income generated from advertising and sponsorship displays steady linear expansion throughout the two-decade timeframe. Beginning with approximately $5 million in Year 1 it increases to nearly $15 million by Year 10 and totals $27 million by Year 20.</w:t>
      </w:r>
    </w:p>
    <w:p w14:paraId="6B67C031" w14:textId="17D09807" w:rsidR="00165076" w:rsidRPr="00165076" w:rsidRDefault="00165076" w:rsidP="00165076">
      <w:pPr>
        <w:spacing w:line="276" w:lineRule="auto"/>
        <w:rPr>
          <w:sz w:val="24"/>
          <w:szCs w:val="24"/>
          <w:lang w:val="en-CA"/>
        </w:rPr>
      </w:pPr>
      <w:r w:rsidRPr="00165076">
        <w:rPr>
          <w:sz w:val="24"/>
          <w:szCs w:val="24"/>
          <w:lang w:val="en-CA"/>
        </w:rPr>
        <w:t>Every year the income rises by approximately $1 million to $1.5 million demonstrating a consistent and steady rise.</w:t>
      </w:r>
    </w:p>
    <w:p w14:paraId="0644FBAF" w14:textId="77777777" w:rsidR="00165076" w:rsidRPr="00165076" w:rsidRDefault="00165076" w:rsidP="00165076">
      <w:pPr>
        <w:spacing w:line="276" w:lineRule="auto"/>
        <w:rPr>
          <w:sz w:val="24"/>
          <w:szCs w:val="24"/>
          <w:lang w:val="en-CA"/>
        </w:rPr>
      </w:pPr>
      <w:r w:rsidRPr="00165076">
        <w:rPr>
          <w:sz w:val="24"/>
          <w:szCs w:val="24"/>
          <w:lang w:val="en-CA"/>
        </w:rPr>
        <w:lastRenderedPageBreak/>
        <w:t>The income almost increases fivefold, rising from $5 million to $27 million. This rate of growth indicates that WiTricity's brand recognition and visibility will pull in more advertisers as the adoption of EVs rises over time.</w:t>
      </w:r>
    </w:p>
    <w:p w14:paraId="30D823F9" w14:textId="38650535" w:rsidR="00165076" w:rsidRDefault="00165076" w:rsidP="00165076">
      <w:pPr>
        <w:spacing w:line="276" w:lineRule="auto"/>
        <w:rPr>
          <w:lang w:val="en-CA"/>
        </w:rPr>
      </w:pPr>
      <w:r w:rsidRPr="00165076">
        <w:rPr>
          <w:sz w:val="24"/>
          <w:szCs w:val="24"/>
          <w:lang w:val="en-CA"/>
        </w:rPr>
        <w:t>By purchasing WiTricity TD Bank might leverage this consistent revenue growth via strategic advertising collaborations particularly with firms concentrating on sustainability and eco-friendly technologies. This would create an additional revenue source and enhance TD's brand association with</w:t>
      </w:r>
      <w:r>
        <w:rPr>
          <w:sz w:val="24"/>
          <w:szCs w:val="24"/>
          <w:lang w:val="en-CA"/>
        </w:rPr>
        <w:t xml:space="preserve"> </w:t>
      </w:r>
      <w:r w:rsidRPr="00165076">
        <w:rPr>
          <w:sz w:val="24"/>
          <w:szCs w:val="24"/>
          <w:lang w:val="en-CA"/>
        </w:rPr>
        <w:t xml:space="preserve">environmentally </w:t>
      </w:r>
      <w:r w:rsidRPr="00165076">
        <w:rPr>
          <w:lang w:val="en-CA"/>
        </w:rPr>
        <w:t>friendly efforts.</w:t>
      </w:r>
    </w:p>
    <w:p w14:paraId="1F7820FF" w14:textId="55D03D9A" w:rsidR="00165076" w:rsidRPr="00165076" w:rsidRDefault="00165076" w:rsidP="00165076">
      <w:pPr>
        <w:spacing w:line="276" w:lineRule="auto"/>
        <w:rPr>
          <w:lang w:val="en-CA"/>
        </w:rPr>
      </w:pPr>
      <w:r w:rsidRPr="00165076">
        <w:rPr>
          <w:noProof/>
          <w:lang w:val="en-CA"/>
        </w:rPr>
        <w:drawing>
          <wp:inline distT="0" distB="0" distL="0" distR="0" wp14:anchorId="5E3BE2D4" wp14:editId="380D5599">
            <wp:extent cx="4564380" cy="2758440"/>
            <wp:effectExtent l="0" t="0" r="7620" b="3810"/>
            <wp:docPr id="1679728925" name="Chart 19">
              <a:extLst xmlns:a="http://schemas.openxmlformats.org/drawingml/2006/main">
                <a:ext uri="{FF2B5EF4-FFF2-40B4-BE49-F238E27FC236}">
                  <a16:creationId xmlns:a16="http://schemas.microsoft.com/office/drawing/2014/main" id="{1160AA28-372E-4F9F-9138-D68CCC28B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227F9E" w14:textId="0D08F349" w:rsidR="00165076" w:rsidRDefault="00165076" w:rsidP="00165076">
      <w:pPr>
        <w:spacing w:line="276" w:lineRule="auto"/>
        <w:rPr>
          <w:lang w:val="en-CA"/>
        </w:rPr>
      </w:pPr>
      <w:r w:rsidRPr="00165076">
        <w:rPr>
          <w:b/>
          <w:bCs/>
          <w:sz w:val="24"/>
          <w:szCs w:val="24"/>
          <w:lang w:val="en-CA"/>
        </w:rPr>
        <w:t>Revenue Generated by Operating Charging Stations</w:t>
      </w:r>
      <w:r w:rsidRPr="00165076">
        <w:rPr>
          <w:sz w:val="24"/>
          <w:szCs w:val="24"/>
          <w:lang w:val="en-CA"/>
        </w:rPr>
        <w:br/>
      </w:r>
      <w:r w:rsidRPr="00165076">
        <w:rPr>
          <w:sz w:val="24"/>
          <w:szCs w:val="24"/>
          <w:lang w:val="en-CA"/>
        </w:rPr>
        <w:br/>
        <w:t>This revenue source exhibits an exponential growth trend beginning slowly but accelerating quickly as time progresses. In the first year</w:t>
      </w:r>
      <w:r w:rsidR="00FF66E4">
        <w:rPr>
          <w:sz w:val="24"/>
          <w:szCs w:val="24"/>
          <w:lang w:val="en-CA"/>
        </w:rPr>
        <w:t xml:space="preserve"> </w:t>
      </w:r>
      <w:r w:rsidRPr="00165076">
        <w:rPr>
          <w:sz w:val="24"/>
          <w:szCs w:val="24"/>
          <w:lang w:val="en-CA"/>
        </w:rPr>
        <w:t>the earnings are approximately $2 million increasing to $5 million by the third year. The rate of growth significantly speeds up starting in Year 10. By Year 15, revenue hits about $20 million by Year 20 as it increases to roughly $42 million.</w:t>
      </w:r>
      <w:r w:rsidRPr="00165076">
        <w:rPr>
          <w:sz w:val="24"/>
          <w:szCs w:val="24"/>
          <w:lang w:val="en-CA"/>
        </w:rPr>
        <w:br/>
      </w:r>
      <w:r w:rsidRPr="00165076">
        <w:rPr>
          <w:sz w:val="24"/>
          <w:szCs w:val="24"/>
          <w:lang w:val="en-CA"/>
        </w:rPr>
        <w:br/>
        <w:t>Considering Year 1 ($2 million) and Year 20 ($42 million) figures the CAGR is approximately 17% which indicates a substantial growth potential. This rapid growth indicates a rising need for public EV charging infrastructure as the adoption of electric vehicles grows. TD Bank stands to gain greatly from this rapidly expanding sector earning steady revenue from station operations as the number of EVs increases</w:t>
      </w:r>
      <w:r w:rsidRPr="00165076">
        <w:rPr>
          <w:lang w:val="en-CA"/>
        </w:rPr>
        <w:t>.</w:t>
      </w:r>
    </w:p>
    <w:p w14:paraId="5E96A7DC" w14:textId="69D4648E" w:rsidR="00165076" w:rsidRPr="00165076" w:rsidRDefault="00165076" w:rsidP="00165076">
      <w:pPr>
        <w:spacing w:line="276" w:lineRule="auto"/>
        <w:rPr>
          <w:lang w:val="en-CA"/>
        </w:rPr>
      </w:pPr>
      <w:r w:rsidRPr="00165076">
        <w:rPr>
          <w:noProof/>
          <w:lang w:val="en-CA"/>
        </w:rPr>
        <w:lastRenderedPageBreak/>
        <w:drawing>
          <wp:inline distT="0" distB="0" distL="0" distR="0" wp14:anchorId="3A79B9FB" wp14:editId="4C2D3B27">
            <wp:extent cx="5250180" cy="2788920"/>
            <wp:effectExtent l="0" t="0" r="7620" b="11430"/>
            <wp:docPr id="730992145" name="Chart 18">
              <a:extLst xmlns:a="http://schemas.openxmlformats.org/drawingml/2006/main">
                <a:ext uri="{FF2B5EF4-FFF2-40B4-BE49-F238E27FC236}">
                  <a16:creationId xmlns:a16="http://schemas.microsoft.com/office/drawing/2014/main" id="{BFE24CF8-1957-489B-AB08-2C1BD57F4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B278DD" w14:textId="77777777" w:rsidR="00165076" w:rsidRPr="00165076" w:rsidRDefault="00165076" w:rsidP="00165076">
      <w:pPr>
        <w:spacing w:line="276" w:lineRule="auto"/>
        <w:rPr>
          <w:b/>
          <w:bCs/>
          <w:sz w:val="24"/>
          <w:szCs w:val="24"/>
          <w:lang w:val="en-CA"/>
        </w:rPr>
      </w:pPr>
      <w:r w:rsidRPr="00165076">
        <w:rPr>
          <w:b/>
          <w:bCs/>
          <w:sz w:val="24"/>
          <w:szCs w:val="24"/>
          <w:lang w:val="en-CA"/>
        </w:rPr>
        <w:t>Revenue From EV Charging</w:t>
      </w:r>
    </w:p>
    <w:p w14:paraId="5DD39D3C" w14:textId="77777777" w:rsidR="00165076" w:rsidRPr="00165076" w:rsidRDefault="00165076" w:rsidP="00165076">
      <w:pPr>
        <w:spacing w:line="276" w:lineRule="auto"/>
        <w:rPr>
          <w:sz w:val="24"/>
          <w:szCs w:val="24"/>
          <w:lang w:val="en-CA"/>
        </w:rPr>
      </w:pPr>
    </w:p>
    <w:p w14:paraId="1A43F6AB" w14:textId="2B69F3FD" w:rsidR="00165076" w:rsidRPr="00165076" w:rsidRDefault="00165076" w:rsidP="00165076">
      <w:pPr>
        <w:spacing w:line="276" w:lineRule="auto"/>
        <w:rPr>
          <w:sz w:val="24"/>
          <w:szCs w:val="24"/>
          <w:lang w:val="en-CA"/>
        </w:rPr>
      </w:pPr>
      <w:r w:rsidRPr="00165076">
        <w:rPr>
          <w:sz w:val="24"/>
          <w:szCs w:val="24"/>
          <w:lang w:val="en-CA"/>
        </w:rPr>
        <w:t>Revenue begins at a low point during the early years and approaches roughly 5 million by Year 5, showing a slow steady rise.</w:t>
      </w:r>
    </w:p>
    <w:p w14:paraId="3C5AB8DE" w14:textId="77777777" w:rsidR="00165076" w:rsidRPr="00165076" w:rsidRDefault="00165076" w:rsidP="00165076">
      <w:pPr>
        <w:spacing w:line="276" w:lineRule="auto"/>
        <w:rPr>
          <w:sz w:val="24"/>
          <w:szCs w:val="24"/>
          <w:lang w:val="en-CA"/>
        </w:rPr>
      </w:pPr>
      <w:r w:rsidRPr="00165076">
        <w:rPr>
          <w:sz w:val="24"/>
          <w:szCs w:val="24"/>
          <w:lang w:val="en-CA"/>
        </w:rPr>
        <w:t>In Year 15, revenue reaches approximately 10 million, indicating a steady growth path over time.</w:t>
      </w:r>
    </w:p>
    <w:p w14:paraId="7F72DFB5" w14:textId="1EBEF4F8" w:rsidR="00165076" w:rsidRPr="00165076" w:rsidRDefault="00165076" w:rsidP="00165076">
      <w:pPr>
        <w:spacing w:line="276" w:lineRule="auto"/>
        <w:rPr>
          <w:sz w:val="24"/>
          <w:szCs w:val="24"/>
          <w:lang w:val="en-CA"/>
        </w:rPr>
      </w:pPr>
      <w:r w:rsidRPr="00165076">
        <w:rPr>
          <w:sz w:val="24"/>
          <w:szCs w:val="24"/>
          <w:lang w:val="en-CA"/>
        </w:rPr>
        <w:t>In Year 25, revenue exceeds 25 million demonstrating robust sustainable growth and underscoring the long-term potential of EV charging fees as a dependable source of income.</w:t>
      </w:r>
    </w:p>
    <w:p w14:paraId="74FD1265" w14:textId="1E591989" w:rsidR="00165076" w:rsidRPr="00165076" w:rsidRDefault="00165076" w:rsidP="00165076">
      <w:pPr>
        <w:rPr>
          <w:lang w:val="en-CA"/>
        </w:rPr>
      </w:pPr>
      <w:r w:rsidRPr="00165076">
        <w:rPr>
          <w:noProof/>
          <w:lang w:val="en-CA"/>
        </w:rPr>
        <w:drawing>
          <wp:inline distT="0" distB="0" distL="0" distR="0" wp14:anchorId="6AE0994A" wp14:editId="47583795">
            <wp:extent cx="4587240" cy="2758440"/>
            <wp:effectExtent l="0" t="0" r="3810" b="3810"/>
            <wp:docPr id="1068287553" name="Chart 17">
              <a:extLst xmlns:a="http://schemas.openxmlformats.org/drawingml/2006/main">
                <a:ext uri="{FF2B5EF4-FFF2-40B4-BE49-F238E27FC236}">
                  <a16:creationId xmlns:a16="http://schemas.microsoft.com/office/drawing/2014/main" id="{BA60FF90-E378-4D87-A459-3ABBA88238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B79F68" w14:textId="77777777" w:rsidR="00165076" w:rsidRPr="00165076" w:rsidRDefault="00165076" w:rsidP="00165076">
      <w:pPr>
        <w:rPr>
          <w:lang w:val="en-CA"/>
        </w:rPr>
      </w:pPr>
    </w:p>
    <w:p w14:paraId="320BC93A" w14:textId="77777777" w:rsidR="00165076" w:rsidRPr="00165076" w:rsidRDefault="00165076" w:rsidP="00165076">
      <w:pPr>
        <w:spacing w:line="276" w:lineRule="auto"/>
        <w:rPr>
          <w:b/>
          <w:bCs/>
          <w:sz w:val="24"/>
          <w:szCs w:val="24"/>
          <w:lang w:val="en-CA"/>
        </w:rPr>
      </w:pPr>
      <w:r w:rsidRPr="00165076">
        <w:rPr>
          <w:b/>
          <w:bCs/>
          <w:sz w:val="24"/>
          <w:szCs w:val="24"/>
          <w:lang w:val="en-CA"/>
        </w:rPr>
        <w:lastRenderedPageBreak/>
        <w:t>Revenue From Contracts Signed by Third Parties</w:t>
      </w:r>
    </w:p>
    <w:p w14:paraId="09338978" w14:textId="3F3F23DA" w:rsidR="00165076" w:rsidRPr="00165076" w:rsidRDefault="00165076" w:rsidP="00165076">
      <w:pPr>
        <w:spacing w:line="276" w:lineRule="auto"/>
        <w:rPr>
          <w:sz w:val="24"/>
          <w:szCs w:val="24"/>
          <w:lang w:val="en-CA"/>
        </w:rPr>
      </w:pPr>
      <w:r w:rsidRPr="00165076">
        <w:rPr>
          <w:sz w:val="24"/>
          <w:szCs w:val="24"/>
          <w:lang w:val="en-CA"/>
        </w:rPr>
        <w:t>Revenue begins near zero and approaches around 100 million by Year 5, indicating a swift</w:t>
      </w:r>
      <w:r w:rsidR="00FF66E4">
        <w:rPr>
          <w:sz w:val="24"/>
          <w:szCs w:val="24"/>
          <w:lang w:val="en-CA"/>
        </w:rPr>
        <w:t xml:space="preserve"> </w:t>
      </w:r>
      <w:r w:rsidRPr="00165076">
        <w:rPr>
          <w:sz w:val="24"/>
          <w:szCs w:val="24"/>
          <w:lang w:val="en-CA"/>
        </w:rPr>
        <w:t>exponential growth pattern.</w:t>
      </w:r>
    </w:p>
    <w:p w14:paraId="192D7A71" w14:textId="744F3DAE" w:rsidR="00165076" w:rsidRPr="00165076" w:rsidRDefault="00165076" w:rsidP="00165076">
      <w:pPr>
        <w:spacing w:line="276" w:lineRule="auto"/>
        <w:rPr>
          <w:sz w:val="24"/>
          <w:szCs w:val="24"/>
          <w:lang w:val="en-CA"/>
        </w:rPr>
      </w:pPr>
      <w:r w:rsidRPr="00165076">
        <w:rPr>
          <w:sz w:val="24"/>
          <w:szCs w:val="24"/>
          <w:lang w:val="en-CA"/>
        </w:rPr>
        <w:t>By Year 10, revenue exceeds 200 million more than doubling and continuing to grow as partnerships and market adoption rise.</w:t>
      </w:r>
    </w:p>
    <w:p w14:paraId="00BEFD39" w14:textId="77777777" w:rsidR="00165076" w:rsidRPr="00165076" w:rsidRDefault="00165076" w:rsidP="00165076">
      <w:pPr>
        <w:spacing w:line="276" w:lineRule="auto"/>
        <w:rPr>
          <w:sz w:val="24"/>
          <w:szCs w:val="24"/>
          <w:lang w:val="en-CA"/>
        </w:rPr>
      </w:pPr>
      <w:r w:rsidRPr="00165076">
        <w:rPr>
          <w:sz w:val="24"/>
          <w:szCs w:val="24"/>
          <w:lang w:val="en-CA"/>
        </w:rPr>
        <w:t>Revenue nears 1 billion by Year 20, establishing third-party earnings as WiTricity's most profitable and rapidly growing revenue source.</w:t>
      </w:r>
    </w:p>
    <w:p w14:paraId="3A0521B7" w14:textId="0334E031" w:rsidR="00165076" w:rsidRPr="00165076" w:rsidRDefault="00A35E53" w:rsidP="00165076">
      <w:pPr>
        <w:rPr>
          <w:lang w:val="en-CA"/>
        </w:rPr>
      </w:pPr>
      <w:r>
        <w:rPr>
          <w:noProof/>
        </w:rPr>
        <w:drawing>
          <wp:inline distT="0" distB="0" distL="0" distR="0" wp14:anchorId="7055657D" wp14:editId="3752FF25">
            <wp:extent cx="4591837" cy="2804160"/>
            <wp:effectExtent l="0" t="0" r="0" b="0"/>
            <wp:docPr id="852400520" name="Picture 5" descr="A graph showing the growth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00520" name="Picture 5" descr="A graph showing the growth of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7972" cy="2807907"/>
                    </a:xfrm>
                    <a:prstGeom prst="rect">
                      <a:avLst/>
                    </a:prstGeom>
                    <a:noFill/>
                    <a:ln>
                      <a:noFill/>
                    </a:ln>
                  </pic:spPr>
                </pic:pic>
              </a:graphicData>
            </a:graphic>
          </wp:inline>
        </w:drawing>
      </w:r>
    </w:p>
    <w:p w14:paraId="71EB312F" w14:textId="77777777" w:rsidR="00165076" w:rsidRPr="00165076" w:rsidRDefault="00165076" w:rsidP="00165076">
      <w:pPr>
        <w:spacing w:line="276" w:lineRule="auto"/>
        <w:rPr>
          <w:b/>
          <w:bCs/>
          <w:sz w:val="24"/>
          <w:szCs w:val="24"/>
          <w:lang w:val="en-CA"/>
        </w:rPr>
      </w:pPr>
      <w:r w:rsidRPr="00165076">
        <w:rPr>
          <w:b/>
          <w:bCs/>
          <w:sz w:val="24"/>
          <w:szCs w:val="24"/>
          <w:lang w:val="en-CA"/>
        </w:rPr>
        <w:t>Revenue From Governmental Subsidies</w:t>
      </w:r>
    </w:p>
    <w:p w14:paraId="66CADD38" w14:textId="77777777" w:rsidR="00165076" w:rsidRPr="00165076" w:rsidRDefault="00165076" w:rsidP="00165076">
      <w:pPr>
        <w:spacing w:line="276" w:lineRule="auto"/>
        <w:rPr>
          <w:sz w:val="24"/>
          <w:szCs w:val="24"/>
          <w:lang w:val="en-CA"/>
        </w:rPr>
      </w:pPr>
      <w:r w:rsidRPr="00165076">
        <w:rPr>
          <w:sz w:val="24"/>
          <w:szCs w:val="24"/>
          <w:lang w:val="en-CA"/>
        </w:rPr>
        <w:t>Government grants deliver 10 million in Year 1 by offering crucial early financial assistance.</w:t>
      </w:r>
    </w:p>
    <w:p w14:paraId="0F95A502" w14:textId="77777777" w:rsidR="00165076" w:rsidRPr="00165076" w:rsidRDefault="00165076" w:rsidP="00165076">
      <w:pPr>
        <w:spacing w:line="276" w:lineRule="auto"/>
        <w:rPr>
          <w:sz w:val="24"/>
          <w:szCs w:val="24"/>
          <w:lang w:val="en-CA"/>
        </w:rPr>
      </w:pPr>
      <w:r w:rsidRPr="00165076">
        <w:rPr>
          <w:sz w:val="24"/>
          <w:szCs w:val="24"/>
          <w:lang w:val="en-CA"/>
        </w:rPr>
        <w:t>In Year 2, the financial aid stayed at 10 million by providing reliable assistance during the initial phases of the enterprise.</w:t>
      </w:r>
    </w:p>
    <w:p w14:paraId="7AE7F445" w14:textId="77777777" w:rsidR="00165076" w:rsidRPr="00165076" w:rsidRDefault="00165076" w:rsidP="00165076">
      <w:pPr>
        <w:spacing w:line="276" w:lineRule="auto"/>
        <w:rPr>
          <w:sz w:val="24"/>
          <w:szCs w:val="24"/>
          <w:lang w:val="en-CA"/>
        </w:rPr>
      </w:pPr>
      <w:r w:rsidRPr="00165076">
        <w:rPr>
          <w:sz w:val="24"/>
          <w:szCs w:val="24"/>
          <w:lang w:val="en-CA"/>
        </w:rPr>
        <w:t>Starting from Year 3 there are no further subsidies which indicates that this funding stream is restricted to the first two years highlighting the necessity for sustainable revenue from alternative sources.</w:t>
      </w:r>
    </w:p>
    <w:p w14:paraId="2F930443" w14:textId="715718C9" w:rsidR="00165076" w:rsidRPr="00165076" w:rsidRDefault="00165076" w:rsidP="00165076">
      <w:pPr>
        <w:rPr>
          <w:lang w:val="en-CA"/>
        </w:rPr>
      </w:pPr>
      <w:r w:rsidRPr="00165076">
        <w:rPr>
          <w:noProof/>
          <w:lang w:val="en-CA"/>
        </w:rPr>
        <w:lastRenderedPageBreak/>
        <w:drawing>
          <wp:inline distT="0" distB="0" distL="0" distR="0" wp14:anchorId="64F2A2EB" wp14:editId="1D3ABC50">
            <wp:extent cx="4587240" cy="2788920"/>
            <wp:effectExtent l="0" t="0" r="3810" b="11430"/>
            <wp:docPr id="1276963711" name="Chart 15">
              <a:extLst xmlns:a="http://schemas.openxmlformats.org/drawingml/2006/main">
                <a:ext uri="{FF2B5EF4-FFF2-40B4-BE49-F238E27FC236}">
                  <a16:creationId xmlns:a16="http://schemas.microsoft.com/office/drawing/2014/main" id="{CB3A7C1F-06B0-4C83-BBA4-0C2BDC7AB4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17484C" w14:textId="77777777" w:rsidR="00165076" w:rsidRPr="00165076" w:rsidRDefault="00165076" w:rsidP="00165076">
      <w:pPr>
        <w:rPr>
          <w:lang w:val="en-CA"/>
        </w:rPr>
      </w:pPr>
    </w:p>
    <w:p w14:paraId="363D49CD" w14:textId="77777777" w:rsidR="00165076" w:rsidRPr="00165076" w:rsidRDefault="00165076" w:rsidP="00165076">
      <w:pPr>
        <w:rPr>
          <w:b/>
          <w:bCs/>
          <w:sz w:val="24"/>
          <w:szCs w:val="24"/>
          <w:lang w:val="en-CA"/>
        </w:rPr>
      </w:pPr>
      <w:r w:rsidRPr="00165076">
        <w:rPr>
          <w:b/>
          <w:bCs/>
          <w:sz w:val="24"/>
          <w:szCs w:val="24"/>
          <w:lang w:val="en-CA"/>
        </w:rPr>
        <w:t>Total Revenue by Each Revenue Stream achieved by 20 years</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65076" w:rsidRPr="00165076" w14:paraId="1D6B7407" w14:textId="77777777" w:rsidTr="00397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8450E2B" w14:textId="77777777" w:rsidR="00165076" w:rsidRPr="00165076" w:rsidRDefault="00165076" w:rsidP="00165076">
            <w:pPr>
              <w:spacing w:after="160"/>
              <w:rPr>
                <w:sz w:val="24"/>
                <w:szCs w:val="24"/>
                <w:lang w:val="en-CA"/>
              </w:rPr>
            </w:pPr>
            <w:r w:rsidRPr="00165076">
              <w:rPr>
                <w:sz w:val="24"/>
                <w:szCs w:val="24"/>
                <w:lang w:val="en-CA"/>
              </w:rPr>
              <w:t>Revenue Source</w:t>
            </w:r>
          </w:p>
        </w:tc>
        <w:tc>
          <w:tcPr>
            <w:tcW w:w="4675" w:type="dxa"/>
            <w:hideMark/>
          </w:tcPr>
          <w:p w14:paraId="3C3D7983" w14:textId="77777777" w:rsidR="00165076" w:rsidRPr="00165076" w:rsidRDefault="00165076" w:rsidP="00165076">
            <w:pPr>
              <w:spacing w:after="160"/>
              <w:cnfStyle w:val="100000000000" w:firstRow="1" w:lastRow="0" w:firstColumn="0" w:lastColumn="0" w:oddVBand="0" w:evenVBand="0" w:oddHBand="0" w:evenHBand="0" w:firstRowFirstColumn="0" w:firstRowLastColumn="0" w:lastRowFirstColumn="0" w:lastRowLastColumn="0"/>
              <w:rPr>
                <w:sz w:val="24"/>
                <w:szCs w:val="24"/>
                <w:lang w:val="en-CA"/>
              </w:rPr>
            </w:pPr>
            <w:r w:rsidRPr="00165076">
              <w:rPr>
                <w:sz w:val="24"/>
                <w:szCs w:val="24"/>
                <w:lang w:val="en-CA"/>
              </w:rPr>
              <w:t>Revenue Generated</w:t>
            </w:r>
          </w:p>
        </w:tc>
      </w:tr>
      <w:tr w:rsidR="00165076" w:rsidRPr="00165076" w14:paraId="4A15677B" w14:textId="77777777" w:rsidTr="00397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3E4EF76D" w14:textId="77777777" w:rsidR="00165076" w:rsidRPr="00397FFD" w:rsidRDefault="00165076" w:rsidP="00165076">
            <w:pPr>
              <w:spacing w:after="160"/>
              <w:rPr>
                <w:sz w:val="24"/>
                <w:szCs w:val="24"/>
                <w:lang w:val="en-CA"/>
              </w:rPr>
            </w:pPr>
            <w:r w:rsidRPr="00397FFD">
              <w:rPr>
                <w:sz w:val="24"/>
                <w:szCs w:val="24"/>
                <w:lang w:val="en-CA"/>
              </w:rPr>
              <w:t>Charging Equipment Sales</w:t>
            </w:r>
          </w:p>
        </w:tc>
        <w:tc>
          <w:tcPr>
            <w:tcW w:w="4675" w:type="dxa"/>
            <w:hideMark/>
          </w:tcPr>
          <w:p w14:paraId="7676E3FD" w14:textId="77777777" w:rsidR="00165076" w:rsidRPr="00165076" w:rsidRDefault="00165076" w:rsidP="00165076">
            <w:pPr>
              <w:spacing w:after="160"/>
              <w:cnfStyle w:val="000000100000" w:firstRow="0" w:lastRow="0" w:firstColumn="0" w:lastColumn="0" w:oddVBand="0" w:evenVBand="0" w:oddHBand="1" w:evenHBand="0" w:firstRowFirstColumn="0" w:firstRowLastColumn="0" w:lastRowFirstColumn="0" w:lastRowLastColumn="0"/>
              <w:rPr>
                <w:sz w:val="24"/>
                <w:szCs w:val="24"/>
                <w:lang w:val="en-CA"/>
              </w:rPr>
            </w:pPr>
            <w:r w:rsidRPr="00165076">
              <w:rPr>
                <w:sz w:val="24"/>
                <w:szCs w:val="24"/>
                <w:lang w:val="en-CA"/>
              </w:rPr>
              <w:t>$        794,014,101.60</w:t>
            </w:r>
          </w:p>
        </w:tc>
      </w:tr>
      <w:tr w:rsidR="00165076" w:rsidRPr="00165076" w14:paraId="7BB46A66" w14:textId="77777777" w:rsidTr="00397FFD">
        <w:tc>
          <w:tcPr>
            <w:cnfStyle w:val="001000000000" w:firstRow="0" w:lastRow="0" w:firstColumn="1" w:lastColumn="0" w:oddVBand="0" w:evenVBand="0" w:oddHBand="0" w:evenHBand="0" w:firstRowFirstColumn="0" w:firstRowLastColumn="0" w:lastRowFirstColumn="0" w:lastRowLastColumn="0"/>
            <w:tcW w:w="4675" w:type="dxa"/>
            <w:hideMark/>
          </w:tcPr>
          <w:p w14:paraId="322FBC37" w14:textId="77777777" w:rsidR="00165076" w:rsidRPr="00397FFD" w:rsidRDefault="00165076" w:rsidP="00165076">
            <w:pPr>
              <w:spacing w:after="160"/>
              <w:rPr>
                <w:sz w:val="24"/>
                <w:szCs w:val="24"/>
                <w:lang w:val="en-CA"/>
              </w:rPr>
            </w:pPr>
            <w:r w:rsidRPr="00397FFD">
              <w:rPr>
                <w:sz w:val="24"/>
                <w:szCs w:val="24"/>
                <w:lang w:val="en-CA"/>
              </w:rPr>
              <w:t>Advertising and Sponsorship</w:t>
            </w:r>
          </w:p>
        </w:tc>
        <w:tc>
          <w:tcPr>
            <w:tcW w:w="4675" w:type="dxa"/>
            <w:hideMark/>
          </w:tcPr>
          <w:p w14:paraId="6C545E59" w14:textId="77777777" w:rsidR="00165076" w:rsidRPr="00165076" w:rsidRDefault="00165076" w:rsidP="00165076">
            <w:pPr>
              <w:spacing w:after="160"/>
              <w:cnfStyle w:val="000000000000" w:firstRow="0" w:lastRow="0" w:firstColumn="0" w:lastColumn="0" w:oddVBand="0" w:evenVBand="0" w:oddHBand="0" w:evenHBand="0" w:firstRowFirstColumn="0" w:firstRowLastColumn="0" w:lastRowFirstColumn="0" w:lastRowLastColumn="0"/>
              <w:rPr>
                <w:sz w:val="24"/>
                <w:szCs w:val="24"/>
                <w:lang w:val="en-CA"/>
              </w:rPr>
            </w:pPr>
            <w:r w:rsidRPr="00165076">
              <w:rPr>
                <w:sz w:val="24"/>
                <w:szCs w:val="24"/>
                <w:lang w:val="en-CA"/>
              </w:rPr>
              <w:t>$        330,659,541.03</w:t>
            </w:r>
          </w:p>
        </w:tc>
      </w:tr>
      <w:tr w:rsidR="00165076" w:rsidRPr="00165076" w14:paraId="230F2AF8" w14:textId="77777777" w:rsidTr="00397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5362C4D0" w14:textId="77777777" w:rsidR="00165076" w:rsidRPr="00397FFD" w:rsidRDefault="00165076" w:rsidP="00165076">
            <w:pPr>
              <w:spacing w:after="160"/>
              <w:rPr>
                <w:sz w:val="24"/>
                <w:szCs w:val="24"/>
                <w:lang w:val="en-CA"/>
              </w:rPr>
            </w:pPr>
            <w:r w:rsidRPr="00397FFD">
              <w:rPr>
                <w:sz w:val="24"/>
                <w:szCs w:val="24"/>
                <w:lang w:val="en-CA"/>
              </w:rPr>
              <w:t>Income from Running Charging Stations</w:t>
            </w:r>
          </w:p>
        </w:tc>
        <w:tc>
          <w:tcPr>
            <w:tcW w:w="4675" w:type="dxa"/>
            <w:hideMark/>
          </w:tcPr>
          <w:p w14:paraId="0F253FD9" w14:textId="77777777" w:rsidR="00165076" w:rsidRPr="00165076" w:rsidRDefault="00165076" w:rsidP="00165076">
            <w:pPr>
              <w:spacing w:after="160"/>
              <w:cnfStyle w:val="000000100000" w:firstRow="0" w:lastRow="0" w:firstColumn="0" w:lastColumn="0" w:oddVBand="0" w:evenVBand="0" w:oddHBand="1" w:evenHBand="0" w:firstRowFirstColumn="0" w:firstRowLastColumn="0" w:lastRowFirstColumn="0" w:lastRowLastColumn="0"/>
              <w:rPr>
                <w:b/>
                <w:bCs/>
                <w:sz w:val="24"/>
                <w:szCs w:val="24"/>
                <w:lang w:val="en-CA"/>
              </w:rPr>
            </w:pPr>
            <w:r w:rsidRPr="00165076">
              <w:rPr>
                <w:sz w:val="24"/>
                <w:szCs w:val="24"/>
                <w:lang w:val="en-CA"/>
              </w:rPr>
              <w:t>$        213,773,027.35</w:t>
            </w:r>
          </w:p>
        </w:tc>
      </w:tr>
      <w:tr w:rsidR="00165076" w:rsidRPr="00165076" w14:paraId="3A38F686" w14:textId="77777777" w:rsidTr="00397FFD">
        <w:tc>
          <w:tcPr>
            <w:cnfStyle w:val="001000000000" w:firstRow="0" w:lastRow="0" w:firstColumn="1" w:lastColumn="0" w:oddVBand="0" w:evenVBand="0" w:oddHBand="0" w:evenHBand="0" w:firstRowFirstColumn="0" w:firstRowLastColumn="0" w:lastRowFirstColumn="0" w:lastRowLastColumn="0"/>
            <w:tcW w:w="4675" w:type="dxa"/>
            <w:hideMark/>
          </w:tcPr>
          <w:p w14:paraId="17F03C58" w14:textId="77777777" w:rsidR="00165076" w:rsidRPr="00397FFD" w:rsidRDefault="00165076" w:rsidP="00165076">
            <w:pPr>
              <w:spacing w:after="160"/>
              <w:rPr>
                <w:sz w:val="24"/>
                <w:szCs w:val="24"/>
                <w:lang w:val="en-CA"/>
              </w:rPr>
            </w:pPr>
            <w:r w:rsidRPr="00397FFD">
              <w:rPr>
                <w:sz w:val="24"/>
                <w:szCs w:val="24"/>
                <w:lang w:val="en-CA"/>
              </w:rPr>
              <w:t>EV Charging Fees</w:t>
            </w:r>
          </w:p>
        </w:tc>
        <w:tc>
          <w:tcPr>
            <w:tcW w:w="4675" w:type="dxa"/>
            <w:hideMark/>
          </w:tcPr>
          <w:p w14:paraId="7647C40C" w14:textId="77777777" w:rsidR="00165076" w:rsidRPr="00165076" w:rsidRDefault="00165076" w:rsidP="00165076">
            <w:pPr>
              <w:spacing w:after="160"/>
              <w:cnfStyle w:val="000000000000" w:firstRow="0" w:lastRow="0" w:firstColumn="0" w:lastColumn="0" w:oddVBand="0" w:evenVBand="0" w:oddHBand="0" w:evenHBand="0" w:firstRowFirstColumn="0" w:firstRowLastColumn="0" w:lastRowFirstColumn="0" w:lastRowLastColumn="0"/>
              <w:rPr>
                <w:b/>
                <w:bCs/>
                <w:sz w:val="24"/>
                <w:szCs w:val="24"/>
                <w:lang w:val="en-CA"/>
              </w:rPr>
            </w:pPr>
            <w:r w:rsidRPr="00165076">
              <w:rPr>
                <w:sz w:val="24"/>
                <w:szCs w:val="24"/>
                <w:lang w:val="en-CA"/>
              </w:rPr>
              <w:t>$        309,456,231.41</w:t>
            </w:r>
          </w:p>
        </w:tc>
      </w:tr>
      <w:tr w:rsidR="00165076" w:rsidRPr="00165076" w14:paraId="6CBF2D21" w14:textId="77777777" w:rsidTr="00397FFD">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675" w:type="dxa"/>
            <w:hideMark/>
          </w:tcPr>
          <w:p w14:paraId="36563764" w14:textId="77777777" w:rsidR="00165076" w:rsidRPr="00397FFD" w:rsidRDefault="00165076" w:rsidP="00165076">
            <w:pPr>
              <w:spacing w:after="160"/>
              <w:rPr>
                <w:sz w:val="24"/>
                <w:szCs w:val="24"/>
                <w:lang w:val="en-CA"/>
              </w:rPr>
            </w:pPr>
            <w:r w:rsidRPr="00397FFD">
              <w:rPr>
                <w:sz w:val="24"/>
                <w:szCs w:val="24"/>
                <w:lang w:val="en-CA"/>
              </w:rPr>
              <w:t>Third-Party Contracts</w:t>
            </w:r>
          </w:p>
        </w:tc>
        <w:tc>
          <w:tcPr>
            <w:tcW w:w="4675" w:type="dxa"/>
            <w:hideMark/>
          </w:tcPr>
          <w:p w14:paraId="2497C076" w14:textId="77777777" w:rsidR="00165076" w:rsidRPr="00165076" w:rsidRDefault="00165076" w:rsidP="00165076">
            <w:pPr>
              <w:spacing w:after="160"/>
              <w:cnfStyle w:val="000000100000" w:firstRow="0" w:lastRow="0" w:firstColumn="0" w:lastColumn="0" w:oddVBand="0" w:evenVBand="0" w:oddHBand="1" w:evenHBand="0" w:firstRowFirstColumn="0" w:firstRowLastColumn="0" w:lastRowFirstColumn="0" w:lastRowLastColumn="0"/>
              <w:rPr>
                <w:b/>
                <w:bCs/>
                <w:sz w:val="24"/>
                <w:szCs w:val="24"/>
                <w:lang w:val="en-CA"/>
              </w:rPr>
            </w:pPr>
            <w:r w:rsidRPr="00165076">
              <w:rPr>
                <w:sz w:val="24"/>
                <w:szCs w:val="24"/>
                <w:lang w:val="en-CA"/>
              </w:rPr>
              <w:t>$        495,989,311.54</w:t>
            </w:r>
          </w:p>
        </w:tc>
      </w:tr>
      <w:tr w:rsidR="00165076" w:rsidRPr="00165076" w14:paraId="12388456" w14:textId="77777777" w:rsidTr="00397FFD">
        <w:tc>
          <w:tcPr>
            <w:cnfStyle w:val="001000000000" w:firstRow="0" w:lastRow="0" w:firstColumn="1" w:lastColumn="0" w:oddVBand="0" w:evenVBand="0" w:oddHBand="0" w:evenHBand="0" w:firstRowFirstColumn="0" w:firstRowLastColumn="0" w:lastRowFirstColumn="0" w:lastRowLastColumn="0"/>
            <w:tcW w:w="4675" w:type="dxa"/>
            <w:hideMark/>
          </w:tcPr>
          <w:p w14:paraId="7D334904" w14:textId="77777777" w:rsidR="00165076" w:rsidRPr="00397FFD" w:rsidRDefault="00165076" w:rsidP="00165076">
            <w:pPr>
              <w:spacing w:after="160"/>
              <w:rPr>
                <w:sz w:val="24"/>
                <w:szCs w:val="24"/>
                <w:lang w:val="en-CA"/>
              </w:rPr>
            </w:pPr>
            <w:r w:rsidRPr="00397FFD">
              <w:rPr>
                <w:sz w:val="24"/>
                <w:szCs w:val="24"/>
                <w:lang w:val="en-CA"/>
              </w:rPr>
              <w:t>Government Subsidies</w:t>
            </w:r>
          </w:p>
        </w:tc>
        <w:tc>
          <w:tcPr>
            <w:tcW w:w="4675" w:type="dxa"/>
            <w:hideMark/>
          </w:tcPr>
          <w:p w14:paraId="33850C60" w14:textId="77777777" w:rsidR="00165076" w:rsidRPr="00165076" w:rsidRDefault="00165076" w:rsidP="00165076">
            <w:pPr>
              <w:spacing w:after="160"/>
              <w:cnfStyle w:val="000000000000" w:firstRow="0" w:lastRow="0" w:firstColumn="0" w:lastColumn="0" w:oddVBand="0" w:evenVBand="0" w:oddHBand="0" w:evenHBand="0" w:firstRowFirstColumn="0" w:firstRowLastColumn="0" w:lastRowFirstColumn="0" w:lastRowLastColumn="0"/>
              <w:rPr>
                <w:b/>
                <w:bCs/>
                <w:sz w:val="24"/>
                <w:szCs w:val="24"/>
                <w:lang w:val="en-CA"/>
              </w:rPr>
            </w:pPr>
            <w:r w:rsidRPr="00165076">
              <w:rPr>
                <w:sz w:val="24"/>
                <w:szCs w:val="24"/>
                <w:lang w:val="en-CA"/>
              </w:rPr>
              <w:t>$          20,000,000.00</w:t>
            </w:r>
          </w:p>
        </w:tc>
      </w:tr>
    </w:tbl>
    <w:p w14:paraId="1D399955" w14:textId="77777777" w:rsidR="00165076" w:rsidRPr="00165076" w:rsidRDefault="00165076" w:rsidP="00165076">
      <w:pPr>
        <w:rPr>
          <w:b/>
          <w:bCs/>
          <w:lang w:val="en-CA"/>
        </w:rPr>
      </w:pPr>
    </w:p>
    <w:p w14:paraId="45BC0D4C" w14:textId="39E11BAA" w:rsidR="00165076" w:rsidRPr="00165076" w:rsidRDefault="00165076" w:rsidP="00165076">
      <w:pPr>
        <w:spacing w:line="276" w:lineRule="auto"/>
        <w:rPr>
          <w:sz w:val="24"/>
          <w:szCs w:val="24"/>
          <w:lang w:val="en-CA"/>
        </w:rPr>
      </w:pPr>
      <w:r w:rsidRPr="00165076">
        <w:rPr>
          <w:b/>
          <w:bCs/>
          <w:sz w:val="24"/>
          <w:szCs w:val="24"/>
          <w:lang w:val="en-CA"/>
        </w:rPr>
        <w:t>Primary Revenue from Sales of Charging Equipment:</w:t>
      </w:r>
      <w:r w:rsidRPr="00165076">
        <w:rPr>
          <w:sz w:val="24"/>
          <w:szCs w:val="24"/>
          <w:lang w:val="en-CA"/>
        </w:rPr>
        <w:t xml:space="preserve"> The main source of income </w:t>
      </w:r>
      <w:r w:rsidR="00FF66E4">
        <w:rPr>
          <w:sz w:val="24"/>
          <w:szCs w:val="24"/>
          <w:lang w:val="en-CA"/>
        </w:rPr>
        <w:t>s</w:t>
      </w:r>
      <w:r w:rsidRPr="00165076">
        <w:rPr>
          <w:sz w:val="24"/>
          <w:szCs w:val="24"/>
          <w:lang w:val="en-CA"/>
        </w:rPr>
        <w:t xml:space="preserve">ales of </w:t>
      </w:r>
      <w:r w:rsidR="00FF66E4">
        <w:rPr>
          <w:sz w:val="24"/>
          <w:szCs w:val="24"/>
          <w:lang w:val="en-CA"/>
        </w:rPr>
        <w:t>c</w:t>
      </w:r>
      <w:r w:rsidRPr="00165076">
        <w:rPr>
          <w:sz w:val="24"/>
          <w:szCs w:val="24"/>
          <w:lang w:val="en-CA"/>
        </w:rPr>
        <w:t xml:space="preserve">harging </w:t>
      </w:r>
      <w:r w:rsidR="00FF66E4">
        <w:rPr>
          <w:sz w:val="24"/>
          <w:szCs w:val="24"/>
          <w:lang w:val="en-CA"/>
        </w:rPr>
        <w:t>e</w:t>
      </w:r>
      <w:r w:rsidRPr="00165076">
        <w:rPr>
          <w:sz w:val="24"/>
          <w:szCs w:val="24"/>
          <w:lang w:val="en-CA"/>
        </w:rPr>
        <w:t>quipment</w:t>
      </w:r>
      <w:r w:rsidR="00FF66E4">
        <w:rPr>
          <w:sz w:val="24"/>
          <w:szCs w:val="24"/>
          <w:lang w:val="en-CA"/>
        </w:rPr>
        <w:t xml:space="preserve"> </w:t>
      </w:r>
      <w:r w:rsidRPr="00165076">
        <w:rPr>
          <w:sz w:val="24"/>
          <w:szCs w:val="24"/>
          <w:lang w:val="en-CA"/>
        </w:rPr>
        <w:t>produces approximately $794 million by representing a significant share of overall revenue. This indicates a significant demand for WiTricity's wireless charging systems likely influenced by the rise in EV adoption and the necessity for dependable charging infrastructure. This income source showcases the fundamental product offering and underscores the company's market position and the possibility for expansion as additional areas and companies embrace EV technology.</w:t>
      </w:r>
    </w:p>
    <w:p w14:paraId="5A56F805" w14:textId="6E90CA74" w:rsidR="00165076" w:rsidRPr="00165076" w:rsidRDefault="00165076" w:rsidP="00165076">
      <w:pPr>
        <w:spacing w:line="276" w:lineRule="auto"/>
        <w:rPr>
          <w:sz w:val="24"/>
          <w:szCs w:val="24"/>
          <w:lang w:val="en-CA"/>
        </w:rPr>
      </w:pPr>
      <w:r w:rsidRPr="00165076">
        <w:rPr>
          <w:b/>
          <w:bCs/>
          <w:sz w:val="24"/>
          <w:szCs w:val="24"/>
          <w:lang w:val="en-CA"/>
        </w:rPr>
        <w:t>Significant Revenue from Third-Party Contracts:</w:t>
      </w:r>
      <w:r w:rsidRPr="00165076">
        <w:rPr>
          <w:sz w:val="24"/>
          <w:szCs w:val="24"/>
          <w:lang w:val="en-CA"/>
        </w:rPr>
        <w:t xml:space="preserve"> Third-Party Contracts generate around $496 million ranking as the second-biggest source of income. This figure suggests substantial revenue from collaborations, licensing agreements or integrations with other companies which may </w:t>
      </w:r>
      <w:r w:rsidRPr="00165076">
        <w:rPr>
          <w:sz w:val="24"/>
          <w:szCs w:val="24"/>
          <w:lang w:val="en-CA"/>
        </w:rPr>
        <w:lastRenderedPageBreak/>
        <w:t>involve automotive manufacturers, public infrastructure suppliers or tech firms. The robust income from external partners highlights WiTricity’s capacity to forge strategic collaborations that expand market presence and provide extra value aside from direct sales.</w:t>
      </w:r>
    </w:p>
    <w:p w14:paraId="22A2A3DF" w14:textId="43B3A88B" w:rsidR="00165076" w:rsidRPr="00165076" w:rsidRDefault="00165076" w:rsidP="00165076">
      <w:pPr>
        <w:spacing w:line="276" w:lineRule="auto"/>
        <w:rPr>
          <w:sz w:val="24"/>
          <w:szCs w:val="24"/>
          <w:lang w:val="en-CA"/>
        </w:rPr>
      </w:pPr>
      <w:r w:rsidRPr="00165076">
        <w:rPr>
          <w:b/>
          <w:bCs/>
          <w:sz w:val="24"/>
          <w:szCs w:val="24"/>
          <w:lang w:val="en-CA"/>
        </w:rPr>
        <w:t>Supplementary Revenue Sources:</w:t>
      </w:r>
      <w:r w:rsidRPr="00165076">
        <w:rPr>
          <w:sz w:val="24"/>
          <w:szCs w:val="24"/>
          <w:lang w:val="en-CA"/>
        </w:rPr>
        <w:t xml:space="preserve"> Extra revenue comes from </w:t>
      </w:r>
      <w:r w:rsidR="00255EFC">
        <w:rPr>
          <w:sz w:val="24"/>
          <w:szCs w:val="24"/>
          <w:lang w:val="en-CA"/>
        </w:rPr>
        <w:t>a</w:t>
      </w:r>
      <w:r w:rsidRPr="00165076">
        <w:rPr>
          <w:sz w:val="24"/>
          <w:szCs w:val="24"/>
          <w:lang w:val="en-CA"/>
        </w:rPr>
        <w:t xml:space="preserve">dvertising and </w:t>
      </w:r>
      <w:r w:rsidR="00255EFC">
        <w:rPr>
          <w:sz w:val="24"/>
          <w:szCs w:val="24"/>
          <w:lang w:val="en-CA"/>
        </w:rPr>
        <w:t>s</w:t>
      </w:r>
      <w:r w:rsidRPr="00165076">
        <w:rPr>
          <w:sz w:val="24"/>
          <w:szCs w:val="24"/>
          <w:lang w:val="en-CA"/>
        </w:rPr>
        <w:t xml:space="preserve">ponsorship ($330 million), EV </w:t>
      </w:r>
      <w:r w:rsidR="00255EFC">
        <w:rPr>
          <w:sz w:val="24"/>
          <w:szCs w:val="24"/>
          <w:lang w:val="en-CA"/>
        </w:rPr>
        <w:t>c</w:t>
      </w:r>
      <w:r w:rsidRPr="00165076">
        <w:rPr>
          <w:sz w:val="24"/>
          <w:szCs w:val="24"/>
          <w:lang w:val="en-CA"/>
        </w:rPr>
        <w:t xml:space="preserve">harging </w:t>
      </w:r>
      <w:r w:rsidR="00255EFC">
        <w:rPr>
          <w:sz w:val="24"/>
          <w:szCs w:val="24"/>
          <w:lang w:val="en-CA"/>
        </w:rPr>
        <w:t>f</w:t>
      </w:r>
      <w:r w:rsidRPr="00165076">
        <w:rPr>
          <w:sz w:val="24"/>
          <w:szCs w:val="24"/>
          <w:lang w:val="en-CA"/>
        </w:rPr>
        <w:t xml:space="preserve">ees ($309 million) and </w:t>
      </w:r>
      <w:r w:rsidR="00255EFC">
        <w:rPr>
          <w:sz w:val="24"/>
          <w:szCs w:val="24"/>
          <w:lang w:val="en-CA"/>
        </w:rPr>
        <w:t>e</w:t>
      </w:r>
      <w:r w:rsidRPr="00165076">
        <w:rPr>
          <w:sz w:val="24"/>
          <w:szCs w:val="24"/>
          <w:lang w:val="en-CA"/>
        </w:rPr>
        <w:t xml:space="preserve">arnings from </w:t>
      </w:r>
      <w:r w:rsidR="00255EFC">
        <w:rPr>
          <w:sz w:val="24"/>
          <w:szCs w:val="24"/>
          <w:lang w:val="en-CA"/>
        </w:rPr>
        <w:t>o</w:t>
      </w:r>
      <w:r w:rsidRPr="00165076">
        <w:rPr>
          <w:sz w:val="24"/>
          <w:szCs w:val="24"/>
          <w:lang w:val="en-CA"/>
        </w:rPr>
        <w:t xml:space="preserve">perating </w:t>
      </w:r>
      <w:r w:rsidR="00255EFC">
        <w:rPr>
          <w:sz w:val="24"/>
          <w:szCs w:val="24"/>
          <w:lang w:val="en-CA"/>
        </w:rPr>
        <w:t>c</w:t>
      </w:r>
      <w:r w:rsidRPr="00165076">
        <w:rPr>
          <w:sz w:val="24"/>
          <w:szCs w:val="24"/>
          <w:lang w:val="en-CA"/>
        </w:rPr>
        <w:t xml:space="preserve">harging </w:t>
      </w:r>
      <w:r w:rsidR="00255EFC">
        <w:rPr>
          <w:sz w:val="24"/>
          <w:szCs w:val="24"/>
          <w:lang w:val="en-CA"/>
        </w:rPr>
        <w:t>s</w:t>
      </w:r>
      <w:r w:rsidRPr="00165076">
        <w:rPr>
          <w:sz w:val="24"/>
          <w:szCs w:val="24"/>
          <w:lang w:val="en-CA"/>
        </w:rPr>
        <w:t xml:space="preserve">tations ($214 million). These streams offer a varied income foundation lessening reliance on just one revenue source. Advertising and sponsorship income indicates potential for brand collaborations at charging locations while EV charging fees and revenue from managing charging stations show steady earnings from service provisions. </w:t>
      </w:r>
      <w:r w:rsidR="00255EFC">
        <w:rPr>
          <w:sz w:val="24"/>
          <w:szCs w:val="24"/>
          <w:lang w:val="en-CA"/>
        </w:rPr>
        <w:t>T</w:t>
      </w:r>
      <w:r w:rsidRPr="00165076">
        <w:rPr>
          <w:sz w:val="24"/>
          <w:szCs w:val="24"/>
          <w:lang w:val="en-CA"/>
        </w:rPr>
        <w:t>hese streams strengthen WiTricity’s business model</w:t>
      </w:r>
      <w:r w:rsidR="00255EFC">
        <w:rPr>
          <w:sz w:val="24"/>
          <w:szCs w:val="24"/>
          <w:lang w:val="en-CA"/>
        </w:rPr>
        <w:t xml:space="preserve"> </w:t>
      </w:r>
      <w:r w:rsidRPr="00165076">
        <w:rPr>
          <w:sz w:val="24"/>
          <w:szCs w:val="24"/>
          <w:lang w:val="en-CA"/>
        </w:rPr>
        <w:t>providing consistent income and improving overall financial stability.</w:t>
      </w:r>
    </w:p>
    <w:p w14:paraId="5475781A" w14:textId="615D8C0E" w:rsidR="00165076" w:rsidRPr="00165076" w:rsidRDefault="00165076" w:rsidP="00165076">
      <w:pPr>
        <w:spacing w:line="276" w:lineRule="auto"/>
        <w:rPr>
          <w:lang w:val="en-CA"/>
        </w:rPr>
      </w:pPr>
      <w:r w:rsidRPr="00165076">
        <w:rPr>
          <w:b/>
          <w:bCs/>
          <w:sz w:val="24"/>
          <w:szCs w:val="24"/>
          <w:lang w:val="en-CA"/>
        </w:rPr>
        <w:t>Government Subsidies as Initial Assistance:</w:t>
      </w:r>
      <w:r w:rsidRPr="00165076">
        <w:rPr>
          <w:sz w:val="24"/>
          <w:szCs w:val="24"/>
          <w:lang w:val="en-CA"/>
        </w:rPr>
        <w:t xml:space="preserve"> Government </w:t>
      </w:r>
      <w:r w:rsidR="00255EFC">
        <w:rPr>
          <w:sz w:val="24"/>
          <w:szCs w:val="24"/>
          <w:lang w:val="en-CA"/>
        </w:rPr>
        <w:t>s</w:t>
      </w:r>
      <w:r w:rsidRPr="00165076">
        <w:rPr>
          <w:sz w:val="24"/>
          <w:szCs w:val="24"/>
          <w:lang w:val="en-CA"/>
        </w:rPr>
        <w:t>ubsidies total $20 million a modest yet significant contribution probably aimed at aiding the early phases of development. This funding indicates a degree of governmental assistance and possible regulatory benefits for wireless EV charging technology though it does not represent a significan</w:t>
      </w:r>
      <w:r w:rsidR="00203B4A">
        <w:rPr>
          <w:sz w:val="24"/>
          <w:szCs w:val="24"/>
          <w:lang w:val="en-CA"/>
        </w:rPr>
        <w:t>t</w:t>
      </w:r>
      <w:r w:rsidRPr="00165076">
        <w:rPr>
          <w:sz w:val="24"/>
          <w:szCs w:val="24"/>
          <w:lang w:val="en-CA"/>
        </w:rPr>
        <w:t xml:space="preserve"> continuous revenue source. The existence of subsidies indicates a beneficial policy landscape that may assist WiTricity in setting up its operations and infrastructure.</w:t>
      </w:r>
    </w:p>
    <w:p w14:paraId="398D7256" w14:textId="77777777" w:rsidR="00165076" w:rsidRPr="00165076" w:rsidRDefault="00165076" w:rsidP="00165076">
      <w:pPr>
        <w:rPr>
          <w:lang w:val="en-CA"/>
        </w:rPr>
      </w:pPr>
    </w:p>
    <w:p w14:paraId="02680E82" w14:textId="67B9FAFA" w:rsidR="00165076" w:rsidRPr="00165076" w:rsidRDefault="00165076" w:rsidP="00165076">
      <w:pPr>
        <w:rPr>
          <w:lang w:val="en-CA"/>
        </w:rPr>
      </w:pPr>
      <w:r w:rsidRPr="00165076">
        <w:rPr>
          <w:noProof/>
          <w:lang w:val="en-CA"/>
        </w:rPr>
        <w:drawing>
          <wp:inline distT="0" distB="0" distL="0" distR="0" wp14:anchorId="4B60F506" wp14:editId="07EB44C5">
            <wp:extent cx="4564380" cy="2758440"/>
            <wp:effectExtent l="0" t="0" r="7620" b="3810"/>
            <wp:docPr id="1047382745" name="Chart 14">
              <a:extLst xmlns:a="http://schemas.openxmlformats.org/drawingml/2006/main">
                <a:ext uri="{FF2B5EF4-FFF2-40B4-BE49-F238E27FC236}">
                  <a16:creationId xmlns:a16="http://schemas.microsoft.com/office/drawing/2014/main" id="{86B9C9EF-D047-B0D8-DC88-C35B03F848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014CB8" w14:textId="77777777" w:rsidR="00165076" w:rsidRPr="00165076" w:rsidRDefault="00165076" w:rsidP="00165076">
      <w:pPr>
        <w:rPr>
          <w:lang w:val="en-CA"/>
        </w:rPr>
      </w:pPr>
    </w:p>
    <w:p w14:paraId="65E9113A" w14:textId="77777777" w:rsidR="00165076" w:rsidRPr="00165076" w:rsidRDefault="00165076" w:rsidP="00165076">
      <w:pPr>
        <w:rPr>
          <w:lang w:val="en-US"/>
        </w:rPr>
      </w:pPr>
    </w:p>
    <w:p w14:paraId="394141F0" w14:textId="77777777" w:rsidR="00E63F2F" w:rsidRDefault="00E63F2F" w:rsidP="007E2163">
      <w:pPr>
        <w:pStyle w:val="Heading2"/>
        <w:rPr>
          <w:rFonts w:ascii="Calibri" w:hAnsi="Calibri" w:cs="Calibri"/>
        </w:rPr>
      </w:pPr>
      <w:r>
        <w:rPr>
          <w:rFonts w:ascii="Calibri" w:hAnsi="Calibri" w:cs="Calibri"/>
        </w:rPr>
        <w:br w:type="page"/>
      </w:r>
    </w:p>
    <w:p w14:paraId="43175E71" w14:textId="7B8F0860" w:rsidR="007E2163" w:rsidRPr="00BD71F8" w:rsidRDefault="00B12FA3" w:rsidP="007E2163">
      <w:pPr>
        <w:pStyle w:val="Heading2"/>
        <w:rPr>
          <w:rFonts w:ascii="Calibri" w:hAnsi="Calibri" w:cs="Calibri"/>
        </w:rPr>
      </w:pPr>
      <w:bookmarkStart w:id="25" w:name="_Toc182000895"/>
      <w:r w:rsidRPr="00BD71F8">
        <w:rPr>
          <w:rFonts w:ascii="Calibri" w:hAnsi="Calibri" w:cs="Calibri"/>
        </w:rPr>
        <w:lastRenderedPageBreak/>
        <w:t>Expenses</w:t>
      </w:r>
      <w:bookmarkEnd w:id="25"/>
      <w:r w:rsidR="002A4445" w:rsidRPr="00BD71F8">
        <w:rPr>
          <w:rFonts w:ascii="Calibri" w:hAnsi="Calibri" w:cs="Calibri"/>
          <w:b/>
          <w:bCs/>
          <w:sz w:val="24"/>
          <w:szCs w:val="24"/>
        </w:rPr>
        <w:tab/>
      </w:r>
      <w:r w:rsidR="002A4445" w:rsidRPr="00BD71F8">
        <w:rPr>
          <w:rFonts w:ascii="Calibri" w:hAnsi="Calibri" w:cs="Calibri"/>
          <w:b/>
          <w:bCs/>
          <w:sz w:val="24"/>
          <w:szCs w:val="24"/>
        </w:rPr>
        <w:tab/>
      </w:r>
      <w:r w:rsidR="002A4445" w:rsidRPr="00BD71F8">
        <w:rPr>
          <w:rFonts w:ascii="Calibri" w:hAnsi="Calibri" w:cs="Calibri"/>
          <w:b/>
          <w:bCs/>
          <w:sz w:val="24"/>
          <w:szCs w:val="24"/>
        </w:rPr>
        <w:tab/>
      </w:r>
      <w:r w:rsidR="002A4445" w:rsidRPr="00BD71F8">
        <w:rPr>
          <w:rFonts w:ascii="Calibri" w:hAnsi="Calibri" w:cs="Calibri"/>
          <w:b/>
          <w:bCs/>
          <w:sz w:val="24"/>
          <w:szCs w:val="24"/>
        </w:rPr>
        <w:tab/>
      </w:r>
      <w:r w:rsidR="002A4445" w:rsidRPr="00BD71F8">
        <w:rPr>
          <w:rFonts w:ascii="Calibri" w:hAnsi="Calibri" w:cs="Calibri"/>
          <w:b/>
          <w:bCs/>
          <w:sz w:val="24"/>
          <w:szCs w:val="24"/>
        </w:rPr>
        <w:tab/>
      </w:r>
      <w:r w:rsidR="002A4445" w:rsidRPr="00BD71F8">
        <w:rPr>
          <w:rFonts w:ascii="Calibri" w:hAnsi="Calibri" w:cs="Calibri"/>
          <w:b/>
          <w:bCs/>
          <w:sz w:val="24"/>
          <w:szCs w:val="24"/>
        </w:rPr>
        <w:tab/>
      </w:r>
      <w:r w:rsidR="002A4445" w:rsidRPr="00BD71F8">
        <w:rPr>
          <w:rFonts w:ascii="Calibri" w:hAnsi="Calibri" w:cs="Calibri"/>
          <w:b/>
          <w:bCs/>
          <w:sz w:val="24"/>
          <w:szCs w:val="24"/>
        </w:rPr>
        <w:tab/>
      </w:r>
      <w:r w:rsidR="002A4445" w:rsidRPr="00BD71F8">
        <w:rPr>
          <w:rFonts w:ascii="Calibri" w:hAnsi="Calibri" w:cs="Calibri"/>
          <w:b/>
          <w:bCs/>
          <w:sz w:val="24"/>
          <w:szCs w:val="24"/>
        </w:rPr>
        <w:tab/>
      </w:r>
      <w:r w:rsidR="002A4445" w:rsidRPr="00BD71F8">
        <w:rPr>
          <w:rFonts w:ascii="Calibri" w:hAnsi="Calibri" w:cs="Calibri"/>
          <w:b/>
          <w:bCs/>
          <w:sz w:val="24"/>
          <w:szCs w:val="24"/>
        </w:rPr>
        <w:tab/>
      </w:r>
      <w:r w:rsidR="002A4445" w:rsidRPr="00BD71F8">
        <w:rPr>
          <w:rFonts w:ascii="Calibri" w:hAnsi="Calibri" w:cs="Calibri"/>
          <w:b/>
          <w:bCs/>
          <w:sz w:val="24"/>
          <w:szCs w:val="24"/>
        </w:rPr>
        <w:tab/>
      </w:r>
      <w:r w:rsidR="002A4445" w:rsidRPr="00BD71F8">
        <w:rPr>
          <w:rFonts w:ascii="Calibri" w:hAnsi="Calibri" w:cs="Calibri"/>
          <w:b/>
          <w:bCs/>
          <w:sz w:val="24"/>
          <w:szCs w:val="24"/>
        </w:rPr>
        <w:tab/>
      </w:r>
      <w:r w:rsidR="002A4445" w:rsidRPr="00BD71F8">
        <w:rPr>
          <w:rFonts w:ascii="Calibri" w:hAnsi="Calibri" w:cs="Calibri"/>
          <w:sz w:val="24"/>
          <w:szCs w:val="24"/>
        </w:rPr>
        <w:tab/>
      </w:r>
    </w:p>
    <w:p w14:paraId="728EDB1B" w14:textId="77777777" w:rsidR="007E2163" w:rsidRPr="00BD71F8" w:rsidRDefault="007E2163" w:rsidP="00265697">
      <w:pPr>
        <w:spacing w:after="0" w:line="276" w:lineRule="auto"/>
        <w:rPr>
          <w:rFonts w:cs="Calibri"/>
          <w:b/>
          <w:bCs/>
          <w:sz w:val="24"/>
          <w:szCs w:val="24"/>
        </w:rPr>
      </w:pPr>
      <w:r w:rsidRPr="00BD71F8">
        <w:rPr>
          <w:rFonts w:cs="Calibri"/>
          <w:b/>
          <w:bCs/>
          <w:sz w:val="28"/>
          <w:szCs w:val="28"/>
        </w:rPr>
        <w:t>Acquisition costs (One-Time Expenses)</w:t>
      </w:r>
    </w:p>
    <w:p w14:paraId="6D7894A4" w14:textId="21BB56C1" w:rsidR="007E2163" w:rsidRPr="00BD71F8" w:rsidRDefault="007E2163" w:rsidP="00265697">
      <w:pPr>
        <w:spacing w:after="0" w:line="276" w:lineRule="auto"/>
        <w:rPr>
          <w:rFonts w:cs="Calibri"/>
          <w:sz w:val="24"/>
          <w:szCs w:val="24"/>
        </w:rPr>
      </w:pPr>
      <w:r w:rsidRPr="00BD71F8">
        <w:rPr>
          <w:rFonts w:cs="Calibri"/>
          <w:sz w:val="24"/>
          <w:szCs w:val="24"/>
        </w:rPr>
        <w:t>These are one-time</w:t>
      </w:r>
      <w:r w:rsidR="00203B4A">
        <w:rPr>
          <w:rFonts w:cs="Calibri"/>
          <w:sz w:val="24"/>
          <w:szCs w:val="24"/>
        </w:rPr>
        <w:t xml:space="preserve"> </w:t>
      </w:r>
      <w:r w:rsidRPr="00BD71F8">
        <w:rPr>
          <w:rFonts w:cs="Calibri"/>
          <w:sz w:val="24"/>
          <w:szCs w:val="24"/>
        </w:rPr>
        <w:t>non-recurring expenses required for obtaining ownership to meet legal and regulatory obligations to ensure a seamless transition.</w:t>
      </w:r>
    </w:p>
    <w:p w14:paraId="45EB3EE7" w14:textId="77777777" w:rsidR="007E2163" w:rsidRPr="00BD71F8" w:rsidRDefault="007E2163" w:rsidP="00265697">
      <w:pPr>
        <w:spacing w:after="0" w:line="276" w:lineRule="auto"/>
        <w:rPr>
          <w:rFonts w:cs="Calibri"/>
          <w:sz w:val="24"/>
          <w:szCs w:val="24"/>
        </w:rPr>
      </w:pPr>
    </w:p>
    <w:p w14:paraId="6CD91056" w14:textId="77777777" w:rsidR="007E2163" w:rsidRPr="00BD71F8" w:rsidRDefault="007E2163" w:rsidP="00265697">
      <w:pPr>
        <w:spacing w:after="0" w:line="276" w:lineRule="auto"/>
        <w:rPr>
          <w:rFonts w:cs="Calibri"/>
          <w:b/>
          <w:bCs/>
          <w:sz w:val="28"/>
          <w:szCs w:val="28"/>
        </w:rPr>
      </w:pPr>
      <w:r w:rsidRPr="00BD71F8">
        <w:rPr>
          <w:rFonts w:cs="Calibri"/>
          <w:b/>
          <w:bCs/>
          <w:sz w:val="28"/>
          <w:szCs w:val="28"/>
        </w:rPr>
        <w:t>Purchase Price of WiTricity</w:t>
      </w:r>
    </w:p>
    <w:p w14:paraId="5E54AD13" w14:textId="77777777" w:rsidR="007E2163" w:rsidRPr="00BD71F8" w:rsidRDefault="007E2163" w:rsidP="00265697">
      <w:pPr>
        <w:spacing w:after="0" w:line="276" w:lineRule="auto"/>
        <w:rPr>
          <w:rFonts w:cs="Calibri"/>
          <w:sz w:val="24"/>
          <w:szCs w:val="24"/>
        </w:rPr>
      </w:pPr>
      <w:r w:rsidRPr="00BD71F8">
        <w:rPr>
          <w:rFonts w:cs="Calibri"/>
          <w:b/>
          <w:bCs/>
          <w:sz w:val="24"/>
          <w:szCs w:val="24"/>
        </w:rPr>
        <w:t>Description:</w:t>
      </w:r>
      <w:r w:rsidRPr="00BD71F8">
        <w:rPr>
          <w:rFonts w:cs="Calibri"/>
          <w:sz w:val="24"/>
          <w:szCs w:val="24"/>
        </w:rPr>
        <w:t xml:space="preserve"> The overall acquisition cost for WiTricity's technology, intellectual property, brand and assets.</w:t>
      </w:r>
    </w:p>
    <w:p w14:paraId="7180993A" w14:textId="23030F59" w:rsidR="007E2163" w:rsidRPr="00BD71F8" w:rsidRDefault="007E2163" w:rsidP="00265697">
      <w:pPr>
        <w:spacing w:after="0" w:line="276" w:lineRule="auto"/>
        <w:rPr>
          <w:rFonts w:cs="Calibri"/>
          <w:sz w:val="24"/>
          <w:szCs w:val="24"/>
        </w:rPr>
      </w:pPr>
      <w:r w:rsidRPr="00BD71F8">
        <w:rPr>
          <w:rFonts w:cs="Calibri"/>
          <w:b/>
          <w:bCs/>
          <w:sz w:val="24"/>
          <w:szCs w:val="24"/>
        </w:rPr>
        <w:t>Purpose:</w:t>
      </w:r>
      <w:r w:rsidRPr="00BD71F8">
        <w:rPr>
          <w:rFonts w:cs="Calibri"/>
          <w:sz w:val="24"/>
          <w:szCs w:val="24"/>
        </w:rPr>
        <w:t xml:space="preserve"> This investment gives WiTricity complete ownership over its existing goods, technology and future revenue sources. It enables the buyer to capitali</w:t>
      </w:r>
      <w:r w:rsidR="00341FDB">
        <w:rPr>
          <w:rFonts w:cs="Calibri"/>
          <w:sz w:val="24"/>
          <w:szCs w:val="24"/>
        </w:rPr>
        <w:t>s</w:t>
      </w:r>
      <w:r w:rsidRPr="00BD71F8">
        <w:rPr>
          <w:rFonts w:cs="Calibri"/>
          <w:sz w:val="24"/>
          <w:szCs w:val="24"/>
        </w:rPr>
        <w:t>e on the company's advances in the developing EV infrastructure industry which aligns with green technology's strategic expansion objectives.</w:t>
      </w:r>
    </w:p>
    <w:p w14:paraId="6D83326A" w14:textId="77777777" w:rsidR="007E2163" w:rsidRPr="00BD71F8" w:rsidRDefault="007E2163" w:rsidP="00265697">
      <w:pPr>
        <w:spacing w:after="0" w:line="276" w:lineRule="auto"/>
        <w:rPr>
          <w:rFonts w:cs="Calibri"/>
          <w:sz w:val="24"/>
          <w:szCs w:val="24"/>
        </w:rPr>
      </w:pPr>
      <w:r w:rsidRPr="00BD71F8">
        <w:rPr>
          <w:rFonts w:cs="Calibri"/>
          <w:b/>
          <w:bCs/>
          <w:sz w:val="24"/>
          <w:szCs w:val="24"/>
        </w:rPr>
        <w:t>Impact:</w:t>
      </w:r>
      <w:r w:rsidRPr="00BD71F8">
        <w:rPr>
          <w:rFonts w:cs="Calibri"/>
          <w:sz w:val="24"/>
          <w:szCs w:val="24"/>
        </w:rPr>
        <w:t xml:space="preserve"> The purchase price constitutes a substantial capital allocation. By acquiring WiTricity's assets the buyer can quickly access a market with strong development potential improving their competitive position in sustainable energy solutions.</w:t>
      </w:r>
    </w:p>
    <w:p w14:paraId="5D31FF85" w14:textId="2AFBE037" w:rsidR="007E2163" w:rsidRPr="00BD71F8" w:rsidRDefault="007E2163" w:rsidP="00265697">
      <w:pPr>
        <w:spacing w:after="0" w:line="276" w:lineRule="auto"/>
        <w:rPr>
          <w:rFonts w:cs="Calibri"/>
          <w:sz w:val="24"/>
          <w:szCs w:val="24"/>
        </w:rPr>
      </w:pPr>
      <w:r w:rsidRPr="00BD71F8">
        <w:rPr>
          <w:rFonts w:cs="Calibri"/>
          <w:b/>
          <w:bCs/>
          <w:sz w:val="24"/>
          <w:szCs w:val="24"/>
        </w:rPr>
        <w:t>Reason:</w:t>
      </w:r>
      <w:r w:rsidRPr="00BD71F8">
        <w:rPr>
          <w:rFonts w:cs="Calibri"/>
          <w:sz w:val="24"/>
          <w:szCs w:val="24"/>
        </w:rPr>
        <w:t xml:space="preserve"> This price is based on WiTricity's established technology patents and market position in the wireless charging business. Comparable technology businesses with anticipated growth in green tech areas are frequently valued at this level. It gives WiTricity ownership of its ideas as well as the opportunity to profit from the developing EV market. </w:t>
      </w:r>
    </w:p>
    <w:p w14:paraId="62248AA0" w14:textId="77777777" w:rsidR="007E2163" w:rsidRPr="00BD71F8" w:rsidRDefault="007E2163" w:rsidP="00265697">
      <w:pPr>
        <w:spacing w:after="0" w:line="276" w:lineRule="auto"/>
        <w:rPr>
          <w:rFonts w:cs="Calibri"/>
          <w:sz w:val="24"/>
          <w:szCs w:val="24"/>
        </w:rPr>
      </w:pPr>
    </w:p>
    <w:p w14:paraId="2EE6F8E3" w14:textId="77777777" w:rsidR="007E2163" w:rsidRPr="00BD71F8" w:rsidRDefault="007E2163" w:rsidP="00265697">
      <w:pPr>
        <w:spacing w:after="0" w:line="276" w:lineRule="auto"/>
        <w:rPr>
          <w:rFonts w:cs="Calibri"/>
          <w:b/>
          <w:bCs/>
          <w:sz w:val="28"/>
          <w:szCs w:val="28"/>
        </w:rPr>
      </w:pPr>
      <w:r w:rsidRPr="00BD71F8">
        <w:rPr>
          <w:rFonts w:cs="Calibri"/>
          <w:b/>
          <w:bCs/>
          <w:sz w:val="28"/>
          <w:szCs w:val="28"/>
        </w:rPr>
        <w:t>Legal fees</w:t>
      </w:r>
    </w:p>
    <w:p w14:paraId="6DE6F15B" w14:textId="77777777" w:rsidR="007E2163" w:rsidRPr="00BD71F8" w:rsidRDefault="007E2163" w:rsidP="00265697">
      <w:pPr>
        <w:spacing w:after="0" w:line="276" w:lineRule="auto"/>
        <w:rPr>
          <w:rFonts w:cs="Calibri"/>
          <w:sz w:val="24"/>
          <w:szCs w:val="24"/>
        </w:rPr>
      </w:pPr>
      <w:r w:rsidRPr="00BD71F8">
        <w:rPr>
          <w:rFonts w:cs="Calibri"/>
          <w:b/>
          <w:bCs/>
          <w:sz w:val="24"/>
          <w:szCs w:val="24"/>
        </w:rPr>
        <w:t>Description:</w:t>
      </w:r>
      <w:r w:rsidRPr="00BD71F8">
        <w:rPr>
          <w:rFonts w:cs="Calibri"/>
          <w:sz w:val="24"/>
          <w:szCs w:val="24"/>
        </w:rPr>
        <w:t xml:space="preserve"> Fees incurred for hiring legal counsel to manage the legal parts of the acquisition such as contract drafting, due diligence support and regulatory compliance.</w:t>
      </w:r>
    </w:p>
    <w:p w14:paraId="4FC6288B" w14:textId="77777777" w:rsidR="007E2163" w:rsidRPr="00BD71F8" w:rsidRDefault="007E2163" w:rsidP="00265697">
      <w:pPr>
        <w:spacing w:after="0" w:line="276" w:lineRule="auto"/>
        <w:rPr>
          <w:rFonts w:cs="Calibri"/>
          <w:sz w:val="24"/>
          <w:szCs w:val="24"/>
        </w:rPr>
      </w:pPr>
      <w:r w:rsidRPr="00BD71F8">
        <w:rPr>
          <w:rFonts w:cs="Calibri"/>
          <w:b/>
          <w:bCs/>
          <w:sz w:val="24"/>
          <w:szCs w:val="24"/>
        </w:rPr>
        <w:t>Purpose:</w:t>
      </w:r>
      <w:r w:rsidRPr="00BD71F8">
        <w:rPr>
          <w:rFonts w:cs="Calibri"/>
          <w:sz w:val="24"/>
          <w:szCs w:val="24"/>
        </w:rPr>
        <w:t xml:space="preserve"> Legal fees ensure that the transaction meets corporate, intellectual property and regulatory requirements. Expert legal monitoring decreases the risks connected with ownership transfer, contractual duties and compliance with local and international legislation.</w:t>
      </w:r>
    </w:p>
    <w:p w14:paraId="000E3956" w14:textId="7EC666B1" w:rsidR="007E2163" w:rsidRPr="00BD71F8" w:rsidRDefault="007E2163" w:rsidP="00265697">
      <w:pPr>
        <w:spacing w:after="0" w:line="276" w:lineRule="auto"/>
        <w:rPr>
          <w:rFonts w:cs="Calibri"/>
          <w:sz w:val="24"/>
          <w:szCs w:val="24"/>
        </w:rPr>
      </w:pPr>
      <w:r w:rsidRPr="00BD71F8">
        <w:rPr>
          <w:rFonts w:cs="Calibri"/>
          <w:b/>
          <w:bCs/>
          <w:sz w:val="24"/>
          <w:szCs w:val="24"/>
        </w:rPr>
        <w:t>Impact:</w:t>
      </w:r>
      <w:r w:rsidRPr="00BD71F8">
        <w:rPr>
          <w:rFonts w:cs="Calibri"/>
          <w:sz w:val="24"/>
          <w:szCs w:val="24"/>
        </w:rPr>
        <w:t xml:space="preserve"> Legal fees yet a one-time expense </w:t>
      </w:r>
      <w:r w:rsidR="00341FDB" w:rsidRPr="00BD71F8">
        <w:rPr>
          <w:rFonts w:cs="Calibri"/>
          <w:sz w:val="24"/>
          <w:szCs w:val="24"/>
        </w:rPr>
        <w:t>is</w:t>
      </w:r>
      <w:r w:rsidRPr="00BD71F8">
        <w:rPr>
          <w:rFonts w:cs="Calibri"/>
          <w:sz w:val="24"/>
          <w:szCs w:val="24"/>
        </w:rPr>
        <w:t xml:space="preserve"> crucial for protecting the buyer's rights, guaranteeing contractual clarity and limiting risk. Comprehensive legal support can help to avoid costly conflicts and compliance difficulties after an acquisition.</w:t>
      </w:r>
    </w:p>
    <w:p w14:paraId="3CBA4DBE" w14:textId="77777777" w:rsidR="007E2163" w:rsidRPr="00BD71F8" w:rsidRDefault="007E2163" w:rsidP="00265697">
      <w:pPr>
        <w:spacing w:after="0" w:line="276" w:lineRule="auto"/>
        <w:rPr>
          <w:rFonts w:cs="Calibri"/>
          <w:sz w:val="24"/>
          <w:szCs w:val="24"/>
        </w:rPr>
      </w:pPr>
      <w:r w:rsidRPr="00BD71F8">
        <w:rPr>
          <w:rFonts w:cs="Calibri"/>
          <w:b/>
          <w:bCs/>
          <w:sz w:val="24"/>
          <w:szCs w:val="24"/>
        </w:rPr>
        <w:t xml:space="preserve">Reason: </w:t>
      </w:r>
      <w:r w:rsidRPr="00BD71F8">
        <w:rPr>
          <w:rFonts w:cs="Calibri"/>
          <w:sz w:val="24"/>
          <w:szCs w:val="24"/>
        </w:rPr>
        <w:t>Legal fees for significant purchases often vary from 1-3% of the purchase price. The $10 million cost includes paying lawyers to handle contract specifics, intellectual property challenges and regulatory compliance. This money assures that the acquisition is completed correctly and legally limiting the possibility of future issues.</w:t>
      </w:r>
    </w:p>
    <w:p w14:paraId="52454006" w14:textId="77777777" w:rsidR="007E2163" w:rsidRPr="00BD71F8" w:rsidRDefault="007E2163" w:rsidP="00265697">
      <w:pPr>
        <w:spacing w:after="0" w:line="276" w:lineRule="auto"/>
        <w:rPr>
          <w:rFonts w:cs="Calibri"/>
          <w:sz w:val="24"/>
          <w:szCs w:val="24"/>
        </w:rPr>
      </w:pPr>
    </w:p>
    <w:p w14:paraId="45B61107" w14:textId="77777777" w:rsidR="007E2163" w:rsidRPr="00BD71F8" w:rsidRDefault="007E2163" w:rsidP="00265697">
      <w:pPr>
        <w:spacing w:after="0" w:line="276" w:lineRule="auto"/>
        <w:rPr>
          <w:rFonts w:cs="Calibri"/>
          <w:b/>
          <w:bCs/>
          <w:sz w:val="28"/>
          <w:szCs w:val="28"/>
        </w:rPr>
      </w:pPr>
      <w:r w:rsidRPr="00BD71F8">
        <w:rPr>
          <w:rFonts w:cs="Calibri"/>
          <w:b/>
          <w:bCs/>
          <w:sz w:val="28"/>
          <w:szCs w:val="28"/>
        </w:rPr>
        <w:t>Due Diligence Costs</w:t>
      </w:r>
    </w:p>
    <w:p w14:paraId="74B81421" w14:textId="77777777" w:rsidR="007E2163" w:rsidRPr="00BD71F8" w:rsidRDefault="007E2163" w:rsidP="00265697">
      <w:pPr>
        <w:spacing w:after="0" w:line="276" w:lineRule="auto"/>
        <w:rPr>
          <w:rFonts w:cs="Calibri"/>
          <w:sz w:val="24"/>
          <w:szCs w:val="24"/>
        </w:rPr>
      </w:pPr>
      <w:r w:rsidRPr="00BD71F8">
        <w:rPr>
          <w:rFonts w:cs="Calibri"/>
          <w:b/>
          <w:bCs/>
          <w:sz w:val="24"/>
          <w:szCs w:val="24"/>
        </w:rPr>
        <w:t>Description:</w:t>
      </w:r>
      <w:r w:rsidRPr="00BD71F8">
        <w:rPr>
          <w:rFonts w:cs="Calibri"/>
          <w:sz w:val="24"/>
          <w:szCs w:val="24"/>
        </w:rPr>
        <w:t xml:space="preserve"> The costs of an in-depth evaluation of WiTricity's financial health, intellectual property, technology and legal standing by financial along with industry professionals.</w:t>
      </w:r>
    </w:p>
    <w:p w14:paraId="54E926FB" w14:textId="77777777" w:rsidR="007E2163" w:rsidRPr="00BD71F8" w:rsidRDefault="007E2163" w:rsidP="00265697">
      <w:pPr>
        <w:spacing w:after="0" w:line="276" w:lineRule="auto"/>
        <w:rPr>
          <w:rFonts w:cs="Calibri"/>
          <w:sz w:val="24"/>
          <w:szCs w:val="24"/>
        </w:rPr>
      </w:pPr>
      <w:r w:rsidRPr="00BD71F8">
        <w:rPr>
          <w:rFonts w:cs="Calibri"/>
          <w:b/>
          <w:bCs/>
          <w:sz w:val="24"/>
          <w:szCs w:val="24"/>
        </w:rPr>
        <w:lastRenderedPageBreak/>
        <w:t>Purpose:</w:t>
      </w:r>
      <w:r w:rsidRPr="00BD71F8">
        <w:rPr>
          <w:rFonts w:cs="Calibri"/>
          <w:sz w:val="24"/>
          <w:szCs w:val="24"/>
        </w:rPr>
        <w:t xml:space="preserve"> Due diligence validates WiTricity's financial and operational stability, intellectual property ownership and regulatory compliance. Before making a </w:t>
      </w:r>
      <w:proofErr w:type="gramStart"/>
      <w:r w:rsidRPr="00BD71F8">
        <w:rPr>
          <w:rFonts w:cs="Calibri"/>
          <w:sz w:val="24"/>
          <w:szCs w:val="24"/>
        </w:rPr>
        <w:t>purchase</w:t>
      </w:r>
      <w:proofErr w:type="gramEnd"/>
      <w:r w:rsidRPr="00BD71F8">
        <w:rPr>
          <w:rFonts w:cs="Calibri"/>
          <w:sz w:val="24"/>
          <w:szCs w:val="24"/>
        </w:rPr>
        <w:t> this complete review reduces risks by detecting potential liabilities or operational problems with the industry.</w:t>
      </w:r>
    </w:p>
    <w:p w14:paraId="0F8941BB" w14:textId="77777777" w:rsidR="007E2163" w:rsidRPr="00BD71F8" w:rsidRDefault="007E2163" w:rsidP="00265697">
      <w:pPr>
        <w:spacing w:after="0" w:line="276" w:lineRule="auto"/>
        <w:rPr>
          <w:rFonts w:cs="Calibri"/>
          <w:sz w:val="24"/>
          <w:szCs w:val="24"/>
        </w:rPr>
      </w:pPr>
      <w:r w:rsidRPr="00BD71F8">
        <w:rPr>
          <w:rFonts w:cs="Calibri"/>
          <w:b/>
          <w:bCs/>
          <w:sz w:val="24"/>
          <w:szCs w:val="24"/>
        </w:rPr>
        <w:t>Impact:</w:t>
      </w:r>
      <w:r w:rsidRPr="00BD71F8">
        <w:rPr>
          <w:rFonts w:cs="Calibri"/>
          <w:sz w:val="24"/>
          <w:szCs w:val="24"/>
        </w:rPr>
        <w:t xml:space="preserve"> Due diligence facilitates educated decision-making guaranteeing that the acquisition provides the expected value. Identifying risks and possibilities enables the buyer to negotiate terms or alter strategies, eventually ensuring the acquisition's financial along operational benefits.</w:t>
      </w:r>
    </w:p>
    <w:p w14:paraId="7C9C7BCB" w14:textId="040BA30F" w:rsidR="007E2163" w:rsidRPr="00BD71F8" w:rsidRDefault="007E2163" w:rsidP="00156F40">
      <w:pPr>
        <w:spacing w:line="276" w:lineRule="auto"/>
        <w:rPr>
          <w:rFonts w:cs="Calibri"/>
          <w:sz w:val="24"/>
          <w:szCs w:val="24"/>
        </w:rPr>
      </w:pPr>
      <w:r w:rsidRPr="00BD71F8">
        <w:rPr>
          <w:rFonts w:cs="Calibri"/>
          <w:b/>
          <w:bCs/>
          <w:sz w:val="24"/>
          <w:szCs w:val="24"/>
        </w:rPr>
        <w:t xml:space="preserve">Reason: </w:t>
      </w:r>
      <w:r w:rsidRPr="00BD71F8">
        <w:rPr>
          <w:rFonts w:cs="Calibri"/>
          <w:sz w:val="24"/>
          <w:szCs w:val="24"/>
        </w:rPr>
        <w:t>Due diligence costs for technology acquisitions typically vary between $2 and $5 million. The $3 million estimate includes a thorough examination of WiTricity's finances, intellectual property and operations to ensure the company's viability and worth. This approach helps to avoid unanticipated problems after the purchase. </w:t>
      </w:r>
    </w:p>
    <w:p w14:paraId="1A460E5D" w14:textId="77777777" w:rsidR="007E2163" w:rsidRPr="00BD71F8" w:rsidRDefault="007E2163" w:rsidP="00265697">
      <w:pPr>
        <w:spacing w:after="0" w:line="276" w:lineRule="auto"/>
        <w:rPr>
          <w:rFonts w:cs="Calibri"/>
          <w:b/>
          <w:bCs/>
          <w:sz w:val="28"/>
          <w:szCs w:val="28"/>
        </w:rPr>
      </w:pPr>
      <w:r w:rsidRPr="00BD71F8">
        <w:rPr>
          <w:rFonts w:cs="Calibri"/>
          <w:b/>
          <w:bCs/>
          <w:sz w:val="28"/>
          <w:szCs w:val="28"/>
        </w:rPr>
        <w:t xml:space="preserve">Consultant Fees for </w:t>
      </w:r>
      <w:proofErr w:type="spellStart"/>
      <w:r w:rsidRPr="00BD71F8">
        <w:rPr>
          <w:rFonts w:cs="Calibri"/>
          <w:b/>
          <w:bCs/>
          <w:sz w:val="28"/>
          <w:szCs w:val="28"/>
        </w:rPr>
        <w:t>ProcessPro</w:t>
      </w:r>
      <w:proofErr w:type="spellEnd"/>
      <w:r w:rsidRPr="00BD71F8">
        <w:rPr>
          <w:rFonts w:cs="Calibri"/>
          <w:b/>
          <w:bCs/>
          <w:sz w:val="28"/>
          <w:szCs w:val="28"/>
        </w:rPr>
        <w:t xml:space="preserve"> Partners</w:t>
      </w:r>
    </w:p>
    <w:p w14:paraId="0CA1C3C1" w14:textId="77777777" w:rsidR="007E2163" w:rsidRPr="00BD71F8" w:rsidRDefault="007E2163" w:rsidP="00265697">
      <w:pPr>
        <w:spacing w:after="0" w:line="276" w:lineRule="auto"/>
        <w:rPr>
          <w:rFonts w:cs="Calibri"/>
          <w:sz w:val="24"/>
          <w:szCs w:val="24"/>
        </w:rPr>
      </w:pPr>
      <w:r w:rsidRPr="00BD71F8">
        <w:rPr>
          <w:rFonts w:cs="Calibri"/>
          <w:b/>
          <w:bCs/>
          <w:sz w:val="24"/>
          <w:szCs w:val="24"/>
        </w:rPr>
        <w:t>Description:</w:t>
      </w:r>
      <w:r w:rsidRPr="00BD71F8">
        <w:rPr>
          <w:rFonts w:cs="Calibri"/>
          <w:sz w:val="24"/>
          <w:szCs w:val="24"/>
        </w:rPr>
        <w:t xml:space="preserve"> </w:t>
      </w:r>
      <w:proofErr w:type="spellStart"/>
      <w:r w:rsidRPr="00BD71F8">
        <w:rPr>
          <w:rFonts w:cs="Calibri"/>
          <w:sz w:val="24"/>
          <w:szCs w:val="24"/>
        </w:rPr>
        <w:t>ProcessPro</w:t>
      </w:r>
      <w:proofErr w:type="spellEnd"/>
      <w:r w:rsidRPr="00BD71F8">
        <w:rPr>
          <w:rFonts w:cs="Calibri"/>
          <w:sz w:val="24"/>
          <w:szCs w:val="24"/>
        </w:rPr>
        <w:t xml:space="preserve"> Partners receives payments for advisory services like acquisition strategy, integration planning and operational alignment.</w:t>
      </w:r>
    </w:p>
    <w:p w14:paraId="34DF7EE8" w14:textId="42EC51CD" w:rsidR="007E2163" w:rsidRPr="00BD71F8" w:rsidRDefault="007E2163" w:rsidP="00265697">
      <w:pPr>
        <w:spacing w:after="0" w:line="276" w:lineRule="auto"/>
        <w:rPr>
          <w:rFonts w:cs="Calibri"/>
          <w:sz w:val="24"/>
          <w:szCs w:val="24"/>
        </w:rPr>
      </w:pPr>
      <w:r w:rsidRPr="00BD71F8">
        <w:rPr>
          <w:rFonts w:cs="Calibri"/>
          <w:b/>
          <w:bCs/>
          <w:sz w:val="24"/>
          <w:szCs w:val="24"/>
        </w:rPr>
        <w:t>Purpose:</w:t>
      </w:r>
      <w:r w:rsidRPr="00BD71F8">
        <w:rPr>
          <w:rFonts w:cs="Calibri"/>
          <w:sz w:val="24"/>
          <w:szCs w:val="24"/>
        </w:rPr>
        <w:t xml:space="preserve"> Consulting professionals give important help in aligning WiTricity's operations with the buyer's strategic objectives. Their responsibilities include integration planning, cultural alignment and process optimi</w:t>
      </w:r>
      <w:r w:rsidR="00341FDB">
        <w:rPr>
          <w:rFonts w:cs="Calibri"/>
          <w:sz w:val="24"/>
          <w:szCs w:val="24"/>
        </w:rPr>
        <w:t>s</w:t>
      </w:r>
      <w:r w:rsidRPr="00BD71F8">
        <w:rPr>
          <w:rFonts w:cs="Calibri"/>
          <w:sz w:val="24"/>
          <w:szCs w:val="24"/>
        </w:rPr>
        <w:t>ation providing a smooth transfer and effective operational setup following acquisition.</w:t>
      </w:r>
    </w:p>
    <w:p w14:paraId="7D14622B" w14:textId="62D7BE68" w:rsidR="007E2163" w:rsidRPr="00BD71F8" w:rsidRDefault="007E2163" w:rsidP="00265697">
      <w:pPr>
        <w:spacing w:after="0" w:line="276" w:lineRule="auto"/>
        <w:rPr>
          <w:rFonts w:cs="Calibri"/>
          <w:sz w:val="24"/>
          <w:szCs w:val="24"/>
        </w:rPr>
      </w:pPr>
      <w:r w:rsidRPr="00BD71F8">
        <w:rPr>
          <w:rFonts w:cs="Calibri"/>
          <w:b/>
          <w:bCs/>
          <w:sz w:val="24"/>
          <w:szCs w:val="24"/>
        </w:rPr>
        <w:t>Impact:</w:t>
      </w:r>
      <w:r w:rsidRPr="00BD71F8">
        <w:rPr>
          <w:rFonts w:cs="Calibri"/>
          <w:sz w:val="24"/>
          <w:szCs w:val="24"/>
        </w:rPr>
        <w:t xml:space="preserve"> Consulting fees help to streamline the acquisition process allowing for quick onboarding and eliminating potential disruptions. Effective advisory support speeds up the achievement of strategic objectives maximi</w:t>
      </w:r>
      <w:r w:rsidR="00341FDB">
        <w:rPr>
          <w:rFonts w:cs="Calibri"/>
          <w:sz w:val="24"/>
          <w:szCs w:val="24"/>
        </w:rPr>
        <w:t>s</w:t>
      </w:r>
      <w:r w:rsidRPr="00BD71F8">
        <w:rPr>
          <w:rFonts w:cs="Calibri"/>
          <w:sz w:val="24"/>
          <w:szCs w:val="24"/>
        </w:rPr>
        <w:t>ing the acquisition's long-term worth.</w:t>
      </w:r>
    </w:p>
    <w:p w14:paraId="33BC4B0F" w14:textId="439C94D1" w:rsidR="007E2163" w:rsidRPr="00BD71F8" w:rsidRDefault="007E2163" w:rsidP="00156F40">
      <w:pPr>
        <w:spacing w:line="276" w:lineRule="auto"/>
        <w:rPr>
          <w:rFonts w:cs="Calibri"/>
          <w:sz w:val="24"/>
          <w:szCs w:val="24"/>
        </w:rPr>
      </w:pPr>
      <w:r w:rsidRPr="00BD71F8">
        <w:rPr>
          <w:rFonts w:cs="Calibri"/>
          <w:b/>
          <w:bCs/>
          <w:sz w:val="24"/>
          <w:szCs w:val="24"/>
        </w:rPr>
        <w:t xml:space="preserve">Reason: </w:t>
      </w:r>
      <w:r w:rsidRPr="00BD71F8">
        <w:rPr>
          <w:rFonts w:cs="Calibri"/>
          <w:sz w:val="24"/>
          <w:szCs w:val="24"/>
        </w:rPr>
        <w:t>Consulting expenses for acquisition support like integration and alignment are typically between 0.25 and 0.5% of the purchase price. The $1 million guarantees WiTricity's operations align with the buyer's strategy and goals lowering the risk of interruption during the transfer.</w:t>
      </w:r>
    </w:p>
    <w:p w14:paraId="599842EF" w14:textId="77777777" w:rsidR="007E2163" w:rsidRPr="00BD71F8" w:rsidRDefault="007E2163" w:rsidP="00265697">
      <w:pPr>
        <w:spacing w:after="0" w:line="276" w:lineRule="auto"/>
        <w:rPr>
          <w:rFonts w:cs="Calibri"/>
          <w:b/>
          <w:bCs/>
          <w:sz w:val="28"/>
          <w:szCs w:val="28"/>
        </w:rPr>
      </w:pPr>
      <w:r w:rsidRPr="00BD71F8">
        <w:rPr>
          <w:rFonts w:cs="Calibri"/>
          <w:b/>
          <w:bCs/>
          <w:sz w:val="28"/>
          <w:szCs w:val="28"/>
        </w:rPr>
        <w:t>Government License Fees</w:t>
      </w:r>
    </w:p>
    <w:p w14:paraId="414CA56A" w14:textId="77777777" w:rsidR="007E2163" w:rsidRPr="00BD71F8" w:rsidRDefault="007E2163" w:rsidP="00265697">
      <w:pPr>
        <w:spacing w:after="0" w:line="276" w:lineRule="auto"/>
        <w:rPr>
          <w:rFonts w:cs="Calibri"/>
          <w:sz w:val="24"/>
          <w:szCs w:val="24"/>
        </w:rPr>
      </w:pPr>
      <w:r w:rsidRPr="00BD71F8">
        <w:rPr>
          <w:rFonts w:cs="Calibri"/>
          <w:b/>
          <w:bCs/>
          <w:sz w:val="24"/>
          <w:szCs w:val="24"/>
        </w:rPr>
        <w:t>Description:</w:t>
      </w:r>
      <w:r w:rsidRPr="00BD71F8">
        <w:rPr>
          <w:rFonts w:cs="Calibri"/>
          <w:sz w:val="24"/>
          <w:szCs w:val="24"/>
        </w:rPr>
        <w:t xml:space="preserve"> Fees paid to government agencies to get permits and licenses for WiTricity's technology and activities.</w:t>
      </w:r>
    </w:p>
    <w:p w14:paraId="34729E23" w14:textId="77777777" w:rsidR="007E2163" w:rsidRPr="00BD71F8" w:rsidRDefault="007E2163" w:rsidP="00265697">
      <w:pPr>
        <w:spacing w:after="0" w:line="276" w:lineRule="auto"/>
        <w:rPr>
          <w:rFonts w:cs="Calibri"/>
          <w:sz w:val="24"/>
          <w:szCs w:val="24"/>
        </w:rPr>
      </w:pPr>
      <w:r w:rsidRPr="00BD71F8">
        <w:rPr>
          <w:rFonts w:cs="Calibri"/>
          <w:b/>
          <w:bCs/>
          <w:sz w:val="24"/>
          <w:szCs w:val="24"/>
        </w:rPr>
        <w:t>Purpose:</w:t>
      </w:r>
      <w:r w:rsidRPr="00BD71F8">
        <w:rPr>
          <w:rFonts w:cs="Calibri"/>
          <w:sz w:val="24"/>
          <w:szCs w:val="24"/>
        </w:rPr>
        <w:t xml:space="preserve"> Licensing payments are necessary for obtaining regulatory permissions and ensuring that WiTricity's operations comply with environmental, safety and technical laws. This is especially pertinent given WiTricity's concentration on wireless charging technology in the EV industry. </w:t>
      </w:r>
    </w:p>
    <w:p w14:paraId="2C297B42" w14:textId="77777777" w:rsidR="007E2163" w:rsidRPr="00BD71F8" w:rsidRDefault="007E2163" w:rsidP="00265697">
      <w:pPr>
        <w:spacing w:after="0" w:line="276" w:lineRule="auto"/>
        <w:rPr>
          <w:rFonts w:cs="Calibri"/>
          <w:sz w:val="24"/>
          <w:szCs w:val="24"/>
        </w:rPr>
      </w:pPr>
      <w:r w:rsidRPr="00BD71F8">
        <w:rPr>
          <w:rFonts w:cs="Calibri"/>
          <w:b/>
          <w:bCs/>
          <w:sz w:val="24"/>
          <w:szCs w:val="24"/>
        </w:rPr>
        <w:t>Impact:</w:t>
      </w:r>
      <w:r w:rsidRPr="00BD71F8">
        <w:rPr>
          <w:rFonts w:cs="Calibri"/>
          <w:sz w:val="24"/>
          <w:szCs w:val="24"/>
        </w:rPr>
        <w:t xml:space="preserve"> Obtaining the necessary licenses enables the buyer to run WiTricity's business by regulatory standards, avoiding fines, operational delays and reputational damage. This ensures a lawful and smooth entry into the target market.</w:t>
      </w:r>
    </w:p>
    <w:p w14:paraId="62AF8D2D" w14:textId="594C2EB9" w:rsidR="007E2163" w:rsidRPr="00BD71F8" w:rsidRDefault="007E2163" w:rsidP="00156F40">
      <w:pPr>
        <w:spacing w:line="276" w:lineRule="auto"/>
        <w:rPr>
          <w:rFonts w:cs="Calibri"/>
          <w:sz w:val="24"/>
          <w:szCs w:val="24"/>
        </w:rPr>
      </w:pPr>
      <w:r w:rsidRPr="00BD71F8">
        <w:rPr>
          <w:rFonts w:cs="Calibri"/>
          <w:b/>
          <w:bCs/>
          <w:sz w:val="24"/>
          <w:szCs w:val="24"/>
        </w:rPr>
        <w:t>Reason</w:t>
      </w:r>
      <w:r w:rsidRPr="00BD71F8">
        <w:rPr>
          <w:rFonts w:cs="Calibri"/>
          <w:sz w:val="24"/>
          <w:szCs w:val="24"/>
        </w:rPr>
        <w:t xml:space="preserve">: Licensing fees for enterprises in regulated fields such as EV technology often vary between $100,000 and $500,000. The $350,000 includes permissions required for environmental </w:t>
      </w:r>
      <w:r w:rsidRPr="00BD71F8">
        <w:rPr>
          <w:rFonts w:cs="Calibri"/>
          <w:sz w:val="24"/>
          <w:szCs w:val="24"/>
        </w:rPr>
        <w:lastRenderedPageBreak/>
        <w:t>and safety standards allowing WiTricity to operate legally in various countries without incurring fines or delays. </w:t>
      </w:r>
    </w:p>
    <w:p w14:paraId="03C7DB75" w14:textId="77777777" w:rsidR="007E2163" w:rsidRPr="00BD71F8" w:rsidRDefault="007E2163" w:rsidP="00265697">
      <w:pPr>
        <w:spacing w:after="0" w:line="276" w:lineRule="auto"/>
        <w:rPr>
          <w:rFonts w:cs="Calibri"/>
          <w:b/>
          <w:bCs/>
          <w:sz w:val="24"/>
          <w:szCs w:val="24"/>
        </w:rPr>
      </w:pPr>
      <w:r w:rsidRPr="00BD71F8">
        <w:rPr>
          <w:rFonts w:cs="Calibri"/>
          <w:b/>
          <w:bCs/>
          <w:sz w:val="24"/>
          <w:szCs w:val="24"/>
        </w:rPr>
        <w:t>Other ongoing costs (annual)</w:t>
      </w:r>
    </w:p>
    <w:p w14:paraId="59A6E695" w14:textId="609D7C42" w:rsidR="007E2163" w:rsidRPr="00BD71F8" w:rsidRDefault="007E2163" w:rsidP="00156F40">
      <w:pPr>
        <w:spacing w:line="276" w:lineRule="auto"/>
        <w:rPr>
          <w:rFonts w:cs="Calibri"/>
          <w:sz w:val="24"/>
          <w:szCs w:val="24"/>
        </w:rPr>
      </w:pPr>
      <w:r w:rsidRPr="00BD71F8">
        <w:rPr>
          <w:rFonts w:cs="Calibri"/>
          <w:sz w:val="24"/>
          <w:szCs w:val="24"/>
        </w:rPr>
        <w:t>These ongoing expenses are required to maintain compliance, match to regulatory standards and provide operational continuity following the acquisition.</w:t>
      </w:r>
    </w:p>
    <w:p w14:paraId="72E8BD50" w14:textId="77777777" w:rsidR="007E2163" w:rsidRPr="007125C3" w:rsidRDefault="007E2163" w:rsidP="00265697">
      <w:pPr>
        <w:spacing w:after="0" w:line="276" w:lineRule="auto"/>
        <w:rPr>
          <w:rFonts w:cs="Calibri"/>
          <w:b/>
          <w:bCs/>
          <w:sz w:val="28"/>
          <w:szCs w:val="28"/>
        </w:rPr>
      </w:pPr>
      <w:r w:rsidRPr="007125C3">
        <w:rPr>
          <w:rFonts w:cs="Calibri"/>
          <w:b/>
          <w:bCs/>
          <w:sz w:val="28"/>
          <w:szCs w:val="28"/>
        </w:rPr>
        <w:t>Environmental compliance audits</w:t>
      </w:r>
    </w:p>
    <w:p w14:paraId="65B3A870" w14:textId="77777777" w:rsidR="007E2163" w:rsidRPr="00BD71F8" w:rsidRDefault="007E2163" w:rsidP="00265697">
      <w:pPr>
        <w:spacing w:after="0" w:line="276" w:lineRule="auto"/>
        <w:rPr>
          <w:rFonts w:cs="Calibri"/>
          <w:sz w:val="24"/>
          <w:szCs w:val="24"/>
        </w:rPr>
      </w:pPr>
      <w:r w:rsidRPr="00BD71F8">
        <w:rPr>
          <w:rFonts w:cs="Calibri"/>
          <w:b/>
          <w:bCs/>
          <w:sz w:val="24"/>
          <w:szCs w:val="24"/>
        </w:rPr>
        <w:t>Description:</w:t>
      </w:r>
      <w:r w:rsidRPr="00BD71F8">
        <w:rPr>
          <w:rFonts w:cs="Calibri"/>
          <w:sz w:val="24"/>
          <w:szCs w:val="24"/>
        </w:rPr>
        <w:t xml:space="preserve"> Annual audits to ensure that WiTricity's operations comply with environmental rules and sustainability requirements.</w:t>
      </w:r>
    </w:p>
    <w:p w14:paraId="3851ACA0" w14:textId="77777777" w:rsidR="007E2163" w:rsidRPr="00BD71F8" w:rsidRDefault="007E2163" w:rsidP="00265697">
      <w:pPr>
        <w:spacing w:after="0" w:line="276" w:lineRule="auto"/>
        <w:rPr>
          <w:rFonts w:cs="Calibri"/>
          <w:sz w:val="24"/>
          <w:szCs w:val="24"/>
        </w:rPr>
      </w:pPr>
      <w:r w:rsidRPr="00BD71F8">
        <w:rPr>
          <w:rFonts w:cs="Calibri"/>
          <w:b/>
          <w:bCs/>
          <w:sz w:val="24"/>
          <w:szCs w:val="24"/>
        </w:rPr>
        <w:t>Purpose:</w:t>
      </w:r>
      <w:r w:rsidRPr="00BD71F8">
        <w:rPr>
          <w:rFonts w:cs="Calibri"/>
          <w:sz w:val="24"/>
          <w:szCs w:val="24"/>
        </w:rPr>
        <w:t xml:space="preserve"> Compliance audits check a company's conformity to environmental policies which can help reduce any legal or financial fines. WiTricity is in the green technology industry, therefore regular audits are critical for achieving investor and consumer expectations about sustainability.</w:t>
      </w:r>
    </w:p>
    <w:p w14:paraId="30584B18" w14:textId="77777777" w:rsidR="007E2163" w:rsidRPr="00BD71F8" w:rsidRDefault="007E2163" w:rsidP="00265697">
      <w:pPr>
        <w:spacing w:after="0" w:line="276" w:lineRule="auto"/>
        <w:rPr>
          <w:rFonts w:cs="Calibri"/>
          <w:sz w:val="24"/>
          <w:szCs w:val="24"/>
        </w:rPr>
      </w:pPr>
      <w:r w:rsidRPr="00BD71F8">
        <w:rPr>
          <w:rFonts w:cs="Calibri"/>
          <w:b/>
          <w:bCs/>
          <w:sz w:val="24"/>
          <w:szCs w:val="24"/>
        </w:rPr>
        <w:t>Impact:</w:t>
      </w:r>
      <w:r w:rsidRPr="00BD71F8">
        <w:rPr>
          <w:rFonts w:cs="Calibri"/>
          <w:sz w:val="24"/>
          <w:szCs w:val="24"/>
        </w:rPr>
        <w:t xml:space="preserve"> Ongoing environmental compliance confirms the company's ESG commitments boosting its reputation among environmentally conscientious customers and investors. It also helps to prevent expensive fines and promotes adherence to changing environmental standards.</w:t>
      </w:r>
    </w:p>
    <w:p w14:paraId="7A9CCDE9" w14:textId="7FD30432" w:rsidR="007E2163" w:rsidRPr="00BD71F8" w:rsidRDefault="007E2163" w:rsidP="00156F40">
      <w:pPr>
        <w:spacing w:line="276" w:lineRule="auto"/>
        <w:rPr>
          <w:rFonts w:cs="Calibri"/>
          <w:sz w:val="24"/>
          <w:szCs w:val="24"/>
        </w:rPr>
      </w:pPr>
      <w:r w:rsidRPr="00BD71F8">
        <w:rPr>
          <w:rFonts w:cs="Calibri"/>
          <w:b/>
          <w:bCs/>
          <w:sz w:val="24"/>
          <w:szCs w:val="24"/>
        </w:rPr>
        <w:t xml:space="preserve">Reason: </w:t>
      </w:r>
      <w:r w:rsidRPr="00BD71F8">
        <w:rPr>
          <w:rFonts w:cs="Calibri"/>
          <w:sz w:val="24"/>
          <w:szCs w:val="24"/>
        </w:rPr>
        <w:t>Environmental audits for green technology enterprises often range in cost from $100,000 to $300,000. The $200,000 ensures that WiTricity's activities satisfy environmental regulations avoiding fines and preserving a positive reputation among investors and customers concerned about sustainability.</w:t>
      </w:r>
    </w:p>
    <w:p w14:paraId="14234972" w14:textId="39DA9218" w:rsidR="007E2163" w:rsidRPr="00BD71F8" w:rsidRDefault="007E2163" w:rsidP="00265697">
      <w:pPr>
        <w:spacing w:after="0" w:line="276" w:lineRule="auto"/>
        <w:rPr>
          <w:rFonts w:cs="Calibri"/>
          <w:b/>
          <w:bCs/>
          <w:sz w:val="28"/>
          <w:szCs w:val="28"/>
        </w:rPr>
      </w:pPr>
      <w:r w:rsidRPr="00BD71F8">
        <w:rPr>
          <w:rFonts w:cs="Calibri"/>
          <w:b/>
          <w:bCs/>
          <w:sz w:val="28"/>
          <w:szCs w:val="28"/>
        </w:rPr>
        <w:t>Regulatory Approval Processes</w:t>
      </w:r>
    </w:p>
    <w:p w14:paraId="28C543B4" w14:textId="77777777" w:rsidR="007E2163" w:rsidRPr="00BD71F8" w:rsidRDefault="007E2163" w:rsidP="00265697">
      <w:pPr>
        <w:spacing w:after="0" w:line="276" w:lineRule="auto"/>
        <w:rPr>
          <w:rFonts w:cs="Calibri"/>
          <w:sz w:val="24"/>
          <w:szCs w:val="24"/>
        </w:rPr>
      </w:pPr>
      <w:r w:rsidRPr="00BD71F8">
        <w:rPr>
          <w:rFonts w:cs="Calibri"/>
          <w:b/>
          <w:bCs/>
          <w:sz w:val="24"/>
          <w:szCs w:val="24"/>
        </w:rPr>
        <w:t>Description:</w:t>
      </w:r>
      <w:r w:rsidRPr="00BD71F8">
        <w:rPr>
          <w:rFonts w:cs="Calibri"/>
          <w:sz w:val="24"/>
          <w:szCs w:val="24"/>
        </w:rPr>
        <w:t xml:space="preserve"> Annual costs for updating and renewing regulatory clearances to comply with industry standards along with government mandates.</w:t>
      </w:r>
    </w:p>
    <w:p w14:paraId="32C30717" w14:textId="77777777" w:rsidR="007E2163" w:rsidRPr="00BD71F8" w:rsidRDefault="007E2163" w:rsidP="00265697">
      <w:pPr>
        <w:spacing w:after="0" w:line="276" w:lineRule="auto"/>
        <w:rPr>
          <w:rFonts w:cs="Calibri"/>
          <w:sz w:val="24"/>
          <w:szCs w:val="24"/>
        </w:rPr>
      </w:pPr>
      <w:r w:rsidRPr="00BD71F8">
        <w:rPr>
          <w:rFonts w:cs="Calibri"/>
          <w:b/>
          <w:bCs/>
          <w:sz w:val="24"/>
          <w:szCs w:val="24"/>
        </w:rPr>
        <w:t>Purpose:</w:t>
      </w:r>
      <w:r w:rsidRPr="00BD71F8">
        <w:rPr>
          <w:rFonts w:cs="Calibri"/>
          <w:sz w:val="24"/>
          <w:szCs w:val="24"/>
        </w:rPr>
        <w:t xml:space="preserve"> Regulatory compliance guarantees that WiTricity's activities are by current legislation which is crucial in an industry that regularly changes safety and environmental standards. Regular approval processes are critical for ensuring lawful operations and allowing market expansion.</w:t>
      </w:r>
    </w:p>
    <w:p w14:paraId="7EF3C7C1" w14:textId="6BD329B1" w:rsidR="007E2163" w:rsidRPr="00BD71F8" w:rsidRDefault="007E2163" w:rsidP="00265697">
      <w:pPr>
        <w:spacing w:after="0" w:line="276" w:lineRule="auto"/>
        <w:rPr>
          <w:rFonts w:cs="Calibri"/>
          <w:sz w:val="24"/>
          <w:szCs w:val="24"/>
        </w:rPr>
      </w:pPr>
      <w:r w:rsidRPr="00BD71F8">
        <w:rPr>
          <w:rFonts w:cs="Calibri"/>
          <w:b/>
          <w:bCs/>
          <w:sz w:val="24"/>
          <w:szCs w:val="24"/>
        </w:rPr>
        <w:t>Impact:</w:t>
      </w:r>
      <w:r w:rsidRPr="00BD71F8">
        <w:rPr>
          <w:rFonts w:cs="Calibri"/>
          <w:sz w:val="24"/>
          <w:szCs w:val="24"/>
        </w:rPr>
        <w:t xml:space="preserve"> These approvals lower the likelihood of operational problems and legal consequences. Consistent compliance strengthens WiTricity's reputation as a dependable, lawful organi</w:t>
      </w:r>
      <w:r w:rsidR="00341FDB">
        <w:rPr>
          <w:rFonts w:cs="Calibri"/>
          <w:sz w:val="24"/>
          <w:szCs w:val="24"/>
        </w:rPr>
        <w:t>s</w:t>
      </w:r>
      <w:r w:rsidRPr="00BD71F8">
        <w:rPr>
          <w:rFonts w:cs="Calibri"/>
          <w:sz w:val="24"/>
          <w:szCs w:val="24"/>
        </w:rPr>
        <w:t>ation which is critical for growth in regulated markets.</w:t>
      </w:r>
    </w:p>
    <w:p w14:paraId="54CD37A7" w14:textId="296B01C2" w:rsidR="007E2163" w:rsidRPr="00BD71F8" w:rsidRDefault="007E2163" w:rsidP="006C24FE">
      <w:pPr>
        <w:spacing w:line="276" w:lineRule="auto"/>
        <w:rPr>
          <w:rFonts w:cs="Calibri"/>
          <w:sz w:val="24"/>
          <w:szCs w:val="24"/>
        </w:rPr>
      </w:pPr>
      <w:r w:rsidRPr="00BD71F8">
        <w:rPr>
          <w:rFonts w:cs="Calibri"/>
          <w:b/>
          <w:bCs/>
          <w:sz w:val="24"/>
          <w:szCs w:val="24"/>
        </w:rPr>
        <w:t xml:space="preserve">Reason: </w:t>
      </w:r>
      <w:r w:rsidRPr="00BD71F8">
        <w:rPr>
          <w:rFonts w:cs="Calibri"/>
          <w:sz w:val="24"/>
          <w:szCs w:val="24"/>
        </w:rPr>
        <w:t>Annual regulatory updates for companies in regulated industries often cost between $100,000 and $200,000. The $125,000 pays the costs of keeping WiTricity's permits and approvals current ensuring that the company complies with changing safety and environmental regulations.</w:t>
      </w:r>
    </w:p>
    <w:p w14:paraId="5FDCF5CE" w14:textId="77777777" w:rsidR="007E2163" w:rsidRPr="00BD71F8" w:rsidRDefault="007E2163" w:rsidP="00265697">
      <w:pPr>
        <w:spacing w:after="0" w:line="276" w:lineRule="auto"/>
        <w:rPr>
          <w:rFonts w:cs="Calibri"/>
          <w:b/>
          <w:bCs/>
          <w:sz w:val="28"/>
          <w:szCs w:val="28"/>
        </w:rPr>
      </w:pPr>
      <w:r w:rsidRPr="00BD71F8">
        <w:rPr>
          <w:rFonts w:cs="Calibri"/>
          <w:b/>
          <w:bCs/>
          <w:sz w:val="28"/>
          <w:szCs w:val="28"/>
        </w:rPr>
        <w:t>Legal and Compliance Expenses</w:t>
      </w:r>
    </w:p>
    <w:p w14:paraId="3ACECE81" w14:textId="77777777" w:rsidR="007E2163" w:rsidRPr="00BD71F8" w:rsidRDefault="007E2163" w:rsidP="00265697">
      <w:pPr>
        <w:spacing w:after="0" w:line="276" w:lineRule="auto"/>
        <w:rPr>
          <w:rFonts w:cs="Calibri"/>
          <w:sz w:val="24"/>
          <w:szCs w:val="24"/>
        </w:rPr>
      </w:pPr>
      <w:r w:rsidRPr="00BD71F8">
        <w:rPr>
          <w:rFonts w:cs="Calibri"/>
          <w:b/>
          <w:bCs/>
          <w:sz w:val="24"/>
          <w:szCs w:val="24"/>
        </w:rPr>
        <w:t>Description:</w:t>
      </w:r>
      <w:r w:rsidRPr="00BD71F8">
        <w:rPr>
          <w:rFonts w:cs="Calibri"/>
          <w:sz w:val="24"/>
          <w:szCs w:val="24"/>
        </w:rPr>
        <w:t xml:space="preserve"> Recurring legal fees for contract administration, intellectual property protection and regulatory updates.</w:t>
      </w:r>
    </w:p>
    <w:p w14:paraId="2AD50F92" w14:textId="781A4C17" w:rsidR="007E2163" w:rsidRPr="00BD71F8" w:rsidRDefault="007E2163" w:rsidP="00265697">
      <w:pPr>
        <w:spacing w:after="0" w:line="276" w:lineRule="auto"/>
        <w:rPr>
          <w:rFonts w:cs="Calibri"/>
          <w:sz w:val="24"/>
          <w:szCs w:val="24"/>
        </w:rPr>
      </w:pPr>
      <w:r w:rsidRPr="00BD71F8">
        <w:rPr>
          <w:rFonts w:cs="Calibri"/>
          <w:b/>
          <w:bCs/>
          <w:sz w:val="24"/>
          <w:szCs w:val="24"/>
        </w:rPr>
        <w:lastRenderedPageBreak/>
        <w:t>Purpose:</w:t>
      </w:r>
      <w:r w:rsidRPr="00BD71F8">
        <w:rPr>
          <w:rFonts w:cs="Calibri"/>
          <w:sz w:val="24"/>
          <w:szCs w:val="24"/>
        </w:rPr>
        <w:t xml:space="preserve"> Ongoing legal and compliance expenses enable the organi</w:t>
      </w:r>
      <w:r w:rsidR="00341FDB">
        <w:rPr>
          <w:rFonts w:cs="Calibri"/>
          <w:sz w:val="24"/>
          <w:szCs w:val="24"/>
        </w:rPr>
        <w:t>s</w:t>
      </w:r>
      <w:r w:rsidRPr="00BD71F8">
        <w:rPr>
          <w:rFonts w:cs="Calibri"/>
          <w:sz w:val="24"/>
          <w:szCs w:val="24"/>
        </w:rPr>
        <w:t>ation to respond to regulatory changes, renew contracts and protect intellectual property rights. Routine legal support guarantees that the company's operations comply with all legal requirements.</w:t>
      </w:r>
    </w:p>
    <w:p w14:paraId="4AC30C4F" w14:textId="77777777" w:rsidR="007E2163" w:rsidRPr="00BD71F8" w:rsidRDefault="007E2163" w:rsidP="00265697">
      <w:pPr>
        <w:spacing w:after="0" w:line="276" w:lineRule="auto"/>
        <w:rPr>
          <w:rFonts w:cs="Calibri"/>
          <w:sz w:val="24"/>
          <w:szCs w:val="24"/>
        </w:rPr>
      </w:pPr>
      <w:r w:rsidRPr="00BD71F8">
        <w:rPr>
          <w:rFonts w:cs="Calibri"/>
          <w:b/>
          <w:bCs/>
          <w:sz w:val="24"/>
          <w:szCs w:val="24"/>
        </w:rPr>
        <w:t>Impact:</w:t>
      </w:r>
      <w:r w:rsidRPr="00BD71F8">
        <w:rPr>
          <w:rFonts w:cs="Calibri"/>
          <w:sz w:val="24"/>
          <w:szCs w:val="24"/>
        </w:rPr>
        <w:t xml:space="preserve"> Regular legal review helps WiTricity avoid contract disputes, regulatory noncompliance and intellectual property threats allowing it to focus on innovation with expansion while protecting its interests.</w:t>
      </w:r>
    </w:p>
    <w:p w14:paraId="46986084" w14:textId="03C685E6" w:rsidR="007E2163" w:rsidRPr="00BD71F8" w:rsidRDefault="007E2163" w:rsidP="006C24FE">
      <w:pPr>
        <w:spacing w:line="276" w:lineRule="auto"/>
        <w:rPr>
          <w:rFonts w:cs="Calibri"/>
          <w:sz w:val="24"/>
          <w:szCs w:val="24"/>
        </w:rPr>
      </w:pPr>
      <w:r w:rsidRPr="00BD71F8">
        <w:rPr>
          <w:rFonts w:cs="Calibri"/>
          <w:b/>
          <w:bCs/>
          <w:sz w:val="24"/>
          <w:szCs w:val="24"/>
        </w:rPr>
        <w:t xml:space="preserve">Reason: </w:t>
      </w:r>
      <w:r w:rsidRPr="00BD71F8">
        <w:rPr>
          <w:rFonts w:cs="Calibri"/>
          <w:sz w:val="24"/>
          <w:szCs w:val="24"/>
        </w:rPr>
        <w:t>Ongoing legal fees for contract administration, intellectual property protection and regulatory updates are typically between $150,000 and $300,000. The $200,000 estimate enables WiTricity to manage routine legal matters assuring seamless, compliant operations free of legal disputes.</w:t>
      </w:r>
    </w:p>
    <w:p w14:paraId="5EBB8E27" w14:textId="77777777" w:rsidR="007E2163" w:rsidRPr="00BD71F8" w:rsidRDefault="007E2163" w:rsidP="00265697">
      <w:pPr>
        <w:spacing w:after="0" w:line="276" w:lineRule="auto"/>
        <w:rPr>
          <w:rFonts w:cs="Calibri"/>
          <w:b/>
          <w:bCs/>
          <w:sz w:val="28"/>
          <w:szCs w:val="28"/>
        </w:rPr>
      </w:pPr>
      <w:r w:rsidRPr="00BD71F8">
        <w:rPr>
          <w:rFonts w:cs="Calibri"/>
          <w:b/>
          <w:bCs/>
          <w:sz w:val="28"/>
          <w:szCs w:val="28"/>
        </w:rPr>
        <w:t>Class 8: Furniture (20%) (One-time Expense)</w:t>
      </w:r>
    </w:p>
    <w:p w14:paraId="06B79439" w14:textId="501F9B3E" w:rsidR="007E2163" w:rsidRPr="006E3387" w:rsidRDefault="007E2163" w:rsidP="006E3387">
      <w:pPr>
        <w:spacing w:line="276" w:lineRule="auto"/>
        <w:rPr>
          <w:rFonts w:cs="Calibri"/>
          <w:sz w:val="24"/>
          <w:szCs w:val="24"/>
        </w:rPr>
      </w:pPr>
      <w:r w:rsidRPr="00BD71F8">
        <w:rPr>
          <w:rFonts w:cs="Calibri"/>
          <w:sz w:val="24"/>
          <w:szCs w:val="24"/>
        </w:rPr>
        <w:t>Class 8 assets which include office furniture and equipment, are depreciable and necessary for creating a productive well-equipped workplace environment.</w:t>
      </w:r>
    </w:p>
    <w:p w14:paraId="4BBE0E05" w14:textId="77777777" w:rsidR="007E2163" w:rsidRPr="00BD71F8" w:rsidRDefault="007E2163" w:rsidP="00265697">
      <w:pPr>
        <w:spacing w:after="0" w:line="276" w:lineRule="auto"/>
        <w:rPr>
          <w:rFonts w:cs="Calibri"/>
          <w:b/>
          <w:bCs/>
          <w:sz w:val="28"/>
          <w:szCs w:val="28"/>
        </w:rPr>
      </w:pPr>
      <w:r w:rsidRPr="00BD71F8">
        <w:rPr>
          <w:rFonts w:cs="Calibri"/>
          <w:b/>
          <w:bCs/>
          <w:sz w:val="28"/>
          <w:szCs w:val="28"/>
        </w:rPr>
        <w:t>Office Furniture</w:t>
      </w:r>
    </w:p>
    <w:p w14:paraId="552CC250" w14:textId="77777777" w:rsidR="007E2163" w:rsidRPr="00BD71F8" w:rsidRDefault="007E2163" w:rsidP="00265697">
      <w:pPr>
        <w:spacing w:after="0" w:line="276" w:lineRule="auto"/>
        <w:rPr>
          <w:rFonts w:cs="Calibri"/>
          <w:sz w:val="24"/>
          <w:szCs w:val="24"/>
        </w:rPr>
      </w:pPr>
      <w:r w:rsidRPr="00BD71F8">
        <w:rPr>
          <w:rFonts w:cs="Calibri"/>
          <w:b/>
          <w:bCs/>
          <w:sz w:val="24"/>
          <w:szCs w:val="24"/>
        </w:rPr>
        <w:t>Description:</w:t>
      </w:r>
      <w:r w:rsidRPr="00BD71F8">
        <w:rPr>
          <w:rFonts w:cs="Calibri"/>
          <w:sz w:val="24"/>
          <w:szCs w:val="24"/>
        </w:rPr>
        <w:t xml:space="preserve"> Desks, seats, cabinets and other equipment are essential to establish a professional efficient workspace.</w:t>
      </w:r>
    </w:p>
    <w:p w14:paraId="31275181" w14:textId="77777777" w:rsidR="007E2163" w:rsidRPr="00BD71F8" w:rsidRDefault="007E2163" w:rsidP="00265697">
      <w:pPr>
        <w:spacing w:after="0" w:line="276" w:lineRule="auto"/>
        <w:rPr>
          <w:rFonts w:cs="Calibri"/>
          <w:sz w:val="24"/>
          <w:szCs w:val="24"/>
        </w:rPr>
      </w:pPr>
      <w:r w:rsidRPr="00BD71F8">
        <w:rPr>
          <w:rFonts w:cs="Calibri"/>
          <w:b/>
          <w:bCs/>
          <w:sz w:val="24"/>
          <w:szCs w:val="24"/>
        </w:rPr>
        <w:t>Purpose:</w:t>
      </w:r>
      <w:r w:rsidRPr="00BD71F8">
        <w:rPr>
          <w:rFonts w:cs="Calibri"/>
          <w:sz w:val="24"/>
          <w:szCs w:val="24"/>
        </w:rPr>
        <w:t xml:space="preserve"> Office furniture promotes a comfortable and efficient work environment which is critical for employee productivity and satisfaction. It also enhances the company's professional image when visiting clients and partners.</w:t>
      </w:r>
    </w:p>
    <w:p w14:paraId="4C6E7E8E" w14:textId="77777777" w:rsidR="007E2163" w:rsidRPr="00BD71F8" w:rsidRDefault="007E2163" w:rsidP="00265697">
      <w:pPr>
        <w:spacing w:after="0" w:line="276" w:lineRule="auto"/>
        <w:rPr>
          <w:rFonts w:cs="Calibri"/>
          <w:sz w:val="24"/>
          <w:szCs w:val="24"/>
        </w:rPr>
      </w:pPr>
      <w:r w:rsidRPr="00BD71F8">
        <w:rPr>
          <w:rFonts w:cs="Calibri"/>
          <w:b/>
          <w:bCs/>
          <w:sz w:val="24"/>
          <w:szCs w:val="24"/>
        </w:rPr>
        <w:t>Impact:</w:t>
      </w:r>
      <w:r w:rsidRPr="00BD71F8">
        <w:rPr>
          <w:rFonts w:cs="Calibri"/>
          <w:sz w:val="24"/>
          <w:szCs w:val="24"/>
        </w:rPr>
        <w:t xml:space="preserve"> Despite being a one-time expense, office furniture is a long-lasting asset that adds to operational stability and efficiency. Properly decorated office spaces improve employee morale, productivity and retention.</w:t>
      </w:r>
    </w:p>
    <w:p w14:paraId="1FEDC9BC" w14:textId="06651F0D" w:rsidR="007E2163" w:rsidRPr="00BD71F8" w:rsidRDefault="007E2163" w:rsidP="006E3387">
      <w:pPr>
        <w:spacing w:line="276" w:lineRule="auto"/>
        <w:rPr>
          <w:rFonts w:cs="Calibri"/>
          <w:sz w:val="24"/>
          <w:szCs w:val="24"/>
        </w:rPr>
      </w:pPr>
      <w:r w:rsidRPr="00BD71F8">
        <w:rPr>
          <w:rFonts w:cs="Calibri"/>
          <w:b/>
          <w:bCs/>
          <w:sz w:val="24"/>
          <w:szCs w:val="24"/>
        </w:rPr>
        <w:t xml:space="preserve">Reason: </w:t>
      </w:r>
      <w:r w:rsidRPr="00BD71F8">
        <w:rPr>
          <w:rFonts w:cs="Calibri"/>
          <w:sz w:val="24"/>
          <w:szCs w:val="24"/>
        </w:rPr>
        <w:t>The cost of office furniture is determined by its si</w:t>
      </w:r>
      <w:r w:rsidR="00341FDB">
        <w:rPr>
          <w:rFonts w:cs="Calibri"/>
          <w:sz w:val="24"/>
          <w:szCs w:val="24"/>
        </w:rPr>
        <w:t>z</w:t>
      </w:r>
      <w:r w:rsidRPr="00BD71F8">
        <w:rPr>
          <w:rFonts w:cs="Calibri"/>
          <w:sz w:val="24"/>
          <w:szCs w:val="24"/>
        </w:rPr>
        <w:t>e and quality. The $75,000 includes the necessary furniture for a mid-sized team resulting in a pleasant and professional workstation that increases productivity and creates a good impression on guests.</w:t>
      </w:r>
    </w:p>
    <w:p w14:paraId="0061073E" w14:textId="77777777" w:rsidR="007E2163" w:rsidRPr="00BD71F8" w:rsidRDefault="007E2163" w:rsidP="00265697">
      <w:pPr>
        <w:spacing w:after="0" w:line="276" w:lineRule="auto"/>
        <w:rPr>
          <w:rFonts w:cs="Calibri"/>
          <w:b/>
          <w:bCs/>
          <w:sz w:val="28"/>
          <w:szCs w:val="28"/>
        </w:rPr>
      </w:pPr>
      <w:r w:rsidRPr="00BD71F8">
        <w:rPr>
          <w:rFonts w:cs="Calibri"/>
          <w:b/>
          <w:bCs/>
          <w:sz w:val="28"/>
          <w:szCs w:val="28"/>
        </w:rPr>
        <w:t>Office appliances</w:t>
      </w:r>
    </w:p>
    <w:p w14:paraId="255F961D" w14:textId="77777777" w:rsidR="007E2163" w:rsidRPr="00BD71F8" w:rsidRDefault="007E2163" w:rsidP="00265697">
      <w:pPr>
        <w:spacing w:after="0" w:line="276" w:lineRule="auto"/>
        <w:rPr>
          <w:rFonts w:cs="Calibri"/>
          <w:sz w:val="24"/>
          <w:szCs w:val="24"/>
        </w:rPr>
      </w:pPr>
      <w:r w:rsidRPr="00BD71F8">
        <w:rPr>
          <w:rFonts w:cs="Calibri"/>
          <w:b/>
          <w:bCs/>
          <w:sz w:val="24"/>
          <w:szCs w:val="24"/>
        </w:rPr>
        <w:t>Description:</w:t>
      </w:r>
      <w:r w:rsidRPr="00BD71F8">
        <w:rPr>
          <w:rFonts w:cs="Calibri"/>
          <w:sz w:val="24"/>
          <w:szCs w:val="24"/>
        </w:rPr>
        <w:t xml:space="preserve"> Computers, printers and kitchen appliances are examples of essential office equipment used daily.</w:t>
      </w:r>
    </w:p>
    <w:p w14:paraId="5F0EA00A" w14:textId="77777777" w:rsidR="007E2163" w:rsidRPr="00BD71F8" w:rsidRDefault="007E2163" w:rsidP="00265697">
      <w:pPr>
        <w:spacing w:after="0" w:line="276" w:lineRule="auto"/>
        <w:rPr>
          <w:rFonts w:cs="Calibri"/>
          <w:sz w:val="24"/>
          <w:szCs w:val="24"/>
        </w:rPr>
      </w:pPr>
      <w:r w:rsidRPr="00BD71F8">
        <w:rPr>
          <w:rFonts w:cs="Calibri"/>
          <w:b/>
          <w:bCs/>
          <w:sz w:val="24"/>
          <w:szCs w:val="24"/>
        </w:rPr>
        <w:t>Purpose:</w:t>
      </w:r>
      <w:r w:rsidRPr="00BD71F8">
        <w:rPr>
          <w:rFonts w:cs="Calibri"/>
          <w:sz w:val="24"/>
          <w:szCs w:val="24"/>
        </w:rPr>
        <w:t xml:space="preserve"> Office appliances are essential for maintaining operational efficiency. Computers and printers make administrative duties easier while kitchen equipment makes the workplace more comfortable promoting employee well-being.</w:t>
      </w:r>
    </w:p>
    <w:p w14:paraId="4F1E8F20" w14:textId="7151C32E" w:rsidR="007E2163" w:rsidRPr="00BD71F8" w:rsidRDefault="007E2163" w:rsidP="00265697">
      <w:pPr>
        <w:spacing w:after="0" w:line="276" w:lineRule="auto"/>
        <w:rPr>
          <w:rFonts w:cs="Calibri"/>
          <w:sz w:val="24"/>
          <w:szCs w:val="24"/>
        </w:rPr>
      </w:pPr>
      <w:r w:rsidRPr="00BD71F8">
        <w:rPr>
          <w:rFonts w:cs="Calibri"/>
          <w:b/>
          <w:bCs/>
          <w:sz w:val="24"/>
          <w:szCs w:val="24"/>
        </w:rPr>
        <w:t>Impact:</w:t>
      </w:r>
      <w:r w:rsidRPr="00BD71F8">
        <w:rPr>
          <w:rFonts w:cs="Calibri"/>
          <w:sz w:val="24"/>
          <w:szCs w:val="24"/>
        </w:rPr>
        <w:t xml:space="preserve"> Office appliances yet a one-time expenditure </w:t>
      </w:r>
      <w:r w:rsidR="00341FDB" w:rsidRPr="00BD71F8">
        <w:rPr>
          <w:rFonts w:cs="Calibri"/>
          <w:sz w:val="24"/>
          <w:szCs w:val="24"/>
        </w:rPr>
        <w:t>is</w:t>
      </w:r>
      <w:r w:rsidRPr="00BD71F8">
        <w:rPr>
          <w:rFonts w:cs="Calibri"/>
          <w:sz w:val="24"/>
          <w:szCs w:val="24"/>
        </w:rPr>
        <w:t xml:space="preserve"> required for efficient, ongoing office operations. High-quality, dependable equipment lowers maintenance expenses and promotes a productive working atmosphere.</w:t>
      </w:r>
    </w:p>
    <w:p w14:paraId="49BFA166" w14:textId="77777777" w:rsidR="00203B4A" w:rsidRDefault="00B25BF8" w:rsidP="00265697">
      <w:pPr>
        <w:spacing w:line="276" w:lineRule="auto"/>
        <w:rPr>
          <w:sz w:val="28"/>
          <w:szCs w:val="28"/>
        </w:rPr>
      </w:pPr>
      <w:r w:rsidRPr="00BD71F8">
        <w:rPr>
          <w:rFonts w:cs="Calibri"/>
          <w:b/>
          <w:bCs/>
          <w:sz w:val="24"/>
          <w:szCs w:val="24"/>
        </w:rPr>
        <w:t xml:space="preserve">Reason: </w:t>
      </w:r>
      <w:r w:rsidRPr="00BD71F8">
        <w:rPr>
          <w:rFonts w:cs="Calibri"/>
          <w:sz w:val="24"/>
          <w:szCs w:val="24"/>
        </w:rPr>
        <w:t xml:space="preserve">Computers, printers and kitchen equipment are essential for daily activities. The $35,000 estimate covers trustworthy equipment for a medium-sized office, assuring efficient operations </w:t>
      </w:r>
      <w:r w:rsidRPr="00BD71F8">
        <w:rPr>
          <w:rFonts w:cs="Calibri"/>
          <w:sz w:val="24"/>
          <w:szCs w:val="24"/>
        </w:rPr>
        <w:lastRenderedPageBreak/>
        <w:t>and staff comfort. These are long-lasting assets that will boost production for many years.</w:t>
      </w:r>
      <w:r w:rsidRPr="00BD71F8">
        <w:rPr>
          <w:sz w:val="28"/>
          <w:szCs w:val="28"/>
        </w:rPr>
        <w:tab/>
      </w:r>
      <w:r w:rsidRPr="00BD71F8">
        <w:rPr>
          <w:sz w:val="28"/>
          <w:szCs w:val="28"/>
        </w:rPr>
        <w:tab/>
      </w:r>
      <w:r w:rsidRPr="00BD71F8">
        <w:rPr>
          <w:sz w:val="28"/>
          <w:szCs w:val="28"/>
        </w:rPr>
        <w:tab/>
      </w:r>
      <w:r w:rsidRPr="00BD71F8">
        <w:rPr>
          <w:sz w:val="28"/>
          <w:szCs w:val="28"/>
        </w:rPr>
        <w:tab/>
      </w:r>
    </w:p>
    <w:p w14:paraId="209AF351" w14:textId="77777777" w:rsidR="00203B4A" w:rsidRDefault="00B25BF8" w:rsidP="00265697">
      <w:pPr>
        <w:spacing w:line="276" w:lineRule="auto"/>
        <w:rPr>
          <w:rFonts w:eastAsia="Times New Roman" w:cs="Calibri"/>
          <w:b/>
          <w:bCs/>
          <w:color w:val="000000"/>
          <w:kern w:val="0"/>
          <w:sz w:val="28"/>
          <w:szCs w:val="28"/>
          <w:lang w:eastAsia="en-CA"/>
          <w14:ligatures w14:val="none"/>
        </w:rPr>
      </w:pPr>
      <w:r w:rsidRPr="00BD71F8">
        <w:rPr>
          <w:rFonts w:eastAsia="Times New Roman" w:cs="Calibri"/>
          <w:b/>
          <w:bCs/>
          <w:color w:val="000000"/>
          <w:kern w:val="0"/>
          <w:sz w:val="28"/>
          <w:szCs w:val="28"/>
          <w:lang w:eastAsia="en-CA"/>
          <w14:ligatures w14:val="none"/>
        </w:rPr>
        <w:t>Class 1: Buildings (4%)</w:t>
      </w:r>
    </w:p>
    <w:p w14:paraId="1A3B60AB" w14:textId="579F981A" w:rsidR="00B12FA3" w:rsidRPr="00BD71F8" w:rsidRDefault="00B12FA3" w:rsidP="00265697">
      <w:pPr>
        <w:spacing w:line="276" w:lineRule="auto"/>
        <w:rPr>
          <w:rFonts w:eastAsia="Times New Roman" w:cs="Calibri"/>
          <w:b/>
          <w:bCs/>
          <w:color w:val="000000"/>
          <w:kern w:val="0"/>
          <w:sz w:val="28"/>
          <w:szCs w:val="28"/>
          <w:lang w:eastAsia="en-CA"/>
          <w14:ligatures w14:val="none"/>
        </w:rPr>
      </w:pPr>
      <w:r w:rsidRPr="00B12FA3">
        <w:rPr>
          <w:rFonts w:eastAsia="Times New Roman" w:cs="Calibri"/>
          <w:b/>
          <w:bCs/>
          <w:color w:val="000000"/>
          <w:kern w:val="0"/>
          <w:sz w:val="28"/>
          <w:szCs w:val="28"/>
          <w:lang w:eastAsia="en-CA"/>
          <w14:ligatures w14:val="none"/>
        </w:rPr>
        <w:t>Office buildings</w:t>
      </w:r>
    </w:p>
    <w:p w14:paraId="3AC4516C" w14:textId="6705D294" w:rsidR="00A13029" w:rsidRPr="00BD71F8" w:rsidRDefault="00A13029" w:rsidP="00265697">
      <w:pPr>
        <w:spacing w:after="0" w:line="276" w:lineRule="auto"/>
        <w:rPr>
          <w:rFonts w:eastAsia="Times New Roman" w:cs="Calibri"/>
          <w:color w:val="000000"/>
          <w:kern w:val="0"/>
          <w:sz w:val="24"/>
          <w:szCs w:val="24"/>
          <w:lang w:eastAsia="en-CA"/>
          <w14:ligatures w14:val="none"/>
        </w:rPr>
      </w:pPr>
      <w:r w:rsidRPr="00BD71F8">
        <w:rPr>
          <w:rFonts w:eastAsia="Times New Roman" w:cs="Calibri"/>
          <w:color w:val="000000"/>
          <w:kern w:val="0"/>
          <w:sz w:val="24"/>
          <w:szCs w:val="24"/>
          <w:lang w:eastAsia="en-CA"/>
          <w14:ligatures w14:val="none"/>
        </w:rPr>
        <w:t>As part of the WiTricity acquisition it is essential for the company to establish a permanent and flexible operational base to support the integration of WiTricity’s wireless electric vehicle (EV) charging technology. The purchase of an office building will provide the necessary infrastructure to house R&amp;D teams, technical operations</w:t>
      </w:r>
      <w:r w:rsidR="00D9346C">
        <w:rPr>
          <w:rFonts w:eastAsia="Times New Roman" w:cs="Calibri"/>
          <w:color w:val="000000"/>
          <w:kern w:val="0"/>
          <w:sz w:val="24"/>
          <w:szCs w:val="24"/>
          <w:lang w:eastAsia="en-CA"/>
          <w14:ligatures w14:val="none"/>
        </w:rPr>
        <w:t xml:space="preserve"> </w:t>
      </w:r>
      <w:r w:rsidRPr="00BD71F8">
        <w:rPr>
          <w:rFonts w:eastAsia="Times New Roman" w:cs="Calibri"/>
          <w:color w:val="000000"/>
          <w:kern w:val="0"/>
          <w:sz w:val="24"/>
          <w:szCs w:val="24"/>
          <w:lang w:eastAsia="en-CA"/>
          <w14:ligatures w14:val="none"/>
        </w:rPr>
        <w:t>and administrative support, facilitating a streamlined project execution</w:t>
      </w:r>
      <w:r w:rsidR="002A4445" w:rsidRPr="00BD71F8">
        <w:rPr>
          <w:rFonts w:eastAsia="Times New Roman" w:cs="Calibri"/>
          <w:color w:val="000000"/>
          <w:kern w:val="0"/>
          <w:sz w:val="24"/>
          <w:szCs w:val="24"/>
          <w:lang w:eastAsia="en-CA"/>
          <w14:ligatures w14:val="none"/>
        </w:rPr>
        <w:t>.</w:t>
      </w:r>
    </w:p>
    <w:p w14:paraId="405407EA" w14:textId="656C5D5E" w:rsidR="00A13029" w:rsidRPr="00A13029" w:rsidRDefault="00A13029" w:rsidP="00265697">
      <w:pPr>
        <w:spacing w:before="240" w:line="276" w:lineRule="auto"/>
        <w:rPr>
          <w:rFonts w:eastAsia="Times New Roman" w:cs="Calibri"/>
          <w:color w:val="000000"/>
          <w:kern w:val="0"/>
          <w:sz w:val="24"/>
          <w:szCs w:val="24"/>
          <w:lang w:eastAsia="en-CA"/>
          <w14:ligatures w14:val="none"/>
        </w:rPr>
      </w:pPr>
      <w:r w:rsidRPr="00A13029">
        <w:rPr>
          <w:rFonts w:eastAsia="Times New Roman" w:cs="Calibri"/>
          <w:color w:val="000000"/>
          <w:kern w:val="0"/>
          <w:sz w:val="24"/>
          <w:szCs w:val="24"/>
          <w:lang w:eastAsia="en-CA"/>
          <w14:ligatures w14:val="none"/>
        </w:rPr>
        <w:t xml:space="preserve">Acquiring an office building instead of leasing one for the WiTricity acquisition project can offer several strategic, financial and operational advantages. Below are the key reasons why purchasing an office building might be the better option for this </w:t>
      </w:r>
      <w:r w:rsidRPr="00BD71F8">
        <w:rPr>
          <w:rFonts w:eastAsia="Times New Roman" w:cs="Calibri"/>
          <w:color w:val="000000"/>
          <w:kern w:val="0"/>
          <w:sz w:val="24"/>
          <w:szCs w:val="24"/>
          <w:lang w:eastAsia="en-CA"/>
          <w14:ligatures w14:val="none"/>
        </w:rPr>
        <w:t>project</w:t>
      </w:r>
      <w:r w:rsidRPr="00A13029">
        <w:rPr>
          <w:rFonts w:eastAsia="Times New Roman" w:cs="Calibri"/>
          <w:color w:val="000000"/>
          <w:kern w:val="0"/>
          <w:sz w:val="24"/>
          <w:szCs w:val="24"/>
          <w:lang w:eastAsia="en-CA"/>
          <w14:ligatures w14:val="none"/>
        </w:rPr>
        <w:t>:</w:t>
      </w:r>
    </w:p>
    <w:p w14:paraId="72C084C1" w14:textId="014EF26C" w:rsidR="00A13029" w:rsidRPr="00BD71F8" w:rsidRDefault="00A13029" w:rsidP="00B76B0D">
      <w:pPr>
        <w:pStyle w:val="ListParagraph"/>
        <w:numPr>
          <w:ilvl w:val="0"/>
          <w:numId w:val="1"/>
        </w:numPr>
        <w:spacing w:after="0" w:line="276" w:lineRule="auto"/>
        <w:rPr>
          <w:rFonts w:eastAsia="Times New Roman" w:cs="Calibri"/>
          <w:b/>
          <w:bCs/>
          <w:color w:val="000000"/>
          <w:kern w:val="0"/>
          <w:sz w:val="24"/>
          <w:szCs w:val="24"/>
          <w:lang w:eastAsia="en-CA"/>
          <w14:ligatures w14:val="none"/>
        </w:rPr>
      </w:pPr>
      <w:r w:rsidRPr="00BD71F8">
        <w:rPr>
          <w:rFonts w:eastAsia="Times New Roman" w:cs="Calibri"/>
          <w:b/>
          <w:bCs/>
          <w:color w:val="000000"/>
          <w:kern w:val="0"/>
          <w:sz w:val="24"/>
          <w:szCs w:val="24"/>
          <w:lang w:eastAsia="en-CA"/>
          <w14:ligatures w14:val="none"/>
        </w:rPr>
        <w:t>Long-Term Investment and Equity Building</w:t>
      </w:r>
    </w:p>
    <w:p w14:paraId="68959991" w14:textId="25CD940D" w:rsidR="00A13029" w:rsidRPr="00A13029" w:rsidRDefault="00A13029" w:rsidP="00A57BDD">
      <w:pPr>
        <w:spacing w:line="276" w:lineRule="auto"/>
        <w:rPr>
          <w:rFonts w:eastAsia="Times New Roman" w:cs="Calibri"/>
          <w:color w:val="000000"/>
          <w:kern w:val="0"/>
          <w:sz w:val="24"/>
          <w:szCs w:val="24"/>
          <w:lang w:eastAsia="en-CA"/>
          <w14:ligatures w14:val="none"/>
        </w:rPr>
      </w:pPr>
      <w:r w:rsidRPr="00A13029">
        <w:rPr>
          <w:rFonts w:eastAsia="Times New Roman" w:cs="Calibri"/>
          <w:color w:val="000000"/>
          <w:kern w:val="0"/>
          <w:sz w:val="24"/>
          <w:szCs w:val="24"/>
          <w:lang w:eastAsia="en-CA"/>
          <w14:ligatures w14:val="none"/>
        </w:rPr>
        <w:t>Purchasing an office building provides the company with a tangible asset that will appreciate over time. As the value of real estate generally increases owning the building can lead to significant capital gains in the future. This can be particularly beneficial in the long term</w:t>
      </w:r>
      <w:r w:rsidR="00D9346C">
        <w:rPr>
          <w:rFonts w:eastAsia="Times New Roman" w:cs="Calibri"/>
          <w:color w:val="000000"/>
          <w:kern w:val="0"/>
          <w:sz w:val="24"/>
          <w:szCs w:val="24"/>
          <w:lang w:eastAsia="en-CA"/>
          <w14:ligatures w14:val="none"/>
        </w:rPr>
        <w:t xml:space="preserve"> </w:t>
      </w:r>
      <w:r w:rsidRPr="00A13029">
        <w:rPr>
          <w:rFonts w:eastAsia="Times New Roman" w:cs="Calibri"/>
          <w:color w:val="000000"/>
          <w:kern w:val="0"/>
          <w:sz w:val="24"/>
          <w:szCs w:val="24"/>
          <w:lang w:eastAsia="en-CA"/>
          <w14:ligatures w14:val="none"/>
        </w:rPr>
        <w:t>as opposed to paying ongoing rent which does not contribute to equity building.</w:t>
      </w:r>
      <w:r w:rsidR="003A0AE6" w:rsidRPr="00BD71F8">
        <w:rPr>
          <w:rFonts w:eastAsia="Times New Roman" w:cs="Calibri"/>
          <w:color w:val="000000"/>
          <w:kern w:val="0"/>
          <w:sz w:val="24"/>
          <w:szCs w:val="24"/>
          <w:lang w:eastAsia="en-CA"/>
          <w14:ligatures w14:val="none"/>
        </w:rPr>
        <w:t xml:space="preserve"> </w:t>
      </w:r>
      <w:r w:rsidRPr="00A13029">
        <w:rPr>
          <w:rFonts w:eastAsia="Times New Roman" w:cs="Calibri"/>
          <w:color w:val="000000"/>
          <w:kern w:val="0"/>
          <w:sz w:val="24"/>
          <w:szCs w:val="24"/>
          <w:lang w:eastAsia="en-CA"/>
          <w14:ligatures w14:val="none"/>
        </w:rPr>
        <w:t>Owning the building means the company has full control over its property</w:t>
      </w:r>
      <w:r w:rsidR="00D9346C">
        <w:rPr>
          <w:rFonts w:eastAsia="Times New Roman" w:cs="Calibri"/>
          <w:color w:val="000000"/>
          <w:kern w:val="0"/>
          <w:sz w:val="24"/>
          <w:szCs w:val="24"/>
          <w:lang w:eastAsia="en-CA"/>
          <w14:ligatures w14:val="none"/>
        </w:rPr>
        <w:t xml:space="preserve"> </w:t>
      </w:r>
      <w:r w:rsidRPr="00A13029">
        <w:rPr>
          <w:rFonts w:eastAsia="Times New Roman" w:cs="Calibri"/>
          <w:color w:val="000000"/>
          <w:kern w:val="0"/>
          <w:sz w:val="24"/>
          <w:szCs w:val="24"/>
          <w:lang w:eastAsia="en-CA"/>
          <w14:ligatures w14:val="none"/>
        </w:rPr>
        <w:t>allowing for greater flexibility in its use modification and future development. If the company decides to expand or repurpose the space</w:t>
      </w:r>
      <w:r w:rsidR="00D9346C">
        <w:rPr>
          <w:rFonts w:eastAsia="Times New Roman" w:cs="Calibri"/>
          <w:color w:val="000000"/>
          <w:kern w:val="0"/>
          <w:sz w:val="24"/>
          <w:szCs w:val="24"/>
          <w:lang w:eastAsia="en-CA"/>
          <w14:ligatures w14:val="none"/>
        </w:rPr>
        <w:t xml:space="preserve"> </w:t>
      </w:r>
      <w:r w:rsidRPr="00A13029">
        <w:rPr>
          <w:rFonts w:eastAsia="Times New Roman" w:cs="Calibri"/>
          <w:color w:val="000000"/>
          <w:kern w:val="0"/>
          <w:sz w:val="24"/>
          <w:szCs w:val="24"/>
          <w:lang w:eastAsia="en-CA"/>
          <w14:ligatures w14:val="none"/>
        </w:rPr>
        <w:t>ownership allows for greater freedom without needing approval from a landlord.</w:t>
      </w:r>
    </w:p>
    <w:p w14:paraId="4E31490F" w14:textId="241986AA" w:rsidR="00A13029" w:rsidRPr="00BD71F8" w:rsidRDefault="00A13029" w:rsidP="00B76B0D">
      <w:pPr>
        <w:pStyle w:val="ListParagraph"/>
        <w:numPr>
          <w:ilvl w:val="0"/>
          <w:numId w:val="3"/>
        </w:numPr>
        <w:spacing w:after="0" w:line="276" w:lineRule="auto"/>
        <w:rPr>
          <w:rFonts w:eastAsia="Times New Roman" w:cs="Calibri"/>
          <w:b/>
          <w:bCs/>
          <w:color w:val="000000"/>
          <w:kern w:val="0"/>
          <w:sz w:val="24"/>
          <w:szCs w:val="24"/>
          <w:lang w:eastAsia="en-CA"/>
          <w14:ligatures w14:val="none"/>
        </w:rPr>
      </w:pPr>
      <w:r w:rsidRPr="00BD71F8">
        <w:rPr>
          <w:rFonts w:eastAsia="Times New Roman" w:cs="Calibri"/>
          <w:b/>
          <w:bCs/>
          <w:color w:val="000000"/>
          <w:kern w:val="0"/>
          <w:sz w:val="24"/>
          <w:szCs w:val="24"/>
          <w:lang w:eastAsia="en-CA"/>
          <w14:ligatures w14:val="none"/>
        </w:rPr>
        <w:t>Cost Predictability and Stability</w:t>
      </w:r>
    </w:p>
    <w:p w14:paraId="6D5CBD7B" w14:textId="3039F9B1" w:rsidR="00A13029" w:rsidRPr="00A13029" w:rsidRDefault="00A13029" w:rsidP="00A57BDD">
      <w:pPr>
        <w:spacing w:line="276" w:lineRule="auto"/>
        <w:rPr>
          <w:rFonts w:eastAsia="Times New Roman" w:cs="Calibri"/>
          <w:color w:val="000000"/>
          <w:kern w:val="0"/>
          <w:sz w:val="24"/>
          <w:szCs w:val="24"/>
          <w:lang w:eastAsia="en-CA"/>
          <w14:ligatures w14:val="none"/>
        </w:rPr>
      </w:pPr>
      <w:r w:rsidRPr="00A13029">
        <w:rPr>
          <w:rFonts w:eastAsia="Times New Roman" w:cs="Calibri"/>
          <w:color w:val="000000"/>
          <w:kern w:val="0"/>
          <w:sz w:val="24"/>
          <w:szCs w:val="24"/>
          <w:lang w:eastAsia="en-CA"/>
          <w14:ligatures w14:val="none"/>
        </w:rPr>
        <w:t>If the building is financed with a mortgage the company will have fixed monthly payments</w:t>
      </w:r>
      <w:r w:rsidR="00D9346C">
        <w:rPr>
          <w:rFonts w:eastAsia="Times New Roman" w:cs="Calibri"/>
          <w:color w:val="000000"/>
          <w:kern w:val="0"/>
          <w:sz w:val="24"/>
          <w:szCs w:val="24"/>
          <w:lang w:eastAsia="en-CA"/>
          <w14:ligatures w14:val="none"/>
        </w:rPr>
        <w:t xml:space="preserve"> </w:t>
      </w:r>
      <w:r w:rsidRPr="00A13029">
        <w:rPr>
          <w:rFonts w:eastAsia="Times New Roman" w:cs="Calibri"/>
          <w:color w:val="000000"/>
          <w:kern w:val="0"/>
          <w:sz w:val="24"/>
          <w:szCs w:val="24"/>
          <w:lang w:eastAsia="en-CA"/>
          <w14:ligatures w14:val="none"/>
        </w:rPr>
        <w:t>which provide predictability in terms of cash flow management. In contrast lease agreements often include rent escalations, meaning the cost of leasing can increase over time potentially making the long-term financial burden less predictable.</w:t>
      </w:r>
      <w:r w:rsidR="003A0AE6" w:rsidRPr="00BD71F8">
        <w:rPr>
          <w:rFonts w:eastAsia="Times New Roman" w:cs="Calibri"/>
          <w:color w:val="000000"/>
          <w:kern w:val="0"/>
          <w:sz w:val="24"/>
          <w:szCs w:val="24"/>
          <w:lang w:eastAsia="en-CA"/>
          <w14:ligatures w14:val="none"/>
        </w:rPr>
        <w:t xml:space="preserve"> </w:t>
      </w:r>
      <w:r w:rsidRPr="00A13029">
        <w:rPr>
          <w:rFonts w:eastAsia="Times New Roman" w:cs="Calibri"/>
          <w:color w:val="000000"/>
          <w:kern w:val="0"/>
          <w:sz w:val="24"/>
          <w:szCs w:val="24"/>
          <w:lang w:eastAsia="en-CA"/>
          <w14:ligatures w14:val="none"/>
        </w:rPr>
        <w:t>Renting involves the risk of rent increases due to market conditions or the landlord’s decisions. With ownership, there are no such worries</w:t>
      </w:r>
      <w:r w:rsidR="00D9346C">
        <w:rPr>
          <w:rFonts w:eastAsia="Times New Roman" w:cs="Calibri"/>
          <w:color w:val="000000"/>
          <w:kern w:val="0"/>
          <w:sz w:val="24"/>
          <w:szCs w:val="24"/>
          <w:lang w:eastAsia="en-CA"/>
          <w14:ligatures w14:val="none"/>
        </w:rPr>
        <w:t xml:space="preserve"> </w:t>
      </w:r>
      <w:r w:rsidRPr="00A13029">
        <w:rPr>
          <w:rFonts w:eastAsia="Times New Roman" w:cs="Calibri"/>
          <w:color w:val="000000"/>
          <w:kern w:val="0"/>
          <w:sz w:val="24"/>
          <w:szCs w:val="24"/>
          <w:lang w:eastAsia="en-CA"/>
          <w14:ligatures w14:val="none"/>
        </w:rPr>
        <w:t>allowing for more stable and manageable financial planning over the long term.</w:t>
      </w:r>
    </w:p>
    <w:p w14:paraId="19DE108C" w14:textId="59D33EBE" w:rsidR="00A13029" w:rsidRPr="00BD71F8" w:rsidRDefault="00A13029" w:rsidP="00B76B0D">
      <w:pPr>
        <w:pStyle w:val="ListParagraph"/>
        <w:numPr>
          <w:ilvl w:val="0"/>
          <w:numId w:val="3"/>
        </w:numPr>
        <w:spacing w:after="0" w:line="276" w:lineRule="auto"/>
        <w:rPr>
          <w:rFonts w:eastAsia="Times New Roman" w:cs="Calibri"/>
          <w:b/>
          <w:bCs/>
          <w:color w:val="000000"/>
          <w:kern w:val="0"/>
          <w:sz w:val="24"/>
          <w:szCs w:val="24"/>
          <w:lang w:eastAsia="en-CA"/>
          <w14:ligatures w14:val="none"/>
        </w:rPr>
      </w:pPr>
      <w:r w:rsidRPr="00BD71F8">
        <w:rPr>
          <w:rFonts w:eastAsia="Times New Roman" w:cs="Calibri"/>
          <w:b/>
          <w:bCs/>
          <w:color w:val="000000"/>
          <w:kern w:val="0"/>
          <w:sz w:val="24"/>
          <w:szCs w:val="24"/>
          <w:lang w:eastAsia="en-CA"/>
          <w14:ligatures w14:val="none"/>
        </w:rPr>
        <w:t>Customi</w:t>
      </w:r>
      <w:r w:rsidR="00341FDB">
        <w:rPr>
          <w:rFonts w:eastAsia="Times New Roman" w:cs="Calibri"/>
          <w:b/>
          <w:bCs/>
          <w:color w:val="000000"/>
          <w:kern w:val="0"/>
          <w:sz w:val="24"/>
          <w:szCs w:val="24"/>
          <w:lang w:eastAsia="en-CA"/>
          <w14:ligatures w14:val="none"/>
        </w:rPr>
        <w:t>s</w:t>
      </w:r>
      <w:r w:rsidRPr="00BD71F8">
        <w:rPr>
          <w:rFonts w:eastAsia="Times New Roman" w:cs="Calibri"/>
          <w:b/>
          <w:bCs/>
          <w:color w:val="000000"/>
          <w:kern w:val="0"/>
          <w:sz w:val="24"/>
          <w:szCs w:val="24"/>
          <w:lang w:eastAsia="en-CA"/>
          <w14:ligatures w14:val="none"/>
        </w:rPr>
        <w:t>ation and Flexibility</w:t>
      </w:r>
    </w:p>
    <w:p w14:paraId="27433BB1" w14:textId="5A27B91D" w:rsidR="00A13029" w:rsidRPr="00A13029" w:rsidRDefault="00A13029" w:rsidP="00265697">
      <w:pPr>
        <w:spacing w:after="0" w:line="276" w:lineRule="auto"/>
        <w:rPr>
          <w:rFonts w:eastAsia="Times New Roman" w:cs="Calibri"/>
          <w:color w:val="000000"/>
          <w:kern w:val="0"/>
          <w:sz w:val="24"/>
          <w:szCs w:val="24"/>
          <w:lang w:eastAsia="en-CA"/>
          <w14:ligatures w14:val="none"/>
        </w:rPr>
      </w:pPr>
      <w:r w:rsidRPr="00A13029">
        <w:rPr>
          <w:rFonts w:eastAsia="Times New Roman" w:cs="Calibri"/>
          <w:color w:val="000000"/>
          <w:kern w:val="0"/>
          <w:sz w:val="24"/>
          <w:szCs w:val="24"/>
          <w:lang w:eastAsia="en-CA"/>
          <w14:ligatures w14:val="none"/>
        </w:rPr>
        <w:t>Ownership allows the company to customi</w:t>
      </w:r>
      <w:r w:rsidR="00341FDB">
        <w:rPr>
          <w:rFonts w:eastAsia="Times New Roman" w:cs="Calibri"/>
          <w:color w:val="000000"/>
          <w:kern w:val="0"/>
          <w:sz w:val="24"/>
          <w:szCs w:val="24"/>
          <w:lang w:eastAsia="en-CA"/>
          <w14:ligatures w14:val="none"/>
        </w:rPr>
        <w:t>s</w:t>
      </w:r>
      <w:r w:rsidRPr="00A13029">
        <w:rPr>
          <w:rFonts w:eastAsia="Times New Roman" w:cs="Calibri"/>
          <w:color w:val="000000"/>
          <w:kern w:val="0"/>
          <w:sz w:val="24"/>
          <w:szCs w:val="24"/>
          <w:lang w:eastAsia="en-CA"/>
          <w14:ligatures w14:val="none"/>
        </w:rPr>
        <w:t>e the office space to suit its specific needs</w:t>
      </w:r>
      <w:r w:rsidR="00D9346C">
        <w:rPr>
          <w:rFonts w:eastAsia="Times New Roman" w:cs="Calibri"/>
          <w:color w:val="000000"/>
          <w:kern w:val="0"/>
          <w:sz w:val="24"/>
          <w:szCs w:val="24"/>
          <w:lang w:eastAsia="en-CA"/>
          <w14:ligatures w14:val="none"/>
        </w:rPr>
        <w:t xml:space="preserve"> </w:t>
      </w:r>
      <w:r w:rsidRPr="00A13029">
        <w:rPr>
          <w:rFonts w:eastAsia="Times New Roman" w:cs="Calibri"/>
          <w:color w:val="000000"/>
          <w:kern w:val="0"/>
          <w:sz w:val="24"/>
          <w:szCs w:val="24"/>
          <w:lang w:eastAsia="en-CA"/>
          <w14:ligatures w14:val="none"/>
        </w:rPr>
        <w:t>including layout, design and technology infrastructure. This is especially important for a project involving technological integration such as the WiTricity acquisition</w:t>
      </w:r>
      <w:r w:rsidR="00D9346C">
        <w:rPr>
          <w:rFonts w:eastAsia="Times New Roman" w:cs="Calibri"/>
          <w:color w:val="000000"/>
          <w:kern w:val="0"/>
          <w:sz w:val="24"/>
          <w:szCs w:val="24"/>
          <w:lang w:eastAsia="en-CA"/>
          <w14:ligatures w14:val="none"/>
        </w:rPr>
        <w:t xml:space="preserve"> </w:t>
      </w:r>
      <w:r w:rsidRPr="00A13029">
        <w:rPr>
          <w:rFonts w:eastAsia="Times New Roman" w:cs="Calibri"/>
          <w:color w:val="000000"/>
          <w:kern w:val="0"/>
          <w:sz w:val="24"/>
          <w:szCs w:val="24"/>
          <w:lang w:eastAsia="en-CA"/>
          <w14:ligatures w14:val="none"/>
        </w:rPr>
        <w:t>where tailored office space might be needed to house technical teams, R&amp;D labs</w:t>
      </w:r>
      <w:r w:rsidR="00D9346C">
        <w:rPr>
          <w:rFonts w:eastAsia="Times New Roman" w:cs="Calibri"/>
          <w:color w:val="000000"/>
          <w:kern w:val="0"/>
          <w:sz w:val="24"/>
          <w:szCs w:val="24"/>
          <w:lang w:eastAsia="en-CA"/>
          <w14:ligatures w14:val="none"/>
        </w:rPr>
        <w:t xml:space="preserve"> </w:t>
      </w:r>
      <w:r w:rsidRPr="00A13029">
        <w:rPr>
          <w:rFonts w:eastAsia="Times New Roman" w:cs="Calibri"/>
          <w:color w:val="000000"/>
          <w:kern w:val="0"/>
          <w:sz w:val="24"/>
          <w:szCs w:val="24"/>
          <w:lang w:eastAsia="en-CA"/>
          <w14:ligatures w14:val="none"/>
        </w:rPr>
        <w:t>or speciali</w:t>
      </w:r>
      <w:r w:rsidR="00341FDB">
        <w:rPr>
          <w:rFonts w:eastAsia="Times New Roman" w:cs="Calibri"/>
          <w:color w:val="000000"/>
          <w:kern w:val="0"/>
          <w:sz w:val="24"/>
          <w:szCs w:val="24"/>
          <w:lang w:eastAsia="en-CA"/>
          <w14:ligatures w14:val="none"/>
        </w:rPr>
        <w:t>s</w:t>
      </w:r>
      <w:r w:rsidRPr="00A13029">
        <w:rPr>
          <w:rFonts w:eastAsia="Times New Roman" w:cs="Calibri"/>
          <w:color w:val="000000"/>
          <w:kern w:val="0"/>
          <w:sz w:val="24"/>
          <w:szCs w:val="24"/>
          <w:lang w:eastAsia="en-CA"/>
          <w14:ligatures w14:val="none"/>
        </w:rPr>
        <w:t>ed equipment.</w:t>
      </w:r>
      <w:r w:rsidR="003A0AE6" w:rsidRPr="00BD71F8">
        <w:rPr>
          <w:rFonts w:eastAsia="Times New Roman" w:cs="Calibri"/>
          <w:color w:val="000000"/>
          <w:kern w:val="0"/>
          <w:sz w:val="24"/>
          <w:szCs w:val="24"/>
          <w:lang w:eastAsia="en-CA"/>
          <w14:ligatures w14:val="none"/>
        </w:rPr>
        <w:t xml:space="preserve"> </w:t>
      </w:r>
      <w:r w:rsidRPr="00A13029">
        <w:rPr>
          <w:rFonts w:eastAsia="Times New Roman" w:cs="Calibri"/>
          <w:color w:val="000000"/>
          <w:kern w:val="0"/>
          <w:sz w:val="24"/>
          <w:szCs w:val="24"/>
          <w:lang w:eastAsia="en-CA"/>
          <w14:ligatures w14:val="none"/>
        </w:rPr>
        <w:t xml:space="preserve">Having ownership means the company can make decisions that align with its strategic goals without needing approval from </w:t>
      </w:r>
      <w:r w:rsidRPr="00A13029">
        <w:rPr>
          <w:rFonts w:eastAsia="Times New Roman" w:cs="Calibri"/>
          <w:color w:val="000000"/>
          <w:kern w:val="0"/>
          <w:sz w:val="24"/>
          <w:szCs w:val="24"/>
          <w:lang w:eastAsia="en-CA"/>
          <w14:ligatures w14:val="none"/>
        </w:rPr>
        <w:lastRenderedPageBreak/>
        <w:t>a landlord. If the business grows or its needs change</w:t>
      </w:r>
      <w:r w:rsidR="00D9346C">
        <w:rPr>
          <w:rFonts w:eastAsia="Times New Roman" w:cs="Calibri"/>
          <w:color w:val="000000"/>
          <w:kern w:val="0"/>
          <w:sz w:val="24"/>
          <w:szCs w:val="24"/>
          <w:lang w:eastAsia="en-CA"/>
          <w14:ligatures w14:val="none"/>
        </w:rPr>
        <w:t xml:space="preserve"> </w:t>
      </w:r>
      <w:r w:rsidRPr="00A13029">
        <w:rPr>
          <w:rFonts w:eastAsia="Times New Roman" w:cs="Calibri"/>
          <w:color w:val="000000"/>
          <w:kern w:val="0"/>
          <w:sz w:val="24"/>
          <w:szCs w:val="24"/>
          <w:lang w:eastAsia="en-CA"/>
          <w14:ligatures w14:val="none"/>
        </w:rPr>
        <w:t>the space can be restructured, expanded or even sold in the future.</w:t>
      </w:r>
    </w:p>
    <w:p w14:paraId="58C8887D" w14:textId="77777777" w:rsidR="00697B9F" w:rsidRDefault="00697B9F" w:rsidP="00265697">
      <w:pPr>
        <w:spacing w:after="0" w:line="276" w:lineRule="auto"/>
        <w:rPr>
          <w:rFonts w:eastAsia="Times New Roman" w:cs="Calibri"/>
          <w:color w:val="000000"/>
          <w:kern w:val="0"/>
          <w:sz w:val="24"/>
          <w:szCs w:val="24"/>
          <w:lang w:eastAsia="en-CA"/>
          <w14:ligatures w14:val="none"/>
        </w:rPr>
      </w:pPr>
    </w:p>
    <w:p w14:paraId="61B8D8B4" w14:textId="77777777" w:rsidR="00697B9F" w:rsidRPr="00A13029" w:rsidRDefault="00697B9F" w:rsidP="00265697">
      <w:pPr>
        <w:spacing w:after="0" w:line="276" w:lineRule="auto"/>
        <w:rPr>
          <w:rFonts w:eastAsia="Times New Roman" w:cs="Calibri"/>
          <w:color w:val="000000"/>
          <w:kern w:val="0"/>
          <w:sz w:val="24"/>
          <w:szCs w:val="24"/>
          <w:lang w:eastAsia="en-CA"/>
          <w14:ligatures w14:val="none"/>
        </w:rPr>
      </w:pPr>
    </w:p>
    <w:p w14:paraId="5955C10D" w14:textId="1961468F" w:rsidR="00A13029" w:rsidRPr="00BD71F8" w:rsidRDefault="00A13029" w:rsidP="00B76B0D">
      <w:pPr>
        <w:pStyle w:val="ListParagraph"/>
        <w:numPr>
          <w:ilvl w:val="0"/>
          <w:numId w:val="2"/>
        </w:numPr>
        <w:spacing w:after="0" w:line="276" w:lineRule="auto"/>
        <w:rPr>
          <w:rFonts w:eastAsia="Times New Roman" w:cs="Calibri"/>
          <w:b/>
          <w:bCs/>
          <w:color w:val="000000"/>
          <w:kern w:val="0"/>
          <w:sz w:val="24"/>
          <w:szCs w:val="24"/>
          <w:lang w:eastAsia="en-CA"/>
          <w14:ligatures w14:val="none"/>
        </w:rPr>
      </w:pPr>
      <w:r w:rsidRPr="00BD71F8">
        <w:rPr>
          <w:rFonts w:eastAsia="Times New Roman" w:cs="Calibri"/>
          <w:b/>
          <w:bCs/>
          <w:color w:val="000000"/>
          <w:kern w:val="0"/>
          <w:sz w:val="24"/>
          <w:szCs w:val="24"/>
          <w:lang w:eastAsia="en-CA"/>
          <w14:ligatures w14:val="none"/>
        </w:rPr>
        <w:t>Potential for Revenue Generation</w:t>
      </w:r>
    </w:p>
    <w:p w14:paraId="184800B3" w14:textId="12D1A0EF" w:rsidR="00A13029" w:rsidRPr="00A13029" w:rsidRDefault="00A13029" w:rsidP="00A57BDD">
      <w:pPr>
        <w:spacing w:line="276" w:lineRule="auto"/>
        <w:rPr>
          <w:rFonts w:eastAsia="Times New Roman" w:cs="Calibri"/>
          <w:color w:val="000000"/>
          <w:kern w:val="0"/>
          <w:sz w:val="24"/>
          <w:szCs w:val="24"/>
          <w:lang w:eastAsia="en-CA"/>
          <w14:ligatures w14:val="none"/>
        </w:rPr>
      </w:pPr>
      <w:r w:rsidRPr="00A13029">
        <w:rPr>
          <w:rFonts w:eastAsia="Times New Roman" w:cs="Calibri"/>
          <w:color w:val="000000"/>
          <w:kern w:val="0"/>
          <w:sz w:val="24"/>
          <w:szCs w:val="24"/>
          <w:lang w:eastAsia="en-CA"/>
          <w14:ligatures w14:val="none"/>
        </w:rPr>
        <w:t>If the building has excess space the company could potentially lease out part of the building to generate rental income. This could offset the cost of ownership and create a secondary revenue stream.</w:t>
      </w:r>
      <w:r w:rsidR="003A0AE6" w:rsidRPr="00BD71F8">
        <w:rPr>
          <w:rFonts w:eastAsia="Times New Roman" w:cs="Calibri"/>
          <w:color w:val="000000"/>
          <w:kern w:val="0"/>
          <w:sz w:val="24"/>
          <w:szCs w:val="24"/>
          <w:lang w:eastAsia="en-CA"/>
          <w14:ligatures w14:val="none"/>
        </w:rPr>
        <w:t xml:space="preserve"> </w:t>
      </w:r>
      <w:r w:rsidRPr="00A13029">
        <w:rPr>
          <w:rFonts w:eastAsia="Times New Roman" w:cs="Calibri"/>
          <w:color w:val="000000"/>
          <w:kern w:val="0"/>
          <w:sz w:val="24"/>
          <w:szCs w:val="24"/>
          <w:lang w:eastAsia="en-CA"/>
          <w14:ligatures w14:val="none"/>
        </w:rPr>
        <w:t>Owning the building also provides opportunities for adding value</w:t>
      </w:r>
      <w:r w:rsidR="00D9346C">
        <w:rPr>
          <w:rFonts w:eastAsia="Times New Roman" w:cs="Calibri"/>
          <w:color w:val="000000"/>
          <w:kern w:val="0"/>
          <w:sz w:val="24"/>
          <w:szCs w:val="24"/>
          <w:lang w:eastAsia="en-CA"/>
          <w14:ligatures w14:val="none"/>
        </w:rPr>
        <w:t xml:space="preserve"> </w:t>
      </w:r>
      <w:r w:rsidRPr="00A13029">
        <w:rPr>
          <w:rFonts w:eastAsia="Times New Roman" w:cs="Calibri"/>
          <w:color w:val="000000"/>
          <w:kern w:val="0"/>
          <w:sz w:val="24"/>
          <w:szCs w:val="24"/>
          <w:lang w:eastAsia="en-CA"/>
          <w14:ligatures w14:val="none"/>
        </w:rPr>
        <w:t>such as implementing energy-efficient technologie</w:t>
      </w:r>
      <w:r w:rsidR="00D9346C">
        <w:rPr>
          <w:rFonts w:eastAsia="Times New Roman" w:cs="Calibri"/>
          <w:color w:val="000000"/>
          <w:kern w:val="0"/>
          <w:sz w:val="24"/>
          <w:szCs w:val="24"/>
          <w:lang w:eastAsia="en-CA"/>
          <w14:ligatures w14:val="none"/>
        </w:rPr>
        <w:t>s</w:t>
      </w:r>
      <w:r w:rsidRPr="00A13029">
        <w:rPr>
          <w:rFonts w:eastAsia="Times New Roman" w:cs="Calibri"/>
          <w:color w:val="000000"/>
          <w:kern w:val="0"/>
          <w:sz w:val="24"/>
          <w:szCs w:val="24"/>
          <w:lang w:eastAsia="en-CA"/>
          <w14:ligatures w14:val="none"/>
        </w:rPr>
        <w:t xml:space="preserve"> which could lower operating costs and attract tenants or buyers if the company decides to sell the property in the future.</w:t>
      </w:r>
    </w:p>
    <w:p w14:paraId="1D4F8130" w14:textId="6B0AC710" w:rsidR="00A13029" w:rsidRPr="00BD71F8" w:rsidRDefault="00A13029" w:rsidP="00B76B0D">
      <w:pPr>
        <w:pStyle w:val="ListParagraph"/>
        <w:numPr>
          <w:ilvl w:val="0"/>
          <w:numId w:val="2"/>
        </w:numPr>
        <w:spacing w:after="0" w:line="276" w:lineRule="auto"/>
        <w:rPr>
          <w:rFonts w:eastAsia="Times New Roman" w:cs="Calibri"/>
          <w:b/>
          <w:bCs/>
          <w:color w:val="000000"/>
          <w:kern w:val="0"/>
          <w:sz w:val="24"/>
          <w:szCs w:val="24"/>
          <w:lang w:eastAsia="en-CA"/>
          <w14:ligatures w14:val="none"/>
        </w:rPr>
      </w:pPr>
      <w:r w:rsidRPr="00BD71F8">
        <w:rPr>
          <w:rFonts w:eastAsia="Times New Roman" w:cs="Calibri"/>
          <w:b/>
          <w:bCs/>
          <w:color w:val="000000"/>
          <w:kern w:val="0"/>
          <w:sz w:val="24"/>
          <w:szCs w:val="24"/>
          <w:lang w:eastAsia="en-CA"/>
          <w14:ligatures w14:val="none"/>
        </w:rPr>
        <w:t>Tax Benefits</w:t>
      </w:r>
    </w:p>
    <w:p w14:paraId="0ED66C93" w14:textId="0F17A235" w:rsidR="00A13029" w:rsidRPr="00BD71F8" w:rsidRDefault="00A13029" w:rsidP="00265697">
      <w:pPr>
        <w:spacing w:after="0" w:line="276" w:lineRule="auto"/>
        <w:rPr>
          <w:rFonts w:eastAsia="Times New Roman" w:cs="Calibri"/>
          <w:color w:val="000000"/>
          <w:kern w:val="0"/>
          <w:sz w:val="24"/>
          <w:szCs w:val="24"/>
          <w:lang w:eastAsia="en-CA"/>
          <w14:ligatures w14:val="none"/>
        </w:rPr>
      </w:pPr>
      <w:r w:rsidRPr="00A13029">
        <w:rPr>
          <w:rFonts w:eastAsia="Times New Roman" w:cs="Calibri"/>
          <w:color w:val="000000"/>
          <w:kern w:val="0"/>
          <w:sz w:val="24"/>
          <w:szCs w:val="24"/>
          <w:lang w:eastAsia="en-CA"/>
          <w14:ligatures w14:val="none"/>
        </w:rPr>
        <w:t>Owning the office building provides the company with the ability to claim depreciation on the property which can reduce taxable income and lower overall tax liability.</w:t>
      </w:r>
    </w:p>
    <w:p w14:paraId="398F4759" w14:textId="77777777" w:rsidR="00B12FA3" w:rsidRPr="00BD71F8" w:rsidRDefault="00B12FA3" w:rsidP="00265697">
      <w:pPr>
        <w:spacing w:after="0" w:line="276" w:lineRule="auto"/>
        <w:rPr>
          <w:rFonts w:eastAsia="Times New Roman" w:cs="Calibri"/>
          <w:b/>
          <w:bCs/>
          <w:color w:val="000000"/>
          <w:kern w:val="0"/>
          <w:sz w:val="24"/>
          <w:szCs w:val="24"/>
          <w:lang w:eastAsia="en-CA"/>
          <w14:ligatures w14:val="none"/>
        </w:rPr>
      </w:pPr>
    </w:p>
    <w:p w14:paraId="023CEFE2" w14:textId="77777777" w:rsidR="003F7795" w:rsidRPr="00BD71F8" w:rsidRDefault="003A0AE6" w:rsidP="00265697">
      <w:pPr>
        <w:spacing w:after="0" w:line="276" w:lineRule="auto"/>
        <w:rPr>
          <w:b/>
          <w:bCs/>
          <w:sz w:val="24"/>
          <w:szCs w:val="24"/>
        </w:rPr>
      </w:pPr>
      <w:r w:rsidRPr="00BD71F8">
        <w:rPr>
          <w:b/>
          <w:bCs/>
          <w:sz w:val="24"/>
          <w:szCs w:val="24"/>
        </w:rPr>
        <w:t>Calculation on office space</w:t>
      </w:r>
    </w:p>
    <w:p w14:paraId="2450EF0F" w14:textId="2444DE3B" w:rsidR="003F7795" w:rsidRPr="00BD71F8" w:rsidRDefault="003F7795" w:rsidP="00265697">
      <w:pPr>
        <w:spacing w:line="276" w:lineRule="auto"/>
        <w:rPr>
          <w:b/>
          <w:bCs/>
          <w:sz w:val="24"/>
          <w:szCs w:val="24"/>
        </w:rPr>
      </w:pPr>
      <w:r w:rsidRPr="00BD71F8">
        <w:rPr>
          <w:sz w:val="24"/>
          <w:szCs w:val="24"/>
        </w:rPr>
        <w:t>For a workforce of 400 employees in the WiTricity acquisition project</w:t>
      </w:r>
      <w:r w:rsidR="00D9346C">
        <w:rPr>
          <w:sz w:val="24"/>
          <w:szCs w:val="24"/>
        </w:rPr>
        <w:t xml:space="preserve"> </w:t>
      </w:r>
      <w:r w:rsidRPr="00BD71F8">
        <w:rPr>
          <w:sz w:val="24"/>
          <w:szCs w:val="24"/>
        </w:rPr>
        <w:t>an open-plan office layout will be adopted. This layout will optimi</w:t>
      </w:r>
      <w:r w:rsidR="00341FDB">
        <w:rPr>
          <w:sz w:val="24"/>
          <w:szCs w:val="24"/>
        </w:rPr>
        <w:t>s</w:t>
      </w:r>
      <w:r w:rsidRPr="00BD71F8">
        <w:rPr>
          <w:sz w:val="24"/>
          <w:szCs w:val="24"/>
        </w:rPr>
        <w:t>e space while fostering collaboration and flexibility allowing for a more dynamic and efficient work environment.</w:t>
      </w:r>
    </w:p>
    <w:p w14:paraId="4FEFD6DC" w14:textId="77777777" w:rsidR="003F7795" w:rsidRPr="00BD71F8" w:rsidRDefault="003F7795" w:rsidP="00265697">
      <w:pPr>
        <w:spacing w:after="0" w:line="276" w:lineRule="auto"/>
        <w:rPr>
          <w:b/>
          <w:bCs/>
          <w:sz w:val="24"/>
          <w:szCs w:val="24"/>
        </w:rPr>
      </w:pPr>
      <w:r w:rsidRPr="00BD71F8">
        <w:rPr>
          <w:b/>
          <w:bCs/>
          <w:sz w:val="24"/>
          <w:szCs w:val="24"/>
        </w:rPr>
        <w:t>Space per Employee</w:t>
      </w:r>
    </w:p>
    <w:p w14:paraId="4533683F" w14:textId="19F5251D" w:rsidR="003F7795" w:rsidRPr="00BD71F8" w:rsidRDefault="003F7795" w:rsidP="00265697">
      <w:pPr>
        <w:spacing w:line="276" w:lineRule="auto"/>
        <w:rPr>
          <w:sz w:val="24"/>
          <w:szCs w:val="24"/>
        </w:rPr>
      </w:pPr>
      <w:r w:rsidRPr="00BD71F8">
        <w:rPr>
          <w:sz w:val="24"/>
          <w:szCs w:val="24"/>
        </w:rPr>
        <w:t>In an open-plan office</w:t>
      </w:r>
      <w:r w:rsidR="00D9346C">
        <w:rPr>
          <w:sz w:val="24"/>
          <w:szCs w:val="24"/>
        </w:rPr>
        <w:t xml:space="preserve"> </w:t>
      </w:r>
      <w:r w:rsidRPr="00BD71F8">
        <w:rPr>
          <w:sz w:val="24"/>
          <w:szCs w:val="24"/>
        </w:rPr>
        <w:t>the typical space allocation per employee ranges from 100 to 175 square feet. The lower end (100 sq. ft.) is suitable for highly collaborative environments with flexible workspaces while the upper end (175 sq. ft.) provides additional room for employee comfort, storage and shared spaces.</w:t>
      </w:r>
    </w:p>
    <w:p w14:paraId="60330F0D" w14:textId="77777777" w:rsidR="003F7795" w:rsidRPr="00BD71F8" w:rsidRDefault="003F7795" w:rsidP="00265697">
      <w:pPr>
        <w:spacing w:after="0" w:line="276" w:lineRule="auto"/>
        <w:rPr>
          <w:b/>
          <w:bCs/>
          <w:sz w:val="24"/>
          <w:szCs w:val="24"/>
        </w:rPr>
      </w:pPr>
      <w:r w:rsidRPr="00BD71F8">
        <w:rPr>
          <w:b/>
          <w:bCs/>
          <w:sz w:val="24"/>
          <w:szCs w:val="24"/>
        </w:rPr>
        <w:t>Estimated Office Size</w:t>
      </w:r>
    </w:p>
    <w:p w14:paraId="120D4E46" w14:textId="6C9D8776" w:rsidR="003F7795" w:rsidRPr="00BD71F8" w:rsidRDefault="003F7795" w:rsidP="00265697">
      <w:pPr>
        <w:spacing w:line="276" w:lineRule="auto"/>
        <w:rPr>
          <w:sz w:val="24"/>
          <w:szCs w:val="24"/>
        </w:rPr>
      </w:pPr>
      <w:r w:rsidRPr="00BD71F8">
        <w:rPr>
          <w:sz w:val="24"/>
          <w:szCs w:val="24"/>
        </w:rPr>
        <w:t>Based on the space per employee the total building size required for 400 employees can be estimated as follows:</w:t>
      </w:r>
    </w:p>
    <w:p w14:paraId="23808F4D" w14:textId="77777777" w:rsidR="003F7795" w:rsidRPr="00BD71F8" w:rsidRDefault="003F7795" w:rsidP="00265697">
      <w:pPr>
        <w:spacing w:line="276" w:lineRule="auto"/>
        <w:rPr>
          <w:sz w:val="24"/>
          <w:szCs w:val="24"/>
        </w:rPr>
      </w:pPr>
      <w:r w:rsidRPr="00BD71F8">
        <w:rPr>
          <w:sz w:val="24"/>
          <w:szCs w:val="24"/>
        </w:rPr>
        <w:t>At 100 square feet per employee:</w:t>
      </w:r>
    </w:p>
    <w:p w14:paraId="073E14CA" w14:textId="5811C38C" w:rsidR="003F7795" w:rsidRPr="00BD71F8" w:rsidRDefault="003F7795" w:rsidP="00265697">
      <w:pPr>
        <w:spacing w:line="276" w:lineRule="auto"/>
        <w:rPr>
          <w:sz w:val="24"/>
          <w:szCs w:val="24"/>
        </w:rPr>
      </w:pPr>
      <w:r w:rsidRPr="00BD71F8">
        <w:rPr>
          <w:sz w:val="24"/>
          <w:szCs w:val="24"/>
        </w:rPr>
        <w:t>400 employees x 100 sq. ft. = 40,000 sq. ft.</w:t>
      </w:r>
    </w:p>
    <w:p w14:paraId="73B034D7" w14:textId="77777777" w:rsidR="003F7795" w:rsidRPr="00BD71F8" w:rsidRDefault="003F7795" w:rsidP="00265697">
      <w:pPr>
        <w:spacing w:line="276" w:lineRule="auto"/>
        <w:rPr>
          <w:sz w:val="24"/>
          <w:szCs w:val="24"/>
        </w:rPr>
      </w:pPr>
      <w:r w:rsidRPr="00BD71F8">
        <w:rPr>
          <w:sz w:val="24"/>
          <w:szCs w:val="24"/>
        </w:rPr>
        <w:t>At 175 square feet per employee:</w:t>
      </w:r>
    </w:p>
    <w:p w14:paraId="64D87F61" w14:textId="3C87ADB9" w:rsidR="003F7795" w:rsidRPr="00BD71F8" w:rsidRDefault="003F7795" w:rsidP="00265697">
      <w:pPr>
        <w:spacing w:line="276" w:lineRule="auto"/>
        <w:rPr>
          <w:sz w:val="24"/>
          <w:szCs w:val="24"/>
        </w:rPr>
      </w:pPr>
      <w:r w:rsidRPr="00BD71F8">
        <w:rPr>
          <w:sz w:val="24"/>
          <w:szCs w:val="24"/>
        </w:rPr>
        <w:t>400 employees x 175 sq. ft. = 70,000 sq. ft.</w:t>
      </w:r>
    </w:p>
    <w:p w14:paraId="609BA612" w14:textId="77777777" w:rsidR="003F7795" w:rsidRPr="00BD71F8" w:rsidRDefault="003F7795" w:rsidP="00265697">
      <w:pPr>
        <w:spacing w:after="0" w:line="276" w:lineRule="auto"/>
        <w:rPr>
          <w:b/>
          <w:bCs/>
          <w:sz w:val="24"/>
          <w:szCs w:val="24"/>
        </w:rPr>
      </w:pPr>
      <w:r w:rsidRPr="00BD71F8">
        <w:rPr>
          <w:b/>
          <w:bCs/>
          <w:sz w:val="24"/>
          <w:szCs w:val="24"/>
        </w:rPr>
        <w:t>Additional Space Considerations</w:t>
      </w:r>
    </w:p>
    <w:p w14:paraId="5E4C35E3" w14:textId="67DF03F0" w:rsidR="003F7795" w:rsidRPr="00BD71F8" w:rsidRDefault="003F7795" w:rsidP="00265697">
      <w:pPr>
        <w:spacing w:line="276" w:lineRule="auto"/>
        <w:rPr>
          <w:sz w:val="24"/>
          <w:szCs w:val="24"/>
        </w:rPr>
      </w:pPr>
      <w:r w:rsidRPr="00BD71F8">
        <w:rPr>
          <w:sz w:val="24"/>
          <w:szCs w:val="24"/>
        </w:rPr>
        <w:t xml:space="preserve">In addition to the space for workstations, the office will need to accommodate essential shared areas such as meeting rooms, common spaces, restrooms, storage and IT infrastructure. </w:t>
      </w:r>
      <w:proofErr w:type="gramStart"/>
      <w:r w:rsidRPr="00BD71F8">
        <w:rPr>
          <w:sz w:val="24"/>
          <w:szCs w:val="24"/>
        </w:rPr>
        <w:t>Typically</w:t>
      </w:r>
      <w:proofErr w:type="gramEnd"/>
      <w:r w:rsidR="00D9346C">
        <w:rPr>
          <w:sz w:val="24"/>
          <w:szCs w:val="24"/>
        </w:rPr>
        <w:t xml:space="preserve"> </w:t>
      </w:r>
      <w:r w:rsidRPr="00BD71F8">
        <w:rPr>
          <w:sz w:val="24"/>
          <w:szCs w:val="24"/>
        </w:rPr>
        <w:t>15-20% of the total office space is allocated to these areas.</w:t>
      </w:r>
    </w:p>
    <w:p w14:paraId="75B6C6DF" w14:textId="77777777" w:rsidR="003F7795" w:rsidRPr="00BD71F8" w:rsidRDefault="003F7795" w:rsidP="00265697">
      <w:pPr>
        <w:spacing w:line="276" w:lineRule="auto"/>
        <w:rPr>
          <w:sz w:val="24"/>
          <w:szCs w:val="24"/>
        </w:rPr>
      </w:pPr>
      <w:r w:rsidRPr="00BD71F8">
        <w:rPr>
          <w:sz w:val="24"/>
          <w:szCs w:val="24"/>
        </w:rPr>
        <w:lastRenderedPageBreak/>
        <w:t xml:space="preserve">For a 40,000 sq. ft. office: </w:t>
      </w:r>
    </w:p>
    <w:p w14:paraId="4D060B96" w14:textId="3600CD7C" w:rsidR="003F7795" w:rsidRPr="00BD71F8" w:rsidRDefault="003F7795" w:rsidP="00265697">
      <w:pPr>
        <w:spacing w:line="276" w:lineRule="auto"/>
        <w:rPr>
          <w:sz w:val="24"/>
          <w:szCs w:val="24"/>
        </w:rPr>
      </w:pPr>
      <w:r w:rsidRPr="00BD71F8">
        <w:rPr>
          <w:sz w:val="24"/>
          <w:szCs w:val="24"/>
        </w:rPr>
        <w:t xml:space="preserve">Adding 20% (8,000 sq. ft.) for shared spaces brings the total size to 48,000 sq. </w:t>
      </w:r>
      <w:r w:rsidR="00341FDB" w:rsidRPr="00BD71F8">
        <w:rPr>
          <w:sz w:val="24"/>
          <w:szCs w:val="24"/>
        </w:rPr>
        <w:t>ft.</w:t>
      </w:r>
    </w:p>
    <w:p w14:paraId="5BF3E227" w14:textId="77777777" w:rsidR="003F7795" w:rsidRPr="00BD71F8" w:rsidRDefault="003F7795" w:rsidP="00265697">
      <w:pPr>
        <w:spacing w:line="276" w:lineRule="auto"/>
        <w:rPr>
          <w:sz w:val="24"/>
          <w:szCs w:val="24"/>
        </w:rPr>
      </w:pPr>
      <w:r w:rsidRPr="00BD71F8">
        <w:rPr>
          <w:sz w:val="24"/>
          <w:szCs w:val="24"/>
        </w:rPr>
        <w:t>For a 70,000 sq. ft. office:</w:t>
      </w:r>
    </w:p>
    <w:p w14:paraId="3637C736" w14:textId="11635B94" w:rsidR="003F7795" w:rsidRPr="00BD71F8" w:rsidRDefault="003F7795" w:rsidP="00265697">
      <w:pPr>
        <w:spacing w:line="276" w:lineRule="auto"/>
        <w:rPr>
          <w:sz w:val="24"/>
          <w:szCs w:val="24"/>
        </w:rPr>
      </w:pPr>
      <w:r w:rsidRPr="00BD71F8">
        <w:rPr>
          <w:sz w:val="24"/>
          <w:szCs w:val="24"/>
        </w:rPr>
        <w:t xml:space="preserve">Adding 20% (14,000 sq. ft.) brings the total size to 84,000 sq. </w:t>
      </w:r>
      <w:r w:rsidR="00341FDB" w:rsidRPr="00BD71F8">
        <w:rPr>
          <w:sz w:val="24"/>
          <w:szCs w:val="24"/>
        </w:rPr>
        <w:t>ft.</w:t>
      </w:r>
    </w:p>
    <w:p w14:paraId="260348D3" w14:textId="2ACE0F66" w:rsidR="00B12FA3" w:rsidRPr="00BD71F8" w:rsidRDefault="003F7795" w:rsidP="00265697">
      <w:pPr>
        <w:spacing w:line="276" w:lineRule="auto"/>
        <w:rPr>
          <w:sz w:val="24"/>
          <w:szCs w:val="24"/>
        </w:rPr>
      </w:pPr>
      <w:r w:rsidRPr="00BD71F8">
        <w:rPr>
          <w:sz w:val="24"/>
          <w:szCs w:val="24"/>
        </w:rPr>
        <w:t xml:space="preserve">For an open-plan office designed for 400 employees the recommended building size would range between 48,000 and 84,000 square feet, depending on the desired level of space per employee and the number of shared spaces. A more efficient layout with flexible working areas and fewer meeting rooms might require approximately 48,000 sq. ft., while a more spacious design with additional meeting rooms, break areas and collaboration zones could require 70,000 to 84,000 sq. </w:t>
      </w:r>
      <w:r w:rsidR="00341FDB" w:rsidRPr="00BD71F8">
        <w:rPr>
          <w:sz w:val="24"/>
          <w:szCs w:val="24"/>
        </w:rPr>
        <w:t>ft.</w:t>
      </w:r>
      <w:r w:rsidRPr="00BD71F8">
        <w:rPr>
          <w:sz w:val="24"/>
          <w:szCs w:val="24"/>
        </w:rPr>
        <w:t xml:space="preserve"> This will ensure the office can accommodate the team while supporting the integration of WiTricity’s technology in a collaborative environment.</w:t>
      </w:r>
    </w:p>
    <w:p w14:paraId="2260597B" w14:textId="7B141850" w:rsidR="00522BD4" w:rsidRPr="00BD71F8" w:rsidRDefault="009959A4" w:rsidP="00265697">
      <w:pPr>
        <w:spacing w:line="276" w:lineRule="auto"/>
        <w:rPr>
          <w:sz w:val="24"/>
          <w:szCs w:val="24"/>
        </w:rPr>
      </w:pPr>
      <w:r w:rsidRPr="00BD71F8">
        <w:rPr>
          <w:sz w:val="24"/>
          <w:szCs w:val="24"/>
        </w:rPr>
        <w:t xml:space="preserve">A building with 60,000 sq. ft. can comfortably accommodate 400 employees in an open-plan layout, as it falls within the ideal space range of 57,600 to 72,000 sq. </w:t>
      </w:r>
      <w:r w:rsidR="00341FDB" w:rsidRPr="00BD71F8">
        <w:rPr>
          <w:sz w:val="24"/>
          <w:szCs w:val="24"/>
        </w:rPr>
        <w:t>ft.</w:t>
      </w:r>
      <w:r w:rsidRPr="00BD71F8">
        <w:rPr>
          <w:sz w:val="24"/>
          <w:szCs w:val="24"/>
        </w:rPr>
        <w:t xml:space="preserve"> Based on current market conditions the price is $17,000,000 for an office space in Toronto, Ontario, Canada.</w:t>
      </w:r>
    </w:p>
    <w:p w14:paraId="01B77F88" w14:textId="6A184CE9" w:rsidR="00A904FA" w:rsidRPr="00BD71F8" w:rsidRDefault="00A904FA" w:rsidP="00265697">
      <w:pPr>
        <w:spacing w:line="276" w:lineRule="auto"/>
        <w:rPr>
          <w:b/>
          <w:bCs/>
          <w:sz w:val="24"/>
          <w:szCs w:val="24"/>
        </w:rPr>
      </w:pPr>
      <w:r w:rsidRPr="00BD71F8">
        <w:rPr>
          <w:b/>
          <w:bCs/>
          <w:sz w:val="24"/>
          <w:szCs w:val="24"/>
        </w:rPr>
        <w:t>HVAC System</w:t>
      </w:r>
    </w:p>
    <w:p w14:paraId="2E188F1E" w14:textId="2BC11EF9" w:rsidR="00A904FA" w:rsidRPr="00A904FA" w:rsidRDefault="00A904FA" w:rsidP="00265697">
      <w:pPr>
        <w:spacing w:line="276" w:lineRule="auto"/>
        <w:rPr>
          <w:rFonts w:cs="Calibri"/>
          <w:sz w:val="24"/>
          <w:szCs w:val="24"/>
        </w:rPr>
      </w:pPr>
      <w:r w:rsidRPr="00A904FA">
        <w:rPr>
          <w:rFonts w:cs="Calibri"/>
          <w:sz w:val="24"/>
          <w:szCs w:val="24"/>
        </w:rPr>
        <w:t>The HVAC (Heating, Ventilation and Air Conditioning) system is a crucial component in maintaining a comfortable and safe working environment in an office building</w:t>
      </w:r>
      <w:r w:rsidRPr="00BD71F8">
        <w:rPr>
          <w:rFonts w:cs="Calibri"/>
          <w:sz w:val="24"/>
          <w:szCs w:val="24"/>
        </w:rPr>
        <w:t>.</w:t>
      </w:r>
    </w:p>
    <w:p w14:paraId="7F3732B5" w14:textId="46C6AAEC" w:rsidR="00A904FA" w:rsidRPr="00A904FA" w:rsidRDefault="00A904FA" w:rsidP="00265697">
      <w:pPr>
        <w:spacing w:line="276" w:lineRule="auto"/>
        <w:rPr>
          <w:rFonts w:cs="Calibri"/>
          <w:b/>
          <w:bCs/>
          <w:sz w:val="24"/>
          <w:szCs w:val="24"/>
        </w:rPr>
      </w:pPr>
      <w:r w:rsidRPr="00A904FA">
        <w:rPr>
          <w:rFonts w:cs="Calibri"/>
          <w:b/>
          <w:bCs/>
          <w:sz w:val="24"/>
          <w:szCs w:val="24"/>
        </w:rPr>
        <w:t>Initial Installation Cost</w:t>
      </w:r>
    </w:p>
    <w:p w14:paraId="243931C2" w14:textId="7FFF2AA6" w:rsidR="00A904FA" w:rsidRPr="00BD71F8" w:rsidRDefault="00A904FA" w:rsidP="00265697">
      <w:pPr>
        <w:spacing w:line="276" w:lineRule="auto"/>
        <w:rPr>
          <w:rFonts w:cs="Calibri"/>
          <w:sz w:val="24"/>
          <w:szCs w:val="24"/>
        </w:rPr>
      </w:pPr>
      <w:r w:rsidRPr="00A904FA">
        <w:rPr>
          <w:rFonts w:cs="Calibri"/>
          <w:sz w:val="24"/>
          <w:szCs w:val="24"/>
        </w:rPr>
        <w:t>The installation of an HVAC system can vary widely depending on the type of system (e.g., centrali</w:t>
      </w:r>
      <w:r w:rsidR="00341FDB">
        <w:rPr>
          <w:rFonts w:cs="Calibri"/>
          <w:sz w:val="24"/>
          <w:szCs w:val="24"/>
        </w:rPr>
        <w:t>s</w:t>
      </w:r>
      <w:r w:rsidRPr="00A904FA">
        <w:rPr>
          <w:rFonts w:cs="Calibri"/>
          <w:sz w:val="24"/>
          <w:szCs w:val="24"/>
        </w:rPr>
        <w:t>ed or decentrali</w:t>
      </w:r>
      <w:r w:rsidR="00341FDB">
        <w:rPr>
          <w:rFonts w:cs="Calibri"/>
          <w:sz w:val="24"/>
          <w:szCs w:val="24"/>
        </w:rPr>
        <w:t>s</w:t>
      </w:r>
      <w:r w:rsidRPr="00A904FA">
        <w:rPr>
          <w:rFonts w:cs="Calibri"/>
          <w:sz w:val="24"/>
          <w:szCs w:val="24"/>
        </w:rPr>
        <w:t>ed) the building’s requirements and the complexity of installation. For a 60,000 sq. ft. office building in Toronto, the typical installation cost ranges from $</w:t>
      </w:r>
      <w:r w:rsidRPr="00BD71F8">
        <w:rPr>
          <w:rFonts w:cs="Calibri"/>
          <w:sz w:val="24"/>
          <w:szCs w:val="24"/>
        </w:rPr>
        <w:t>2</w:t>
      </w:r>
      <w:r w:rsidRPr="00A904FA">
        <w:rPr>
          <w:rFonts w:cs="Calibri"/>
          <w:sz w:val="24"/>
          <w:szCs w:val="24"/>
        </w:rPr>
        <w:t>0 to $</w:t>
      </w:r>
      <w:r w:rsidRPr="00BD71F8">
        <w:rPr>
          <w:rFonts w:cs="Calibri"/>
          <w:sz w:val="24"/>
          <w:szCs w:val="24"/>
        </w:rPr>
        <w:t>3</w:t>
      </w:r>
      <w:r w:rsidRPr="00A904FA">
        <w:rPr>
          <w:rFonts w:cs="Calibri"/>
          <w:sz w:val="24"/>
          <w:szCs w:val="24"/>
        </w:rPr>
        <w:t>0 per square f</w:t>
      </w:r>
      <w:r w:rsidRPr="00BD71F8">
        <w:rPr>
          <w:rFonts w:cs="Calibri"/>
          <w:sz w:val="24"/>
          <w:szCs w:val="24"/>
        </w:rPr>
        <w:t xml:space="preserve">eet. </w:t>
      </w:r>
      <w:r w:rsidR="00341FDB">
        <w:rPr>
          <w:rFonts w:cs="Calibri"/>
          <w:sz w:val="24"/>
          <w:szCs w:val="24"/>
        </w:rPr>
        <w:t>T</w:t>
      </w:r>
      <w:r w:rsidRPr="00BD71F8">
        <w:rPr>
          <w:rFonts w:cs="Calibri"/>
          <w:sz w:val="24"/>
          <w:szCs w:val="24"/>
        </w:rPr>
        <w:t xml:space="preserve">he cost for installing HVAC system is </w:t>
      </w:r>
      <w:r w:rsidRPr="00A904FA">
        <w:rPr>
          <w:rFonts w:cs="Calibri"/>
          <w:sz w:val="24"/>
          <w:szCs w:val="24"/>
        </w:rPr>
        <w:t>$600,000</w:t>
      </w:r>
      <w:r w:rsidRPr="00BD71F8">
        <w:rPr>
          <w:rFonts w:cs="Calibri"/>
          <w:sz w:val="24"/>
          <w:szCs w:val="24"/>
        </w:rPr>
        <w:t xml:space="preserve">. </w:t>
      </w:r>
      <w:r w:rsidRPr="00A904FA">
        <w:rPr>
          <w:rFonts w:cs="Calibri"/>
          <w:sz w:val="24"/>
          <w:szCs w:val="24"/>
        </w:rPr>
        <w:t>These costs cover the installation of HVAC units, ductwork and necessary infrastructure adjustments.</w:t>
      </w:r>
    </w:p>
    <w:tbl>
      <w:tblPr>
        <w:tblStyle w:val="PlainTable1"/>
        <w:tblW w:w="9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9"/>
        <w:gridCol w:w="2318"/>
        <w:gridCol w:w="2674"/>
      </w:tblGrid>
      <w:tr w:rsidR="00A904FA" w:rsidRPr="00A904FA" w14:paraId="5CC230DB" w14:textId="77777777" w:rsidTr="004E1958">
        <w:trPr>
          <w:cnfStyle w:val="100000000000" w:firstRow="1" w:lastRow="0" w:firstColumn="0" w:lastColumn="0" w:oddVBand="0" w:evenVBand="0" w:oddHBand="0"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4059" w:type="dxa"/>
            <w:hideMark/>
          </w:tcPr>
          <w:p w14:paraId="751A7980" w14:textId="77777777" w:rsidR="00A904FA" w:rsidRPr="00A904FA" w:rsidRDefault="00A904FA" w:rsidP="00265697">
            <w:pPr>
              <w:spacing w:line="276" w:lineRule="auto"/>
              <w:jc w:val="center"/>
              <w:rPr>
                <w:rFonts w:eastAsia="Times New Roman" w:cs="Calibri"/>
                <w:b w:val="0"/>
                <w:color w:val="000000"/>
                <w:kern w:val="0"/>
                <w:sz w:val="24"/>
                <w:szCs w:val="24"/>
                <w:lang w:eastAsia="en-CA"/>
                <w14:ligatures w14:val="none"/>
              </w:rPr>
            </w:pPr>
            <w:r w:rsidRPr="00A904FA">
              <w:rPr>
                <w:rFonts w:eastAsia="Times New Roman" w:cs="Calibri"/>
                <w:color w:val="000000"/>
                <w:kern w:val="0"/>
                <w:sz w:val="24"/>
                <w:szCs w:val="24"/>
                <w:lang w:eastAsia="en-CA"/>
                <w14:ligatures w14:val="none"/>
              </w:rPr>
              <w:t>Cost Category</w:t>
            </w:r>
          </w:p>
        </w:tc>
        <w:tc>
          <w:tcPr>
            <w:tcW w:w="2318" w:type="dxa"/>
            <w:hideMark/>
          </w:tcPr>
          <w:p w14:paraId="13B411F3" w14:textId="26962240" w:rsidR="00A904FA" w:rsidRPr="00A904FA" w:rsidRDefault="00A904FA" w:rsidP="00265697">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kern w:val="0"/>
                <w:sz w:val="24"/>
                <w:szCs w:val="24"/>
                <w:lang w:eastAsia="en-CA"/>
                <w14:ligatures w14:val="none"/>
              </w:rPr>
            </w:pPr>
            <w:r w:rsidRPr="00A904FA">
              <w:rPr>
                <w:rFonts w:eastAsia="Times New Roman" w:cs="Calibri"/>
                <w:color w:val="000000"/>
                <w:kern w:val="0"/>
                <w:sz w:val="24"/>
                <w:szCs w:val="24"/>
                <w:lang w:eastAsia="en-CA"/>
                <w14:ligatures w14:val="none"/>
              </w:rPr>
              <w:t>Cost per Unit</w:t>
            </w:r>
          </w:p>
        </w:tc>
        <w:tc>
          <w:tcPr>
            <w:tcW w:w="2674" w:type="dxa"/>
            <w:hideMark/>
          </w:tcPr>
          <w:p w14:paraId="7E2140DC" w14:textId="2CC79514" w:rsidR="00A904FA" w:rsidRPr="00A904FA" w:rsidRDefault="00A904FA" w:rsidP="00265697">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kern w:val="0"/>
                <w:sz w:val="24"/>
                <w:szCs w:val="24"/>
                <w:lang w:eastAsia="en-CA"/>
                <w14:ligatures w14:val="none"/>
              </w:rPr>
            </w:pPr>
            <w:r w:rsidRPr="00A904FA">
              <w:rPr>
                <w:rFonts w:eastAsia="Times New Roman" w:cs="Calibri"/>
                <w:color w:val="000000"/>
                <w:kern w:val="0"/>
                <w:sz w:val="24"/>
                <w:szCs w:val="24"/>
                <w:lang w:eastAsia="en-CA"/>
                <w14:ligatures w14:val="none"/>
              </w:rPr>
              <w:t xml:space="preserve">Estimated Total Cost </w:t>
            </w:r>
          </w:p>
        </w:tc>
      </w:tr>
      <w:tr w:rsidR="00A904FA" w:rsidRPr="00A904FA" w14:paraId="17200670" w14:textId="77777777" w:rsidTr="004E1958">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059" w:type="dxa"/>
            <w:hideMark/>
          </w:tcPr>
          <w:p w14:paraId="20D921FE" w14:textId="77777777" w:rsidR="00A904FA" w:rsidRPr="004E1958" w:rsidRDefault="00A904FA" w:rsidP="00265697">
            <w:pPr>
              <w:spacing w:line="276" w:lineRule="auto"/>
              <w:jc w:val="left"/>
              <w:rPr>
                <w:rFonts w:eastAsia="Times New Roman" w:cs="Calibri"/>
                <w:b w:val="0"/>
                <w:color w:val="000000"/>
                <w:kern w:val="0"/>
                <w:sz w:val="24"/>
                <w:szCs w:val="24"/>
                <w:lang w:eastAsia="en-CA"/>
                <w14:ligatures w14:val="none"/>
              </w:rPr>
            </w:pPr>
            <w:r w:rsidRPr="004E1958">
              <w:rPr>
                <w:rFonts w:eastAsia="Times New Roman" w:cs="Calibri"/>
                <w:b w:val="0"/>
                <w:color w:val="000000"/>
                <w:kern w:val="0"/>
                <w:sz w:val="24"/>
                <w:szCs w:val="24"/>
                <w:lang w:eastAsia="en-CA"/>
                <w14:ligatures w14:val="none"/>
              </w:rPr>
              <w:t>High-Efficiency HVAC System</w:t>
            </w:r>
          </w:p>
        </w:tc>
        <w:tc>
          <w:tcPr>
            <w:tcW w:w="2318" w:type="dxa"/>
            <w:hideMark/>
          </w:tcPr>
          <w:p w14:paraId="44F9DE59" w14:textId="574A8F47" w:rsidR="00A904FA" w:rsidRPr="00A904FA" w:rsidRDefault="00A904FA" w:rsidP="00265697">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4"/>
                <w:szCs w:val="24"/>
                <w:lang w:eastAsia="en-CA"/>
                <w14:ligatures w14:val="none"/>
              </w:rPr>
            </w:pPr>
            <w:r w:rsidRPr="00A904FA">
              <w:rPr>
                <w:rFonts w:eastAsia="Times New Roman" w:cs="Calibri"/>
                <w:color w:val="000000"/>
                <w:kern w:val="0"/>
                <w:sz w:val="24"/>
                <w:szCs w:val="24"/>
                <w:lang w:eastAsia="en-CA"/>
                <w14:ligatures w14:val="none"/>
              </w:rPr>
              <w:t xml:space="preserve">$30 per </w:t>
            </w:r>
            <w:r w:rsidR="00341FDB" w:rsidRPr="00A904FA">
              <w:rPr>
                <w:rFonts w:eastAsia="Times New Roman" w:cs="Calibri"/>
                <w:color w:val="000000"/>
                <w:kern w:val="0"/>
                <w:sz w:val="24"/>
                <w:szCs w:val="24"/>
                <w:lang w:eastAsia="en-CA"/>
                <w14:ligatures w14:val="none"/>
              </w:rPr>
              <w:t>sq.</w:t>
            </w:r>
            <w:r w:rsidRPr="00A904FA">
              <w:rPr>
                <w:rFonts w:eastAsia="Times New Roman" w:cs="Calibri"/>
                <w:color w:val="000000"/>
                <w:kern w:val="0"/>
                <w:sz w:val="24"/>
                <w:szCs w:val="24"/>
                <w:lang w:eastAsia="en-CA"/>
                <w14:ligatures w14:val="none"/>
              </w:rPr>
              <w:t xml:space="preserve"> ft</w:t>
            </w:r>
          </w:p>
        </w:tc>
        <w:tc>
          <w:tcPr>
            <w:tcW w:w="2674" w:type="dxa"/>
            <w:hideMark/>
          </w:tcPr>
          <w:p w14:paraId="7BC91832" w14:textId="18A678BA" w:rsidR="00A904FA" w:rsidRPr="00BD71F8" w:rsidRDefault="00A904FA" w:rsidP="00265697">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4"/>
                <w:szCs w:val="24"/>
                <w:lang w:eastAsia="en-CA"/>
                <w14:ligatures w14:val="none"/>
              </w:rPr>
            </w:pPr>
            <w:r w:rsidRPr="00A904FA">
              <w:rPr>
                <w:rFonts w:eastAsia="Times New Roman" w:cs="Calibri"/>
                <w:color w:val="000000"/>
                <w:kern w:val="0"/>
                <w:sz w:val="24"/>
                <w:szCs w:val="24"/>
                <w:lang w:eastAsia="en-CA"/>
                <w14:ligatures w14:val="none"/>
              </w:rPr>
              <w:t>$</w:t>
            </w:r>
            <w:r w:rsidRPr="00BD71F8">
              <w:rPr>
                <w:rFonts w:cs="Calibri"/>
                <w:color w:val="000000"/>
                <w:sz w:val="24"/>
                <w:szCs w:val="24"/>
              </w:rPr>
              <w:t xml:space="preserve">1,800,000 </w:t>
            </w:r>
          </w:p>
          <w:p w14:paraId="40D3C457" w14:textId="3AA5B8B3" w:rsidR="00A904FA" w:rsidRPr="00A904FA" w:rsidRDefault="00A904FA" w:rsidP="00265697">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4"/>
                <w:szCs w:val="24"/>
                <w:lang w:eastAsia="en-CA"/>
                <w14:ligatures w14:val="none"/>
              </w:rPr>
            </w:pPr>
          </w:p>
        </w:tc>
      </w:tr>
      <w:tr w:rsidR="00A904FA" w:rsidRPr="00A904FA" w14:paraId="61975801" w14:textId="77777777" w:rsidTr="004E1958">
        <w:trPr>
          <w:trHeight w:val="285"/>
        </w:trPr>
        <w:tc>
          <w:tcPr>
            <w:cnfStyle w:val="001000000000" w:firstRow="0" w:lastRow="0" w:firstColumn="1" w:lastColumn="0" w:oddVBand="0" w:evenVBand="0" w:oddHBand="0" w:evenHBand="0" w:firstRowFirstColumn="0" w:firstRowLastColumn="0" w:lastRowFirstColumn="0" w:lastRowLastColumn="0"/>
            <w:tcW w:w="4059" w:type="dxa"/>
            <w:hideMark/>
          </w:tcPr>
          <w:p w14:paraId="42A3BF71" w14:textId="77777777" w:rsidR="00A904FA" w:rsidRPr="004E1958" w:rsidRDefault="00A904FA" w:rsidP="00265697">
            <w:pPr>
              <w:spacing w:line="276" w:lineRule="auto"/>
              <w:jc w:val="left"/>
              <w:rPr>
                <w:rFonts w:eastAsia="Times New Roman" w:cs="Calibri"/>
                <w:b w:val="0"/>
                <w:color w:val="000000"/>
                <w:kern w:val="0"/>
                <w:sz w:val="24"/>
                <w:szCs w:val="24"/>
                <w:lang w:eastAsia="en-CA"/>
                <w14:ligatures w14:val="none"/>
              </w:rPr>
            </w:pPr>
            <w:r w:rsidRPr="004E1958">
              <w:rPr>
                <w:rFonts w:eastAsia="Times New Roman" w:cs="Calibri"/>
                <w:b w:val="0"/>
                <w:color w:val="000000"/>
                <w:kern w:val="0"/>
                <w:sz w:val="24"/>
                <w:szCs w:val="24"/>
                <w:lang w:eastAsia="en-CA"/>
                <w14:ligatures w14:val="none"/>
              </w:rPr>
              <w:t>Ductwork</w:t>
            </w:r>
          </w:p>
        </w:tc>
        <w:tc>
          <w:tcPr>
            <w:tcW w:w="2318" w:type="dxa"/>
            <w:hideMark/>
          </w:tcPr>
          <w:p w14:paraId="1EF43A34" w14:textId="7EF1DB1A" w:rsidR="00A904FA" w:rsidRPr="00A904FA" w:rsidRDefault="00A904FA" w:rsidP="00265697">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4"/>
                <w:szCs w:val="24"/>
                <w:lang w:eastAsia="en-CA"/>
                <w14:ligatures w14:val="none"/>
              </w:rPr>
            </w:pPr>
            <w:r w:rsidRPr="00A904FA">
              <w:rPr>
                <w:rFonts w:eastAsia="Times New Roman" w:cs="Calibri"/>
                <w:color w:val="000000"/>
                <w:kern w:val="0"/>
                <w:sz w:val="24"/>
                <w:szCs w:val="24"/>
                <w:lang w:eastAsia="en-CA"/>
                <w14:ligatures w14:val="none"/>
              </w:rPr>
              <w:t xml:space="preserve">$5 per </w:t>
            </w:r>
            <w:r w:rsidR="00341FDB" w:rsidRPr="00A904FA">
              <w:rPr>
                <w:rFonts w:eastAsia="Times New Roman" w:cs="Calibri"/>
                <w:color w:val="000000"/>
                <w:kern w:val="0"/>
                <w:sz w:val="24"/>
                <w:szCs w:val="24"/>
                <w:lang w:eastAsia="en-CA"/>
                <w14:ligatures w14:val="none"/>
              </w:rPr>
              <w:t>sq.</w:t>
            </w:r>
            <w:r w:rsidRPr="00A904FA">
              <w:rPr>
                <w:rFonts w:eastAsia="Times New Roman" w:cs="Calibri"/>
                <w:color w:val="000000"/>
                <w:kern w:val="0"/>
                <w:sz w:val="24"/>
                <w:szCs w:val="24"/>
                <w:lang w:eastAsia="en-CA"/>
                <w14:ligatures w14:val="none"/>
              </w:rPr>
              <w:t xml:space="preserve"> ft</w:t>
            </w:r>
          </w:p>
        </w:tc>
        <w:tc>
          <w:tcPr>
            <w:tcW w:w="2674" w:type="dxa"/>
            <w:hideMark/>
          </w:tcPr>
          <w:p w14:paraId="1A69A2CD" w14:textId="546ACA2E" w:rsidR="00A904FA" w:rsidRPr="00A904FA" w:rsidRDefault="00A904FA" w:rsidP="00265697">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4"/>
                <w:szCs w:val="24"/>
                <w:lang w:eastAsia="en-CA"/>
                <w14:ligatures w14:val="none"/>
              </w:rPr>
            </w:pPr>
            <w:r w:rsidRPr="00A904FA">
              <w:rPr>
                <w:rFonts w:eastAsia="Times New Roman" w:cs="Calibri"/>
                <w:color w:val="000000"/>
                <w:kern w:val="0"/>
                <w:sz w:val="24"/>
                <w:szCs w:val="24"/>
                <w:lang w:eastAsia="en-CA"/>
                <w14:ligatures w14:val="none"/>
              </w:rPr>
              <w:t>$</w:t>
            </w:r>
            <w:r w:rsidRPr="00BD71F8">
              <w:rPr>
                <w:rFonts w:eastAsia="Times New Roman" w:cs="Calibri"/>
                <w:color w:val="000000"/>
                <w:kern w:val="0"/>
                <w:sz w:val="24"/>
                <w:szCs w:val="24"/>
                <w:lang w:eastAsia="en-CA"/>
                <w14:ligatures w14:val="none"/>
              </w:rPr>
              <w:t>30</w:t>
            </w:r>
            <w:r w:rsidRPr="00A904FA">
              <w:rPr>
                <w:rFonts w:eastAsia="Times New Roman" w:cs="Calibri"/>
                <w:color w:val="000000"/>
                <w:kern w:val="0"/>
                <w:sz w:val="24"/>
                <w:szCs w:val="24"/>
                <w:lang w:eastAsia="en-CA"/>
                <w14:ligatures w14:val="none"/>
              </w:rPr>
              <w:t xml:space="preserve">0,000 </w:t>
            </w:r>
          </w:p>
        </w:tc>
      </w:tr>
      <w:tr w:rsidR="00A904FA" w:rsidRPr="00A904FA" w14:paraId="6743EF03" w14:textId="77777777" w:rsidTr="004E195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059" w:type="dxa"/>
            <w:hideMark/>
          </w:tcPr>
          <w:p w14:paraId="06180DC9" w14:textId="77777777" w:rsidR="00A904FA" w:rsidRPr="004E1958" w:rsidRDefault="00A904FA" w:rsidP="00265697">
            <w:pPr>
              <w:spacing w:line="276" w:lineRule="auto"/>
              <w:jc w:val="left"/>
              <w:rPr>
                <w:rFonts w:eastAsia="Times New Roman" w:cs="Calibri"/>
                <w:b w:val="0"/>
                <w:color w:val="000000"/>
                <w:kern w:val="0"/>
                <w:sz w:val="24"/>
                <w:szCs w:val="24"/>
                <w:lang w:eastAsia="en-CA"/>
                <w14:ligatures w14:val="none"/>
              </w:rPr>
            </w:pPr>
            <w:r w:rsidRPr="004E1958">
              <w:rPr>
                <w:rFonts w:eastAsia="Times New Roman" w:cs="Calibri"/>
                <w:b w:val="0"/>
                <w:color w:val="000000"/>
                <w:kern w:val="0"/>
                <w:sz w:val="24"/>
                <w:szCs w:val="24"/>
                <w:lang w:eastAsia="en-CA"/>
                <w14:ligatures w14:val="none"/>
              </w:rPr>
              <w:t>Controls and Automation</w:t>
            </w:r>
          </w:p>
        </w:tc>
        <w:tc>
          <w:tcPr>
            <w:tcW w:w="2318" w:type="dxa"/>
            <w:hideMark/>
          </w:tcPr>
          <w:p w14:paraId="63D58F51" w14:textId="22E4290B" w:rsidR="00A904FA" w:rsidRPr="00A904FA" w:rsidRDefault="00A904FA" w:rsidP="00265697">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4"/>
                <w:szCs w:val="24"/>
                <w:lang w:eastAsia="en-CA"/>
                <w14:ligatures w14:val="none"/>
              </w:rPr>
            </w:pPr>
            <w:r w:rsidRPr="00A904FA">
              <w:rPr>
                <w:rFonts w:eastAsia="Times New Roman" w:cs="Calibri"/>
                <w:color w:val="000000"/>
                <w:kern w:val="0"/>
                <w:sz w:val="24"/>
                <w:szCs w:val="24"/>
                <w:lang w:eastAsia="en-CA"/>
                <w14:ligatures w14:val="none"/>
              </w:rPr>
              <w:t xml:space="preserve">$2 per </w:t>
            </w:r>
            <w:r w:rsidR="00341FDB" w:rsidRPr="00A904FA">
              <w:rPr>
                <w:rFonts w:eastAsia="Times New Roman" w:cs="Calibri"/>
                <w:color w:val="000000"/>
                <w:kern w:val="0"/>
                <w:sz w:val="24"/>
                <w:szCs w:val="24"/>
                <w:lang w:eastAsia="en-CA"/>
                <w14:ligatures w14:val="none"/>
              </w:rPr>
              <w:t>sq.</w:t>
            </w:r>
            <w:r w:rsidRPr="00A904FA">
              <w:rPr>
                <w:rFonts w:eastAsia="Times New Roman" w:cs="Calibri"/>
                <w:color w:val="000000"/>
                <w:kern w:val="0"/>
                <w:sz w:val="24"/>
                <w:szCs w:val="24"/>
                <w:lang w:eastAsia="en-CA"/>
                <w14:ligatures w14:val="none"/>
              </w:rPr>
              <w:t xml:space="preserve"> ft</w:t>
            </w:r>
          </w:p>
        </w:tc>
        <w:tc>
          <w:tcPr>
            <w:tcW w:w="2674" w:type="dxa"/>
            <w:hideMark/>
          </w:tcPr>
          <w:p w14:paraId="12E7F237" w14:textId="70E36FE9" w:rsidR="00A904FA" w:rsidRPr="00A904FA" w:rsidRDefault="00A904FA" w:rsidP="00265697">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4"/>
                <w:szCs w:val="24"/>
                <w:lang w:eastAsia="en-CA"/>
                <w14:ligatures w14:val="none"/>
              </w:rPr>
            </w:pPr>
            <w:r w:rsidRPr="00A904FA">
              <w:rPr>
                <w:rFonts w:eastAsia="Times New Roman" w:cs="Calibri"/>
                <w:color w:val="000000"/>
                <w:kern w:val="0"/>
                <w:sz w:val="24"/>
                <w:szCs w:val="24"/>
                <w:lang w:eastAsia="en-CA"/>
                <w14:ligatures w14:val="none"/>
              </w:rPr>
              <w:t>$</w:t>
            </w:r>
            <w:r w:rsidRPr="00BD71F8">
              <w:rPr>
                <w:rFonts w:eastAsia="Times New Roman" w:cs="Calibri"/>
                <w:color w:val="000000"/>
                <w:kern w:val="0"/>
                <w:sz w:val="24"/>
                <w:szCs w:val="24"/>
                <w:lang w:eastAsia="en-CA"/>
                <w14:ligatures w14:val="none"/>
              </w:rPr>
              <w:t>12</w:t>
            </w:r>
            <w:r w:rsidRPr="00A904FA">
              <w:rPr>
                <w:rFonts w:eastAsia="Times New Roman" w:cs="Calibri"/>
                <w:color w:val="000000"/>
                <w:kern w:val="0"/>
                <w:sz w:val="24"/>
                <w:szCs w:val="24"/>
                <w:lang w:eastAsia="en-CA"/>
                <w14:ligatures w14:val="none"/>
              </w:rPr>
              <w:t xml:space="preserve">0,000 </w:t>
            </w:r>
          </w:p>
        </w:tc>
      </w:tr>
      <w:tr w:rsidR="00A904FA" w:rsidRPr="00A904FA" w14:paraId="1F221F9A" w14:textId="77777777" w:rsidTr="004E1958">
        <w:trPr>
          <w:trHeight w:val="571"/>
        </w:trPr>
        <w:tc>
          <w:tcPr>
            <w:cnfStyle w:val="001000000000" w:firstRow="0" w:lastRow="0" w:firstColumn="1" w:lastColumn="0" w:oddVBand="0" w:evenVBand="0" w:oddHBand="0" w:evenHBand="0" w:firstRowFirstColumn="0" w:firstRowLastColumn="0" w:lastRowFirstColumn="0" w:lastRowLastColumn="0"/>
            <w:tcW w:w="4059" w:type="dxa"/>
            <w:hideMark/>
          </w:tcPr>
          <w:p w14:paraId="3435276C" w14:textId="77777777" w:rsidR="00A904FA" w:rsidRPr="004E1958" w:rsidRDefault="00A904FA" w:rsidP="00265697">
            <w:pPr>
              <w:spacing w:line="276" w:lineRule="auto"/>
              <w:jc w:val="left"/>
              <w:rPr>
                <w:rFonts w:eastAsia="Times New Roman" w:cs="Calibri"/>
                <w:b w:val="0"/>
                <w:color w:val="000000"/>
                <w:kern w:val="0"/>
                <w:sz w:val="24"/>
                <w:szCs w:val="24"/>
                <w:lang w:eastAsia="en-CA"/>
                <w14:ligatures w14:val="none"/>
              </w:rPr>
            </w:pPr>
            <w:r w:rsidRPr="004E1958">
              <w:rPr>
                <w:rFonts w:eastAsia="Times New Roman" w:cs="Calibri"/>
                <w:b w:val="0"/>
                <w:color w:val="000000"/>
                <w:kern w:val="0"/>
                <w:sz w:val="24"/>
                <w:szCs w:val="24"/>
                <w:lang w:eastAsia="en-CA"/>
                <w14:ligatures w14:val="none"/>
              </w:rPr>
              <w:t>Installation costs and labour costs</w:t>
            </w:r>
          </w:p>
        </w:tc>
        <w:tc>
          <w:tcPr>
            <w:tcW w:w="2318" w:type="dxa"/>
            <w:hideMark/>
          </w:tcPr>
          <w:p w14:paraId="76363232" w14:textId="77777777" w:rsidR="00A904FA" w:rsidRPr="00A904FA" w:rsidRDefault="00A904FA" w:rsidP="00265697">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4"/>
                <w:szCs w:val="24"/>
                <w:lang w:eastAsia="en-CA"/>
                <w14:ligatures w14:val="none"/>
              </w:rPr>
            </w:pPr>
            <w:r w:rsidRPr="00A904FA">
              <w:rPr>
                <w:rFonts w:eastAsia="Times New Roman" w:cs="Calibri"/>
                <w:color w:val="000000"/>
                <w:kern w:val="0"/>
                <w:sz w:val="24"/>
                <w:szCs w:val="24"/>
                <w:lang w:eastAsia="en-CA"/>
                <w14:ligatures w14:val="none"/>
              </w:rPr>
              <w:t>$50 per hour (300 hours)</w:t>
            </w:r>
          </w:p>
        </w:tc>
        <w:tc>
          <w:tcPr>
            <w:tcW w:w="2674" w:type="dxa"/>
            <w:hideMark/>
          </w:tcPr>
          <w:p w14:paraId="1830B1CF" w14:textId="77777777" w:rsidR="00A904FA" w:rsidRPr="00A904FA" w:rsidRDefault="00A904FA" w:rsidP="00265697">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4"/>
                <w:szCs w:val="24"/>
                <w:lang w:eastAsia="en-CA"/>
                <w14:ligatures w14:val="none"/>
              </w:rPr>
            </w:pPr>
            <w:r w:rsidRPr="00A904FA">
              <w:rPr>
                <w:rFonts w:eastAsia="Times New Roman" w:cs="Calibri"/>
                <w:color w:val="000000"/>
                <w:kern w:val="0"/>
                <w:sz w:val="24"/>
                <w:szCs w:val="24"/>
                <w:lang w:eastAsia="en-CA"/>
                <w14:ligatures w14:val="none"/>
              </w:rPr>
              <w:t xml:space="preserve">$12,000 </w:t>
            </w:r>
          </w:p>
        </w:tc>
      </w:tr>
      <w:tr w:rsidR="00A904FA" w:rsidRPr="00A904FA" w14:paraId="74E9817A" w14:textId="77777777" w:rsidTr="004E195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4059" w:type="dxa"/>
            <w:noWrap/>
            <w:hideMark/>
          </w:tcPr>
          <w:p w14:paraId="7B2322C5" w14:textId="50418E08" w:rsidR="00A904FA" w:rsidRPr="004E1958" w:rsidRDefault="00A904FA" w:rsidP="00265697">
            <w:pPr>
              <w:spacing w:line="276" w:lineRule="auto"/>
              <w:jc w:val="left"/>
              <w:rPr>
                <w:rFonts w:eastAsia="Times New Roman" w:cs="Calibri"/>
                <w:b w:val="0"/>
                <w:color w:val="000000"/>
                <w:kern w:val="0"/>
                <w:sz w:val="24"/>
                <w:szCs w:val="24"/>
                <w:lang w:eastAsia="en-CA"/>
                <w14:ligatures w14:val="none"/>
              </w:rPr>
            </w:pPr>
            <w:r w:rsidRPr="004E1958">
              <w:rPr>
                <w:rFonts w:eastAsia="Times New Roman" w:cs="Calibri"/>
                <w:b w:val="0"/>
                <w:color w:val="000000"/>
                <w:kern w:val="0"/>
                <w:sz w:val="24"/>
                <w:szCs w:val="24"/>
                <w:lang w:eastAsia="en-CA"/>
                <w14:ligatures w14:val="none"/>
              </w:rPr>
              <w:t>Total cost</w:t>
            </w:r>
          </w:p>
        </w:tc>
        <w:tc>
          <w:tcPr>
            <w:tcW w:w="2318" w:type="dxa"/>
            <w:noWrap/>
            <w:hideMark/>
          </w:tcPr>
          <w:p w14:paraId="0DF9D8E1" w14:textId="77777777" w:rsidR="00A904FA" w:rsidRPr="00A904FA" w:rsidRDefault="00A904FA" w:rsidP="00265697">
            <w:pPr>
              <w:spacing w:line="276"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2674" w:type="dxa"/>
            <w:noWrap/>
            <w:hideMark/>
          </w:tcPr>
          <w:p w14:paraId="4501E636" w14:textId="5DA59788" w:rsidR="00A904FA" w:rsidRPr="00A904FA" w:rsidRDefault="00A904FA" w:rsidP="00265697">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4"/>
                <w:szCs w:val="24"/>
                <w:lang w:eastAsia="en-CA"/>
                <w14:ligatures w14:val="none"/>
              </w:rPr>
            </w:pPr>
            <w:r w:rsidRPr="00A904FA">
              <w:rPr>
                <w:rFonts w:eastAsia="Times New Roman" w:cs="Calibri"/>
                <w:color w:val="000000"/>
                <w:kern w:val="0"/>
                <w:sz w:val="24"/>
                <w:szCs w:val="24"/>
                <w:lang w:eastAsia="en-CA"/>
                <w14:ligatures w14:val="none"/>
              </w:rPr>
              <w:t>$2</w:t>
            </w:r>
            <w:r w:rsidRPr="00BD71F8">
              <w:rPr>
                <w:rFonts w:eastAsia="Times New Roman" w:cs="Calibri"/>
                <w:color w:val="000000"/>
                <w:kern w:val="0"/>
                <w:sz w:val="24"/>
                <w:szCs w:val="24"/>
                <w:lang w:eastAsia="en-CA"/>
                <w14:ligatures w14:val="none"/>
              </w:rPr>
              <w:t>,232</w:t>
            </w:r>
            <w:r w:rsidRPr="00A904FA">
              <w:rPr>
                <w:rFonts w:eastAsia="Times New Roman" w:cs="Calibri"/>
                <w:color w:val="000000"/>
                <w:kern w:val="0"/>
                <w:sz w:val="24"/>
                <w:szCs w:val="24"/>
                <w:lang w:eastAsia="en-CA"/>
                <w14:ligatures w14:val="none"/>
              </w:rPr>
              <w:t>,</w:t>
            </w:r>
            <w:r w:rsidRPr="00BD71F8">
              <w:rPr>
                <w:rFonts w:eastAsia="Times New Roman" w:cs="Calibri"/>
                <w:color w:val="000000"/>
                <w:kern w:val="0"/>
                <w:sz w:val="24"/>
                <w:szCs w:val="24"/>
                <w:lang w:eastAsia="en-CA"/>
                <w14:ligatures w14:val="none"/>
              </w:rPr>
              <w:t>000</w:t>
            </w:r>
            <w:r w:rsidRPr="00A904FA">
              <w:rPr>
                <w:rFonts w:eastAsia="Times New Roman" w:cs="Calibri"/>
                <w:color w:val="000000"/>
                <w:kern w:val="0"/>
                <w:sz w:val="24"/>
                <w:szCs w:val="24"/>
                <w:lang w:eastAsia="en-CA"/>
                <w14:ligatures w14:val="none"/>
              </w:rPr>
              <w:t xml:space="preserve"> </w:t>
            </w:r>
          </w:p>
        </w:tc>
      </w:tr>
    </w:tbl>
    <w:p w14:paraId="27F00C41" w14:textId="77777777" w:rsidR="00A904FA" w:rsidRPr="00A904FA" w:rsidRDefault="00A904FA" w:rsidP="00265697">
      <w:pPr>
        <w:spacing w:line="276" w:lineRule="auto"/>
        <w:rPr>
          <w:rFonts w:cs="Calibri"/>
          <w:sz w:val="24"/>
          <w:szCs w:val="24"/>
        </w:rPr>
      </w:pPr>
    </w:p>
    <w:p w14:paraId="049328BF" w14:textId="366DC978" w:rsidR="00A904FA" w:rsidRPr="00BD71F8" w:rsidRDefault="00A904FA" w:rsidP="00265697">
      <w:pPr>
        <w:spacing w:line="276" w:lineRule="auto"/>
        <w:rPr>
          <w:rFonts w:cs="Calibri"/>
          <w:b/>
          <w:bCs/>
          <w:sz w:val="24"/>
          <w:szCs w:val="24"/>
        </w:rPr>
      </w:pPr>
      <w:r w:rsidRPr="00A904FA">
        <w:rPr>
          <w:rFonts w:cs="Calibri"/>
          <w:b/>
          <w:bCs/>
          <w:sz w:val="28"/>
          <w:szCs w:val="28"/>
        </w:rPr>
        <w:lastRenderedPageBreak/>
        <w:t xml:space="preserve">Maintenance </w:t>
      </w:r>
      <w:r w:rsidR="00E854FE" w:rsidRPr="007125C3">
        <w:rPr>
          <w:rFonts w:cs="Calibri"/>
          <w:b/>
          <w:bCs/>
          <w:sz w:val="28"/>
          <w:szCs w:val="28"/>
        </w:rPr>
        <w:t xml:space="preserve">and repairs </w:t>
      </w:r>
    </w:p>
    <w:p w14:paraId="7D4F2980" w14:textId="2F6C2653" w:rsidR="00E854FE" w:rsidRPr="00BD71F8" w:rsidRDefault="00E854FE" w:rsidP="00265697">
      <w:pPr>
        <w:spacing w:line="276" w:lineRule="auto"/>
        <w:rPr>
          <w:rFonts w:cs="Calibri"/>
          <w:sz w:val="24"/>
          <w:szCs w:val="24"/>
        </w:rPr>
      </w:pPr>
      <w:r w:rsidRPr="00BD71F8">
        <w:rPr>
          <w:rFonts w:cs="Calibri"/>
          <w:sz w:val="24"/>
          <w:szCs w:val="24"/>
        </w:rPr>
        <w:t>The maintenance and repair costs for a building cover routine services that ensure the building remains operational, safe and comfortable. These expenses can include regular upkeep tasks such as cleaning, janitorial services, landscaping and repairs to the building structure, electrical, plumbing and mechanical systems.</w:t>
      </w:r>
    </w:p>
    <w:p w14:paraId="2E1FF4E5" w14:textId="12D82988" w:rsidR="00652376" w:rsidRPr="00BD71F8" w:rsidRDefault="00652376" w:rsidP="00265697">
      <w:pPr>
        <w:spacing w:line="276" w:lineRule="auto"/>
        <w:rPr>
          <w:rFonts w:cs="Calibri"/>
          <w:b/>
          <w:bCs/>
          <w:sz w:val="24"/>
          <w:szCs w:val="24"/>
        </w:rPr>
      </w:pPr>
      <w:r w:rsidRPr="00BD71F8">
        <w:rPr>
          <w:rFonts w:cs="Calibri"/>
          <w:b/>
          <w:bCs/>
          <w:sz w:val="24"/>
          <w:szCs w:val="24"/>
        </w:rPr>
        <w:t>HVAC System Maintenance</w:t>
      </w:r>
    </w:p>
    <w:p w14:paraId="1B02C957" w14:textId="224CFBA7" w:rsidR="00652376" w:rsidRPr="00BD71F8" w:rsidRDefault="00652376" w:rsidP="00265697">
      <w:pPr>
        <w:spacing w:line="276" w:lineRule="auto"/>
        <w:rPr>
          <w:rFonts w:cs="Calibri"/>
          <w:sz w:val="24"/>
          <w:szCs w:val="24"/>
        </w:rPr>
      </w:pPr>
      <w:r w:rsidRPr="00BD71F8">
        <w:rPr>
          <w:rFonts w:cs="Calibri"/>
          <w:sz w:val="24"/>
          <w:szCs w:val="24"/>
        </w:rPr>
        <w:t>Regular inspections of heating, ventilation, and air conditioning systems including filter replacements and minor repairs.</w:t>
      </w:r>
    </w:p>
    <w:p w14:paraId="7FF29276" w14:textId="7487E8DD" w:rsidR="00652376" w:rsidRPr="00BD71F8" w:rsidRDefault="00652376" w:rsidP="00265697">
      <w:pPr>
        <w:spacing w:line="276" w:lineRule="auto"/>
        <w:rPr>
          <w:rFonts w:eastAsia="Times New Roman" w:cs="Calibri"/>
          <w:color w:val="000000"/>
          <w:kern w:val="0"/>
          <w:sz w:val="24"/>
          <w:szCs w:val="24"/>
          <w:lang w:eastAsia="en-CA"/>
          <w14:ligatures w14:val="none"/>
        </w:rPr>
      </w:pPr>
      <w:r w:rsidRPr="00BD71F8">
        <w:rPr>
          <w:rFonts w:cs="Calibri"/>
          <w:sz w:val="24"/>
          <w:szCs w:val="24"/>
        </w:rPr>
        <w:t>Estimated cost: $0.</w:t>
      </w:r>
      <w:r w:rsidR="00864E2A" w:rsidRPr="00BD71F8">
        <w:rPr>
          <w:rFonts w:cs="Calibri"/>
          <w:sz w:val="24"/>
          <w:szCs w:val="24"/>
        </w:rPr>
        <w:t>80</w:t>
      </w:r>
      <w:r w:rsidRPr="00BD71F8">
        <w:rPr>
          <w:rFonts w:cs="Calibri"/>
          <w:sz w:val="24"/>
          <w:szCs w:val="24"/>
        </w:rPr>
        <w:t xml:space="preserve"> per sq. ft. per year which will be $</w:t>
      </w:r>
      <w:r w:rsidR="004F4B7A" w:rsidRPr="00BD71F8">
        <w:rPr>
          <w:sz w:val="24"/>
          <w:szCs w:val="24"/>
        </w:rPr>
        <w:t xml:space="preserve"> </w:t>
      </w:r>
      <w:r w:rsidR="00864E2A" w:rsidRPr="00BD71F8">
        <w:rPr>
          <w:rFonts w:eastAsia="Times New Roman" w:cs="Calibri"/>
          <w:color w:val="000000"/>
          <w:kern w:val="0"/>
          <w:sz w:val="24"/>
          <w:szCs w:val="24"/>
          <w:lang w:eastAsia="en-CA"/>
          <w14:ligatures w14:val="none"/>
        </w:rPr>
        <w:t xml:space="preserve">$48,000.00 </w:t>
      </w:r>
      <w:r w:rsidRPr="00BD71F8">
        <w:rPr>
          <w:rFonts w:cs="Calibri"/>
          <w:sz w:val="24"/>
          <w:szCs w:val="24"/>
        </w:rPr>
        <w:t>per year</w:t>
      </w:r>
    </w:p>
    <w:p w14:paraId="7C2B9C2F" w14:textId="59609C27" w:rsidR="00652376" w:rsidRPr="00BD71F8" w:rsidRDefault="00652376" w:rsidP="00265697">
      <w:pPr>
        <w:spacing w:line="276" w:lineRule="auto"/>
        <w:rPr>
          <w:rFonts w:cs="Calibri"/>
          <w:b/>
          <w:bCs/>
          <w:sz w:val="24"/>
          <w:szCs w:val="24"/>
        </w:rPr>
      </w:pPr>
      <w:r w:rsidRPr="00BD71F8">
        <w:rPr>
          <w:rFonts w:cs="Calibri"/>
          <w:b/>
          <w:bCs/>
          <w:sz w:val="24"/>
          <w:szCs w:val="24"/>
        </w:rPr>
        <w:t>Plumbing</w:t>
      </w:r>
    </w:p>
    <w:p w14:paraId="3013A286" w14:textId="630718BD" w:rsidR="00652376" w:rsidRPr="00BD71F8" w:rsidRDefault="00652376" w:rsidP="00265697">
      <w:pPr>
        <w:spacing w:line="276" w:lineRule="auto"/>
        <w:rPr>
          <w:rFonts w:cs="Calibri"/>
          <w:sz w:val="24"/>
          <w:szCs w:val="24"/>
        </w:rPr>
      </w:pPr>
      <w:r w:rsidRPr="00BD71F8">
        <w:rPr>
          <w:rFonts w:cs="Calibri"/>
          <w:sz w:val="24"/>
          <w:szCs w:val="24"/>
        </w:rPr>
        <w:t>Includes maintenance of piping systems, faucets, drainage and restroom fixtures. Routine inspections are done to avoid leaks or blockages.</w:t>
      </w:r>
    </w:p>
    <w:p w14:paraId="726D0AA5" w14:textId="5941DA09" w:rsidR="00652376" w:rsidRPr="00BD71F8" w:rsidRDefault="00652376" w:rsidP="00265697">
      <w:pPr>
        <w:spacing w:line="276" w:lineRule="auto"/>
        <w:rPr>
          <w:rFonts w:eastAsia="Times New Roman" w:cs="Calibri"/>
          <w:color w:val="000000"/>
          <w:kern w:val="0"/>
          <w:sz w:val="24"/>
          <w:szCs w:val="24"/>
          <w:lang w:eastAsia="en-CA"/>
          <w14:ligatures w14:val="none"/>
        </w:rPr>
      </w:pPr>
      <w:r w:rsidRPr="00BD71F8">
        <w:rPr>
          <w:rFonts w:cs="Calibri"/>
          <w:sz w:val="24"/>
          <w:szCs w:val="24"/>
        </w:rPr>
        <w:t>Estimated cost: $0.</w:t>
      </w:r>
      <w:r w:rsidR="00864E2A" w:rsidRPr="00BD71F8">
        <w:rPr>
          <w:rFonts w:cs="Calibri"/>
          <w:sz w:val="24"/>
          <w:szCs w:val="24"/>
        </w:rPr>
        <w:t>24</w:t>
      </w:r>
      <w:r w:rsidRPr="00BD71F8">
        <w:rPr>
          <w:rFonts w:cs="Calibri"/>
          <w:sz w:val="24"/>
          <w:szCs w:val="24"/>
        </w:rPr>
        <w:t xml:space="preserve"> per sq. ft. per year which will be $</w:t>
      </w:r>
      <w:r w:rsidR="00864E2A" w:rsidRPr="00BD71F8">
        <w:rPr>
          <w:rFonts w:cs="Calibri"/>
          <w:color w:val="000000"/>
          <w:sz w:val="24"/>
          <w:szCs w:val="24"/>
        </w:rPr>
        <w:t xml:space="preserve"> </w:t>
      </w:r>
      <w:r w:rsidR="00864E2A" w:rsidRPr="00BD71F8">
        <w:rPr>
          <w:rFonts w:eastAsia="Times New Roman" w:cs="Calibri"/>
          <w:color w:val="000000"/>
          <w:kern w:val="0"/>
          <w:sz w:val="24"/>
          <w:szCs w:val="24"/>
          <w:lang w:eastAsia="en-CA"/>
          <w14:ligatures w14:val="none"/>
        </w:rPr>
        <w:t xml:space="preserve">$14,400.00 </w:t>
      </w:r>
      <w:r w:rsidR="00864E2A" w:rsidRPr="00BD71F8">
        <w:rPr>
          <w:rFonts w:cs="Calibri"/>
          <w:sz w:val="24"/>
          <w:szCs w:val="24"/>
        </w:rPr>
        <w:t>per</w:t>
      </w:r>
      <w:r w:rsidRPr="00BD71F8">
        <w:rPr>
          <w:rFonts w:cs="Calibri"/>
          <w:sz w:val="24"/>
          <w:szCs w:val="24"/>
        </w:rPr>
        <w:t xml:space="preserve"> year</w:t>
      </w:r>
    </w:p>
    <w:p w14:paraId="5E1FD7AC" w14:textId="0B8332F6" w:rsidR="00652376" w:rsidRPr="00BD71F8" w:rsidRDefault="00652376" w:rsidP="00265697">
      <w:pPr>
        <w:spacing w:line="276" w:lineRule="auto"/>
        <w:rPr>
          <w:rFonts w:cs="Calibri"/>
          <w:b/>
          <w:bCs/>
          <w:sz w:val="24"/>
          <w:szCs w:val="24"/>
        </w:rPr>
      </w:pPr>
      <w:r w:rsidRPr="00BD71F8">
        <w:rPr>
          <w:rFonts w:cs="Calibri"/>
          <w:b/>
          <w:bCs/>
          <w:sz w:val="24"/>
          <w:szCs w:val="24"/>
        </w:rPr>
        <w:t>Electrical System Maintenance</w:t>
      </w:r>
    </w:p>
    <w:p w14:paraId="06A1C30B" w14:textId="7E5F0C35" w:rsidR="00652376" w:rsidRPr="00BD71F8" w:rsidRDefault="00652376" w:rsidP="00265697">
      <w:pPr>
        <w:spacing w:line="276" w:lineRule="auto"/>
        <w:rPr>
          <w:rFonts w:cs="Calibri"/>
          <w:sz w:val="24"/>
          <w:szCs w:val="24"/>
        </w:rPr>
      </w:pPr>
      <w:r w:rsidRPr="00BD71F8">
        <w:rPr>
          <w:rFonts w:cs="Calibri"/>
          <w:sz w:val="24"/>
          <w:szCs w:val="24"/>
        </w:rPr>
        <w:t>Covers regular checks of the lighting system, wiring, outlets and electrical panels to ensure compliance with safety codes.</w:t>
      </w:r>
    </w:p>
    <w:p w14:paraId="325E82C8" w14:textId="5536ACE1" w:rsidR="00652376" w:rsidRPr="00BD71F8" w:rsidRDefault="00652376" w:rsidP="00265697">
      <w:pPr>
        <w:spacing w:line="276" w:lineRule="auto"/>
        <w:rPr>
          <w:rFonts w:eastAsia="Times New Roman" w:cs="Calibri"/>
          <w:color w:val="000000"/>
          <w:kern w:val="0"/>
          <w:sz w:val="24"/>
          <w:szCs w:val="24"/>
          <w:lang w:eastAsia="en-CA"/>
          <w14:ligatures w14:val="none"/>
        </w:rPr>
      </w:pPr>
      <w:r w:rsidRPr="00BD71F8">
        <w:rPr>
          <w:rFonts w:cs="Calibri"/>
          <w:sz w:val="24"/>
          <w:szCs w:val="24"/>
        </w:rPr>
        <w:t>Estimated cost: $0.</w:t>
      </w:r>
      <w:r w:rsidR="00864E2A" w:rsidRPr="00BD71F8">
        <w:rPr>
          <w:rFonts w:cs="Calibri"/>
          <w:sz w:val="24"/>
          <w:szCs w:val="24"/>
        </w:rPr>
        <w:t>32</w:t>
      </w:r>
      <w:r w:rsidRPr="00BD71F8">
        <w:rPr>
          <w:rFonts w:cs="Calibri"/>
          <w:sz w:val="24"/>
          <w:szCs w:val="24"/>
        </w:rPr>
        <w:t xml:space="preserve"> per sq. ft. per year which will be </w:t>
      </w:r>
      <w:r w:rsidR="00864E2A" w:rsidRPr="00BD71F8">
        <w:rPr>
          <w:rFonts w:eastAsia="Times New Roman" w:cs="Calibri"/>
          <w:color w:val="000000"/>
          <w:kern w:val="0"/>
          <w:sz w:val="24"/>
          <w:szCs w:val="24"/>
          <w:lang w:eastAsia="en-CA"/>
          <w14:ligatures w14:val="none"/>
        </w:rPr>
        <w:t xml:space="preserve">$19,200.00 </w:t>
      </w:r>
      <w:r w:rsidRPr="00BD71F8">
        <w:rPr>
          <w:rFonts w:cs="Calibri"/>
          <w:sz w:val="24"/>
          <w:szCs w:val="24"/>
        </w:rPr>
        <w:t>per year</w:t>
      </w:r>
    </w:p>
    <w:p w14:paraId="23534978" w14:textId="23473C02" w:rsidR="00652376" w:rsidRPr="00BD71F8" w:rsidRDefault="00652376" w:rsidP="00265697">
      <w:pPr>
        <w:spacing w:line="276" w:lineRule="auto"/>
        <w:rPr>
          <w:rFonts w:cs="Calibri"/>
          <w:b/>
          <w:bCs/>
          <w:sz w:val="24"/>
          <w:szCs w:val="24"/>
        </w:rPr>
      </w:pPr>
      <w:r w:rsidRPr="00BD71F8">
        <w:rPr>
          <w:rFonts w:cs="Calibri"/>
          <w:b/>
          <w:bCs/>
          <w:sz w:val="24"/>
          <w:szCs w:val="24"/>
        </w:rPr>
        <w:t>Building Exterior and Interior</w:t>
      </w:r>
    </w:p>
    <w:p w14:paraId="4D36405B" w14:textId="1F644597" w:rsidR="00652376" w:rsidRPr="00BD71F8" w:rsidRDefault="00652376" w:rsidP="00265697">
      <w:pPr>
        <w:spacing w:line="276" w:lineRule="auto"/>
        <w:rPr>
          <w:rFonts w:cs="Calibri"/>
          <w:sz w:val="24"/>
          <w:szCs w:val="24"/>
        </w:rPr>
      </w:pPr>
      <w:r w:rsidRPr="00BD71F8">
        <w:rPr>
          <w:rFonts w:cs="Calibri"/>
          <w:sz w:val="24"/>
          <w:szCs w:val="24"/>
        </w:rPr>
        <w:t>Exterior: Maintenance of roof, windows, doors and façade to prevent leaks and ensure weather resistance.</w:t>
      </w:r>
    </w:p>
    <w:p w14:paraId="354FD301" w14:textId="77777777" w:rsidR="00652376" w:rsidRPr="00BD71F8" w:rsidRDefault="00652376" w:rsidP="00265697">
      <w:pPr>
        <w:spacing w:line="276" w:lineRule="auto"/>
        <w:rPr>
          <w:rFonts w:cs="Calibri"/>
          <w:sz w:val="24"/>
          <w:szCs w:val="24"/>
        </w:rPr>
      </w:pPr>
      <w:r w:rsidRPr="00BD71F8">
        <w:rPr>
          <w:rFonts w:cs="Calibri"/>
          <w:sz w:val="24"/>
          <w:szCs w:val="24"/>
        </w:rPr>
        <w:t>Interior: Includes repairs to walls, flooring, windows, and ceilings.</w:t>
      </w:r>
    </w:p>
    <w:p w14:paraId="10A3B135" w14:textId="750340E8" w:rsidR="00652376" w:rsidRPr="00BD71F8" w:rsidRDefault="00652376" w:rsidP="00265697">
      <w:pPr>
        <w:spacing w:line="276" w:lineRule="auto"/>
        <w:rPr>
          <w:rFonts w:eastAsia="Times New Roman" w:cs="Calibri"/>
          <w:color w:val="000000"/>
          <w:kern w:val="0"/>
          <w:sz w:val="24"/>
          <w:szCs w:val="24"/>
          <w:lang w:eastAsia="en-CA"/>
          <w14:ligatures w14:val="none"/>
        </w:rPr>
      </w:pPr>
      <w:r w:rsidRPr="00BD71F8">
        <w:rPr>
          <w:rFonts w:cs="Calibri"/>
          <w:sz w:val="24"/>
          <w:szCs w:val="24"/>
        </w:rPr>
        <w:t>Estimated cost: $0.</w:t>
      </w:r>
      <w:r w:rsidR="00864E2A" w:rsidRPr="00BD71F8">
        <w:rPr>
          <w:rFonts w:cs="Calibri"/>
          <w:sz w:val="24"/>
          <w:szCs w:val="24"/>
        </w:rPr>
        <w:t xml:space="preserve">45 </w:t>
      </w:r>
      <w:r w:rsidRPr="00BD71F8">
        <w:rPr>
          <w:rFonts w:cs="Calibri"/>
          <w:sz w:val="24"/>
          <w:szCs w:val="24"/>
        </w:rPr>
        <w:t>per sq. ft. per year</w:t>
      </w:r>
      <w:r w:rsidR="004F4B7A" w:rsidRPr="00BD71F8">
        <w:rPr>
          <w:rFonts w:cs="Calibri"/>
          <w:sz w:val="24"/>
          <w:szCs w:val="24"/>
        </w:rPr>
        <w:t xml:space="preserve"> which will be </w:t>
      </w:r>
      <w:r w:rsidRPr="00BD71F8">
        <w:rPr>
          <w:rFonts w:cs="Calibri"/>
          <w:sz w:val="24"/>
          <w:szCs w:val="24"/>
        </w:rPr>
        <w:t>$</w:t>
      </w:r>
      <w:r w:rsidR="00864E2A" w:rsidRPr="00BD71F8">
        <w:rPr>
          <w:rFonts w:cs="Calibri"/>
          <w:color w:val="000000"/>
          <w:sz w:val="24"/>
          <w:szCs w:val="24"/>
        </w:rPr>
        <w:t xml:space="preserve"> </w:t>
      </w:r>
      <w:r w:rsidR="00864E2A" w:rsidRPr="00BD71F8">
        <w:rPr>
          <w:rFonts w:eastAsia="Times New Roman" w:cs="Calibri"/>
          <w:color w:val="000000"/>
          <w:kern w:val="0"/>
          <w:sz w:val="24"/>
          <w:szCs w:val="24"/>
          <w:lang w:eastAsia="en-CA"/>
          <w14:ligatures w14:val="none"/>
        </w:rPr>
        <w:t xml:space="preserve">$27,000.00 </w:t>
      </w:r>
      <w:r w:rsidRPr="00BD71F8">
        <w:rPr>
          <w:rFonts w:cs="Calibri"/>
          <w:sz w:val="24"/>
          <w:szCs w:val="24"/>
        </w:rPr>
        <w:t>per year</w:t>
      </w:r>
    </w:p>
    <w:p w14:paraId="7E863E52" w14:textId="65659E3A" w:rsidR="00652376" w:rsidRPr="00BD71F8" w:rsidRDefault="00652376" w:rsidP="00265697">
      <w:pPr>
        <w:spacing w:line="276" w:lineRule="auto"/>
        <w:rPr>
          <w:rFonts w:cs="Calibri"/>
          <w:b/>
          <w:bCs/>
          <w:sz w:val="24"/>
          <w:szCs w:val="24"/>
        </w:rPr>
      </w:pPr>
      <w:r w:rsidRPr="00BD71F8">
        <w:rPr>
          <w:rFonts w:cs="Calibri"/>
          <w:b/>
          <w:bCs/>
          <w:sz w:val="24"/>
          <w:szCs w:val="24"/>
        </w:rPr>
        <w:t>General Janitorial Services</w:t>
      </w:r>
    </w:p>
    <w:p w14:paraId="7F11D77B" w14:textId="77777777" w:rsidR="00652376" w:rsidRPr="00BD71F8" w:rsidRDefault="00652376" w:rsidP="00265697">
      <w:pPr>
        <w:spacing w:line="276" w:lineRule="auto"/>
        <w:rPr>
          <w:rFonts w:cs="Calibri"/>
          <w:sz w:val="24"/>
          <w:szCs w:val="24"/>
        </w:rPr>
      </w:pPr>
      <w:r w:rsidRPr="00BD71F8">
        <w:rPr>
          <w:rFonts w:cs="Calibri"/>
          <w:sz w:val="24"/>
          <w:szCs w:val="24"/>
        </w:rPr>
        <w:t>Includes cleaning of the office space, restrooms, and common areas (e.g., lobbies, hallways).</w:t>
      </w:r>
    </w:p>
    <w:p w14:paraId="79659E50" w14:textId="48891DD3" w:rsidR="00652376" w:rsidRPr="00BD71F8" w:rsidRDefault="00652376" w:rsidP="00265697">
      <w:pPr>
        <w:spacing w:line="276" w:lineRule="auto"/>
        <w:rPr>
          <w:rFonts w:eastAsia="Times New Roman" w:cs="Calibri"/>
          <w:color w:val="000000"/>
          <w:kern w:val="0"/>
          <w:sz w:val="24"/>
          <w:szCs w:val="24"/>
          <w:lang w:eastAsia="en-CA"/>
          <w14:ligatures w14:val="none"/>
        </w:rPr>
      </w:pPr>
      <w:r w:rsidRPr="00BD71F8">
        <w:rPr>
          <w:rFonts w:cs="Calibri"/>
          <w:sz w:val="24"/>
          <w:szCs w:val="24"/>
        </w:rPr>
        <w:t>Estimated cost: $0.</w:t>
      </w:r>
      <w:r w:rsidR="00864E2A" w:rsidRPr="00BD71F8">
        <w:rPr>
          <w:rFonts w:cs="Calibri"/>
          <w:sz w:val="24"/>
          <w:szCs w:val="24"/>
        </w:rPr>
        <w:t xml:space="preserve">80 </w:t>
      </w:r>
      <w:r w:rsidRPr="00BD71F8">
        <w:rPr>
          <w:rFonts w:cs="Calibri"/>
          <w:sz w:val="24"/>
          <w:szCs w:val="24"/>
        </w:rPr>
        <w:t>per sq. ft. per year</w:t>
      </w:r>
      <w:r w:rsidR="004F4B7A" w:rsidRPr="00BD71F8">
        <w:rPr>
          <w:rFonts w:cs="Calibri"/>
          <w:sz w:val="24"/>
          <w:szCs w:val="24"/>
        </w:rPr>
        <w:t xml:space="preserve"> which will be </w:t>
      </w:r>
      <w:r w:rsidRPr="00BD71F8">
        <w:rPr>
          <w:rFonts w:cs="Calibri"/>
          <w:sz w:val="24"/>
          <w:szCs w:val="24"/>
        </w:rPr>
        <w:t>$</w:t>
      </w:r>
      <w:r w:rsidR="00864E2A" w:rsidRPr="00BD71F8">
        <w:rPr>
          <w:rFonts w:cs="Calibri"/>
          <w:color w:val="000000"/>
          <w:sz w:val="24"/>
          <w:szCs w:val="24"/>
        </w:rPr>
        <w:t xml:space="preserve"> </w:t>
      </w:r>
      <w:r w:rsidR="00864E2A" w:rsidRPr="00BD71F8">
        <w:rPr>
          <w:rFonts w:eastAsia="Times New Roman" w:cs="Calibri"/>
          <w:color w:val="000000"/>
          <w:kern w:val="0"/>
          <w:sz w:val="24"/>
          <w:szCs w:val="24"/>
          <w:lang w:eastAsia="en-CA"/>
          <w14:ligatures w14:val="none"/>
        </w:rPr>
        <w:t xml:space="preserve">$48,000.00 </w:t>
      </w:r>
      <w:r w:rsidRPr="00BD71F8">
        <w:rPr>
          <w:rFonts w:cs="Calibri"/>
          <w:sz w:val="24"/>
          <w:szCs w:val="24"/>
        </w:rPr>
        <w:t>per year</w:t>
      </w:r>
    </w:p>
    <w:p w14:paraId="5FB52A35" w14:textId="3878CB63" w:rsidR="00652376" w:rsidRPr="00BD71F8" w:rsidRDefault="00652376" w:rsidP="00265697">
      <w:pPr>
        <w:spacing w:line="276" w:lineRule="auto"/>
        <w:rPr>
          <w:rFonts w:cs="Calibri"/>
          <w:b/>
          <w:bCs/>
          <w:sz w:val="24"/>
          <w:szCs w:val="24"/>
        </w:rPr>
      </w:pPr>
      <w:r w:rsidRPr="00BD71F8">
        <w:rPr>
          <w:rFonts w:cs="Calibri"/>
          <w:b/>
          <w:bCs/>
          <w:sz w:val="24"/>
          <w:szCs w:val="24"/>
        </w:rPr>
        <w:t>Landscaping and Grounds Maintenance</w:t>
      </w:r>
    </w:p>
    <w:p w14:paraId="4421151C" w14:textId="25551561" w:rsidR="00652376" w:rsidRPr="00BD71F8" w:rsidRDefault="00652376" w:rsidP="00265697">
      <w:pPr>
        <w:spacing w:line="276" w:lineRule="auto"/>
        <w:rPr>
          <w:rFonts w:cs="Calibri"/>
          <w:sz w:val="24"/>
          <w:szCs w:val="24"/>
        </w:rPr>
      </w:pPr>
      <w:r w:rsidRPr="00BD71F8">
        <w:rPr>
          <w:rFonts w:cs="Calibri"/>
          <w:sz w:val="24"/>
          <w:szCs w:val="24"/>
        </w:rPr>
        <w:t>Covers the maintenance of outdoor spaces, including lawn care, tree trimming</w:t>
      </w:r>
      <w:r w:rsidR="00D9346C">
        <w:rPr>
          <w:rFonts w:cs="Calibri"/>
          <w:sz w:val="24"/>
          <w:szCs w:val="24"/>
        </w:rPr>
        <w:t xml:space="preserve"> </w:t>
      </w:r>
      <w:r w:rsidRPr="00BD71F8">
        <w:rPr>
          <w:rFonts w:cs="Calibri"/>
          <w:sz w:val="24"/>
          <w:szCs w:val="24"/>
        </w:rPr>
        <w:t>and snow removal during winter months.</w:t>
      </w:r>
    </w:p>
    <w:p w14:paraId="0EC8CF06" w14:textId="50FFDE43" w:rsidR="00652376" w:rsidRPr="00BD71F8" w:rsidRDefault="00652376" w:rsidP="00265697">
      <w:pPr>
        <w:spacing w:line="276" w:lineRule="auto"/>
        <w:rPr>
          <w:rFonts w:cs="Calibri"/>
          <w:sz w:val="24"/>
          <w:szCs w:val="24"/>
        </w:rPr>
      </w:pPr>
      <w:r w:rsidRPr="00BD71F8">
        <w:rPr>
          <w:rFonts w:cs="Calibri"/>
          <w:sz w:val="24"/>
          <w:szCs w:val="24"/>
        </w:rPr>
        <w:lastRenderedPageBreak/>
        <w:t>Estimated cost: $0.1</w:t>
      </w:r>
      <w:r w:rsidR="00DF44FD" w:rsidRPr="00BD71F8">
        <w:rPr>
          <w:rFonts w:cs="Calibri"/>
          <w:sz w:val="24"/>
          <w:szCs w:val="24"/>
        </w:rPr>
        <w:t>6</w:t>
      </w:r>
      <w:r w:rsidRPr="00BD71F8">
        <w:rPr>
          <w:rFonts w:cs="Calibri"/>
          <w:sz w:val="24"/>
          <w:szCs w:val="24"/>
        </w:rPr>
        <w:t xml:space="preserve"> per sq. ft. per year</w:t>
      </w:r>
      <w:r w:rsidR="004F4B7A" w:rsidRPr="00BD71F8">
        <w:rPr>
          <w:rFonts w:cs="Calibri"/>
          <w:sz w:val="24"/>
          <w:szCs w:val="24"/>
        </w:rPr>
        <w:t xml:space="preserve"> which will be </w:t>
      </w:r>
      <w:r w:rsidRPr="00BD71F8">
        <w:rPr>
          <w:rFonts w:cs="Calibri"/>
          <w:sz w:val="24"/>
          <w:szCs w:val="24"/>
        </w:rPr>
        <w:t>$</w:t>
      </w:r>
      <w:r w:rsidR="00DF44FD" w:rsidRPr="00BD71F8">
        <w:rPr>
          <w:rFonts w:cs="Calibri"/>
          <w:sz w:val="24"/>
          <w:szCs w:val="24"/>
        </w:rPr>
        <w:t>9</w:t>
      </w:r>
      <w:r w:rsidRPr="00BD71F8">
        <w:rPr>
          <w:rFonts w:cs="Calibri"/>
          <w:sz w:val="24"/>
          <w:szCs w:val="24"/>
        </w:rPr>
        <w:t>6,000 per year</w:t>
      </w:r>
    </w:p>
    <w:p w14:paraId="3BB54564" w14:textId="77777777" w:rsidR="00697B9F" w:rsidRDefault="00697B9F" w:rsidP="00265697">
      <w:pPr>
        <w:spacing w:line="276" w:lineRule="auto"/>
        <w:rPr>
          <w:rFonts w:cs="Calibri"/>
          <w:sz w:val="24"/>
          <w:szCs w:val="24"/>
        </w:rPr>
      </w:pPr>
    </w:p>
    <w:p w14:paraId="44AE6003" w14:textId="77777777" w:rsidR="00697B9F" w:rsidRPr="00BD71F8" w:rsidRDefault="00697B9F" w:rsidP="00265697">
      <w:pPr>
        <w:spacing w:line="276" w:lineRule="auto"/>
        <w:rPr>
          <w:rFonts w:cs="Calibri"/>
          <w:sz w:val="24"/>
          <w:szCs w:val="24"/>
        </w:rPr>
      </w:pPr>
    </w:p>
    <w:p w14:paraId="3FCEABC6" w14:textId="0D1F5FE6" w:rsidR="00652376" w:rsidRPr="00BD71F8" w:rsidRDefault="00652376" w:rsidP="00265697">
      <w:pPr>
        <w:spacing w:line="276" w:lineRule="auto"/>
        <w:rPr>
          <w:rFonts w:cs="Calibri"/>
          <w:b/>
          <w:bCs/>
          <w:sz w:val="24"/>
          <w:szCs w:val="24"/>
        </w:rPr>
      </w:pPr>
      <w:r w:rsidRPr="00BD71F8">
        <w:rPr>
          <w:rFonts w:cs="Calibri"/>
          <w:b/>
          <w:bCs/>
          <w:sz w:val="24"/>
          <w:szCs w:val="24"/>
        </w:rPr>
        <w:t>Other Miscellaneous Maintenance</w:t>
      </w:r>
    </w:p>
    <w:p w14:paraId="76A0AB36" w14:textId="4AA05E44" w:rsidR="00652376" w:rsidRPr="00BD71F8" w:rsidRDefault="00652376" w:rsidP="00265697">
      <w:pPr>
        <w:spacing w:line="276" w:lineRule="auto"/>
        <w:rPr>
          <w:rFonts w:cs="Calibri"/>
          <w:sz w:val="24"/>
          <w:szCs w:val="24"/>
        </w:rPr>
      </w:pPr>
      <w:r w:rsidRPr="00BD71F8">
        <w:rPr>
          <w:rFonts w:cs="Calibri"/>
          <w:sz w:val="24"/>
          <w:szCs w:val="24"/>
        </w:rPr>
        <w:t>This category includes costs for pest control, fire alarm system checks, elevator maintenance</w:t>
      </w:r>
      <w:r w:rsidR="00D9346C">
        <w:rPr>
          <w:rFonts w:cs="Calibri"/>
          <w:sz w:val="24"/>
          <w:szCs w:val="24"/>
        </w:rPr>
        <w:t xml:space="preserve"> </w:t>
      </w:r>
      <w:r w:rsidRPr="00BD71F8">
        <w:rPr>
          <w:rFonts w:cs="Calibri"/>
          <w:sz w:val="24"/>
          <w:szCs w:val="24"/>
        </w:rPr>
        <w:t>and other occasional repairs.</w:t>
      </w:r>
    </w:p>
    <w:p w14:paraId="673DEF25" w14:textId="34B16F2A" w:rsidR="00652376" w:rsidRPr="00BD71F8" w:rsidRDefault="00652376" w:rsidP="00265697">
      <w:pPr>
        <w:spacing w:line="276" w:lineRule="auto"/>
        <w:rPr>
          <w:rFonts w:cs="Calibri"/>
          <w:sz w:val="24"/>
          <w:szCs w:val="24"/>
        </w:rPr>
      </w:pPr>
      <w:r w:rsidRPr="00BD71F8">
        <w:rPr>
          <w:rFonts w:cs="Calibri"/>
          <w:sz w:val="24"/>
          <w:szCs w:val="24"/>
        </w:rPr>
        <w:t>Estimated cost: $0.1</w:t>
      </w:r>
      <w:r w:rsidR="00DF44FD" w:rsidRPr="00BD71F8">
        <w:rPr>
          <w:rFonts w:cs="Calibri"/>
          <w:sz w:val="24"/>
          <w:szCs w:val="24"/>
        </w:rPr>
        <w:t xml:space="preserve">6 </w:t>
      </w:r>
      <w:r w:rsidRPr="00BD71F8">
        <w:rPr>
          <w:rFonts w:cs="Calibri"/>
          <w:sz w:val="24"/>
          <w:szCs w:val="24"/>
        </w:rPr>
        <w:t>per sq. ft. per year</w:t>
      </w:r>
      <w:r w:rsidR="004F4B7A" w:rsidRPr="00BD71F8">
        <w:rPr>
          <w:rFonts w:cs="Calibri"/>
          <w:sz w:val="24"/>
          <w:szCs w:val="24"/>
        </w:rPr>
        <w:t xml:space="preserve"> which will be </w:t>
      </w:r>
      <w:r w:rsidRPr="00BD71F8">
        <w:rPr>
          <w:rFonts w:cs="Calibri"/>
          <w:sz w:val="24"/>
          <w:szCs w:val="24"/>
        </w:rPr>
        <w:t>$</w:t>
      </w:r>
      <w:r w:rsidR="00DF44FD" w:rsidRPr="00BD71F8">
        <w:rPr>
          <w:rFonts w:cs="Calibri"/>
          <w:sz w:val="24"/>
          <w:szCs w:val="24"/>
        </w:rPr>
        <w:t>9</w:t>
      </w:r>
      <w:r w:rsidRPr="00BD71F8">
        <w:rPr>
          <w:rFonts w:cs="Calibri"/>
          <w:sz w:val="24"/>
          <w:szCs w:val="24"/>
        </w:rPr>
        <w:t>6,000 per year</w:t>
      </w:r>
    </w:p>
    <w:p w14:paraId="340394F7" w14:textId="0D578E2F" w:rsidR="004F4B7A" w:rsidRPr="004F4B7A" w:rsidRDefault="00652376" w:rsidP="00265697">
      <w:pPr>
        <w:spacing w:line="276" w:lineRule="auto"/>
        <w:rPr>
          <w:rFonts w:cs="Calibri"/>
          <w:sz w:val="24"/>
          <w:szCs w:val="24"/>
        </w:rPr>
      </w:pPr>
      <w:r w:rsidRPr="00BD71F8">
        <w:rPr>
          <w:rFonts w:cs="Calibri"/>
          <w:sz w:val="24"/>
          <w:szCs w:val="24"/>
        </w:rPr>
        <w:t>Total Estimated Annual Maintenance Costs:</w:t>
      </w:r>
    </w:p>
    <w:tbl>
      <w:tblPr>
        <w:tblStyle w:val="PlainTable1"/>
        <w:tblW w:w="912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959"/>
        <w:gridCol w:w="5168"/>
      </w:tblGrid>
      <w:tr w:rsidR="002E3185" w:rsidRPr="002E3185" w14:paraId="63B35913" w14:textId="77777777" w:rsidTr="00397FFD">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959" w:type="dxa"/>
            <w:hideMark/>
          </w:tcPr>
          <w:p w14:paraId="2E80FABF" w14:textId="77777777" w:rsidR="002E3185" w:rsidRPr="002E3185" w:rsidRDefault="002E3185" w:rsidP="00397FFD">
            <w:pPr>
              <w:spacing w:line="276" w:lineRule="auto"/>
              <w:jc w:val="left"/>
              <w:rPr>
                <w:rFonts w:eastAsia="Times New Roman" w:cs="Calibri"/>
                <w:color w:val="000000"/>
                <w:kern w:val="0"/>
                <w:sz w:val="24"/>
                <w:szCs w:val="24"/>
                <w:lang w:eastAsia="en-CA"/>
                <w14:ligatures w14:val="none"/>
              </w:rPr>
            </w:pPr>
            <w:r w:rsidRPr="002E3185">
              <w:rPr>
                <w:rFonts w:eastAsia="Times New Roman" w:cs="Calibri"/>
                <w:color w:val="000000"/>
                <w:kern w:val="0"/>
                <w:sz w:val="24"/>
                <w:szCs w:val="24"/>
                <w:lang w:eastAsia="en-CA"/>
                <w14:ligatures w14:val="none"/>
              </w:rPr>
              <w:t>Maintenance Area</w:t>
            </w:r>
          </w:p>
        </w:tc>
        <w:tc>
          <w:tcPr>
            <w:tcW w:w="5168" w:type="dxa"/>
            <w:hideMark/>
          </w:tcPr>
          <w:p w14:paraId="2520503F" w14:textId="77777777" w:rsidR="002E3185" w:rsidRPr="002E3185" w:rsidRDefault="002E3185" w:rsidP="00397FFD">
            <w:pPr>
              <w:spacing w:line="276" w:lineRule="auto"/>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kern w:val="0"/>
                <w:sz w:val="24"/>
                <w:szCs w:val="24"/>
                <w:lang w:eastAsia="en-CA"/>
                <w14:ligatures w14:val="none"/>
              </w:rPr>
            </w:pPr>
            <w:r w:rsidRPr="002E3185">
              <w:rPr>
                <w:rFonts w:eastAsia="Times New Roman" w:cs="Calibri"/>
                <w:color w:val="000000"/>
                <w:kern w:val="0"/>
                <w:sz w:val="24"/>
                <w:szCs w:val="24"/>
                <w:lang w:eastAsia="en-CA"/>
                <w14:ligatures w14:val="none"/>
              </w:rPr>
              <w:t>Adjusted Estimate (per year)</w:t>
            </w:r>
          </w:p>
        </w:tc>
      </w:tr>
      <w:tr w:rsidR="002E3185" w:rsidRPr="002E3185" w14:paraId="1E4E6CD9" w14:textId="77777777" w:rsidTr="00397FFD">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959" w:type="dxa"/>
            <w:hideMark/>
          </w:tcPr>
          <w:p w14:paraId="726D2616" w14:textId="77777777" w:rsidR="002E3185" w:rsidRPr="002E3185" w:rsidRDefault="002E3185" w:rsidP="00265697">
            <w:pPr>
              <w:spacing w:line="276" w:lineRule="auto"/>
              <w:jc w:val="left"/>
              <w:rPr>
                <w:rFonts w:eastAsia="Times New Roman" w:cs="Calibri"/>
                <w:b w:val="0"/>
                <w:bCs w:val="0"/>
                <w:color w:val="000000"/>
                <w:kern w:val="0"/>
                <w:sz w:val="24"/>
                <w:szCs w:val="24"/>
                <w:lang w:eastAsia="en-CA"/>
                <w14:ligatures w14:val="none"/>
              </w:rPr>
            </w:pPr>
            <w:r w:rsidRPr="002E3185">
              <w:rPr>
                <w:rFonts w:eastAsia="Times New Roman" w:cs="Calibri"/>
                <w:b w:val="0"/>
                <w:bCs w:val="0"/>
                <w:color w:val="000000"/>
                <w:kern w:val="0"/>
                <w:sz w:val="24"/>
                <w:szCs w:val="24"/>
                <w:lang w:eastAsia="en-CA"/>
                <w14:ligatures w14:val="none"/>
              </w:rPr>
              <w:t>HVAC System Maintenance</w:t>
            </w:r>
          </w:p>
        </w:tc>
        <w:tc>
          <w:tcPr>
            <w:tcW w:w="5168" w:type="dxa"/>
            <w:hideMark/>
          </w:tcPr>
          <w:p w14:paraId="605B0151" w14:textId="261EFDE2" w:rsidR="002E3185" w:rsidRPr="002E3185" w:rsidRDefault="002E3185" w:rsidP="00265697">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4"/>
                <w:szCs w:val="24"/>
                <w:lang w:eastAsia="en-CA"/>
                <w14:ligatures w14:val="none"/>
              </w:rPr>
            </w:pPr>
            <w:r w:rsidRPr="002E3185">
              <w:rPr>
                <w:rFonts w:eastAsia="Times New Roman" w:cs="Calibri"/>
                <w:color w:val="000000"/>
                <w:kern w:val="0"/>
                <w:sz w:val="24"/>
                <w:szCs w:val="24"/>
                <w:lang w:eastAsia="en-CA"/>
                <w14:ligatures w14:val="none"/>
              </w:rPr>
              <w:t xml:space="preserve">$48,000 </w:t>
            </w:r>
          </w:p>
        </w:tc>
      </w:tr>
      <w:tr w:rsidR="002E3185" w:rsidRPr="002E3185" w14:paraId="6C33D136" w14:textId="77777777" w:rsidTr="00397FFD">
        <w:trPr>
          <w:trHeight w:val="348"/>
        </w:trPr>
        <w:tc>
          <w:tcPr>
            <w:cnfStyle w:val="001000000000" w:firstRow="0" w:lastRow="0" w:firstColumn="1" w:lastColumn="0" w:oddVBand="0" w:evenVBand="0" w:oddHBand="0" w:evenHBand="0" w:firstRowFirstColumn="0" w:firstRowLastColumn="0" w:lastRowFirstColumn="0" w:lastRowLastColumn="0"/>
            <w:tcW w:w="3959" w:type="dxa"/>
            <w:hideMark/>
          </w:tcPr>
          <w:p w14:paraId="41B2944D" w14:textId="77777777" w:rsidR="002E3185" w:rsidRPr="002E3185" w:rsidRDefault="002E3185" w:rsidP="00265697">
            <w:pPr>
              <w:spacing w:line="276" w:lineRule="auto"/>
              <w:jc w:val="left"/>
              <w:rPr>
                <w:rFonts w:eastAsia="Times New Roman" w:cs="Calibri"/>
                <w:b w:val="0"/>
                <w:bCs w:val="0"/>
                <w:color w:val="000000"/>
                <w:kern w:val="0"/>
                <w:sz w:val="24"/>
                <w:szCs w:val="24"/>
                <w:lang w:eastAsia="en-CA"/>
                <w14:ligatures w14:val="none"/>
              </w:rPr>
            </w:pPr>
            <w:r w:rsidRPr="002E3185">
              <w:rPr>
                <w:rFonts w:eastAsia="Times New Roman" w:cs="Calibri"/>
                <w:b w:val="0"/>
                <w:bCs w:val="0"/>
                <w:color w:val="000000"/>
                <w:kern w:val="0"/>
                <w:sz w:val="24"/>
                <w:szCs w:val="24"/>
                <w:lang w:eastAsia="en-CA"/>
                <w14:ligatures w14:val="none"/>
              </w:rPr>
              <w:t>Plumbing</w:t>
            </w:r>
          </w:p>
        </w:tc>
        <w:tc>
          <w:tcPr>
            <w:tcW w:w="5168" w:type="dxa"/>
            <w:hideMark/>
          </w:tcPr>
          <w:p w14:paraId="7AF03525" w14:textId="4DE44660" w:rsidR="002E3185" w:rsidRPr="002E3185" w:rsidRDefault="002E3185" w:rsidP="00265697">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4"/>
                <w:szCs w:val="24"/>
                <w:lang w:eastAsia="en-CA"/>
                <w14:ligatures w14:val="none"/>
              </w:rPr>
            </w:pPr>
            <w:r w:rsidRPr="002E3185">
              <w:rPr>
                <w:rFonts w:eastAsia="Times New Roman" w:cs="Calibri"/>
                <w:color w:val="000000"/>
                <w:kern w:val="0"/>
                <w:sz w:val="24"/>
                <w:szCs w:val="24"/>
                <w:lang w:eastAsia="en-CA"/>
                <w14:ligatures w14:val="none"/>
              </w:rPr>
              <w:t>$14,400</w:t>
            </w:r>
          </w:p>
        </w:tc>
      </w:tr>
      <w:tr w:rsidR="002E3185" w:rsidRPr="002E3185" w14:paraId="1C421F11" w14:textId="77777777" w:rsidTr="00397FFD">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959" w:type="dxa"/>
            <w:hideMark/>
          </w:tcPr>
          <w:p w14:paraId="1AEDFFBA" w14:textId="77777777" w:rsidR="002E3185" w:rsidRPr="002E3185" w:rsidRDefault="002E3185" w:rsidP="00265697">
            <w:pPr>
              <w:spacing w:line="276" w:lineRule="auto"/>
              <w:jc w:val="left"/>
              <w:rPr>
                <w:rFonts w:eastAsia="Times New Roman" w:cs="Calibri"/>
                <w:b w:val="0"/>
                <w:bCs w:val="0"/>
                <w:color w:val="000000"/>
                <w:kern w:val="0"/>
                <w:sz w:val="24"/>
                <w:szCs w:val="24"/>
                <w:lang w:eastAsia="en-CA"/>
                <w14:ligatures w14:val="none"/>
              </w:rPr>
            </w:pPr>
            <w:r w:rsidRPr="002E3185">
              <w:rPr>
                <w:rFonts w:eastAsia="Times New Roman" w:cs="Calibri"/>
                <w:b w:val="0"/>
                <w:bCs w:val="0"/>
                <w:color w:val="000000"/>
                <w:kern w:val="0"/>
                <w:sz w:val="24"/>
                <w:szCs w:val="24"/>
                <w:lang w:eastAsia="en-CA"/>
                <w14:ligatures w14:val="none"/>
              </w:rPr>
              <w:t>Electrical System Maintenance</w:t>
            </w:r>
          </w:p>
        </w:tc>
        <w:tc>
          <w:tcPr>
            <w:tcW w:w="5168" w:type="dxa"/>
            <w:hideMark/>
          </w:tcPr>
          <w:p w14:paraId="377846D5" w14:textId="461F96E8" w:rsidR="002E3185" w:rsidRPr="002E3185" w:rsidRDefault="002E3185" w:rsidP="00265697">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4"/>
                <w:szCs w:val="24"/>
                <w:lang w:eastAsia="en-CA"/>
                <w14:ligatures w14:val="none"/>
              </w:rPr>
            </w:pPr>
            <w:r w:rsidRPr="002E3185">
              <w:rPr>
                <w:rFonts w:eastAsia="Times New Roman" w:cs="Calibri"/>
                <w:color w:val="000000"/>
                <w:kern w:val="0"/>
                <w:sz w:val="24"/>
                <w:szCs w:val="24"/>
                <w:lang w:eastAsia="en-CA"/>
                <w14:ligatures w14:val="none"/>
              </w:rPr>
              <w:t>$19,200</w:t>
            </w:r>
          </w:p>
        </w:tc>
      </w:tr>
      <w:tr w:rsidR="002E3185" w:rsidRPr="002E3185" w14:paraId="7B73B525" w14:textId="77777777" w:rsidTr="00397FFD">
        <w:trPr>
          <w:trHeight w:val="348"/>
        </w:trPr>
        <w:tc>
          <w:tcPr>
            <w:cnfStyle w:val="001000000000" w:firstRow="0" w:lastRow="0" w:firstColumn="1" w:lastColumn="0" w:oddVBand="0" w:evenVBand="0" w:oddHBand="0" w:evenHBand="0" w:firstRowFirstColumn="0" w:firstRowLastColumn="0" w:lastRowFirstColumn="0" w:lastRowLastColumn="0"/>
            <w:tcW w:w="3959" w:type="dxa"/>
            <w:hideMark/>
          </w:tcPr>
          <w:p w14:paraId="2FAE7FCE" w14:textId="77777777" w:rsidR="002E3185" w:rsidRPr="002E3185" w:rsidRDefault="002E3185" w:rsidP="00265697">
            <w:pPr>
              <w:spacing w:line="276" w:lineRule="auto"/>
              <w:jc w:val="left"/>
              <w:rPr>
                <w:rFonts w:eastAsia="Times New Roman" w:cs="Calibri"/>
                <w:b w:val="0"/>
                <w:bCs w:val="0"/>
                <w:color w:val="000000"/>
                <w:kern w:val="0"/>
                <w:sz w:val="24"/>
                <w:szCs w:val="24"/>
                <w:lang w:eastAsia="en-CA"/>
                <w14:ligatures w14:val="none"/>
              </w:rPr>
            </w:pPr>
            <w:r w:rsidRPr="002E3185">
              <w:rPr>
                <w:rFonts w:eastAsia="Times New Roman" w:cs="Calibri"/>
                <w:b w:val="0"/>
                <w:bCs w:val="0"/>
                <w:color w:val="000000"/>
                <w:kern w:val="0"/>
                <w:sz w:val="24"/>
                <w:szCs w:val="24"/>
                <w:lang w:eastAsia="en-CA"/>
                <w14:ligatures w14:val="none"/>
              </w:rPr>
              <w:t>Building Exterior and Interior</w:t>
            </w:r>
          </w:p>
        </w:tc>
        <w:tc>
          <w:tcPr>
            <w:tcW w:w="5168" w:type="dxa"/>
            <w:hideMark/>
          </w:tcPr>
          <w:p w14:paraId="5469D741" w14:textId="66848A03" w:rsidR="002E3185" w:rsidRPr="002E3185" w:rsidRDefault="002E3185" w:rsidP="00265697">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4"/>
                <w:szCs w:val="24"/>
                <w:lang w:eastAsia="en-CA"/>
                <w14:ligatures w14:val="none"/>
              </w:rPr>
            </w:pPr>
            <w:r w:rsidRPr="002E3185">
              <w:rPr>
                <w:rFonts w:eastAsia="Times New Roman" w:cs="Calibri"/>
                <w:color w:val="000000"/>
                <w:kern w:val="0"/>
                <w:sz w:val="24"/>
                <w:szCs w:val="24"/>
                <w:lang w:eastAsia="en-CA"/>
                <w14:ligatures w14:val="none"/>
              </w:rPr>
              <w:t xml:space="preserve">$27,000 </w:t>
            </w:r>
          </w:p>
        </w:tc>
      </w:tr>
      <w:tr w:rsidR="002E3185" w:rsidRPr="002E3185" w14:paraId="1F375EE9" w14:textId="77777777" w:rsidTr="00397FFD">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959" w:type="dxa"/>
            <w:hideMark/>
          </w:tcPr>
          <w:p w14:paraId="20F95929" w14:textId="77777777" w:rsidR="002E3185" w:rsidRPr="002E3185" w:rsidRDefault="002E3185" w:rsidP="00265697">
            <w:pPr>
              <w:spacing w:line="276" w:lineRule="auto"/>
              <w:jc w:val="left"/>
              <w:rPr>
                <w:rFonts w:eastAsia="Times New Roman" w:cs="Calibri"/>
                <w:b w:val="0"/>
                <w:bCs w:val="0"/>
                <w:color w:val="000000"/>
                <w:kern w:val="0"/>
                <w:sz w:val="24"/>
                <w:szCs w:val="24"/>
                <w:lang w:eastAsia="en-CA"/>
                <w14:ligatures w14:val="none"/>
              </w:rPr>
            </w:pPr>
            <w:r w:rsidRPr="002E3185">
              <w:rPr>
                <w:rFonts w:eastAsia="Times New Roman" w:cs="Calibri"/>
                <w:b w:val="0"/>
                <w:bCs w:val="0"/>
                <w:color w:val="000000"/>
                <w:kern w:val="0"/>
                <w:sz w:val="24"/>
                <w:szCs w:val="24"/>
                <w:lang w:eastAsia="en-CA"/>
                <w14:ligatures w14:val="none"/>
              </w:rPr>
              <w:t>Janitorial Services</w:t>
            </w:r>
          </w:p>
        </w:tc>
        <w:tc>
          <w:tcPr>
            <w:tcW w:w="5168" w:type="dxa"/>
            <w:hideMark/>
          </w:tcPr>
          <w:p w14:paraId="18DE322B" w14:textId="7F8D5BAF" w:rsidR="002E3185" w:rsidRPr="002E3185" w:rsidRDefault="002E3185" w:rsidP="00265697">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4"/>
                <w:szCs w:val="24"/>
                <w:lang w:eastAsia="en-CA"/>
                <w14:ligatures w14:val="none"/>
              </w:rPr>
            </w:pPr>
            <w:r w:rsidRPr="002E3185">
              <w:rPr>
                <w:rFonts w:eastAsia="Times New Roman" w:cs="Calibri"/>
                <w:color w:val="000000"/>
                <w:kern w:val="0"/>
                <w:sz w:val="24"/>
                <w:szCs w:val="24"/>
                <w:lang w:eastAsia="en-CA"/>
                <w14:ligatures w14:val="none"/>
              </w:rPr>
              <w:t xml:space="preserve">$48,000 </w:t>
            </w:r>
          </w:p>
        </w:tc>
      </w:tr>
      <w:tr w:rsidR="002E3185" w:rsidRPr="002E3185" w14:paraId="3D8E69DF" w14:textId="77777777" w:rsidTr="00397FFD">
        <w:trPr>
          <w:trHeight w:val="348"/>
        </w:trPr>
        <w:tc>
          <w:tcPr>
            <w:cnfStyle w:val="001000000000" w:firstRow="0" w:lastRow="0" w:firstColumn="1" w:lastColumn="0" w:oddVBand="0" w:evenVBand="0" w:oddHBand="0" w:evenHBand="0" w:firstRowFirstColumn="0" w:firstRowLastColumn="0" w:lastRowFirstColumn="0" w:lastRowLastColumn="0"/>
            <w:tcW w:w="3959" w:type="dxa"/>
            <w:hideMark/>
          </w:tcPr>
          <w:p w14:paraId="2A40C878" w14:textId="77777777" w:rsidR="002E3185" w:rsidRPr="002E3185" w:rsidRDefault="002E3185" w:rsidP="00265697">
            <w:pPr>
              <w:spacing w:line="276" w:lineRule="auto"/>
              <w:jc w:val="left"/>
              <w:rPr>
                <w:rFonts w:eastAsia="Times New Roman" w:cs="Calibri"/>
                <w:b w:val="0"/>
                <w:bCs w:val="0"/>
                <w:color w:val="000000"/>
                <w:kern w:val="0"/>
                <w:sz w:val="24"/>
                <w:szCs w:val="24"/>
                <w:lang w:eastAsia="en-CA"/>
                <w14:ligatures w14:val="none"/>
              </w:rPr>
            </w:pPr>
            <w:r w:rsidRPr="002E3185">
              <w:rPr>
                <w:rFonts w:eastAsia="Times New Roman" w:cs="Calibri"/>
                <w:b w:val="0"/>
                <w:bCs w:val="0"/>
                <w:color w:val="000000"/>
                <w:kern w:val="0"/>
                <w:sz w:val="24"/>
                <w:szCs w:val="24"/>
                <w:lang w:eastAsia="en-CA"/>
                <w14:ligatures w14:val="none"/>
              </w:rPr>
              <w:t>Landscaping and Grounds</w:t>
            </w:r>
          </w:p>
        </w:tc>
        <w:tc>
          <w:tcPr>
            <w:tcW w:w="5168" w:type="dxa"/>
            <w:hideMark/>
          </w:tcPr>
          <w:p w14:paraId="12576370" w14:textId="01E1EED6" w:rsidR="002E3185" w:rsidRPr="002E3185" w:rsidRDefault="002E3185" w:rsidP="00265697">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4"/>
                <w:szCs w:val="24"/>
                <w:lang w:eastAsia="en-CA"/>
                <w14:ligatures w14:val="none"/>
              </w:rPr>
            </w:pPr>
            <w:r w:rsidRPr="002E3185">
              <w:rPr>
                <w:rFonts w:eastAsia="Times New Roman" w:cs="Calibri"/>
                <w:color w:val="000000"/>
                <w:kern w:val="0"/>
                <w:sz w:val="24"/>
                <w:szCs w:val="24"/>
                <w:lang w:eastAsia="en-CA"/>
                <w14:ligatures w14:val="none"/>
              </w:rPr>
              <w:t xml:space="preserve">$9,600 </w:t>
            </w:r>
          </w:p>
        </w:tc>
      </w:tr>
      <w:tr w:rsidR="002E3185" w:rsidRPr="002E3185" w14:paraId="1E957248" w14:textId="77777777" w:rsidTr="00397FFD">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959" w:type="dxa"/>
            <w:hideMark/>
          </w:tcPr>
          <w:p w14:paraId="1B8073F8" w14:textId="77777777" w:rsidR="002E3185" w:rsidRPr="002E3185" w:rsidRDefault="002E3185" w:rsidP="00265697">
            <w:pPr>
              <w:spacing w:line="276" w:lineRule="auto"/>
              <w:jc w:val="left"/>
              <w:rPr>
                <w:rFonts w:eastAsia="Times New Roman" w:cs="Calibri"/>
                <w:b w:val="0"/>
                <w:bCs w:val="0"/>
                <w:color w:val="000000"/>
                <w:kern w:val="0"/>
                <w:sz w:val="24"/>
                <w:szCs w:val="24"/>
                <w:lang w:eastAsia="en-CA"/>
                <w14:ligatures w14:val="none"/>
              </w:rPr>
            </w:pPr>
            <w:r w:rsidRPr="002E3185">
              <w:rPr>
                <w:rFonts w:eastAsia="Times New Roman" w:cs="Calibri"/>
                <w:b w:val="0"/>
                <w:bCs w:val="0"/>
                <w:color w:val="000000"/>
                <w:kern w:val="0"/>
                <w:sz w:val="24"/>
                <w:szCs w:val="24"/>
                <w:lang w:eastAsia="en-CA"/>
                <w14:ligatures w14:val="none"/>
              </w:rPr>
              <w:t>Miscellaneous Maintenance</w:t>
            </w:r>
          </w:p>
        </w:tc>
        <w:tc>
          <w:tcPr>
            <w:tcW w:w="5168" w:type="dxa"/>
            <w:hideMark/>
          </w:tcPr>
          <w:p w14:paraId="29EDB069" w14:textId="5CD83AD5" w:rsidR="002E3185" w:rsidRPr="002E3185" w:rsidRDefault="002E3185" w:rsidP="00265697">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4"/>
                <w:szCs w:val="24"/>
                <w:lang w:eastAsia="en-CA"/>
                <w14:ligatures w14:val="none"/>
              </w:rPr>
            </w:pPr>
            <w:r w:rsidRPr="002E3185">
              <w:rPr>
                <w:rFonts w:eastAsia="Times New Roman" w:cs="Calibri"/>
                <w:color w:val="000000"/>
                <w:kern w:val="0"/>
                <w:sz w:val="24"/>
                <w:szCs w:val="24"/>
                <w:lang w:eastAsia="en-CA"/>
                <w14:ligatures w14:val="none"/>
              </w:rPr>
              <w:t xml:space="preserve">$9,600 </w:t>
            </w:r>
          </w:p>
        </w:tc>
      </w:tr>
      <w:tr w:rsidR="002E3185" w:rsidRPr="002E3185" w14:paraId="1B135432" w14:textId="77777777" w:rsidTr="00397FFD">
        <w:trPr>
          <w:trHeight w:val="443"/>
        </w:trPr>
        <w:tc>
          <w:tcPr>
            <w:cnfStyle w:val="001000000000" w:firstRow="0" w:lastRow="0" w:firstColumn="1" w:lastColumn="0" w:oddVBand="0" w:evenVBand="0" w:oddHBand="0" w:evenHBand="0" w:firstRowFirstColumn="0" w:firstRowLastColumn="0" w:lastRowFirstColumn="0" w:lastRowLastColumn="0"/>
            <w:tcW w:w="3959" w:type="dxa"/>
            <w:hideMark/>
          </w:tcPr>
          <w:p w14:paraId="664DE83B" w14:textId="77777777" w:rsidR="002E3185" w:rsidRPr="002E3185" w:rsidRDefault="002E3185" w:rsidP="00265697">
            <w:pPr>
              <w:spacing w:line="276" w:lineRule="auto"/>
              <w:jc w:val="left"/>
              <w:rPr>
                <w:rFonts w:eastAsia="Times New Roman" w:cs="Calibri"/>
                <w:b w:val="0"/>
                <w:bCs w:val="0"/>
                <w:color w:val="000000"/>
                <w:kern w:val="0"/>
                <w:sz w:val="24"/>
                <w:szCs w:val="24"/>
                <w:lang w:eastAsia="en-CA"/>
                <w14:ligatures w14:val="none"/>
              </w:rPr>
            </w:pPr>
            <w:r w:rsidRPr="002E3185">
              <w:rPr>
                <w:rFonts w:eastAsia="Times New Roman" w:cs="Calibri"/>
                <w:b w:val="0"/>
                <w:bCs w:val="0"/>
                <w:color w:val="000000"/>
                <w:kern w:val="0"/>
                <w:sz w:val="24"/>
                <w:szCs w:val="24"/>
                <w:lang w:eastAsia="en-CA"/>
                <w14:ligatures w14:val="none"/>
              </w:rPr>
              <w:t>Total Annual Maintenance Cost</w:t>
            </w:r>
          </w:p>
        </w:tc>
        <w:tc>
          <w:tcPr>
            <w:tcW w:w="5168" w:type="dxa"/>
            <w:hideMark/>
          </w:tcPr>
          <w:p w14:paraId="55D3027D" w14:textId="77777777" w:rsidR="002E3185" w:rsidRPr="002E3185" w:rsidRDefault="002E3185" w:rsidP="00265697">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4"/>
                <w:szCs w:val="24"/>
                <w:lang w:eastAsia="en-CA"/>
                <w14:ligatures w14:val="none"/>
              </w:rPr>
            </w:pPr>
            <w:r w:rsidRPr="002E3185">
              <w:rPr>
                <w:rFonts w:eastAsia="Times New Roman" w:cs="Calibri"/>
                <w:color w:val="000000"/>
                <w:kern w:val="0"/>
                <w:sz w:val="24"/>
                <w:szCs w:val="24"/>
                <w:lang w:eastAsia="en-CA"/>
                <w14:ligatures w14:val="none"/>
              </w:rPr>
              <w:t xml:space="preserve">$175,800 </w:t>
            </w:r>
          </w:p>
        </w:tc>
      </w:tr>
    </w:tbl>
    <w:p w14:paraId="51465260" w14:textId="77777777" w:rsidR="004F4B7A" w:rsidRPr="00BD71F8" w:rsidRDefault="004F4B7A" w:rsidP="00265697">
      <w:pPr>
        <w:spacing w:line="276" w:lineRule="auto"/>
        <w:rPr>
          <w:rFonts w:cs="Calibri"/>
          <w:sz w:val="24"/>
          <w:szCs w:val="24"/>
        </w:rPr>
      </w:pPr>
    </w:p>
    <w:p w14:paraId="0E972655" w14:textId="1E3D4B8C" w:rsidR="00FF20B0" w:rsidRPr="007125C3" w:rsidRDefault="00FF20B0" w:rsidP="00265697">
      <w:pPr>
        <w:spacing w:line="276" w:lineRule="auto"/>
        <w:rPr>
          <w:rFonts w:cs="Calibri"/>
          <w:b/>
          <w:bCs/>
          <w:sz w:val="28"/>
          <w:szCs w:val="28"/>
        </w:rPr>
      </w:pPr>
      <w:r w:rsidRPr="007125C3">
        <w:rPr>
          <w:rFonts w:cs="Calibri"/>
          <w:b/>
          <w:bCs/>
          <w:sz w:val="28"/>
          <w:szCs w:val="28"/>
        </w:rPr>
        <w:t>Class 43: Machinery and equipment (30%)</w:t>
      </w:r>
    </w:p>
    <w:p w14:paraId="565D402A" w14:textId="55CF5906" w:rsidR="002E3185" w:rsidRPr="002E3185" w:rsidRDefault="00E854FE" w:rsidP="00265697">
      <w:pPr>
        <w:spacing w:line="276" w:lineRule="auto"/>
        <w:rPr>
          <w:rFonts w:cs="Calibri"/>
          <w:b/>
          <w:bCs/>
          <w:sz w:val="28"/>
          <w:szCs w:val="28"/>
        </w:rPr>
      </w:pPr>
      <w:r w:rsidRPr="007125C3">
        <w:rPr>
          <w:rFonts w:cs="Calibri"/>
          <w:b/>
          <w:bCs/>
          <w:sz w:val="28"/>
          <w:szCs w:val="28"/>
        </w:rPr>
        <w:t>Manufacturing plant upgrades</w:t>
      </w:r>
    </w:p>
    <w:p w14:paraId="53A2EF28" w14:textId="054D3664" w:rsidR="00755006" w:rsidRPr="00755006" w:rsidRDefault="00755006" w:rsidP="00265697">
      <w:pPr>
        <w:spacing w:line="276" w:lineRule="auto"/>
        <w:rPr>
          <w:rFonts w:cs="Calibri"/>
          <w:sz w:val="24"/>
          <w:szCs w:val="24"/>
        </w:rPr>
      </w:pPr>
      <w:r w:rsidRPr="00755006">
        <w:rPr>
          <w:rFonts w:cs="Calibri"/>
          <w:sz w:val="24"/>
          <w:szCs w:val="24"/>
        </w:rPr>
        <w:t>Upgrading a manufacturing plant for producing EV charging stations is a strategic investment that enhances efficiency, quality and sustainability, ensuring that the facility meets the demands of an evolving electric vehicle (EV) market. Below is an explanation for each category of upgrades considered, along with how these improvements contribute to operational success and long-term viability.</w:t>
      </w:r>
    </w:p>
    <w:p w14:paraId="2CBDB317" w14:textId="3C6C6C35" w:rsidR="00755006" w:rsidRPr="00755006" w:rsidRDefault="00755006" w:rsidP="00265697">
      <w:pPr>
        <w:spacing w:line="276" w:lineRule="auto"/>
        <w:rPr>
          <w:rFonts w:cs="Calibri"/>
          <w:b/>
          <w:bCs/>
          <w:sz w:val="24"/>
          <w:szCs w:val="24"/>
        </w:rPr>
      </w:pPr>
      <w:r w:rsidRPr="00755006">
        <w:rPr>
          <w:rFonts w:cs="Calibri"/>
          <w:b/>
          <w:bCs/>
          <w:sz w:val="24"/>
          <w:szCs w:val="24"/>
        </w:rPr>
        <w:t>Machinery and Equipment ($400,000)</w:t>
      </w:r>
    </w:p>
    <w:p w14:paraId="3F625F16" w14:textId="466D3635" w:rsidR="00755006" w:rsidRPr="00BD71F8" w:rsidRDefault="00755006" w:rsidP="00265697">
      <w:pPr>
        <w:spacing w:line="276" w:lineRule="auto"/>
        <w:rPr>
          <w:rFonts w:cs="Calibri"/>
          <w:sz w:val="24"/>
          <w:szCs w:val="24"/>
        </w:rPr>
      </w:pPr>
      <w:r w:rsidRPr="00755006">
        <w:rPr>
          <w:rFonts w:cs="Calibri"/>
          <w:sz w:val="24"/>
          <w:szCs w:val="24"/>
        </w:rPr>
        <w:t xml:space="preserve">Investing in advanced machinery and equipment, such as automated assembly lines, testing equipment, and quality control systems, is essential to streamline production and ensure the reliability of EV charging stations. High-quality equipment reduces manual </w:t>
      </w:r>
      <w:r w:rsidR="00341FDB" w:rsidRPr="00755006">
        <w:rPr>
          <w:rFonts w:cs="Calibri"/>
          <w:sz w:val="24"/>
          <w:szCs w:val="24"/>
        </w:rPr>
        <w:t>labour</w:t>
      </w:r>
      <w:r w:rsidRPr="00755006">
        <w:rPr>
          <w:rFonts w:cs="Calibri"/>
          <w:sz w:val="24"/>
          <w:szCs w:val="24"/>
        </w:rPr>
        <w:t>, enhances precision</w:t>
      </w:r>
      <w:r w:rsidR="00D9346C">
        <w:rPr>
          <w:rFonts w:cs="Calibri"/>
          <w:sz w:val="24"/>
          <w:szCs w:val="24"/>
        </w:rPr>
        <w:t xml:space="preserve"> </w:t>
      </w:r>
      <w:r w:rsidRPr="00755006">
        <w:rPr>
          <w:rFonts w:cs="Calibri"/>
          <w:sz w:val="24"/>
          <w:szCs w:val="24"/>
        </w:rPr>
        <w:t>and increases production speed.</w:t>
      </w:r>
      <w:r w:rsidR="00D302E5" w:rsidRPr="00BD71F8">
        <w:rPr>
          <w:rFonts w:cs="Calibri"/>
          <w:sz w:val="24"/>
          <w:szCs w:val="24"/>
        </w:rPr>
        <w:t xml:space="preserve"> Industry estimates suggest that automating assembly </w:t>
      </w:r>
      <w:r w:rsidR="00D302E5" w:rsidRPr="00BD71F8">
        <w:rPr>
          <w:rFonts w:cs="Calibri"/>
          <w:sz w:val="24"/>
          <w:szCs w:val="24"/>
        </w:rPr>
        <w:lastRenderedPageBreak/>
        <w:t>and testing for mid-sized manufacturing operations typically falls within $350,000 - $500,000. Given the importance of machinery for product consistency, $400,000 was allocated to secure critical equipment.</w:t>
      </w:r>
    </w:p>
    <w:p w14:paraId="137AD834" w14:textId="08D189EA" w:rsidR="00755006" w:rsidRPr="00755006" w:rsidRDefault="00755006" w:rsidP="00265697">
      <w:pPr>
        <w:spacing w:line="276" w:lineRule="auto"/>
        <w:rPr>
          <w:rFonts w:cs="Calibri"/>
          <w:sz w:val="24"/>
          <w:szCs w:val="24"/>
        </w:rPr>
      </w:pPr>
      <w:r w:rsidRPr="00755006">
        <w:rPr>
          <w:rFonts w:cs="Calibri"/>
          <w:sz w:val="24"/>
          <w:szCs w:val="24"/>
        </w:rPr>
        <w:t>Automated and speciali</w:t>
      </w:r>
      <w:r w:rsidR="00341FDB">
        <w:rPr>
          <w:rFonts w:cs="Calibri"/>
          <w:sz w:val="24"/>
          <w:szCs w:val="24"/>
        </w:rPr>
        <w:t>s</w:t>
      </w:r>
      <w:r w:rsidRPr="00755006">
        <w:rPr>
          <w:rFonts w:cs="Calibri"/>
          <w:sz w:val="24"/>
          <w:szCs w:val="24"/>
        </w:rPr>
        <w:t>ed machinery improves the consistency and quality of output, reducing production errors and leading to more reliable products. The initial investment yields long-term cost savings by minimi</w:t>
      </w:r>
      <w:r w:rsidR="00341FDB">
        <w:rPr>
          <w:rFonts w:cs="Calibri"/>
          <w:sz w:val="24"/>
          <w:szCs w:val="24"/>
        </w:rPr>
        <w:t>s</w:t>
      </w:r>
      <w:r w:rsidRPr="00755006">
        <w:rPr>
          <w:rFonts w:cs="Calibri"/>
          <w:sz w:val="24"/>
          <w:szCs w:val="24"/>
        </w:rPr>
        <w:t>ing downtime and maintenance needs.</w:t>
      </w:r>
    </w:p>
    <w:p w14:paraId="6AC51157" w14:textId="63F9A1C1" w:rsidR="00755006" w:rsidRPr="00755006" w:rsidRDefault="00755006" w:rsidP="00265697">
      <w:pPr>
        <w:spacing w:line="276" w:lineRule="auto"/>
        <w:rPr>
          <w:rFonts w:cs="Calibri"/>
          <w:b/>
          <w:bCs/>
          <w:sz w:val="24"/>
          <w:szCs w:val="24"/>
        </w:rPr>
      </w:pPr>
      <w:r w:rsidRPr="00755006">
        <w:rPr>
          <w:rFonts w:cs="Calibri"/>
          <w:b/>
          <w:bCs/>
          <w:sz w:val="24"/>
          <w:szCs w:val="24"/>
        </w:rPr>
        <w:t>Energy Efficiency and Power Supply ($170,000)</w:t>
      </w:r>
    </w:p>
    <w:p w14:paraId="5775DB1C" w14:textId="689447B5" w:rsidR="00755006" w:rsidRPr="00BD71F8" w:rsidRDefault="00755006" w:rsidP="00265697">
      <w:pPr>
        <w:spacing w:line="276" w:lineRule="auto"/>
        <w:rPr>
          <w:rFonts w:cs="Calibri"/>
          <w:sz w:val="24"/>
          <w:szCs w:val="24"/>
        </w:rPr>
      </w:pPr>
      <w:r w:rsidRPr="00755006">
        <w:rPr>
          <w:rFonts w:cs="Calibri"/>
          <w:sz w:val="24"/>
          <w:szCs w:val="24"/>
        </w:rPr>
        <w:t>Upgrades in this area include installing energy-efficient lighting, optimi</w:t>
      </w:r>
      <w:r w:rsidR="00341FDB">
        <w:rPr>
          <w:rFonts w:cs="Calibri"/>
          <w:sz w:val="24"/>
          <w:szCs w:val="24"/>
        </w:rPr>
        <w:t>s</w:t>
      </w:r>
      <w:r w:rsidRPr="00755006">
        <w:rPr>
          <w:rFonts w:cs="Calibri"/>
          <w:sz w:val="24"/>
          <w:szCs w:val="24"/>
        </w:rPr>
        <w:t>ing power supply, and potentially adding a small-scale solar power system to reduce operational energy costs. With EV production, reducing the facility’s carbon footprint is crucial to align with the industry's green objectives.</w:t>
      </w:r>
      <w:r w:rsidR="00D302E5" w:rsidRPr="00BD71F8">
        <w:rPr>
          <w:rFonts w:cs="Calibri"/>
          <w:sz w:val="24"/>
          <w:szCs w:val="24"/>
        </w:rPr>
        <w:t xml:space="preserve"> Energy upgrades are estimated based on average costs for a 60,000 sq. ft. facility, with a budget range of $150,000 - $200,000 for energy-efficient lighting and basic renewable sources.</w:t>
      </w:r>
    </w:p>
    <w:p w14:paraId="4D844B77" w14:textId="66C55BD4" w:rsidR="00755006" w:rsidRPr="00755006" w:rsidRDefault="00755006" w:rsidP="00265697">
      <w:pPr>
        <w:spacing w:line="276" w:lineRule="auto"/>
        <w:rPr>
          <w:rFonts w:cs="Calibri"/>
          <w:sz w:val="24"/>
          <w:szCs w:val="24"/>
        </w:rPr>
      </w:pPr>
      <w:r w:rsidRPr="00755006">
        <w:rPr>
          <w:rFonts w:cs="Calibri"/>
          <w:sz w:val="24"/>
          <w:szCs w:val="24"/>
        </w:rPr>
        <w:t>These upgrades lower energy expenses making production more sustainable and cost-effective. By relying on renewable energy sources where possible, the facility also reduces its environmental impact, aligning with sustainability goals and potentially qualifying for energy-related incentives.</w:t>
      </w:r>
    </w:p>
    <w:p w14:paraId="6750042C" w14:textId="3984FA17" w:rsidR="00755006" w:rsidRPr="00755006" w:rsidRDefault="00755006" w:rsidP="00265697">
      <w:pPr>
        <w:spacing w:line="276" w:lineRule="auto"/>
        <w:rPr>
          <w:rFonts w:cs="Calibri"/>
          <w:b/>
          <w:bCs/>
          <w:sz w:val="24"/>
          <w:szCs w:val="24"/>
        </w:rPr>
      </w:pPr>
      <w:r w:rsidRPr="00755006">
        <w:rPr>
          <w:rFonts w:cs="Calibri"/>
          <w:b/>
          <w:bCs/>
          <w:sz w:val="24"/>
          <w:szCs w:val="24"/>
        </w:rPr>
        <w:t>Safety and Compliance ($120,000)</w:t>
      </w:r>
    </w:p>
    <w:p w14:paraId="03BCF410" w14:textId="7CD9D987" w:rsidR="00755006" w:rsidRPr="00755006" w:rsidRDefault="00755006" w:rsidP="00265697">
      <w:pPr>
        <w:spacing w:line="276" w:lineRule="auto"/>
        <w:rPr>
          <w:rFonts w:cs="Calibri"/>
          <w:sz w:val="24"/>
          <w:szCs w:val="24"/>
        </w:rPr>
      </w:pPr>
      <w:r w:rsidRPr="00755006">
        <w:rPr>
          <w:rFonts w:cs="Calibri"/>
          <w:sz w:val="24"/>
          <w:szCs w:val="24"/>
        </w:rPr>
        <w:t>Upgrading safety and compliance features is essential to meet industry and regulatory standards, including fire suppression systems, electrical safety equipment, and OSHA-compliant systems. Ensuring the plant adheres to safety regulations is paramount in the EV sector, where equipment and energy management require careful handling.</w:t>
      </w:r>
      <w:r w:rsidR="00D302E5" w:rsidRPr="00BD71F8">
        <w:rPr>
          <w:rFonts w:cs="Calibri"/>
          <w:sz w:val="24"/>
          <w:szCs w:val="24"/>
        </w:rPr>
        <w:t xml:space="preserve"> Safety and compliance investments for manufacturing plants generally range from $100,000 - $150,000, depending on requirements. $120,000 is allocated to cover essential protective equipment and systems.</w:t>
      </w:r>
    </w:p>
    <w:p w14:paraId="02EBC8C2" w14:textId="363401FE" w:rsidR="00755006" w:rsidRPr="00755006" w:rsidRDefault="00755006" w:rsidP="00265697">
      <w:pPr>
        <w:spacing w:line="276" w:lineRule="auto"/>
        <w:rPr>
          <w:rFonts w:cs="Calibri"/>
          <w:sz w:val="24"/>
          <w:szCs w:val="24"/>
        </w:rPr>
      </w:pPr>
      <w:r w:rsidRPr="00755006">
        <w:rPr>
          <w:rFonts w:cs="Calibri"/>
          <w:sz w:val="24"/>
          <w:szCs w:val="24"/>
        </w:rPr>
        <w:t>Investing in safety reduces the risk of accidents, protects employees, and ensures a secure work environment. Compliance with industry standards also safeguards the company against legal liabilities, potential fines, and operational shutdowns due to regulatory non-compliance.</w:t>
      </w:r>
    </w:p>
    <w:p w14:paraId="2A815DC5" w14:textId="3E5C6F84" w:rsidR="00755006" w:rsidRPr="00755006" w:rsidRDefault="00755006" w:rsidP="00265697">
      <w:pPr>
        <w:spacing w:line="276" w:lineRule="auto"/>
        <w:rPr>
          <w:rFonts w:cs="Calibri"/>
          <w:b/>
          <w:bCs/>
          <w:sz w:val="24"/>
          <w:szCs w:val="24"/>
        </w:rPr>
      </w:pPr>
      <w:r w:rsidRPr="00755006">
        <w:rPr>
          <w:rFonts w:cs="Calibri"/>
          <w:b/>
          <w:bCs/>
          <w:sz w:val="24"/>
          <w:szCs w:val="24"/>
        </w:rPr>
        <w:t xml:space="preserve"> IT and Software Systems ($170,000)</w:t>
      </w:r>
    </w:p>
    <w:p w14:paraId="3FF71740" w14:textId="45277DBD" w:rsidR="00755006" w:rsidRPr="00755006" w:rsidRDefault="00755006" w:rsidP="00265697">
      <w:pPr>
        <w:spacing w:line="276" w:lineRule="auto"/>
        <w:rPr>
          <w:rFonts w:cs="Calibri"/>
          <w:sz w:val="24"/>
          <w:szCs w:val="24"/>
        </w:rPr>
      </w:pPr>
      <w:r w:rsidRPr="00755006">
        <w:rPr>
          <w:rFonts w:cs="Calibri"/>
          <w:sz w:val="24"/>
          <w:szCs w:val="24"/>
        </w:rPr>
        <w:t>Implementing robust IT and software systems, such as ERP software, automation, and robotics software, is essential for optimi</w:t>
      </w:r>
      <w:r w:rsidR="00341FDB">
        <w:rPr>
          <w:rFonts w:cs="Calibri"/>
          <w:sz w:val="24"/>
          <w:szCs w:val="24"/>
        </w:rPr>
        <w:t>s</w:t>
      </w:r>
      <w:r w:rsidRPr="00755006">
        <w:rPr>
          <w:rFonts w:cs="Calibri"/>
          <w:sz w:val="24"/>
          <w:szCs w:val="24"/>
        </w:rPr>
        <w:t>ing plant operations, inventory management, and production planning. Integrating smart charging software is also crucial for testing and quality control of EV charging stations.</w:t>
      </w:r>
      <w:r w:rsidR="00D302E5" w:rsidRPr="00BD71F8">
        <w:rPr>
          <w:rFonts w:cs="Calibri"/>
          <w:sz w:val="24"/>
          <w:szCs w:val="24"/>
        </w:rPr>
        <w:t xml:space="preserve"> IT systems for a mid-sized manufacturing plant typically cost between $150,000 - $200,000. This amount includes software, licenses, installation and support for digital operations.</w:t>
      </w:r>
    </w:p>
    <w:p w14:paraId="0543C413" w14:textId="510B42DF" w:rsidR="00755006" w:rsidRPr="00755006" w:rsidRDefault="00755006" w:rsidP="00265697">
      <w:pPr>
        <w:spacing w:line="276" w:lineRule="auto"/>
        <w:rPr>
          <w:rFonts w:cs="Calibri"/>
          <w:sz w:val="24"/>
          <w:szCs w:val="24"/>
        </w:rPr>
      </w:pPr>
      <w:r w:rsidRPr="00755006">
        <w:rPr>
          <w:rFonts w:cs="Calibri"/>
          <w:sz w:val="24"/>
          <w:szCs w:val="24"/>
        </w:rPr>
        <w:lastRenderedPageBreak/>
        <w:t>Advanced IT systems improve process efficiency and real-time monitoring capabilities, enabling the plant to operate more effectively. These systems also facilitate data-driven decision-making, which enhances production quality and reduces waste by identifying and addressing issues quickly.</w:t>
      </w:r>
    </w:p>
    <w:p w14:paraId="13C5CDDE" w14:textId="0A4516E2" w:rsidR="00755006" w:rsidRPr="00755006" w:rsidRDefault="00755006" w:rsidP="00265697">
      <w:pPr>
        <w:spacing w:line="276" w:lineRule="auto"/>
        <w:rPr>
          <w:rFonts w:cs="Calibri"/>
          <w:b/>
          <w:bCs/>
          <w:sz w:val="24"/>
          <w:szCs w:val="24"/>
        </w:rPr>
      </w:pPr>
      <w:r w:rsidRPr="00755006">
        <w:rPr>
          <w:rFonts w:cs="Calibri"/>
          <w:b/>
          <w:bCs/>
          <w:sz w:val="24"/>
          <w:szCs w:val="24"/>
        </w:rPr>
        <w:t>Environmental and Sustainability Upgrades ($120,000)</w:t>
      </w:r>
    </w:p>
    <w:p w14:paraId="267783A2" w14:textId="61EF3D30" w:rsidR="00755006" w:rsidRPr="00755006" w:rsidRDefault="00755006" w:rsidP="00265697">
      <w:pPr>
        <w:spacing w:line="276" w:lineRule="auto"/>
        <w:rPr>
          <w:rFonts w:cs="Calibri"/>
          <w:sz w:val="24"/>
          <w:szCs w:val="24"/>
        </w:rPr>
      </w:pPr>
      <w:r w:rsidRPr="00755006">
        <w:rPr>
          <w:rFonts w:cs="Calibri"/>
          <w:sz w:val="24"/>
          <w:szCs w:val="24"/>
        </w:rPr>
        <w:t>Sustainability-focused improvements, such as recycling systems, eco-friendly materials, and minor green infrastructure, help the facility reduce its environmental impact. These investments align the plant’s operations with the eco-conscious objectives of the EV industry.</w:t>
      </w:r>
      <w:r w:rsidR="00341FDB">
        <w:rPr>
          <w:rFonts w:cs="Calibri"/>
          <w:sz w:val="24"/>
          <w:szCs w:val="24"/>
        </w:rPr>
        <w:t xml:space="preserve"> </w:t>
      </w:r>
      <w:r w:rsidR="00D302E5" w:rsidRPr="00BD71F8">
        <w:rPr>
          <w:rFonts w:cs="Calibri"/>
          <w:sz w:val="24"/>
          <w:szCs w:val="24"/>
        </w:rPr>
        <w:t>Sustainability efforts for manufacturing facilities are generally estimated at $100,000 - $150,000, making $120,000 a feasible amount for a mid-level commitment to environmental responsibility.</w:t>
      </w:r>
    </w:p>
    <w:p w14:paraId="5201AA5A" w14:textId="3250670D" w:rsidR="00755006" w:rsidRPr="00755006" w:rsidRDefault="00755006" w:rsidP="00265697">
      <w:pPr>
        <w:spacing w:line="276" w:lineRule="auto"/>
        <w:rPr>
          <w:rFonts w:cs="Calibri"/>
          <w:sz w:val="24"/>
          <w:szCs w:val="24"/>
        </w:rPr>
      </w:pPr>
      <w:r w:rsidRPr="00755006">
        <w:rPr>
          <w:rFonts w:cs="Calibri"/>
          <w:sz w:val="24"/>
          <w:szCs w:val="24"/>
        </w:rPr>
        <w:t>Investing in sustainability reduces waste and resource consumption, positioning the company as environmentally responsible. It also helps the facility attract customers who prioriti</w:t>
      </w:r>
      <w:r w:rsidR="00341FDB">
        <w:rPr>
          <w:rFonts w:cs="Calibri"/>
          <w:sz w:val="24"/>
          <w:szCs w:val="24"/>
        </w:rPr>
        <w:t>s</w:t>
      </w:r>
      <w:r w:rsidRPr="00755006">
        <w:rPr>
          <w:rFonts w:cs="Calibri"/>
          <w:sz w:val="24"/>
          <w:szCs w:val="24"/>
        </w:rPr>
        <w:t>e eco-friendly practices and may lead to government incentives for sustainable manufacturing.</w:t>
      </w:r>
    </w:p>
    <w:p w14:paraId="24F129FF" w14:textId="7D280B49" w:rsidR="00755006" w:rsidRPr="00755006" w:rsidRDefault="00755006" w:rsidP="00265697">
      <w:pPr>
        <w:spacing w:line="276" w:lineRule="auto"/>
        <w:rPr>
          <w:rFonts w:cs="Calibri"/>
          <w:b/>
          <w:bCs/>
          <w:sz w:val="24"/>
          <w:szCs w:val="24"/>
        </w:rPr>
      </w:pPr>
      <w:r w:rsidRPr="00755006">
        <w:rPr>
          <w:rFonts w:cs="Calibri"/>
          <w:b/>
          <w:bCs/>
          <w:sz w:val="24"/>
          <w:szCs w:val="24"/>
        </w:rPr>
        <w:t>Building Infrastructure ($238,750)</w:t>
      </w:r>
    </w:p>
    <w:p w14:paraId="52E4D34F" w14:textId="759CA99C" w:rsidR="00755006" w:rsidRPr="00755006" w:rsidRDefault="00755006" w:rsidP="00265697">
      <w:pPr>
        <w:spacing w:line="276" w:lineRule="auto"/>
        <w:rPr>
          <w:rFonts w:cs="Calibri"/>
          <w:sz w:val="24"/>
          <w:szCs w:val="24"/>
        </w:rPr>
      </w:pPr>
      <w:r w:rsidRPr="00755006">
        <w:rPr>
          <w:rFonts w:cs="Calibri"/>
          <w:sz w:val="24"/>
          <w:szCs w:val="24"/>
        </w:rPr>
        <w:t>Upgrading the physical plant infrastructure includes structural reinforcements, HVAC system updates, and reconfiguring space to accommodate new machinery and improved operational flow. These changes ensure the plant is suitable for the speciali</w:t>
      </w:r>
      <w:r w:rsidR="00341FDB">
        <w:rPr>
          <w:rFonts w:cs="Calibri"/>
          <w:sz w:val="24"/>
          <w:szCs w:val="24"/>
        </w:rPr>
        <w:t>s</w:t>
      </w:r>
      <w:r w:rsidRPr="00755006">
        <w:rPr>
          <w:rFonts w:cs="Calibri"/>
          <w:sz w:val="24"/>
          <w:szCs w:val="24"/>
        </w:rPr>
        <w:t>ed needs of EV charging station manufacturing.</w:t>
      </w:r>
      <w:r w:rsidR="00D302E5" w:rsidRPr="00BD71F8">
        <w:rPr>
          <w:rFonts w:cs="Calibri"/>
          <w:sz w:val="24"/>
          <w:szCs w:val="24"/>
        </w:rPr>
        <w:t xml:space="preserve"> Building infrastructure improvements vary, but for a mid-sized plant, structural and HVAC costs typically reach $200,000 - $250,000. This amount is necessary for a complete retrofit to improve the work environment and operational efficiency.</w:t>
      </w:r>
    </w:p>
    <w:p w14:paraId="2F8B55F7" w14:textId="669AD5F6" w:rsidR="00755006" w:rsidRPr="00755006" w:rsidRDefault="00755006" w:rsidP="00265697">
      <w:pPr>
        <w:spacing w:line="276" w:lineRule="auto"/>
        <w:rPr>
          <w:rFonts w:cs="Calibri"/>
          <w:sz w:val="24"/>
          <w:szCs w:val="24"/>
        </w:rPr>
      </w:pPr>
      <w:r w:rsidRPr="00755006">
        <w:rPr>
          <w:rFonts w:cs="Calibri"/>
          <w:sz w:val="24"/>
          <w:szCs w:val="24"/>
        </w:rPr>
        <w:t>A well-designed infrastructure provides a safer, more comfortable work environment while supporting the facility’s equipment and production demands. HVAC upgrades improve air quality, which is crucial for maintaining both employee health and optimal conditions for electronics production</w:t>
      </w:r>
      <w:r w:rsidR="00D302E5" w:rsidRPr="00BD71F8">
        <w:rPr>
          <w:rFonts w:cs="Calibri"/>
          <w:sz w:val="24"/>
          <w:szCs w:val="24"/>
        </w:rPr>
        <w:t>.</w:t>
      </w:r>
    </w:p>
    <w:p w14:paraId="52736E76" w14:textId="6751357D" w:rsidR="002E3185" w:rsidRPr="002E3185" w:rsidRDefault="002E3185" w:rsidP="00265697">
      <w:pPr>
        <w:spacing w:line="276" w:lineRule="auto"/>
        <w:rPr>
          <w:rFonts w:cs="Calibri"/>
          <w:b/>
          <w:bCs/>
          <w:sz w:val="24"/>
          <w:szCs w:val="24"/>
        </w:rPr>
      </w:pPr>
    </w:p>
    <w:tbl>
      <w:tblPr>
        <w:tblStyle w:val="PlainTable1"/>
        <w:tblW w:w="93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548"/>
        <w:gridCol w:w="3811"/>
      </w:tblGrid>
      <w:tr w:rsidR="002E3185" w:rsidRPr="002E3185" w14:paraId="3547E66F" w14:textId="77777777" w:rsidTr="00397FFD">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hideMark/>
          </w:tcPr>
          <w:p w14:paraId="31619197" w14:textId="56FCCE26" w:rsidR="002E3185" w:rsidRPr="002E3185" w:rsidRDefault="002E3185" w:rsidP="00265697">
            <w:pPr>
              <w:spacing w:after="160" w:line="276" w:lineRule="auto"/>
              <w:rPr>
                <w:rFonts w:cs="Calibri"/>
                <w:sz w:val="24"/>
                <w:szCs w:val="24"/>
              </w:rPr>
            </w:pPr>
            <w:r w:rsidRPr="002E3185">
              <w:rPr>
                <w:rFonts w:cs="Calibri"/>
                <w:sz w:val="24"/>
                <w:szCs w:val="24"/>
              </w:rPr>
              <w:t xml:space="preserve">Upgrade </w:t>
            </w:r>
            <w:r w:rsidRPr="00EF321F">
              <w:rPr>
                <w:rFonts w:cs="Calibri"/>
                <w:sz w:val="24"/>
                <w:szCs w:val="24"/>
              </w:rPr>
              <w:t>costs</w:t>
            </w:r>
          </w:p>
        </w:tc>
        <w:tc>
          <w:tcPr>
            <w:tcW w:w="0" w:type="auto"/>
            <w:hideMark/>
          </w:tcPr>
          <w:p w14:paraId="071B16D7" w14:textId="77777777" w:rsidR="002E3185" w:rsidRPr="002E3185" w:rsidRDefault="002E3185" w:rsidP="00265697">
            <w:pPr>
              <w:spacing w:after="160" w:line="276" w:lineRule="auto"/>
              <w:cnfStyle w:val="100000000000" w:firstRow="1" w:lastRow="0" w:firstColumn="0" w:lastColumn="0" w:oddVBand="0" w:evenVBand="0" w:oddHBand="0" w:evenHBand="0" w:firstRowFirstColumn="0" w:firstRowLastColumn="0" w:lastRowFirstColumn="0" w:lastRowLastColumn="0"/>
              <w:rPr>
                <w:rFonts w:cs="Calibri"/>
                <w:sz w:val="24"/>
                <w:szCs w:val="24"/>
              </w:rPr>
            </w:pPr>
            <w:r w:rsidRPr="002E3185">
              <w:rPr>
                <w:rFonts w:cs="Calibri"/>
                <w:sz w:val="24"/>
                <w:szCs w:val="24"/>
              </w:rPr>
              <w:t>Adjusted Cost Estimate</w:t>
            </w:r>
          </w:p>
        </w:tc>
      </w:tr>
      <w:tr w:rsidR="002E3185" w:rsidRPr="002E3185" w14:paraId="065B0AFF" w14:textId="77777777" w:rsidTr="00397FFD">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2260103C" w14:textId="77777777" w:rsidR="002E3185" w:rsidRPr="002E3185" w:rsidRDefault="002E3185" w:rsidP="00265697">
            <w:pPr>
              <w:spacing w:after="160" w:line="276" w:lineRule="auto"/>
              <w:rPr>
                <w:rFonts w:cs="Calibri"/>
                <w:b w:val="0"/>
                <w:bCs w:val="0"/>
                <w:sz w:val="24"/>
                <w:szCs w:val="24"/>
              </w:rPr>
            </w:pPr>
            <w:r w:rsidRPr="002E3185">
              <w:rPr>
                <w:rFonts w:cs="Calibri"/>
                <w:b w:val="0"/>
                <w:bCs w:val="0"/>
                <w:sz w:val="24"/>
                <w:szCs w:val="24"/>
              </w:rPr>
              <w:t>Machinery and Equipment</w:t>
            </w:r>
          </w:p>
        </w:tc>
        <w:tc>
          <w:tcPr>
            <w:tcW w:w="0" w:type="auto"/>
            <w:hideMark/>
          </w:tcPr>
          <w:p w14:paraId="5A5B9474" w14:textId="77777777" w:rsidR="002E3185" w:rsidRPr="002E3185" w:rsidRDefault="002E3185"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2E3185">
              <w:rPr>
                <w:rFonts w:cs="Calibri"/>
                <w:sz w:val="24"/>
                <w:szCs w:val="24"/>
              </w:rPr>
              <w:t>$400,000</w:t>
            </w:r>
          </w:p>
        </w:tc>
      </w:tr>
      <w:tr w:rsidR="002E3185" w:rsidRPr="002E3185" w14:paraId="32A3614F" w14:textId="77777777" w:rsidTr="00397FFD">
        <w:trPr>
          <w:trHeight w:val="502"/>
        </w:trPr>
        <w:tc>
          <w:tcPr>
            <w:cnfStyle w:val="001000000000" w:firstRow="0" w:lastRow="0" w:firstColumn="1" w:lastColumn="0" w:oddVBand="0" w:evenVBand="0" w:oddHBand="0" w:evenHBand="0" w:firstRowFirstColumn="0" w:firstRowLastColumn="0" w:lastRowFirstColumn="0" w:lastRowLastColumn="0"/>
            <w:tcW w:w="0" w:type="auto"/>
            <w:hideMark/>
          </w:tcPr>
          <w:p w14:paraId="6DC19ED8" w14:textId="77777777" w:rsidR="002E3185" w:rsidRPr="002E3185" w:rsidRDefault="002E3185" w:rsidP="00265697">
            <w:pPr>
              <w:spacing w:after="160" w:line="276" w:lineRule="auto"/>
              <w:rPr>
                <w:rFonts w:cs="Calibri"/>
                <w:b w:val="0"/>
                <w:bCs w:val="0"/>
                <w:sz w:val="24"/>
                <w:szCs w:val="24"/>
              </w:rPr>
            </w:pPr>
            <w:r w:rsidRPr="002E3185">
              <w:rPr>
                <w:rFonts w:cs="Calibri"/>
                <w:b w:val="0"/>
                <w:bCs w:val="0"/>
                <w:sz w:val="24"/>
                <w:szCs w:val="24"/>
              </w:rPr>
              <w:t>Energy Efficiency and Power Supply</w:t>
            </w:r>
          </w:p>
        </w:tc>
        <w:tc>
          <w:tcPr>
            <w:tcW w:w="0" w:type="auto"/>
            <w:hideMark/>
          </w:tcPr>
          <w:p w14:paraId="37F7A5E0" w14:textId="77777777" w:rsidR="002E3185" w:rsidRPr="002E3185" w:rsidRDefault="002E3185"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2E3185">
              <w:rPr>
                <w:rFonts w:cs="Calibri"/>
                <w:sz w:val="24"/>
                <w:szCs w:val="24"/>
              </w:rPr>
              <w:t>$170,000</w:t>
            </w:r>
          </w:p>
        </w:tc>
      </w:tr>
      <w:tr w:rsidR="002E3185" w:rsidRPr="002E3185" w14:paraId="69034E76" w14:textId="77777777" w:rsidTr="00397FF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hideMark/>
          </w:tcPr>
          <w:p w14:paraId="40D8F2DC" w14:textId="77777777" w:rsidR="002E3185" w:rsidRPr="002E3185" w:rsidRDefault="002E3185" w:rsidP="00265697">
            <w:pPr>
              <w:spacing w:after="160" w:line="276" w:lineRule="auto"/>
              <w:rPr>
                <w:rFonts w:cs="Calibri"/>
                <w:b w:val="0"/>
                <w:bCs w:val="0"/>
                <w:sz w:val="24"/>
                <w:szCs w:val="24"/>
              </w:rPr>
            </w:pPr>
            <w:r w:rsidRPr="002E3185">
              <w:rPr>
                <w:rFonts w:cs="Calibri"/>
                <w:b w:val="0"/>
                <w:bCs w:val="0"/>
                <w:sz w:val="24"/>
                <w:szCs w:val="24"/>
              </w:rPr>
              <w:t>Safety and Compliance</w:t>
            </w:r>
          </w:p>
        </w:tc>
        <w:tc>
          <w:tcPr>
            <w:tcW w:w="0" w:type="auto"/>
            <w:hideMark/>
          </w:tcPr>
          <w:p w14:paraId="5DE9AF9F" w14:textId="77777777" w:rsidR="002E3185" w:rsidRPr="002E3185" w:rsidRDefault="002E3185"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2E3185">
              <w:rPr>
                <w:rFonts w:cs="Calibri"/>
                <w:sz w:val="24"/>
                <w:szCs w:val="24"/>
              </w:rPr>
              <w:t>$120,000</w:t>
            </w:r>
          </w:p>
        </w:tc>
      </w:tr>
      <w:tr w:rsidR="002E3185" w:rsidRPr="002E3185" w14:paraId="46C9C41F" w14:textId="77777777" w:rsidTr="00397FFD">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3EE5EDB1" w14:textId="77777777" w:rsidR="002E3185" w:rsidRPr="002E3185" w:rsidRDefault="002E3185" w:rsidP="00265697">
            <w:pPr>
              <w:spacing w:after="160" w:line="276" w:lineRule="auto"/>
              <w:rPr>
                <w:rFonts w:cs="Calibri"/>
                <w:b w:val="0"/>
                <w:bCs w:val="0"/>
                <w:sz w:val="24"/>
                <w:szCs w:val="24"/>
              </w:rPr>
            </w:pPr>
            <w:r w:rsidRPr="002E3185">
              <w:rPr>
                <w:rFonts w:cs="Calibri"/>
                <w:b w:val="0"/>
                <w:bCs w:val="0"/>
                <w:sz w:val="24"/>
                <w:szCs w:val="24"/>
              </w:rPr>
              <w:t>IT and Software Systems</w:t>
            </w:r>
          </w:p>
        </w:tc>
        <w:tc>
          <w:tcPr>
            <w:tcW w:w="0" w:type="auto"/>
            <w:hideMark/>
          </w:tcPr>
          <w:p w14:paraId="15DC7D90" w14:textId="77777777" w:rsidR="002E3185" w:rsidRPr="002E3185" w:rsidRDefault="002E3185"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2E3185">
              <w:rPr>
                <w:rFonts w:cs="Calibri"/>
                <w:sz w:val="24"/>
                <w:szCs w:val="24"/>
              </w:rPr>
              <w:t>$170,000</w:t>
            </w:r>
          </w:p>
        </w:tc>
      </w:tr>
      <w:tr w:rsidR="002E3185" w:rsidRPr="002E3185" w14:paraId="4BA253DC" w14:textId="77777777" w:rsidTr="00397FF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hideMark/>
          </w:tcPr>
          <w:p w14:paraId="4575A5B0" w14:textId="77777777" w:rsidR="002E3185" w:rsidRPr="002E3185" w:rsidRDefault="002E3185" w:rsidP="00265697">
            <w:pPr>
              <w:spacing w:after="160" w:line="276" w:lineRule="auto"/>
              <w:rPr>
                <w:rFonts w:cs="Calibri"/>
                <w:b w:val="0"/>
                <w:bCs w:val="0"/>
                <w:sz w:val="24"/>
                <w:szCs w:val="24"/>
              </w:rPr>
            </w:pPr>
            <w:r w:rsidRPr="002E3185">
              <w:rPr>
                <w:rFonts w:cs="Calibri"/>
                <w:b w:val="0"/>
                <w:bCs w:val="0"/>
                <w:sz w:val="24"/>
                <w:szCs w:val="24"/>
              </w:rPr>
              <w:t>Environmental and Sustainability</w:t>
            </w:r>
          </w:p>
        </w:tc>
        <w:tc>
          <w:tcPr>
            <w:tcW w:w="0" w:type="auto"/>
            <w:hideMark/>
          </w:tcPr>
          <w:p w14:paraId="4D623544" w14:textId="77777777" w:rsidR="002E3185" w:rsidRPr="002E3185" w:rsidRDefault="002E3185"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2E3185">
              <w:rPr>
                <w:rFonts w:cs="Calibri"/>
                <w:sz w:val="24"/>
                <w:szCs w:val="24"/>
              </w:rPr>
              <w:t>$120,000</w:t>
            </w:r>
          </w:p>
        </w:tc>
      </w:tr>
      <w:tr w:rsidR="002E3185" w:rsidRPr="002E3185" w14:paraId="510513D2" w14:textId="77777777" w:rsidTr="00397FFD">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2D77F6D0" w14:textId="77777777" w:rsidR="002E3185" w:rsidRPr="002E3185" w:rsidRDefault="002E3185" w:rsidP="00265697">
            <w:pPr>
              <w:spacing w:after="160" w:line="276" w:lineRule="auto"/>
              <w:rPr>
                <w:rFonts w:cs="Calibri"/>
                <w:b w:val="0"/>
                <w:bCs w:val="0"/>
                <w:sz w:val="24"/>
                <w:szCs w:val="24"/>
              </w:rPr>
            </w:pPr>
            <w:r w:rsidRPr="002E3185">
              <w:rPr>
                <w:rFonts w:cs="Calibri"/>
                <w:b w:val="0"/>
                <w:bCs w:val="0"/>
                <w:sz w:val="24"/>
                <w:szCs w:val="24"/>
              </w:rPr>
              <w:lastRenderedPageBreak/>
              <w:t>Building Infrastructure</w:t>
            </w:r>
          </w:p>
        </w:tc>
        <w:tc>
          <w:tcPr>
            <w:tcW w:w="0" w:type="auto"/>
            <w:hideMark/>
          </w:tcPr>
          <w:p w14:paraId="6E4465DF" w14:textId="77777777" w:rsidR="002E3185" w:rsidRPr="002E3185" w:rsidRDefault="002E3185"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2E3185">
              <w:rPr>
                <w:rFonts w:cs="Calibri"/>
                <w:sz w:val="24"/>
                <w:szCs w:val="24"/>
              </w:rPr>
              <w:t>$238,750</w:t>
            </w:r>
          </w:p>
        </w:tc>
      </w:tr>
      <w:tr w:rsidR="002E3185" w:rsidRPr="002E3185" w14:paraId="3B8A13DB" w14:textId="77777777" w:rsidTr="00397FF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hideMark/>
          </w:tcPr>
          <w:p w14:paraId="4AD64A36" w14:textId="6E55D737" w:rsidR="002E3185" w:rsidRPr="002E3185" w:rsidRDefault="002E3185" w:rsidP="00265697">
            <w:pPr>
              <w:spacing w:after="160" w:line="276" w:lineRule="auto"/>
              <w:rPr>
                <w:rFonts w:cs="Calibri"/>
                <w:b w:val="0"/>
                <w:bCs w:val="0"/>
                <w:sz w:val="24"/>
                <w:szCs w:val="24"/>
              </w:rPr>
            </w:pPr>
            <w:r w:rsidRPr="002E3185">
              <w:rPr>
                <w:rFonts w:cs="Calibri"/>
                <w:b w:val="0"/>
                <w:bCs w:val="0"/>
                <w:sz w:val="24"/>
                <w:szCs w:val="24"/>
              </w:rPr>
              <w:t>Total Cost</w:t>
            </w:r>
          </w:p>
        </w:tc>
        <w:tc>
          <w:tcPr>
            <w:tcW w:w="0" w:type="auto"/>
            <w:hideMark/>
          </w:tcPr>
          <w:p w14:paraId="19E9DB2D" w14:textId="77777777" w:rsidR="002E3185" w:rsidRPr="002E3185" w:rsidRDefault="002E3185"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2E3185">
              <w:rPr>
                <w:rFonts w:cs="Calibri"/>
                <w:sz w:val="24"/>
                <w:szCs w:val="24"/>
              </w:rPr>
              <w:t>$1,218,750</w:t>
            </w:r>
          </w:p>
        </w:tc>
      </w:tr>
    </w:tbl>
    <w:p w14:paraId="03DFD74B" w14:textId="77777777" w:rsidR="002E3185" w:rsidRPr="00BD71F8" w:rsidRDefault="002E3185" w:rsidP="00265697">
      <w:pPr>
        <w:spacing w:line="276" w:lineRule="auto"/>
        <w:rPr>
          <w:rFonts w:cs="Calibri"/>
          <w:b/>
          <w:bCs/>
          <w:sz w:val="24"/>
          <w:szCs w:val="24"/>
        </w:rPr>
      </w:pPr>
    </w:p>
    <w:p w14:paraId="4705A2D6" w14:textId="34B07EA9" w:rsidR="00E854FE" w:rsidRPr="00BD71F8" w:rsidRDefault="00E854FE" w:rsidP="00265697">
      <w:pPr>
        <w:spacing w:line="276" w:lineRule="auto"/>
        <w:rPr>
          <w:rFonts w:cs="Calibri"/>
          <w:b/>
          <w:bCs/>
          <w:sz w:val="24"/>
          <w:szCs w:val="24"/>
        </w:rPr>
      </w:pPr>
      <w:r w:rsidRPr="00BD71F8">
        <w:rPr>
          <w:rFonts w:cs="Calibri"/>
          <w:b/>
          <w:bCs/>
          <w:sz w:val="24"/>
          <w:szCs w:val="24"/>
        </w:rPr>
        <w:t>Purchase of new equipment for production</w:t>
      </w:r>
    </w:p>
    <w:p w14:paraId="5EB75DBC" w14:textId="3EB763C2" w:rsidR="00D302E5" w:rsidRPr="00D302E5" w:rsidRDefault="00D302E5" w:rsidP="00265697">
      <w:pPr>
        <w:spacing w:line="276" w:lineRule="auto"/>
        <w:rPr>
          <w:rFonts w:cs="Calibri"/>
          <w:sz w:val="24"/>
          <w:szCs w:val="24"/>
        </w:rPr>
      </w:pPr>
      <w:r w:rsidRPr="00BD71F8">
        <w:rPr>
          <w:rFonts w:cs="Calibri"/>
          <w:sz w:val="24"/>
          <w:szCs w:val="24"/>
        </w:rPr>
        <w:t>I</w:t>
      </w:r>
      <w:r w:rsidRPr="00D302E5">
        <w:rPr>
          <w:rFonts w:cs="Calibri"/>
          <w:sz w:val="24"/>
          <w:szCs w:val="24"/>
        </w:rPr>
        <w:t>nvestment in new equipment is strategically allocated to ensure that the EV charging station manufacturing plant can operate at a high capacity, produce consistently high-quality products, and scale efficiently to meet growing demand. Each equipment category was chosen based on the critical requirements for EV charger production and the need to maintain competitive quality and operational efficiency.</w:t>
      </w:r>
    </w:p>
    <w:p w14:paraId="3B93D608" w14:textId="77777777" w:rsidR="00D302E5" w:rsidRPr="00D302E5" w:rsidRDefault="00D302E5" w:rsidP="00265697">
      <w:pPr>
        <w:spacing w:line="276" w:lineRule="auto"/>
        <w:rPr>
          <w:rFonts w:cs="Calibri"/>
          <w:b/>
          <w:bCs/>
          <w:sz w:val="24"/>
          <w:szCs w:val="24"/>
        </w:rPr>
      </w:pPr>
      <w:r w:rsidRPr="00D302E5">
        <w:rPr>
          <w:rFonts w:cs="Calibri"/>
          <w:b/>
          <w:bCs/>
          <w:sz w:val="24"/>
          <w:szCs w:val="24"/>
        </w:rPr>
        <w:t>High-Capacity Automated Assembly Line – $1,500,000</w:t>
      </w:r>
    </w:p>
    <w:p w14:paraId="072971F1" w14:textId="630AB58E" w:rsidR="00D302E5" w:rsidRPr="00D302E5" w:rsidRDefault="00D302E5" w:rsidP="00265697">
      <w:pPr>
        <w:spacing w:line="276" w:lineRule="auto"/>
        <w:rPr>
          <w:rFonts w:cs="Calibri"/>
          <w:sz w:val="24"/>
          <w:szCs w:val="24"/>
        </w:rPr>
      </w:pPr>
      <w:r w:rsidRPr="00D302E5">
        <w:rPr>
          <w:rFonts w:cs="Calibri"/>
          <w:sz w:val="24"/>
          <w:szCs w:val="24"/>
        </w:rPr>
        <w:t xml:space="preserve">A fully automated assembly line enables efficient, large-scale production of EV charging stations. This advanced setup reduces reliance on manual </w:t>
      </w:r>
      <w:r w:rsidR="00341FDB" w:rsidRPr="00D302E5">
        <w:rPr>
          <w:rFonts w:cs="Calibri"/>
          <w:sz w:val="24"/>
          <w:szCs w:val="24"/>
        </w:rPr>
        <w:t>labour</w:t>
      </w:r>
      <w:r w:rsidRPr="00D302E5">
        <w:rPr>
          <w:rFonts w:cs="Calibri"/>
          <w:sz w:val="24"/>
          <w:szCs w:val="24"/>
        </w:rPr>
        <w:t>, accelerates production, and minimi</w:t>
      </w:r>
      <w:r w:rsidR="00341FDB">
        <w:rPr>
          <w:rFonts w:cs="Calibri"/>
          <w:sz w:val="24"/>
          <w:szCs w:val="24"/>
        </w:rPr>
        <w:t>s</w:t>
      </w:r>
      <w:r w:rsidRPr="00D302E5">
        <w:rPr>
          <w:rFonts w:cs="Calibri"/>
          <w:sz w:val="24"/>
          <w:szCs w:val="24"/>
        </w:rPr>
        <w:t>es human error.</w:t>
      </w:r>
      <w:r w:rsidRPr="00BD71F8">
        <w:rPr>
          <w:rFonts w:cs="Calibri"/>
          <w:sz w:val="24"/>
          <w:szCs w:val="24"/>
        </w:rPr>
        <w:t xml:space="preserve"> </w:t>
      </w:r>
      <w:r w:rsidRPr="00D302E5">
        <w:rPr>
          <w:rFonts w:cs="Calibri"/>
          <w:sz w:val="24"/>
          <w:szCs w:val="24"/>
        </w:rPr>
        <w:t>Given the high demand for EV chargers, a powerful, high-capacity assembly line ensures consistent output and helps the plant meet production targets.</w:t>
      </w:r>
      <w:r w:rsidRPr="00BD71F8">
        <w:rPr>
          <w:rFonts w:cs="Calibri"/>
          <w:sz w:val="24"/>
          <w:szCs w:val="24"/>
        </w:rPr>
        <w:t xml:space="preserve"> </w:t>
      </w:r>
      <w:r w:rsidRPr="00D302E5">
        <w:rPr>
          <w:rFonts w:cs="Calibri"/>
          <w:sz w:val="24"/>
          <w:szCs w:val="24"/>
        </w:rPr>
        <w:t>Automation streamlines processes, lowers production costs over time, and enhances product consistency and quality control.</w:t>
      </w:r>
    </w:p>
    <w:p w14:paraId="79F36316" w14:textId="77777777" w:rsidR="00D302E5" w:rsidRPr="00D302E5" w:rsidRDefault="00D302E5" w:rsidP="00265697">
      <w:pPr>
        <w:spacing w:line="276" w:lineRule="auto"/>
        <w:rPr>
          <w:rFonts w:cs="Calibri"/>
          <w:b/>
          <w:bCs/>
          <w:sz w:val="24"/>
          <w:szCs w:val="24"/>
        </w:rPr>
      </w:pPr>
      <w:r w:rsidRPr="00D302E5">
        <w:rPr>
          <w:rFonts w:cs="Calibri"/>
          <w:b/>
          <w:bCs/>
          <w:sz w:val="24"/>
          <w:szCs w:val="24"/>
        </w:rPr>
        <w:t>Advanced Quality Control &amp; Testing Systems – $700,000</w:t>
      </w:r>
    </w:p>
    <w:p w14:paraId="6471B5B3" w14:textId="7FA297A7" w:rsidR="00D302E5" w:rsidRPr="00D302E5" w:rsidRDefault="00D302E5" w:rsidP="00265697">
      <w:pPr>
        <w:spacing w:line="276" w:lineRule="auto"/>
        <w:rPr>
          <w:rFonts w:cs="Calibri"/>
          <w:sz w:val="24"/>
          <w:szCs w:val="24"/>
        </w:rPr>
      </w:pPr>
      <w:r w:rsidRPr="00D302E5">
        <w:rPr>
          <w:rFonts w:cs="Calibri"/>
          <w:sz w:val="24"/>
          <w:szCs w:val="24"/>
        </w:rPr>
        <w:t>Quality control systems are vital for ensuring that each EV charger meets stringent safety and performance standards. This allocation includes environmental testing, electrical safety checks, and durability assessments.</w:t>
      </w:r>
      <w:r w:rsidRPr="00BD71F8">
        <w:rPr>
          <w:rFonts w:cs="Calibri"/>
          <w:sz w:val="24"/>
          <w:szCs w:val="24"/>
        </w:rPr>
        <w:t xml:space="preserve"> </w:t>
      </w:r>
      <w:r w:rsidRPr="00D302E5">
        <w:rPr>
          <w:rFonts w:cs="Calibri"/>
          <w:sz w:val="24"/>
          <w:szCs w:val="24"/>
        </w:rPr>
        <w:t>EV chargers require reliable quality control to withstand variable environmental conditions and high usage demands. Investing in advanced testing reduces the risk of product failure and enhances customer trust.</w:t>
      </w:r>
      <w:r w:rsidRPr="00BD71F8">
        <w:rPr>
          <w:rFonts w:cs="Calibri"/>
          <w:sz w:val="24"/>
          <w:szCs w:val="24"/>
        </w:rPr>
        <w:t xml:space="preserve"> </w:t>
      </w:r>
      <w:r w:rsidRPr="00D302E5">
        <w:rPr>
          <w:rFonts w:cs="Calibri"/>
          <w:sz w:val="24"/>
          <w:szCs w:val="24"/>
        </w:rPr>
        <w:t>Improved testing capabilities help maintain high product standards, protect brand reputation, and ensure compliance with industry regulations.</w:t>
      </w:r>
    </w:p>
    <w:p w14:paraId="79547A4D" w14:textId="77777777" w:rsidR="00D302E5" w:rsidRPr="00D302E5" w:rsidRDefault="00D302E5" w:rsidP="00265697">
      <w:pPr>
        <w:spacing w:line="276" w:lineRule="auto"/>
        <w:rPr>
          <w:rFonts w:cs="Calibri"/>
          <w:b/>
          <w:bCs/>
          <w:sz w:val="24"/>
          <w:szCs w:val="24"/>
        </w:rPr>
      </w:pPr>
      <w:r w:rsidRPr="00D302E5">
        <w:rPr>
          <w:rFonts w:cs="Calibri"/>
          <w:b/>
          <w:bCs/>
          <w:sz w:val="24"/>
          <w:szCs w:val="24"/>
        </w:rPr>
        <w:t>Precision Welding Machines – $600,000</w:t>
      </w:r>
    </w:p>
    <w:p w14:paraId="441ED298" w14:textId="7F4F155B" w:rsidR="00D302E5" w:rsidRPr="00D302E5" w:rsidRDefault="00D302E5" w:rsidP="00265697">
      <w:pPr>
        <w:spacing w:line="276" w:lineRule="auto"/>
        <w:rPr>
          <w:rFonts w:cs="Calibri"/>
          <w:sz w:val="24"/>
          <w:szCs w:val="24"/>
        </w:rPr>
      </w:pPr>
      <w:r w:rsidRPr="00D302E5">
        <w:rPr>
          <w:rFonts w:cs="Calibri"/>
          <w:sz w:val="24"/>
          <w:szCs w:val="24"/>
        </w:rPr>
        <w:t>Welding machines provide precise, high-strength connections in the assembly of EV chargers, essential for both durability and safety.</w:t>
      </w:r>
      <w:r w:rsidRPr="00BD71F8">
        <w:rPr>
          <w:rFonts w:cs="Calibri"/>
          <w:sz w:val="24"/>
          <w:szCs w:val="24"/>
        </w:rPr>
        <w:t xml:space="preserve"> </w:t>
      </w:r>
      <w:r w:rsidRPr="00D302E5">
        <w:rPr>
          <w:rFonts w:cs="Calibri"/>
          <w:sz w:val="24"/>
          <w:szCs w:val="24"/>
        </w:rPr>
        <w:t>High-quality welds are crucial for components exposed to environmental stress and for maintaining structural integrity in the final product.</w:t>
      </w:r>
      <w:r w:rsidRPr="00BD71F8">
        <w:rPr>
          <w:rFonts w:cs="Calibri"/>
          <w:sz w:val="24"/>
          <w:szCs w:val="24"/>
        </w:rPr>
        <w:t xml:space="preserve"> </w:t>
      </w:r>
      <w:r w:rsidRPr="00D302E5">
        <w:rPr>
          <w:rFonts w:cs="Calibri"/>
          <w:sz w:val="24"/>
          <w:szCs w:val="24"/>
        </w:rPr>
        <w:t>Robust connections increase the lifespan of EV chargers and improve user safety, thereby reducing maintenance and replacement costs.</w:t>
      </w:r>
    </w:p>
    <w:p w14:paraId="6D81FA31" w14:textId="77777777" w:rsidR="00D302E5" w:rsidRPr="00D302E5" w:rsidRDefault="00D302E5" w:rsidP="00265697">
      <w:pPr>
        <w:spacing w:line="276" w:lineRule="auto"/>
        <w:rPr>
          <w:rFonts w:cs="Calibri"/>
          <w:b/>
          <w:bCs/>
          <w:sz w:val="24"/>
          <w:szCs w:val="24"/>
        </w:rPr>
      </w:pPr>
      <w:r w:rsidRPr="00D302E5">
        <w:rPr>
          <w:rFonts w:cs="Calibri"/>
          <w:b/>
          <w:bCs/>
          <w:sz w:val="24"/>
          <w:szCs w:val="24"/>
        </w:rPr>
        <w:t>High-Capacity CNC Machines – $600,000</w:t>
      </w:r>
    </w:p>
    <w:p w14:paraId="04EED3DB" w14:textId="160E840D" w:rsidR="00D302E5" w:rsidRPr="00D302E5" w:rsidRDefault="00D302E5" w:rsidP="00265697">
      <w:pPr>
        <w:spacing w:line="276" w:lineRule="auto"/>
        <w:rPr>
          <w:rFonts w:cs="Calibri"/>
          <w:sz w:val="24"/>
          <w:szCs w:val="24"/>
        </w:rPr>
      </w:pPr>
      <w:r w:rsidRPr="00D302E5">
        <w:rPr>
          <w:rFonts w:cs="Calibri"/>
          <w:sz w:val="24"/>
          <w:szCs w:val="24"/>
        </w:rPr>
        <w:t>CNC machines allow the plant to produce custom parts for EV chargers, enabling flexibility in product design and rapid adaptation to new technologies.</w:t>
      </w:r>
      <w:r w:rsidRPr="00BD71F8">
        <w:rPr>
          <w:rFonts w:cs="Calibri"/>
          <w:sz w:val="24"/>
          <w:szCs w:val="24"/>
        </w:rPr>
        <w:t xml:space="preserve"> </w:t>
      </w:r>
      <w:r w:rsidRPr="00D302E5">
        <w:rPr>
          <w:rFonts w:cs="Calibri"/>
          <w:sz w:val="24"/>
          <w:szCs w:val="24"/>
        </w:rPr>
        <w:t xml:space="preserve">In-house CNC machining capabilities </w:t>
      </w:r>
      <w:r w:rsidRPr="00D302E5">
        <w:rPr>
          <w:rFonts w:cs="Calibri"/>
          <w:sz w:val="24"/>
          <w:szCs w:val="24"/>
        </w:rPr>
        <w:lastRenderedPageBreak/>
        <w:t>reduce dependency on external suppliers and support efficient prototyping and production adjustments.</w:t>
      </w:r>
      <w:r w:rsidR="007845A0" w:rsidRPr="00BD71F8">
        <w:rPr>
          <w:rFonts w:cs="Calibri"/>
          <w:sz w:val="24"/>
          <w:szCs w:val="24"/>
        </w:rPr>
        <w:t xml:space="preserve"> </w:t>
      </w:r>
      <w:r w:rsidRPr="00D302E5">
        <w:rPr>
          <w:rFonts w:cs="Calibri"/>
          <w:sz w:val="24"/>
          <w:szCs w:val="24"/>
        </w:rPr>
        <w:t>This equipment enhances production flexibility, speeds up lead times, and supports efficient scaling and model variation within the product line.</w:t>
      </w:r>
    </w:p>
    <w:p w14:paraId="59422F7B" w14:textId="745CD207" w:rsidR="00D302E5" w:rsidRPr="00D302E5" w:rsidRDefault="00D302E5" w:rsidP="00265697">
      <w:pPr>
        <w:spacing w:line="276" w:lineRule="auto"/>
        <w:rPr>
          <w:rFonts w:cs="Calibri"/>
          <w:b/>
          <w:bCs/>
          <w:sz w:val="24"/>
          <w:szCs w:val="24"/>
        </w:rPr>
      </w:pPr>
      <w:r w:rsidRPr="00D302E5">
        <w:rPr>
          <w:rFonts w:cs="Calibri"/>
          <w:b/>
          <w:bCs/>
          <w:sz w:val="24"/>
          <w:szCs w:val="24"/>
        </w:rPr>
        <w:t xml:space="preserve">Industrial Injection </w:t>
      </w:r>
      <w:r w:rsidR="00341FDB" w:rsidRPr="00D302E5">
        <w:rPr>
          <w:rFonts w:cs="Calibri"/>
          <w:b/>
          <w:bCs/>
          <w:sz w:val="24"/>
          <w:szCs w:val="24"/>
        </w:rPr>
        <w:t>Moulding</w:t>
      </w:r>
      <w:r w:rsidRPr="00D302E5">
        <w:rPr>
          <w:rFonts w:cs="Calibri"/>
          <w:b/>
          <w:bCs/>
          <w:sz w:val="24"/>
          <w:szCs w:val="24"/>
        </w:rPr>
        <w:t xml:space="preserve"> Machine – $500,000</w:t>
      </w:r>
    </w:p>
    <w:p w14:paraId="1600891B" w14:textId="162A983E" w:rsidR="00D302E5" w:rsidRPr="00D302E5" w:rsidRDefault="00D302E5" w:rsidP="00265697">
      <w:pPr>
        <w:spacing w:line="276" w:lineRule="auto"/>
        <w:rPr>
          <w:rFonts w:cs="Calibri"/>
          <w:sz w:val="24"/>
          <w:szCs w:val="24"/>
        </w:rPr>
      </w:pPr>
      <w:r w:rsidRPr="00D302E5">
        <w:rPr>
          <w:rFonts w:cs="Calibri"/>
          <w:sz w:val="24"/>
          <w:szCs w:val="24"/>
        </w:rPr>
        <w:t xml:space="preserve">Injection </w:t>
      </w:r>
      <w:r w:rsidR="00341FDB" w:rsidRPr="00D302E5">
        <w:rPr>
          <w:rFonts w:cs="Calibri"/>
          <w:sz w:val="24"/>
          <w:szCs w:val="24"/>
        </w:rPr>
        <w:t>melding</w:t>
      </w:r>
      <w:r w:rsidRPr="00D302E5">
        <w:rPr>
          <w:rFonts w:cs="Calibri"/>
          <w:sz w:val="24"/>
          <w:szCs w:val="24"/>
        </w:rPr>
        <w:t xml:space="preserve"> allows for the efficient production of plastic components, a common material in EV chargers.</w:t>
      </w:r>
      <w:r w:rsidR="007845A0" w:rsidRPr="00BD71F8">
        <w:rPr>
          <w:rFonts w:cs="Calibri"/>
          <w:sz w:val="24"/>
          <w:szCs w:val="24"/>
        </w:rPr>
        <w:t xml:space="preserve"> </w:t>
      </w:r>
      <w:r w:rsidRPr="00D302E5">
        <w:rPr>
          <w:rFonts w:cs="Calibri"/>
          <w:sz w:val="24"/>
          <w:szCs w:val="24"/>
        </w:rPr>
        <w:t>This equipment supports cost-effective, high-volume production, especially valuable for producing standardi</w:t>
      </w:r>
      <w:r w:rsidR="00341FDB">
        <w:rPr>
          <w:rFonts w:cs="Calibri"/>
          <w:sz w:val="24"/>
          <w:szCs w:val="24"/>
        </w:rPr>
        <w:t>s</w:t>
      </w:r>
      <w:r w:rsidRPr="00D302E5">
        <w:rPr>
          <w:rFonts w:cs="Calibri"/>
          <w:sz w:val="24"/>
          <w:szCs w:val="24"/>
        </w:rPr>
        <w:t>ed plastic parts.</w:t>
      </w:r>
      <w:r w:rsidR="007845A0" w:rsidRPr="00BD71F8">
        <w:rPr>
          <w:rFonts w:cs="Calibri"/>
          <w:sz w:val="24"/>
          <w:szCs w:val="24"/>
        </w:rPr>
        <w:t xml:space="preserve"> </w:t>
      </w:r>
      <w:r w:rsidRPr="00D302E5">
        <w:rPr>
          <w:rFonts w:cs="Calibri"/>
          <w:sz w:val="24"/>
          <w:szCs w:val="24"/>
        </w:rPr>
        <w:t>In-house production of plastic components reduces material costs and dependency on external suppliers, enabling rapid response to increased production demands.</w:t>
      </w:r>
    </w:p>
    <w:p w14:paraId="2D989405" w14:textId="77777777" w:rsidR="00D302E5" w:rsidRPr="00D302E5" w:rsidRDefault="00D302E5" w:rsidP="00265697">
      <w:pPr>
        <w:spacing w:line="276" w:lineRule="auto"/>
        <w:rPr>
          <w:rFonts w:cs="Calibri"/>
          <w:b/>
          <w:bCs/>
          <w:sz w:val="24"/>
          <w:szCs w:val="24"/>
        </w:rPr>
      </w:pPr>
      <w:r w:rsidRPr="00D302E5">
        <w:rPr>
          <w:rFonts w:cs="Calibri"/>
          <w:b/>
          <w:bCs/>
          <w:sz w:val="24"/>
          <w:szCs w:val="24"/>
        </w:rPr>
        <w:t>Advanced Robotic Arms for Assembly – $400,000</w:t>
      </w:r>
    </w:p>
    <w:p w14:paraId="0A45A39C" w14:textId="524A2DA0" w:rsidR="00D302E5" w:rsidRPr="00D302E5" w:rsidRDefault="00D302E5" w:rsidP="00265697">
      <w:pPr>
        <w:spacing w:line="276" w:lineRule="auto"/>
        <w:rPr>
          <w:rFonts w:cs="Calibri"/>
          <w:sz w:val="24"/>
          <w:szCs w:val="24"/>
        </w:rPr>
      </w:pPr>
      <w:r w:rsidRPr="00D302E5">
        <w:rPr>
          <w:rFonts w:cs="Calibri"/>
          <w:sz w:val="24"/>
          <w:szCs w:val="24"/>
        </w:rPr>
        <w:t xml:space="preserve">Robotic arms handle repetitive and precision tasks that would otherwise require human </w:t>
      </w:r>
      <w:r w:rsidR="00341FDB" w:rsidRPr="00D302E5">
        <w:rPr>
          <w:rFonts w:cs="Calibri"/>
          <w:sz w:val="24"/>
          <w:szCs w:val="24"/>
        </w:rPr>
        <w:t>labour</w:t>
      </w:r>
      <w:r w:rsidR="00D9346C">
        <w:rPr>
          <w:rFonts w:cs="Calibri"/>
          <w:sz w:val="24"/>
          <w:szCs w:val="24"/>
        </w:rPr>
        <w:t xml:space="preserve"> </w:t>
      </w:r>
      <w:r w:rsidRPr="00D302E5">
        <w:rPr>
          <w:rFonts w:cs="Calibri"/>
          <w:sz w:val="24"/>
          <w:szCs w:val="24"/>
        </w:rPr>
        <w:t>ensuring efficiency and safety.</w:t>
      </w:r>
      <w:r w:rsidR="007845A0" w:rsidRPr="00BD71F8">
        <w:rPr>
          <w:rFonts w:cs="Calibri"/>
          <w:sz w:val="24"/>
          <w:szCs w:val="24"/>
        </w:rPr>
        <w:t xml:space="preserve"> </w:t>
      </w:r>
      <w:r w:rsidRPr="00D302E5">
        <w:rPr>
          <w:rFonts w:cs="Calibri"/>
          <w:sz w:val="24"/>
          <w:szCs w:val="24"/>
        </w:rPr>
        <w:t>Robotic arms enable a high level of precision and speed which is important for consistent product quality.</w:t>
      </w:r>
      <w:r w:rsidR="007845A0" w:rsidRPr="00BD71F8">
        <w:rPr>
          <w:rFonts w:cs="Calibri"/>
          <w:sz w:val="24"/>
          <w:szCs w:val="24"/>
        </w:rPr>
        <w:t xml:space="preserve"> </w:t>
      </w:r>
      <w:r w:rsidRPr="00D302E5">
        <w:rPr>
          <w:rFonts w:cs="Calibri"/>
          <w:sz w:val="24"/>
          <w:szCs w:val="24"/>
        </w:rPr>
        <w:t xml:space="preserve">This investment cuts down on manual </w:t>
      </w:r>
      <w:r w:rsidR="00341FDB" w:rsidRPr="00D302E5">
        <w:rPr>
          <w:rFonts w:cs="Calibri"/>
          <w:sz w:val="24"/>
          <w:szCs w:val="24"/>
        </w:rPr>
        <w:t>labour</w:t>
      </w:r>
      <w:r w:rsidRPr="00D302E5">
        <w:rPr>
          <w:rFonts w:cs="Calibri"/>
          <w:sz w:val="24"/>
          <w:szCs w:val="24"/>
        </w:rPr>
        <w:t xml:space="preserve"> costs, increases safety and enhances the speed of production all of which improve operational efficiency.</w:t>
      </w:r>
    </w:p>
    <w:p w14:paraId="2CA258C9" w14:textId="77777777" w:rsidR="00D302E5" w:rsidRPr="00D302E5" w:rsidRDefault="00D302E5" w:rsidP="00265697">
      <w:pPr>
        <w:spacing w:line="276" w:lineRule="auto"/>
        <w:rPr>
          <w:rFonts w:cs="Calibri"/>
          <w:b/>
          <w:bCs/>
          <w:sz w:val="24"/>
          <w:szCs w:val="24"/>
        </w:rPr>
      </w:pPr>
      <w:r w:rsidRPr="00D302E5">
        <w:rPr>
          <w:rFonts w:cs="Calibri"/>
          <w:b/>
          <w:bCs/>
          <w:sz w:val="24"/>
          <w:szCs w:val="24"/>
        </w:rPr>
        <w:t>Laser Cutting and Engraving Systems – $250,000</w:t>
      </w:r>
    </w:p>
    <w:p w14:paraId="10A16853" w14:textId="19BC60D1" w:rsidR="00D302E5" w:rsidRPr="00D302E5" w:rsidRDefault="00D302E5" w:rsidP="00265697">
      <w:pPr>
        <w:spacing w:line="276" w:lineRule="auto"/>
        <w:rPr>
          <w:rFonts w:cs="Calibri"/>
          <w:sz w:val="24"/>
          <w:szCs w:val="24"/>
        </w:rPr>
      </w:pPr>
      <w:r w:rsidRPr="00D302E5">
        <w:rPr>
          <w:rFonts w:cs="Calibri"/>
          <w:sz w:val="24"/>
          <w:szCs w:val="24"/>
        </w:rPr>
        <w:t>Laser cutting and engraving equipment provide precision in component production and allow for customi</w:t>
      </w:r>
      <w:r w:rsidR="00165076">
        <w:rPr>
          <w:rFonts w:cs="Calibri"/>
          <w:sz w:val="24"/>
          <w:szCs w:val="24"/>
        </w:rPr>
        <w:t>s</w:t>
      </w:r>
      <w:r w:rsidRPr="00D302E5">
        <w:rPr>
          <w:rFonts w:cs="Calibri"/>
          <w:sz w:val="24"/>
          <w:szCs w:val="24"/>
        </w:rPr>
        <w:t>ed part manufacturing.</w:t>
      </w:r>
      <w:r w:rsidR="007845A0" w:rsidRPr="00BD71F8">
        <w:rPr>
          <w:rFonts w:cs="Calibri"/>
          <w:sz w:val="24"/>
          <w:szCs w:val="24"/>
        </w:rPr>
        <w:t xml:space="preserve"> </w:t>
      </w:r>
      <w:r w:rsidRPr="00D302E5">
        <w:rPr>
          <w:rFonts w:cs="Calibri"/>
          <w:sz w:val="24"/>
          <w:szCs w:val="24"/>
        </w:rPr>
        <w:t>This equipment reduces waste by achieving accurate cuts and supports flexible production needs, especially for new or customi</w:t>
      </w:r>
      <w:r w:rsidR="00341FDB">
        <w:rPr>
          <w:rFonts w:cs="Calibri"/>
          <w:sz w:val="24"/>
          <w:szCs w:val="24"/>
        </w:rPr>
        <w:t>s</w:t>
      </w:r>
      <w:r w:rsidRPr="00D302E5">
        <w:rPr>
          <w:rFonts w:cs="Calibri"/>
          <w:sz w:val="24"/>
          <w:szCs w:val="24"/>
        </w:rPr>
        <w:t>ed product lines.</w:t>
      </w:r>
      <w:r w:rsidR="007845A0" w:rsidRPr="00BD71F8">
        <w:rPr>
          <w:rFonts w:cs="Calibri"/>
          <w:sz w:val="24"/>
          <w:szCs w:val="24"/>
        </w:rPr>
        <w:t xml:space="preserve"> </w:t>
      </w:r>
      <w:r w:rsidRPr="00D302E5">
        <w:rPr>
          <w:rFonts w:cs="Calibri"/>
          <w:sz w:val="24"/>
          <w:szCs w:val="24"/>
        </w:rPr>
        <w:t>Laser cutting reduces material wastage, improves the fit and finish of components, and offers flexibility in design.</w:t>
      </w:r>
    </w:p>
    <w:p w14:paraId="1B2BEFC0" w14:textId="77777777" w:rsidR="00D302E5" w:rsidRPr="00D302E5" w:rsidRDefault="00D302E5" w:rsidP="00265697">
      <w:pPr>
        <w:spacing w:line="276" w:lineRule="auto"/>
        <w:rPr>
          <w:rFonts w:cs="Calibri"/>
          <w:b/>
          <w:bCs/>
          <w:sz w:val="24"/>
          <w:szCs w:val="24"/>
        </w:rPr>
      </w:pPr>
      <w:r w:rsidRPr="00D302E5">
        <w:rPr>
          <w:rFonts w:cs="Calibri"/>
          <w:b/>
          <w:bCs/>
          <w:sz w:val="24"/>
          <w:szCs w:val="24"/>
        </w:rPr>
        <w:t>Miscellaneous High-Performance Tools – $220,000</w:t>
      </w:r>
    </w:p>
    <w:p w14:paraId="69841503" w14:textId="5A1CA398" w:rsidR="007845A0" w:rsidRPr="007845A0" w:rsidRDefault="00D302E5" w:rsidP="00265697">
      <w:pPr>
        <w:spacing w:line="276" w:lineRule="auto"/>
        <w:rPr>
          <w:rFonts w:cs="Calibri"/>
          <w:sz w:val="24"/>
          <w:szCs w:val="24"/>
        </w:rPr>
      </w:pPr>
      <w:r w:rsidRPr="00D302E5">
        <w:rPr>
          <w:rFonts w:cs="Calibri"/>
          <w:sz w:val="24"/>
          <w:szCs w:val="24"/>
        </w:rPr>
        <w:t>Miscellaneous tools include essential equipment for daily operations such as calibration tools, drills, and saws, which are necessary for supporting production and maintenance.</w:t>
      </w:r>
      <w:r w:rsidR="007845A0" w:rsidRPr="00BD71F8">
        <w:rPr>
          <w:rFonts w:cs="Calibri"/>
          <w:sz w:val="24"/>
          <w:szCs w:val="24"/>
        </w:rPr>
        <w:t xml:space="preserve"> </w:t>
      </w:r>
      <w:r w:rsidRPr="00D302E5">
        <w:rPr>
          <w:rFonts w:cs="Calibri"/>
          <w:sz w:val="24"/>
          <w:szCs w:val="24"/>
        </w:rPr>
        <w:t xml:space="preserve">A fully outfitted manufacturing floor requires reliable high-quality tools to support smooth operation and ongoing </w:t>
      </w:r>
      <w:r w:rsidR="007845A0" w:rsidRPr="00BD71F8">
        <w:rPr>
          <w:rFonts w:cs="Calibri"/>
          <w:sz w:val="24"/>
          <w:szCs w:val="24"/>
        </w:rPr>
        <w:t>maintenance. High</w:t>
      </w:r>
      <w:r w:rsidRPr="00D302E5">
        <w:rPr>
          <w:rFonts w:cs="Calibri"/>
          <w:sz w:val="24"/>
          <w:szCs w:val="24"/>
        </w:rPr>
        <w:t xml:space="preserve">-performance tools support productivity ensure worker </w:t>
      </w:r>
      <w:proofErr w:type="gramStart"/>
      <w:r w:rsidRPr="00D302E5">
        <w:rPr>
          <w:rFonts w:cs="Calibri"/>
          <w:sz w:val="24"/>
          <w:szCs w:val="24"/>
        </w:rPr>
        <w:t>safety, and</w:t>
      </w:r>
      <w:proofErr w:type="gramEnd"/>
      <w:r w:rsidRPr="00D302E5">
        <w:rPr>
          <w:rFonts w:cs="Calibri"/>
          <w:sz w:val="24"/>
          <w:szCs w:val="24"/>
        </w:rPr>
        <w:t xml:space="preserve"> reduce downtime due to equipment failure.</w:t>
      </w:r>
    </w:p>
    <w:tbl>
      <w:tblPr>
        <w:tblStyle w:val="PlainTable1"/>
        <w:tblW w:w="930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901"/>
        <w:gridCol w:w="2403"/>
      </w:tblGrid>
      <w:tr w:rsidR="007845A0" w:rsidRPr="00BD71F8" w14:paraId="52B23AA6" w14:textId="77777777" w:rsidTr="00397FFD">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0B26F161" w14:textId="77777777" w:rsidR="007845A0" w:rsidRPr="007845A0" w:rsidRDefault="007845A0" w:rsidP="00265697">
            <w:pPr>
              <w:spacing w:after="160" w:line="276" w:lineRule="auto"/>
              <w:rPr>
                <w:rFonts w:cs="Calibri"/>
                <w:sz w:val="24"/>
                <w:szCs w:val="24"/>
              </w:rPr>
            </w:pPr>
            <w:r w:rsidRPr="007845A0">
              <w:rPr>
                <w:rFonts w:cs="Calibri"/>
                <w:sz w:val="24"/>
                <w:szCs w:val="24"/>
              </w:rPr>
              <w:t>Equipment Type</w:t>
            </w:r>
          </w:p>
        </w:tc>
        <w:tc>
          <w:tcPr>
            <w:tcW w:w="0" w:type="auto"/>
            <w:hideMark/>
          </w:tcPr>
          <w:p w14:paraId="7006CF2E" w14:textId="77777777" w:rsidR="007845A0" w:rsidRPr="007845A0" w:rsidRDefault="007845A0" w:rsidP="00265697">
            <w:pPr>
              <w:spacing w:after="160" w:line="276" w:lineRule="auto"/>
              <w:cnfStyle w:val="100000000000" w:firstRow="1" w:lastRow="0" w:firstColumn="0" w:lastColumn="0" w:oddVBand="0" w:evenVBand="0" w:oddHBand="0" w:evenHBand="0" w:firstRowFirstColumn="0" w:firstRowLastColumn="0" w:lastRowFirstColumn="0" w:lastRowLastColumn="0"/>
              <w:rPr>
                <w:rFonts w:cs="Calibri"/>
                <w:sz w:val="24"/>
                <w:szCs w:val="24"/>
              </w:rPr>
            </w:pPr>
            <w:r w:rsidRPr="007845A0">
              <w:rPr>
                <w:rFonts w:cs="Calibri"/>
                <w:sz w:val="24"/>
                <w:szCs w:val="24"/>
              </w:rPr>
              <w:t>Cost Estimate</w:t>
            </w:r>
          </w:p>
        </w:tc>
      </w:tr>
      <w:tr w:rsidR="007845A0" w:rsidRPr="00BD71F8" w14:paraId="60000DC2" w14:textId="77777777" w:rsidTr="00397FFD">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0" w:type="auto"/>
            <w:hideMark/>
          </w:tcPr>
          <w:p w14:paraId="1A80E2D9" w14:textId="77777777" w:rsidR="007845A0" w:rsidRPr="007845A0" w:rsidRDefault="007845A0" w:rsidP="00265697">
            <w:pPr>
              <w:spacing w:after="160" w:line="276" w:lineRule="auto"/>
              <w:rPr>
                <w:rFonts w:cs="Calibri"/>
                <w:b w:val="0"/>
                <w:bCs w:val="0"/>
                <w:sz w:val="24"/>
                <w:szCs w:val="24"/>
              </w:rPr>
            </w:pPr>
            <w:r w:rsidRPr="007845A0">
              <w:rPr>
                <w:rFonts w:cs="Calibri"/>
                <w:b w:val="0"/>
                <w:bCs w:val="0"/>
                <w:sz w:val="24"/>
                <w:szCs w:val="24"/>
              </w:rPr>
              <w:t>High-Capacity Automated Assembly Line</w:t>
            </w:r>
          </w:p>
        </w:tc>
        <w:tc>
          <w:tcPr>
            <w:tcW w:w="0" w:type="auto"/>
            <w:hideMark/>
          </w:tcPr>
          <w:p w14:paraId="5D8B71ED" w14:textId="77777777" w:rsidR="007845A0" w:rsidRPr="007845A0" w:rsidRDefault="007845A0"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845A0">
              <w:rPr>
                <w:rFonts w:cs="Calibri"/>
                <w:sz w:val="24"/>
                <w:szCs w:val="24"/>
              </w:rPr>
              <w:t>$1,500,000</w:t>
            </w:r>
          </w:p>
        </w:tc>
      </w:tr>
      <w:tr w:rsidR="007845A0" w:rsidRPr="00BD71F8" w14:paraId="1C90E304" w14:textId="77777777" w:rsidTr="00397FFD">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7D1CC4B5" w14:textId="77777777" w:rsidR="007845A0" w:rsidRPr="007845A0" w:rsidRDefault="007845A0" w:rsidP="00265697">
            <w:pPr>
              <w:spacing w:after="160" w:line="276" w:lineRule="auto"/>
              <w:rPr>
                <w:rFonts w:cs="Calibri"/>
                <w:b w:val="0"/>
                <w:bCs w:val="0"/>
                <w:sz w:val="24"/>
                <w:szCs w:val="24"/>
              </w:rPr>
            </w:pPr>
            <w:r w:rsidRPr="007845A0">
              <w:rPr>
                <w:rFonts w:cs="Calibri"/>
                <w:b w:val="0"/>
                <w:bCs w:val="0"/>
                <w:sz w:val="24"/>
                <w:szCs w:val="24"/>
              </w:rPr>
              <w:t>Advanced Quality Control &amp; Testing Systems</w:t>
            </w:r>
          </w:p>
        </w:tc>
        <w:tc>
          <w:tcPr>
            <w:tcW w:w="0" w:type="auto"/>
            <w:hideMark/>
          </w:tcPr>
          <w:p w14:paraId="53B34FE9" w14:textId="77777777" w:rsidR="007845A0" w:rsidRPr="007845A0" w:rsidRDefault="007845A0"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845A0">
              <w:rPr>
                <w:rFonts w:cs="Calibri"/>
                <w:sz w:val="24"/>
                <w:szCs w:val="24"/>
              </w:rPr>
              <w:t>$700,000</w:t>
            </w:r>
          </w:p>
        </w:tc>
      </w:tr>
      <w:tr w:rsidR="007845A0" w:rsidRPr="00BD71F8" w14:paraId="38E1C57B" w14:textId="77777777" w:rsidTr="00397FF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7D61C653" w14:textId="77777777" w:rsidR="007845A0" w:rsidRPr="007845A0" w:rsidRDefault="007845A0" w:rsidP="00265697">
            <w:pPr>
              <w:spacing w:after="160" w:line="276" w:lineRule="auto"/>
              <w:rPr>
                <w:rFonts w:cs="Calibri"/>
                <w:b w:val="0"/>
                <w:bCs w:val="0"/>
                <w:sz w:val="24"/>
                <w:szCs w:val="24"/>
              </w:rPr>
            </w:pPr>
            <w:r w:rsidRPr="007845A0">
              <w:rPr>
                <w:rFonts w:cs="Calibri"/>
                <w:b w:val="0"/>
                <w:bCs w:val="0"/>
                <w:sz w:val="24"/>
                <w:szCs w:val="24"/>
              </w:rPr>
              <w:t>Precision Welding Machines</w:t>
            </w:r>
          </w:p>
        </w:tc>
        <w:tc>
          <w:tcPr>
            <w:tcW w:w="0" w:type="auto"/>
            <w:hideMark/>
          </w:tcPr>
          <w:p w14:paraId="2B024EFF" w14:textId="77777777" w:rsidR="007845A0" w:rsidRPr="007845A0" w:rsidRDefault="007845A0"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845A0">
              <w:rPr>
                <w:rFonts w:cs="Calibri"/>
                <w:sz w:val="24"/>
                <w:szCs w:val="24"/>
              </w:rPr>
              <w:t>$600,000</w:t>
            </w:r>
          </w:p>
        </w:tc>
      </w:tr>
      <w:tr w:rsidR="007845A0" w:rsidRPr="00BD71F8" w14:paraId="562DD548" w14:textId="77777777" w:rsidTr="00397FFD">
        <w:trPr>
          <w:trHeight w:val="498"/>
        </w:trPr>
        <w:tc>
          <w:tcPr>
            <w:cnfStyle w:val="001000000000" w:firstRow="0" w:lastRow="0" w:firstColumn="1" w:lastColumn="0" w:oddVBand="0" w:evenVBand="0" w:oddHBand="0" w:evenHBand="0" w:firstRowFirstColumn="0" w:firstRowLastColumn="0" w:lastRowFirstColumn="0" w:lastRowLastColumn="0"/>
            <w:tcW w:w="0" w:type="auto"/>
            <w:hideMark/>
          </w:tcPr>
          <w:p w14:paraId="4861C597" w14:textId="77777777" w:rsidR="007845A0" w:rsidRPr="007845A0" w:rsidRDefault="007845A0" w:rsidP="00265697">
            <w:pPr>
              <w:spacing w:after="160" w:line="276" w:lineRule="auto"/>
              <w:rPr>
                <w:rFonts w:cs="Calibri"/>
                <w:b w:val="0"/>
                <w:bCs w:val="0"/>
                <w:sz w:val="24"/>
                <w:szCs w:val="24"/>
              </w:rPr>
            </w:pPr>
            <w:r w:rsidRPr="007845A0">
              <w:rPr>
                <w:rFonts w:cs="Calibri"/>
                <w:b w:val="0"/>
                <w:bCs w:val="0"/>
                <w:sz w:val="24"/>
                <w:szCs w:val="24"/>
              </w:rPr>
              <w:lastRenderedPageBreak/>
              <w:t>High-Capacity CNC Machines</w:t>
            </w:r>
          </w:p>
        </w:tc>
        <w:tc>
          <w:tcPr>
            <w:tcW w:w="0" w:type="auto"/>
            <w:hideMark/>
          </w:tcPr>
          <w:p w14:paraId="69E61DC0" w14:textId="77777777" w:rsidR="007845A0" w:rsidRPr="007845A0" w:rsidRDefault="007845A0"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845A0">
              <w:rPr>
                <w:rFonts w:cs="Calibri"/>
                <w:sz w:val="24"/>
                <w:szCs w:val="24"/>
              </w:rPr>
              <w:t>$600,000</w:t>
            </w:r>
          </w:p>
        </w:tc>
      </w:tr>
      <w:tr w:rsidR="007845A0" w:rsidRPr="00BD71F8" w14:paraId="36CDB1DA" w14:textId="77777777" w:rsidTr="00397FF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375C06F2" w14:textId="06D83E83" w:rsidR="007845A0" w:rsidRPr="007845A0" w:rsidRDefault="007845A0" w:rsidP="00265697">
            <w:pPr>
              <w:spacing w:after="160" w:line="276" w:lineRule="auto"/>
              <w:rPr>
                <w:rFonts w:cs="Calibri"/>
                <w:b w:val="0"/>
                <w:bCs w:val="0"/>
                <w:sz w:val="24"/>
                <w:szCs w:val="24"/>
              </w:rPr>
            </w:pPr>
            <w:r w:rsidRPr="007845A0">
              <w:rPr>
                <w:rFonts w:cs="Calibri"/>
                <w:b w:val="0"/>
                <w:bCs w:val="0"/>
                <w:sz w:val="24"/>
                <w:szCs w:val="24"/>
              </w:rPr>
              <w:t xml:space="preserve">Industrial Injection </w:t>
            </w:r>
            <w:r w:rsidR="00341FDB" w:rsidRPr="00EF321F">
              <w:rPr>
                <w:rFonts w:cs="Calibri"/>
                <w:b w:val="0"/>
                <w:bCs w:val="0"/>
                <w:sz w:val="24"/>
                <w:szCs w:val="24"/>
              </w:rPr>
              <w:t>Moulding</w:t>
            </w:r>
            <w:r w:rsidRPr="007845A0">
              <w:rPr>
                <w:rFonts w:cs="Calibri"/>
                <w:b w:val="0"/>
                <w:bCs w:val="0"/>
                <w:sz w:val="24"/>
                <w:szCs w:val="24"/>
              </w:rPr>
              <w:t xml:space="preserve"> Machine</w:t>
            </w:r>
          </w:p>
        </w:tc>
        <w:tc>
          <w:tcPr>
            <w:tcW w:w="0" w:type="auto"/>
            <w:hideMark/>
          </w:tcPr>
          <w:p w14:paraId="608338F2" w14:textId="77777777" w:rsidR="007845A0" w:rsidRPr="007845A0" w:rsidRDefault="007845A0"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845A0">
              <w:rPr>
                <w:rFonts w:cs="Calibri"/>
                <w:sz w:val="24"/>
                <w:szCs w:val="24"/>
              </w:rPr>
              <w:t>$500,000</w:t>
            </w:r>
          </w:p>
        </w:tc>
      </w:tr>
      <w:tr w:rsidR="007845A0" w:rsidRPr="00BD71F8" w14:paraId="401ED753" w14:textId="77777777" w:rsidTr="00397FFD">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0C2CDB7B" w14:textId="77777777" w:rsidR="007845A0" w:rsidRPr="007845A0" w:rsidRDefault="007845A0" w:rsidP="00265697">
            <w:pPr>
              <w:spacing w:after="160" w:line="276" w:lineRule="auto"/>
              <w:rPr>
                <w:rFonts w:cs="Calibri"/>
                <w:b w:val="0"/>
                <w:bCs w:val="0"/>
                <w:sz w:val="24"/>
                <w:szCs w:val="24"/>
              </w:rPr>
            </w:pPr>
            <w:r w:rsidRPr="007845A0">
              <w:rPr>
                <w:rFonts w:cs="Calibri"/>
                <w:b w:val="0"/>
                <w:bCs w:val="0"/>
                <w:sz w:val="24"/>
                <w:szCs w:val="24"/>
              </w:rPr>
              <w:t>Advanced Robotic Arms for Assembly</w:t>
            </w:r>
          </w:p>
        </w:tc>
        <w:tc>
          <w:tcPr>
            <w:tcW w:w="0" w:type="auto"/>
            <w:hideMark/>
          </w:tcPr>
          <w:p w14:paraId="2FECA4A6" w14:textId="77777777" w:rsidR="007845A0" w:rsidRPr="007845A0" w:rsidRDefault="007845A0"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845A0">
              <w:rPr>
                <w:rFonts w:cs="Calibri"/>
                <w:sz w:val="24"/>
                <w:szCs w:val="24"/>
              </w:rPr>
              <w:t>$400,000</w:t>
            </w:r>
          </w:p>
        </w:tc>
      </w:tr>
      <w:tr w:rsidR="007845A0" w:rsidRPr="00BD71F8" w14:paraId="15A54B75" w14:textId="77777777" w:rsidTr="00397FFD">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0" w:type="auto"/>
            <w:hideMark/>
          </w:tcPr>
          <w:p w14:paraId="7A376789" w14:textId="77777777" w:rsidR="007845A0" w:rsidRPr="007845A0" w:rsidRDefault="007845A0" w:rsidP="00265697">
            <w:pPr>
              <w:spacing w:after="160" w:line="276" w:lineRule="auto"/>
              <w:rPr>
                <w:rFonts w:cs="Calibri"/>
                <w:b w:val="0"/>
                <w:bCs w:val="0"/>
                <w:sz w:val="24"/>
                <w:szCs w:val="24"/>
              </w:rPr>
            </w:pPr>
            <w:r w:rsidRPr="007845A0">
              <w:rPr>
                <w:rFonts w:cs="Calibri"/>
                <w:b w:val="0"/>
                <w:bCs w:val="0"/>
                <w:sz w:val="24"/>
                <w:szCs w:val="24"/>
              </w:rPr>
              <w:t>Laser Cutting and Engraving Systems</w:t>
            </w:r>
          </w:p>
        </w:tc>
        <w:tc>
          <w:tcPr>
            <w:tcW w:w="0" w:type="auto"/>
            <w:hideMark/>
          </w:tcPr>
          <w:p w14:paraId="3A8BF18D" w14:textId="77777777" w:rsidR="007845A0" w:rsidRPr="007845A0" w:rsidRDefault="007845A0"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845A0">
              <w:rPr>
                <w:rFonts w:cs="Calibri"/>
                <w:sz w:val="24"/>
                <w:szCs w:val="24"/>
              </w:rPr>
              <w:t>$250,000</w:t>
            </w:r>
          </w:p>
        </w:tc>
      </w:tr>
      <w:tr w:rsidR="007845A0" w:rsidRPr="00BD71F8" w14:paraId="1DBADB3E" w14:textId="77777777" w:rsidTr="00397FFD">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014C8E9D" w14:textId="77777777" w:rsidR="007845A0" w:rsidRPr="007845A0" w:rsidRDefault="007845A0" w:rsidP="00265697">
            <w:pPr>
              <w:spacing w:after="160" w:line="276" w:lineRule="auto"/>
              <w:rPr>
                <w:rFonts w:cs="Calibri"/>
                <w:b w:val="0"/>
                <w:bCs w:val="0"/>
                <w:sz w:val="24"/>
                <w:szCs w:val="24"/>
              </w:rPr>
            </w:pPr>
            <w:r w:rsidRPr="007845A0">
              <w:rPr>
                <w:rFonts w:cs="Calibri"/>
                <w:b w:val="0"/>
                <w:bCs w:val="0"/>
                <w:sz w:val="24"/>
                <w:szCs w:val="24"/>
              </w:rPr>
              <w:t>Miscellaneous High-Performance Tools</w:t>
            </w:r>
          </w:p>
        </w:tc>
        <w:tc>
          <w:tcPr>
            <w:tcW w:w="0" w:type="auto"/>
            <w:hideMark/>
          </w:tcPr>
          <w:p w14:paraId="7107DEF8" w14:textId="77777777" w:rsidR="007845A0" w:rsidRPr="007845A0" w:rsidRDefault="007845A0"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845A0">
              <w:rPr>
                <w:rFonts w:cs="Calibri"/>
                <w:sz w:val="24"/>
                <w:szCs w:val="24"/>
              </w:rPr>
              <w:t>$220,000</w:t>
            </w:r>
          </w:p>
        </w:tc>
      </w:tr>
      <w:tr w:rsidR="007845A0" w:rsidRPr="00BD71F8" w14:paraId="27212EE1" w14:textId="77777777" w:rsidTr="00397F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Pr>
          <w:p w14:paraId="3BAB6319" w14:textId="0DDA442B" w:rsidR="007845A0" w:rsidRPr="00EF321F" w:rsidRDefault="007845A0" w:rsidP="00265697">
            <w:pPr>
              <w:spacing w:line="276" w:lineRule="auto"/>
              <w:rPr>
                <w:rFonts w:cs="Calibri"/>
                <w:b w:val="0"/>
                <w:bCs w:val="0"/>
                <w:sz w:val="24"/>
                <w:szCs w:val="24"/>
              </w:rPr>
            </w:pPr>
            <w:r w:rsidRPr="00EF321F">
              <w:rPr>
                <w:rFonts w:cs="Calibri"/>
                <w:b w:val="0"/>
                <w:bCs w:val="0"/>
                <w:sz w:val="24"/>
                <w:szCs w:val="24"/>
              </w:rPr>
              <w:t>Total cost</w:t>
            </w:r>
          </w:p>
        </w:tc>
        <w:tc>
          <w:tcPr>
            <w:tcW w:w="0" w:type="auto"/>
          </w:tcPr>
          <w:p w14:paraId="39059B3C" w14:textId="094FE32C" w:rsidR="007845A0" w:rsidRPr="00BD71F8" w:rsidRDefault="007845A0" w:rsidP="00265697">
            <w:pPr>
              <w:spacing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D302E5">
              <w:rPr>
                <w:rFonts w:cs="Calibri"/>
                <w:sz w:val="24"/>
                <w:szCs w:val="24"/>
              </w:rPr>
              <w:t>$4,770,000</w:t>
            </w:r>
          </w:p>
        </w:tc>
      </w:tr>
    </w:tbl>
    <w:p w14:paraId="107E3917" w14:textId="77777777" w:rsidR="007845A0" w:rsidRPr="00D302E5" w:rsidRDefault="007845A0" w:rsidP="00265697">
      <w:pPr>
        <w:spacing w:line="276" w:lineRule="auto"/>
        <w:rPr>
          <w:rFonts w:cs="Calibri"/>
          <w:sz w:val="24"/>
          <w:szCs w:val="24"/>
        </w:rPr>
      </w:pPr>
    </w:p>
    <w:p w14:paraId="5C75B4E9" w14:textId="39FB3A4E" w:rsidR="00D302E5" w:rsidRPr="00D302E5" w:rsidRDefault="00D302E5" w:rsidP="00265697">
      <w:pPr>
        <w:spacing w:line="276" w:lineRule="auto"/>
        <w:rPr>
          <w:rFonts w:cs="Calibri"/>
          <w:sz w:val="24"/>
          <w:szCs w:val="24"/>
        </w:rPr>
      </w:pPr>
      <w:r w:rsidRPr="00D302E5">
        <w:rPr>
          <w:rFonts w:cs="Calibri"/>
          <w:sz w:val="24"/>
          <w:szCs w:val="24"/>
        </w:rPr>
        <w:t>The $4,770,000 investment enhances the plant’s operational efficiency, safety and scalability, preparing it for high-quality EV charger production. This capital expenditure prioriti</w:t>
      </w:r>
      <w:r w:rsidR="00341FDB">
        <w:rPr>
          <w:rFonts w:cs="Calibri"/>
          <w:sz w:val="24"/>
          <w:szCs w:val="24"/>
        </w:rPr>
        <w:t>s</w:t>
      </w:r>
      <w:r w:rsidRPr="00D302E5">
        <w:rPr>
          <w:rFonts w:cs="Calibri"/>
          <w:sz w:val="24"/>
          <w:szCs w:val="24"/>
        </w:rPr>
        <w:t>es automation, quality control, precision and environmental sustainability setting the stage for a competitive, efficient and compliant manufacturing process. By choosing industry-leading equipment across each functional area, the plant is well-equipped to meet industry standards, handle increased production demands</w:t>
      </w:r>
      <w:r w:rsidR="00D9346C">
        <w:rPr>
          <w:rFonts w:cs="Calibri"/>
          <w:sz w:val="24"/>
          <w:szCs w:val="24"/>
        </w:rPr>
        <w:t xml:space="preserve"> </w:t>
      </w:r>
      <w:r w:rsidRPr="00D302E5">
        <w:rPr>
          <w:rFonts w:cs="Calibri"/>
          <w:sz w:val="24"/>
          <w:szCs w:val="24"/>
        </w:rPr>
        <w:t>and remain adaptable to future market trends.</w:t>
      </w:r>
    </w:p>
    <w:p w14:paraId="58A708C9" w14:textId="77777777" w:rsidR="00843F3B" w:rsidRPr="00843F3B" w:rsidRDefault="00843F3B" w:rsidP="00265697">
      <w:pPr>
        <w:spacing w:line="276" w:lineRule="auto"/>
        <w:rPr>
          <w:rFonts w:cs="Calibri"/>
          <w:b/>
          <w:bCs/>
          <w:sz w:val="28"/>
          <w:szCs w:val="28"/>
        </w:rPr>
      </w:pPr>
      <w:r w:rsidRPr="00843F3B">
        <w:rPr>
          <w:rFonts w:cs="Calibri"/>
          <w:b/>
          <w:bCs/>
          <w:sz w:val="28"/>
          <w:szCs w:val="28"/>
        </w:rPr>
        <w:t>Class 44: Patents and Licenses (25%)</w:t>
      </w:r>
    </w:p>
    <w:p w14:paraId="1B08DA7E" w14:textId="77777777" w:rsidR="00843F3B" w:rsidRPr="00843F3B" w:rsidRDefault="00843F3B" w:rsidP="00265697">
      <w:pPr>
        <w:spacing w:line="276" w:lineRule="auto"/>
        <w:rPr>
          <w:rFonts w:cs="Calibri"/>
          <w:sz w:val="24"/>
          <w:szCs w:val="24"/>
        </w:rPr>
      </w:pPr>
      <w:r w:rsidRPr="00843F3B">
        <w:rPr>
          <w:rFonts w:cs="Calibri"/>
          <w:sz w:val="24"/>
          <w:szCs w:val="24"/>
        </w:rPr>
        <w:t>TD Bank's investment in patents and licensing is probably connected to the acquisition or upkeep of intellectual property rights pertaining to cutting-edge technologies, possibly for financial technology advancements or EV-related technologies. These purchases are necessary to preserve TD Bank's market position and competitive advantage in rapidly changing technology sectors.</w:t>
      </w:r>
    </w:p>
    <w:p w14:paraId="10925CE8" w14:textId="582FCAFB" w:rsidR="00843F3B" w:rsidRPr="00843F3B" w:rsidRDefault="00843F3B" w:rsidP="00265697">
      <w:pPr>
        <w:spacing w:line="276" w:lineRule="auto"/>
        <w:rPr>
          <w:rFonts w:cs="Calibri"/>
          <w:sz w:val="24"/>
          <w:szCs w:val="24"/>
        </w:rPr>
      </w:pPr>
      <w:r w:rsidRPr="00843F3B">
        <w:rPr>
          <w:rFonts w:cs="Calibri"/>
          <w:sz w:val="24"/>
          <w:szCs w:val="24"/>
        </w:rPr>
        <w:t>The rising costs of acquiring intellectual property are probably a result of multiple factors. It is a result of inflation as well as the growth in value of intellectual property assets. The rising value of patents in new industries like electric vehicle and wireless charging also plays an important role. The increased demand for EV technology patents as more businesses enter the market may potentially result in greater IP costs.</w:t>
      </w:r>
    </w:p>
    <w:p w14:paraId="5A02DEA9" w14:textId="77777777" w:rsidR="00843F3B" w:rsidRPr="00843F3B" w:rsidRDefault="00843F3B" w:rsidP="00265697">
      <w:pPr>
        <w:spacing w:line="276" w:lineRule="auto"/>
        <w:rPr>
          <w:rFonts w:cs="Calibri"/>
          <w:b/>
          <w:bCs/>
          <w:sz w:val="28"/>
          <w:szCs w:val="28"/>
        </w:rPr>
      </w:pPr>
      <w:r w:rsidRPr="00843F3B">
        <w:rPr>
          <w:rFonts w:cs="Calibri"/>
          <w:b/>
          <w:bCs/>
          <w:sz w:val="28"/>
          <w:szCs w:val="28"/>
        </w:rPr>
        <w:t>Class 46: System Software</w:t>
      </w:r>
    </w:p>
    <w:p w14:paraId="3B24E3F1" w14:textId="011AC0AA" w:rsidR="00843F3B" w:rsidRPr="00843F3B" w:rsidRDefault="00843F3B" w:rsidP="00265697">
      <w:pPr>
        <w:spacing w:line="276" w:lineRule="auto"/>
        <w:rPr>
          <w:rFonts w:cs="Calibri"/>
          <w:b/>
          <w:bCs/>
          <w:sz w:val="28"/>
          <w:szCs w:val="28"/>
        </w:rPr>
      </w:pPr>
      <w:r w:rsidRPr="00843F3B">
        <w:rPr>
          <w:rFonts w:cs="Calibri"/>
          <w:b/>
          <w:bCs/>
          <w:sz w:val="28"/>
          <w:szCs w:val="28"/>
        </w:rPr>
        <w:t>Software License Purchase</w:t>
      </w:r>
    </w:p>
    <w:p w14:paraId="114979A2" w14:textId="77777777" w:rsidR="00843F3B" w:rsidRPr="00843F3B" w:rsidRDefault="00843F3B" w:rsidP="00265697">
      <w:pPr>
        <w:spacing w:line="276" w:lineRule="auto"/>
        <w:rPr>
          <w:rFonts w:cs="Calibri"/>
          <w:sz w:val="24"/>
          <w:szCs w:val="24"/>
        </w:rPr>
      </w:pPr>
      <w:r w:rsidRPr="00843F3B">
        <w:rPr>
          <w:rFonts w:cs="Calibri"/>
          <w:sz w:val="24"/>
          <w:szCs w:val="24"/>
        </w:rPr>
        <w:t>Licensing costs for specialised software at financial institutions are often high due to strict regulatory and security requirements. This figure reflects TD Bank’s need for sophisticated systems likely including customer relationship management (CRM), fraud detection, risk assessment and analytical tools all of which require ongoing licensing.</w:t>
      </w:r>
    </w:p>
    <w:p w14:paraId="4ACBF09A" w14:textId="77777777" w:rsidR="00843F3B" w:rsidRPr="00843F3B" w:rsidRDefault="00843F3B" w:rsidP="00265697">
      <w:pPr>
        <w:spacing w:line="276" w:lineRule="auto"/>
        <w:rPr>
          <w:rFonts w:cs="Calibri"/>
          <w:sz w:val="24"/>
          <w:szCs w:val="24"/>
        </w:rPr>
      </w:pPr>
      <w:r w:rsidRPr="00843F3B">
        <w:rPr>
          <w:rFonts w:cs="Calibri"/>
          <w:sz w:val="24"/>
          <w:szCs w:val="24"/>
        </w:rPr>
        <w:t xml:space="preserve">Criteria for Selection: This amount is based on industry benchmarks as well as on the scale of TD Bank’s operations where software for each core function needs to be robust, scalable and </w:t>
      </w:r>
      <w:r w:rsidRPr="00843F3B">
        <w:rPr>
          <w:rFonts w:cs="Calibri"/>
          <w:sz w:val="24"/>
          <w:szCs w:val="24"/>
        </w:rPr>
        <w:lastRenderedPageBreak/>
        <w:t>compliant with financial regulations. $2.5 million is a realistic estimate for meeting these needs across TD’s network.</w:t>
      </w:r>
    </w:p>
    <w:p w14:paraId="0CDA18FE" w14:textId="77777777" w:rsidR="00843F3B" w:rsidRPr="00843F3B" w:rsidRDefault="00843F3B" w:rsidP="00265697">
      <w:pPr>
        <w:spacing w:line="276" w:lineRule="auto"/>
        <w:rPr>
          <w:rFonts w:cs="Calibri"/>
          <w:sz w:val="24"/>
          <w:szCs w:val="24"/>
        </w:rPr>
      </w:pPr>
      <w:r w:rsidRPr="00843F3B">
        <w:rPr>
          <w:rFonts w:cs="Calibri"/>
          <w:sz w:val="24"/>
          <w:szCs w:val="24"/>
        </w:rPr>
        <w:t xml:space="preserve">Growth Rate of 0.5%: The growth rate here is conservative assuming TD Bank may have long-term agreements with software vendors that keep annual fee increases to a minimum. </w:t>
      </w:r>
    </w:p>
    <w:p w14:paraId="096FDBB1" w14:textId="2416A9AA" w:rsidR="00843F3B" w:rsidRPr="00843F3B" w:rsidRDefault="00843F3B" w:rsidP="00265697">
      <w:pPr>
        <w:spacing w:line="276" w:lineRule="auto"/>
        <w:rPr>
          <w:rFonts w:cs="Calibri"/>
          <w:sz w:val="24"/>
          <w:szCs w:val="24"/>
        </w:rPr>
      </w:pPr>
      <w:r w:rsidRPr="00843F3B">
        <w:rPr>
          <w:rFonts w:cs="Calibri"/>
          <w:sz w:val="24"/>
          <w:szCs w:val="24"/>
        </w:rPr>
        <w:t>Slight increases of 0.5% reflect standard maintenance or support fees without major upgrades or feature expansions with stable vendor partnerships.</w:t>
      </w:r>
    </w:p>
    <w:p w14:paraId="234BCB8D" w14:textId="77777777" w:rsidR="00843F3B" w:rsidRPr="00843F3B" w:rsidRDefault="00843F3B" w:rsidP="00265697">
      <w:pPr>
        <w:spacing w:line="276" w:lineRule="auto"/>
        <w:rPr>
          <w:rFonts w:cs="Calibri"/>
          <w:b/>
          <w:bCs/>
          <w:sz w:val="28"/>
          <w:szCs w:val="28"/>
        </w:rPr>
      </w:pPr>
      <w:r w:rsidRPr="00843F3B">
        <w:rPr>
          <w:rFonts w:cs="Calibri"/>
          <w:b/>
          <w:bCs/>
          <w:sz w:val="28"/>
          <w:szCs w:val="28"/>
        </w:rPr>
        <w:t xml:space="preserve">Software Upgrades </w:t>
      </w:r>
    </w:p>
    <w:p w14:paraId="2DCCA72E" w14:textId="77777777" w:rsidR="00843F3B" w:rsidRPr="00843F3B" w:rsidRDefault="00843F3B" w:rsidP="00265697">
      <w:pPr>
        <w:spacing w:line="276" w:lineRule="auto"/>
        <w:rPr>
          <w:rFonts w:cs="Calibri"/>
          <w:sz w:val="24"/>
          <w:szCs w:val="24"/>
        </w:rPr>
      </w:pPr>
      <w:r w:rsidRPr="00843F3B">
        <w:rPr>
          <w:rFonts w:cs="Calibri"/>
          <w:sz w:val="24"/>
          <w:szCs w:val="24"/>
        </w:rPr>
        <w:t>Software upgrades are essential for maintaining performance, security and compliance. $1.5 million allows for routine updates across TD Bank’s critical systems that is necessary to stay competitive.</w:t>
      </w:r>
    </w:p>
    <w:p w14:paraId="1F366A14" w14:textId="77777777" w:rsidR="00843F3B" w:rsidRPr="00843F3B" w:rsidRDefault="00843F3B" w:rsidP="00265697">
      <w:pPr>
        <w:spacing w:line="276" w:lineRule="auto"/>
        <w:rPr>
          <w:rFonts w:cs="Calibri"/>
          <w:sz w:val="24"/>
          <w:szCs w:val="24"/>
        </w:rPr>
      </w:pPr>
      <w:r w:rsidRPr="00843F3B">
        <w:rPr>
          <w:rFonts w:cs="Calibri"/>
          <w:sz w:val="24"/>
          <w:szCs w:val="24"/>
        </w:rPr>
        <w:t>Criteria for Selection: This sum covers recurring updates, security patches and small feature additions because of the size as well as complexity of a large bank's software requirements. This selection is informed by both regulatory requirements and the need to avoid technical debt.</w:t>
      </w:r>
    </w:p>
    <w:p w14:paraId="059036FE" w14:textId="77777777" w:rsidR="00843F3B" w:rsidRPr="00843F3B" w:rsidRDefault="00843F3B" w:rsidP="00265697">
      <w:pPr>
        <w:spacing w:line="276" w:lineRule="auto"/>
        <w:rPr>
          <w:rFonts w:cs="Calibri"/>
          <w:sz w:val="24"/>
          <w:szCs w:val="24"/>
        </w:rPr>
      </w:pPr>
      <w:r w:rsidRPr="00843F3B">
        <w:rPr>
          <w:rFonts w:cs="Calibri"/>
          <w:sz w:val="24"/>
          <w:szCs w:val="24"/>
        </w:rPr>
        <w:t>Growth Rate of 0.2%: The slight annual increase (0.2%) aligns with the expectation that core software functionality remains stable while only minor enhancements or support fee adjustments are necessary. With long-term service agreements the cost increase remains low covering incremental maintenance costs.</w:t>
      </w:r>
    </w:p>
    <w:p w14:paraId="089A6AD2" w14:textId="77777777" w:rsidR="00843F3B" w:rsidRPr="00843F3B" w:rsidRDefault="00843F3B" w:rsidP="00265697">
      <w:pPr>
        <w:spacing w:line="276" w:lineRule="auto"/>
        <w:rPr>
          <w:rFonts w:cs="Calibri"/>
          <w:b/>
          <w:bCs/>
          <w:sz w:val="28"/>
          <w:szCs w:val="28"/>
        </w:rPr>
      </w:pPr>
      <w:r w:rsidRPr="00843F3B">
        <w:rPr>
          <w:rFonts w:cs="Calibri"/>
          <w:b/>
          <w:bCs/>
          <w:sz w:val="28"/>
          <w:szCs w:val="28"/>
        </w:rPr>
        <w:t>Class 50: General Computer Equipment (55%)</w:t>
      </w:r>
    </w:p>
    <w:p w14:paraId="2700A4C6" w14:textId="77777777" w:rsidR="00843F3B" w:rsidRPr="00843F3B" w:rsidRDefault="00843F3B" w:rsidP="00265697">
      <w:pPr>
        <w:spacing w:line="276" w:lineRule="auto"/>
        <w:rPr>
          <w:rFonts w:cs="Calibri"/>
          <w:b/>
          <w:bCs/>
          <w:sz w:val="28"/>
          <w:szCs w:val="28"/>
        </w:rPr>
      </w:pPr>
      <w:r w:rsidRPr="00843F3B">
        <w:rPr>
          <w:rFonts w:cs="Calibri"/>
          <w:b/>
          <w:bCs/>
          <w:sz w:val="28"/>
          <w:szCs w:val="28"/>
        </w:rPr>
        <w:t xml:space="preserve">Computers </w:t>
      </w:r>
    </w:p>
    <w:p w14:paraId="5EBE1964" w14:textId="77777777" w:rsidR="00843F3B" w:rsidRPr="00843F3B" w:rsidRDefault="00843F3B" w:rsidP="00265697">
      <w:pPr>
        <w:spacing w:line="276" w:lineRule="auto"/>
        <w:rPr>
          <w:rFonts w:cs="Calibri"/>
          <w:sz w:val="24"/>
          <w:szCs w:val="24"/>
        </w:rPr>
      </w:pPr>
      <w:r w:rsidRPr="00843F3B">
        <w:rPr>
          <w:rFonts w:cs="Calibri"/>
          <w:sz w:val="24"/>
          <w:szCs w:val="24"/>
        </w:rPr>
        <w:t>$4 million reflects the cost to equip TD Bank’s employees across branches and headquarters with essential computer resources. This includes desktops, laptops and potentially high-performance devices needed in areas like data analysis, cybersecurity as well as software development.</w:t>
      </w:r>
    </w:p>
    <w:p w14:paraId="3DE10CE3" w14:textId="77777777" w:rsidR="00843F3B" w:rsidRPr="00843F3B" w:rsidRDefault="00843F3B" w:rsidP="00265697">
      <w:pPr>
        <w:spacing w:line="276" w:lineRule="auto"/>
        <w:rPr>
          <w:rFonts w:cs="Calibri"/>
          <w:sz w:val="24"/>
          <w:szCs w:val="24"/>
        </w:rPr>
      </w:pPr>
      <w:r w:rsidRPr="00843F3B">
        <w:rPr>
          <w:rFonts w:cs="Calibri"/>
          <w:sz w:val="24"/>
          <w:szCs w:val="24"/>
        </w:rPr>
        <w:t>Criteria for Selection: The criteria include the number of employees, the average cost of equipment per user. The need for frequent upgrades due to technology advancements and security requirements. The choice reflects a balance between providing robust equipment and managing operational costs.</w:t>
      </w:r>
    </w:p>
    <w:p w14:paraId="1CE71370" w14:textId="4F121BF1" w:rsidR="00843F3B" w:rsidRPr="00843F3B" w:rsidRDefault="00843F3B" w:rsidP="00265697">
      <w:pPr>
        <w:spacing w:line="276" w:lineRule="auto"/>
        <w:rPr>
          <w:rFonts w:cs="Calibri"/>
          <w:sz w:val="24"/>
          <w:szCs w:val="24"/>
        </w:rPr>
      </w:pPr>
      <w:r w:rsidRPr="00843F3B">
        <w:rPr>
          <w:rFonts w:cs="Calibri"/>
          <w:sz w:val="24"/>
          <w:szCs w:val="24"/>
        </w:rPr>
        <w:t>Growth Rate of 2%: TD Bank will likely need to replace or upgrade hardware periodically as technology evolves. The 2% growth rate accounts for inflation, technological advancements and a gradual increase in the workforce or processing power requirements.</w:t>
      </w:r>
    </w:p>
    <w:p w14:paraId="67E166C2" w14:textId="77777777" w:rsidR="00843F3B" w:rsidRPr="00843F3B" w:rsidRDefault="00843F3B" w:rsidP="00265697">
      <w:pPr>
        <w:spacing w:line="276" w:lineRule="auto"/>
        <w:rPr>
          <w:rFonts w:cs="Calibri"/>
          <w:b/>
          <w:bCs/>
          <w:sz w:val="28"/>
          <w:szCs w:val="28"/>
        </w:rPr>
      </w:pPr>
      <w:r w:rsidRPr="00843F3B">
        <w:rPr>
          <w:rFonts w:cs="Calibri"/>
          <w:b/>
          <w:bCs/>
          <w:sz w:val="28"/>
          <w:szCs w:val="28"/>
        </w:rPr>
        <w:t xml:space="preserve">Hardware Equipment </w:t>
      </w:r>
    </w:p>
    <w:p w14:paraId="4D300DB9" w14:textId="77777777" w:rsidR="00843F3B" w:rsidRPr="00843F3B" w:rsidRDefault="00843F3B" w:rsidP="00265697">
      <w:pPr>
        <w:spacing w:line="276" w:lineRule="auto"/>
        <w:rPr>
          <w:rFonts w:cs="Calibri"/>
          <w:sz w:val="24"/>
          <w:szCs w:val="24"/>
        </w:rPr>
      </w:pPr>
      <w:r w:rsidRPr="00843F3B">
        <w:rPr>
          <w:rFonts w:cs="Calibri"/>
          <w:sz w:val="24"/>
          <w:szCs w:val="24"/>
        </w:rPr>
        <w:lastRenderedPageBreak/>
        <w:t>This amount covers essential IT hardware beyond personal computers such as servers, network infrastructure, storage solutions and specialised equipment for secure data management.</w:t>
      </w:r>
    </w:p>
    <w:p w14:paraId="478B459A" w14:textId="77777777" w:rsidR="00843F3B" w:rsidRPr="00843F3B" w:rsidRDefault="00843F3B" w:rsidP="00265697">
      <w:pPr>
        <w:spacing w:line="276" w:lineRule="auto"/>
        <w:rPr>
          <w:rFonts w:cs="Calibri"/>
          <w:sz w:val="24"/>
          <w:szCs w:val="24"/>
        </w:rPr>
      </w:pPr>
      <w:r w:rsidRPr="00843F3B">
        <w:rPr>
          <w:rFonts w:cs="Calibri"/>
          <w:sz w:val="24"/>
          <w:szCs w:val="24"/>
        </w:rPr>
        <w:t>Criteria for Selection: This choice reflects both the volume of TD’s infrastructure needs as well as the importance of security and regulatory compliance. High-quality hardware is critical to support high availability, data security and efficient processing at TD Bank.</w:t>
      </w:r>
    </w:p>
    <w:p w14:paraId="46A48BB3" w14:textId="6EA37A40" w:rsidR="00843F3B" w:rsidRPr="00843F3B" w:rsidRDefault="00843F3B" w:rsidP="00265697">
      <w:pPr>
        <w:spacing w:line="276" w:lineRule="auto"/>
        <w:rPr>
          <w:rFonts w:cs="Calibri"/>
          <w:sz w:val="24"/>
          <w:szCs w:val="24"/>
        </w:rPr>
      </w:pPr>
      <w:r w:rsidRPr="00843F3B">
        <w:rPr>
          <w:rFonts w:cs="Calibri"/>
          <w:sz w:val="24"/>
          <w:szCs w:val="24"/>
        </w:rPr>
        <w:t>Growth Rate of 2%: This growth rate accounts for inflation. There is need to expand or replace equipment over time. With increased reliance on technology for banking operations and data analytics, incremental increases in hardware expenses are realistic.</w:t>
      </w:r>
    </w:p>
    <w:p w14:paraId="31902666" w14:textId="77777777" w:rsidR="00843F3B" w:rsidRPr="00843F3B" w:rsidRDefault="00843F3B" w:rsidP="00265697">
      <w:pPr>
        <w:spacing w:line="276" w:lineRule="auto"/>
        <w:rPr>
          <w:rFonts w:cs="Calibri"/>
          <w:b/>
          <w:bCs/>
          <w:sz w:val="28"/>
          <w:szCs w:val="28"/>
        </w:rPr>
      </w:pPr>
      <w:r w:rsidRPr="00843F3B">
        <w:rPr>
          <w:rFonts w:cs="Calibri"/>
          <w:b/>
          <w:bCs/>
          <w:sz w:val="28"/>
          <w:szCs w:val="28"/>
        </w:rPr>
        <w:t>Class 43.1: EV Charging Stations Setup (30%)</w:t>
      </w:r>
    </w:p>
    <w:p w14:paraId="021DDEC4" w14:textId="05DA10BF" w:rsidR="00843F3B" w:rsidRPr="00843F3B" w:rsidRDefault="00843F3B" w:rsidP="00265697">
      <w:pPr>
        <w:spacing w:line="276" w:lineRule="auto"/>
        <w:rPr>
          <w:rFonts w:cs="Calibri"/>
          <w:b/>
          <w:bCs/>
          <w:sz w:val="28"/>
          <w:szCs w:val="28"/>
        </w:rPr>
      </w:pPr>
      <w:r w:rsidRPr="00843F3B">
        <w:rPr>
          <w:rFonts w:cs="Calibri"/>
          <w:b/>
          <w:bCs/>
          <w:sz w:val="28"/>
          <w:szCs w:val="28"/>
        </w:rPr>
        <w:t>EV Charging Infrastructure Development</w:t>
      </w:r>
    </w:p>
    <w:p w14:paraId="4EF7B229" w14:textId="77777777" w:rsidR="00843F3B" w:rsidRPr="00843F3B" w:rsidRDefault="00843F3B" w:rsidP="00265697">
      <w:pPr>
        <w:spacing w:line="276" w:lineRule="auto"/>
        <w:rPr>
          <w:rFonts w:cs="Calibri"/>
          <w:sz w:val="24"/>
          <w:szCs w:val="24"/>
        </w:rPr>
      </w:pPr>
      <w:r w:rsidRPr="00843F3B">
        <w:rPr>
          <w:rFonts w:cs="Calibri"/>
          <w:sz w:val="24"/>
          <w:szCs w:val="24"/>
        </w:rPr>
        <w:t>TD Bank has a strategic goal to support sustainability initiatives and capitalise on the growth of EVs. Setting up EV charging stations at various branch locations allows TD to attract EV owners aligning with environmental goals and demonstrating commitment to sustainable practices.</w:t>
      </w:r>
    </w:p>
    <w:p w14:paraId="0F7AA824" w14:textId="77777777" w:rsidR="00843F3B" w:rsidRPr="00843F3B" w:rsidRDefault="00843F3B" w:rsidP="00265697">
      <w:pPr>
        <w:spacing w:line="276" w:lineRule="auto"/>
        <w:rPr>
          <w:rFonts w:cs="Calibri"/>
          <w:sz w:val="24"/>
          <w:szCs w:val="24"/>
        </w:rPr>
      </w:pPr>
      <w:r w:rsidRPr="00843F3B">
        <w:rPr>
          <w:rFonts w:cs="Calibri"/>
          <w:sz w:val="24"/>
          <w:szCs w:val="24"/>
        </w:rPr>
        <w:t>Criteria for Selection: The $20 million figure represents the estimated capital expenditure needed to establish a substantial number of EV charging stations. This estimate considers costs for equipment installation, electrical work and potential modifications to existing branch infrastructure.</w:t>
      </w:r>
    </w:p>
    <w:p w14:paraId="2D38FDA8" w14:textId="698ADD2C" w:rsidR="00843F3B" w:rsidRPr="00843F3B" w:rsidRDefault="00843F3B" w:rsidP="00265697">
      <w:pPr>
        <w:spacing w:line="276" w:lineRule="auto"/>
        <w:rPr>
          <w:rFonts w:cs="Calibri"/>
          <w:sz w:val="24"/>
          <w:szCs w:val="24"/>
        </w:rPr>
      </w:pPr>
      <w:r w:rsidRPr="00843F3B">
        <w:rPr>
          <w:rFonts w:cs="Calibri"/>
          <w:sz w:val="24"/>
          <w:szCs w:val="24"/>
        </w:rPr>
        <w:t>Growth Rate of 2.5%: EV infrastructure investment costs are expected to grow moderately as EV adoption increases and as TD expands its network of charging stations. The 2.5% growth reflects both inflation as well as the scaling of TD’s EV station network, balancing realistic market dynamics and operational feasibility.</w:t>
      </w:r>
    </w:p>
    <w:p w14:paraId="7E67E214" w14:textId="77777777" w:rsidR="00843F3B" w:rsidRPr="00843F3B" w:rsidRDefault="00843F3B" w:rsidP="00265697">
      <w:pPr>
        <w:spacing w:line="276" w:lineRule="auto"/>
        <w:rPr>
          <w:rFonts w:cs="Calibri"/>
          <w:b/>
          <w:bCs/>
          <w:sz w:val="28"/>
          <w:szCs w:val="28"/>
        </w:rPr>
      </w:pPr>
      <w:r w:rsidRPr="00843F3B">
        <w:rPr>
          <w:rFonts w:cs="Calibri"/>
          <w:b/>
          <w:bCs/>
          <w:sz w:val="28"/>
          <w:szCs w:val="28"/>
        </w:rPr>
        <w:t>R&amp;D Investments for EV Charging</w:t>
      </w:r>
    </w:p>
    <w:p w14:paraId="7259277A" w14:textId="77777777" w:rsidR="00843F3B" w:rsidRPr="00843F3B" w:rsidRDefault="00843F3B" w:rsidP="00265697">
      <w:pPr>
        <w:spacing w:line="276" w:lineRule="auto"/>
        <w:rPr>
          <w:rFonts w:cs="Calibri"/>
          <w:sz w:val="24"/>
          <w:szCs w:val="24"/>
        </w:rPr>
      </w:pPr>
      <w:r w:rsidRPr="00843F3B">
        <w:rPr>
          <w:rFonts w:cs="Calibri"/>
          <w:sz w:val="24"/>
          <w:szCs w:val="24"/>
        </w:rPr>
        <w:t xml:space="preserve">Initial Investment in R&amp;D for EV Charging </w:t>
      </w:r>
    </w:p>
    <w:p w14:paraId="614C6A3B" w14:textId="77777777" w:rsidR="00843F3B" w:rsidRPr="00843F3B" w:rsidRDefault="00843F3B" w:rsidP="00265697">
      <w:pPr>
        <w:spacing w:line="276" w:lineRule="auto"/>
        <w:rPr>
          <w:rFonts w:cs="Calibri"/>
          <w:sz w:val="24"/>
          <w:szCs w:val="24"/>
        </w:rPr>
      </w:pPr>
      <w:r w:rsidRPr="00843F3B">
        <w:rPr>
          <w:rFonts w:cs="Calibri"/>
          <w:sz w:val="24"/>
          <w:szCs w:val="24"/>
        </w:rPr>
        <w:t>$8 million is a substantial yet reasonable investment for TD Bank to allocate towards research and development (R&amp;D) in EV charging technology. This amount reflects the high cost of R&amp;D as it involves multiple factors. It includes exploring as well as possibly developing proprietary charging solutions, optimising charging efficiency and integrating charging stations into existing infrastructure at TD’s branches. TD Bank can stay at the forefront of the EV infrastructure industry by giving it a competitive edge in sustainable technology.</w:t>
      </w:r>
    </w:p>
    <w:p w14:paraId="4B943D76" w14:textId="77777777" w:rsidR="00843F3B" w:rsidRPr="00843F3B" w:rsidRDefault="00843F3B" w:rsidP="00265697">
      <w:pPr>
        <w:spacing w:line="276" w:lineRule="auto"/>
        <w:rPr>
          <w:rFonts w:cs="Calibri"/>
          <w:sz w:val="24"/>
          <w:szCs w:val="24"/>
        </w:rPr>
      </w:pPr>
      <w:r w:rsidRPr="00843F3B">
        <w:rPr>
          <w:rFonts w:cs="Calibri"/>
          <w:sz w:val="24"/>
          <w:szCs w:val="24"/>
        </w:rPr>
        <w:t xml:space="preserve">Criteria for Selection: This amount was determined based on the costs typically associated with R&amp;D in technology-heavy and emerging fields like EV infrastructure. R&amp;D budgets in these areas are often significant because of the high costs of prototyping, testing and intellectual property </w:t>
      </w:r>
      <w:r w:rsidRPr="00843F3B">
        <w:rPr>
          <w:rFonts w:cs="Calibri"/>
          <w:sz w:val="24"/>
          <w:szCs w:val="24"/>
        </w:rPr>
        <w:lastRenderedPageBreak/>
        <w:t>development. The $8 million figure aligns with TD’s strategic vision of making a notable impact in the sustainable and EV markets.</w:t>
      </w:r>
    </w:p>
    <w:p w14:paraId="1106C484" w14:textId="77777777" w:rsidR="00843F3B" w:rsidRPr="00843F3B" w:rsidRDefault="00843F3B" w:rsidP="00265697">
      <w:pPr>
        <w:spacing w:line="276" w:lineRule="auto"/>
        <w:rPr>
          <w:rFonts w:cs="Calibri"/>
          <w:sz w:val="24"/>
          <w:szCs w:val="24"/>
        </w:rPr>
      </w:pPr>
      <w:r w:rsidRPr="00843F3B">
        <w:rPr>
          <w:rFonts w:cs="Calibri"/>
          <w:sz w:val="24"/>
          <w:szCs w:val="24"/>
        </w:rPr>
        <w:t>Growth Rate of 2.5%: The 2.5% annual growth rate is realistic and accounts for the incremental increase in R&amp;D spending necessary to keep pace with advances in EV technology and market competition. R&amp;D costs are likely to increase as TD pursues innovation and refinement of its charging solutions because of rapid evolving nature of the EV industry. This rate also reflects inflation and the need to gradually expand R&amp;D efforts as the EV market matures and as demand for cutting-edge solutions grows.</w:t>
      </w:r>
    </w:p>
    <w:p w14:paraId="4BADBDF7" w14:textId="77777777" w:rsidR="00843F3B" w:rsidRPr="00843F3B" w:rsidRDefault="00843F3B" w:rsidP="00265697">
      <w:pPr>
        <w:spacing w:line="276" w:lineRule="auto"/>
        <w:rPr>
          <w:rFonts w:cs="Calibri"/>
          <w:b/>
          <w:bCs/>
          <w:sz w:val="28"/>
          <w:szCs w:val="28"/>
        </w:rPr>
      </w:pPr>
      <w:r w:rsidRPr="00843F3B">
        <w:rPr>
          <w:rFonts w:cs="Calibri"/>
          <w:b/>
          <w:bCs/>
          <w:sz w:val="28"/>
          <w:szCs w:val="28"/>
        </w:rPr>
        <w:t>Warehouse and Storage Space</w:t>
      </w:r>
    </w:p>
    <w:p w14:paraId="635D878B" w14:textId="77777777" w:rsidR="00843F3B" w:rsidRPr="00843F3B" w:rsidRDefault="00843F3B" w:rsidP="00265697">
      <w:pPr>
        <w:spacing w:line="276" w:lineRule="auto"/>
        <w:rPr>
          <w:rFonts w:cs="Calibri"/>
          <w:sz w:val="24"/>
          <w:szCs w:val="24"/>
        </w:rPr>
      </w:pPr>
      <w:r w:rsidRPr="00843F3B">
        <w:rPr>
          <w:rFonts w:cs="Calibri"/>
          <w:sz w:val="24"/>
          <w:szCs w:val="24"/>
        </w:rPr>
        <w:t xml:space="preserve">Initial Investment in Warehouse and Storage Space </w:t>
      </w:r>
    </w:p>
    <w:p w14:paraId="1625BF08" w14:textId="77777777" w:rsidR="00843F3B" w:rsidRPr="00843F3B" w:rsidRDefault="00843F3B" w:rsidP="00265697">
      <w:pPr>
        <w:spacing w:line="276" w:lineRule="auto"/>
        <w:rPr>
          <w:rFonts w:cs="Calibri"/>
          <w:sz w:val="24"/>
          <w:szCs w:val="24"/>
        </w:rPr>
      </w:pPr>
      <w:r w:rsidRPr="00843F3B">
        <w:rPr>
          <w:rFonts w:cs="Calibri"/>
          <w:sz w:val="24"/>
          <w:szCs w:val="24"/>
        </w:rPr>
        <w:t>The $3 million figure represents an initial capital investment required for warehousing and storage that TD Bank may need to store EV charging equipment, parts as well as other infrastructure materials. As TD Bank expands its physical EV infrastructure having dedicated storage facilities ensures efficient supply chain management and inventory control. This budget also reflects potential costs for securing warehouse leases, maintaining storage facilities and ensuring these spaces meet regulatory and environmental standards.</w:t>
      </w:r>
    </w:p>
    <w:p w14:paraId="411E6016" w14:textId="77777777" w:rsidR="00843F3B" w:rsidRPr="00843F3B" w:rsidRDefault="00843F3B" w:rsidP="00265697">
      <w:pPr>
        <w:spacing w:line="276" w:lineRule="auto"/>
        <w:rPr>
          <w:rFonts w:cs="Calibri"/>
          <w:sz w:val="24"/>
          <w:szCs w:val="24"/>
        </w:rPr>
      </w:pPr>
      <w:r w:rsidRPr="00843F3B">
        <w:rPr>
          <w:rFonts w:cs="Calibri"/>
          <w:sz w:val="24"/>
          <w:szCs w:val="24"/>
        </w:rPr>
        <w:t>Criteria for Selection: The $3 million budget aligns with market standards for commercial storage facilities especially those handling specialised equipment like EV chargers. The amount chosen considers both the space requirements and the specific needs for storing technologically sensitive materials. It’s realistic given the growing number of TD Bank branches potentially needing EV infrastructure components as well as the importance of proper storage.</w:t>
      </w:r>
    </w:p>
    <w:p w14:paraId="4558FF16" w14:textId="77777777" w:rsidR="00843F3B" w:rsidRPr="00843F3B" w:rsidRDefault="00843F3B" w:rsidP="00265697">
      <w:pPr>
        <w:spacing w:line="276" w:lineRule="auto"/>
        <w:rPr>
          <w:rFonts w:cs="Calibri"/>
          <w:sz w:val="24"/>
          <w:szCs w:val="24"/>
        </w:rPr>
      </w:pPr>
      <w:r w:rsidRPr="00843F3B">
        <w:rPr>
          <w:rFonts w:cs="Calibri"/>
          <w:sz w:val="24"/>
          <w:szCs w:val="24"/>
        </w:rPr>
        <w:t>Growth Rate of 0.5%: The 0.5% annual increase is modest which is reflecting stable and ongoing warehouse expenses with slight adjustments for inflation. Since warehouse and storage needs are expected to stabilise over time after initial expansion the low growth rate helps maintain cost efficiency while accounting for minor inflation-related increases.</w:t>
      </w:r>
    </w:p>
    <w:p w14:paraId="023ED9B2" w14:textId="77777777" w:rsidR="00843F3B" w:rsidRPr="00843F3B" w:rsidRDefault="00843F3B" w:rsidP="00265697">
      <w:pPr>
        <w:spacing w:line="276" w:lineRule="auto"/>
        <w:rPr>
          <w:rFonts w:cs="Calibri"/>
          <w:b/>
          <w:bCs/>
          <w:sz w:val="28"/>
          <w:szCs w:val="28"/>
        </w:rPr>
      </w:pPr>
      <w:r w:rsidRPr="00843F3B">
        <w:rPr>
          <w:rFonts w:cs="Calibri"/>
          <w:b/>
          <w:bCs/>
          <w:sz w:val="28"/>
          <w:szCs w:val="28"/>
        </w:rPr>
        <w:t>Data Storage and Cloud Infrastructure</w:t>
      </w:r>
    </w:p>
    <w:p w14:paraId="403227F4" w14:textId="77777777" w:rsidR="00843F3B" w:rsidRPr="00843F3B" w:rsidRDefault="00843F3B" w:rsidP="00265697">
      <w:pPr>
        <w:spacing w:line="276" w:lineRule="auto"/>
        <w:rPr>
          <w:rFonts w:cs="Calibri"/>
          <w:sz w:val="24"/>
          <w:szCs w:val="24"/>
        </w:rPr>
      </w:pPr>
      <w:r w:rsidRPr="00843F3B">
        <w:rPr>
          <w:rFonts w:cs="Calibri"/>
          <w:sz w:val="24"/>
          <w:szCs w:val="24"/>
        </w:rPr>
        <w:t xml:space="preserve">Initial Investment in Data Storage and Cloud Infrastructure </w:t>
      </w:r>
    </w:p>
    <w:p w14:paraId="5F338E83" w14:textId="77777777" w:rsidR="00843F3B" w:rsidRPr="00843F3B" w:rsidRDefault="00843F3B" w:rsidP="00265697">
      <w:pPr>
        <w:spacing w:line="276" w:lineRule="auto"/>
        <w:rPr>
          <w:rFonts w:cs="Calibri"/>
          <w:sz w:val="24"/>
          <w:szCs w:val="24"/>
        </w:rPr>
      </w:pPr>
      <w:r w:rsidRPr="00843F3B">
        <w:rPr>
          <w:rFonts w:cs="Calibri"/>
          <w:sz w:val="24"/>
          <w:szCs w:val="24"/>
        </w:rPr>
        <w:t>The $4 million initial investment reflects the substantial infrastructure as well as storage resources required for an organisation of TD Bank’s scale especially when integrating EV charging services. Efficient data storage as well as cloud infrastructure are crucial for managing large volumes of data generated from EV charging stations which monitors usage patterns and handles user transactions securely.</w:t>
      </w:r>
    </w:p>
    <w:p w14:paraId="57EF2462" w14:textId="77777777" w:rsidR="00843F3B" w:rsidRPr="00843F3B" w:rsidRDefault="00843F3B" w:rsidP="00265697">
      <w:pPr>
        <w:spacing w:line="276" w:lineRule="auto"/>
        <w:rPr>
          <w:rFonts w:cs="Calibri"/>
          <w:sz w:val="24"/>
          <w:szCs w:val="24"/>
        </w:rPr>
      </w:pPr>
      <w:r w:rsidRPr="00843F3B">
        <w:rPr>
          <w:rFonts w:cs="Calibri"/>
          <w:sz w:val="24"/>
          <w:szCs w:val="24"/>
        </w:rPr>
        <w:lastRenderedPageBreak/>
        <w:t>Criteria for Selection: The amount was chosen based on the need for robust data management capabilities considering both the scalability as well as security required for sensitive financial data and energy usage metrics. This number also aligns with industry benchmarks for financial institutions investing in cloud solutions and data storage especially those venturing into tech-intensive areas such as EV infrastructure.</w:t>
      </w:r>
    </w:p>
    <w:p w14:paraId="0C53B9EB" w14:textId="77777777" w:rsidR="00843F3B" w:rsidRPr="00843F3B" w:rsidRDefault="00843F3B" w:rsidP="00265697">
      <w:pPr>
        <w:spacing w:line="276" w:lineRule="auto"/>
        <w:rPr>
          <w:rFonts w:cs="Calibri"/>
          <w:sz w:val="24"/>
          <w:szCs w:val="24"/>
        </w:rPr>
      </w:pPr>
      <w:r w:rsidRPr="00843F3B">
        <w:rPr>
          <w:rFonts w:cs="Calibri"/>
          <w:sz w:val="24"/>
          <w:szCs w:val="24"/>
        </w:rPr>
        <w:t>Growth Rate of 2.5%: The 2.5% annual growth rate accounts for the ongoing demand for more storage as TD Bank’s EV infrastructure expands as data usage grows. It also reflects inflation as well as the incremental costs of upgrading cloud services, maintaining data resilience and complying with data protection regulations. This moderate growth rate aligns with the pace of technological advancement in cloud services and anticipates higher data storage needs as TD expands its offerings in the EV sector.</w:t>
      </w:r>
    </w:p>
    <w:p w14:paraId="03101895" w14:textId="77777777" w:rsidR="00843F3B" w:rsidRPr="00843F3B" w:rsidRDefault="00843F3B" w:rsidP="00265697">
      <w:pPr>
        <w:spacing w:line="276" w:lineRule="auto"/>
        <w:rPr>
          <w:rFonts w:cs="Calibri"/>
          <w:b/>
          <w:bCs/>
          <w:sz w:val="28"/>
          <w:szCs w:val="28"/>
        </w:rPr>
      </w:pPr>
      <w:r w:rsidRPr="00843F3B">
        <w:rPr>
          <w:rFonts w:cs="Calibri"/>
          <w:b/>
          <w:bCs/>
          <w:sz w:val="28"/>
          <w:szCs w:val="28"/>
        </w:rPr>
        <w:t>Cybersecurity Expenses</w:t>
      </w:r>
    </w:p>
    <w:p w14:paraId="1B8BC60D" w14:textId="77777777" w:rsidR="00843F3B" w:rsidRPr="00843F3B" w:rsidRDefault="00843F3B" w:rsidP="00265697">
      <w:pPr>
        <w:spacing w:line="276" w:lineRule="auto"/>
        <w:rPr>
          <w:rFonts w:cs="Calibri"/>
          <w:sz w:val="24"/>
          <w:szCs w:val="24"/>
        </w:rPr>
      </w:pPr>
      <w:r w:rsidRPr="00843F3B">
        <w:rPr>
          <w:rFonts w:cs="Calibri"/>
          <w:sz w:val="24"/>
          <w:szCs w:val="24"/>
        </w:rPr>
        <w:t>Initial Investment in Cybersecurity:</w:t>
      </w:r>
    </w:p>
    <w:p w14:paraId="5C39A3DC" w14:textId="77777777" w:rsidR="00843F3B" w:rsidRPr="00843F3B" w:rsidRDefault="00843F3B" w:rsidP="00265697">
      <w:pPr>
        <w:spacing w:line="276" w:lineRule="auto"/>
        <w:rPr>
          <w:rFonts w:cs="Calibri"/>
          <w:sz w:val="24"/>
          <w:szCs w:val="24"/>
        </w:rPr>
      </w:pPr>
      <w:r w:rsidRPr="00843F3B">
        <w:rPr>
          <w:rFonts w:cs="Calibri"/>
          <w:sz w:val="24"/>
          <w:szCs w:val="24"/>
        </w:rPr>
        <w:t>The $1.5 million initial investment represents TD Bank’s commitment to ensuring strong cybersecurity measures particularly with the added risks posed by new services like EV charging infrastructure which could introduce vulnerabilities. This initial budget supports essential cybersecurity protocols, threat detection and protection strategies to safeguard data that maintain the trust of TD Bank’s customers.</w:t>
      </w:r>
    </w:p>
    <w:p w14:paraId="2A50162D" w14:textId="77777777" w:rsidR="00843F3B" w:rsidRPr="00843F3B" w:rsidRDefault="00843F3B" w:rsidP="00265697">
      <w:pPr>
        <w:spacing w:line="276" w:lineRule="auto"/>
        <w:rPr>
          <w:rFonts w:cs="Calibri"/>
          <w:sz w:val="24"/>
          <w:szCs w:val="24"/>
        </w:rPr>
      </w:pPr>
      <w:r w:rsidRPr="00843F3B">
        <w:rPr>
          <w:rFonts w:cs="Calibri"/>
          <w:sz w:val="24"/>
          <w:szCs w:val="24"/>
        </w:rPr>
        <w:t>Criteria for Selection: This budget was selected based on industry standards for cybersecurity spending in large financial institutions. The amount reflects the initial costs associated with implementing cybersecurity measures across new EV charging platforms and monitoring potential cyber threats. This investment is aligned with TD’s need to maintain rigorous security standards given the sensitive nature of financial and user data.</w:t>
      </w:r>
    </w:p>
    <w:p w14:paraId="5D6F7B5C" w14:textId="77777777" w:rsidR="00843F3B" w:rsidRPr="00843F3B" w:rsidRDefault="00843F3B" w:rsidP="00265697">
      <w:pPr>
        <w:spacing w:line="276" w:lineRule="auto"/>
        <w:rPr>
          <w:rFonts w:cs="Calibri"/>
          <w:sz w:val="24"/>
          <w:szCs w:val="24"/>
        </w:rPr>
      </w:pPr>
      <w:r w:rsidRPr="00843F3B">
        <w:rPr>
          <w:rFonts w:cs="Calibri"/>
          <w:sz w:val="24"/>
          <w:szCs w:val="24"/>
        </w:rPr>
        <w:t>Minimal Growth Rate of 0.1%: The 0.1% annual growth rate represents a very conservative increase which is reflecting minor adjustments for inflation rather than an expectation of expanded expenses. Since the primary cybersecurity framework is established in the initial investment the budget grows only slightly over time which is maintaining a stable and sustainable security posture.</w:t>
      </w:r>
    </w:p>
    <w:p w14:paraId="764D3703" w14:textId="77777777" w:rsidR="00755006" w:rsidRPr="00755006" w:rsidRDefault="00755006" w:rsidP="00265697">
      <w:pPr>
        <w:spacing w:line="276" w:lineRule="auto"/>
        <w:rPr>
          <w:rFonts w:cs="Calibri"/>
          <w:b/>
          <w:bCs/>
          <w:sz w:val="28"/>
          <w:szCs w:val="28"/>
        </w:rPr>
      </w:pPr>
      <w:r w:rsidRPr="00755006">
        <w:rPr>
          <w:rFonts w:cs="Calibri"/>
          <w:b/>
          <w:bCs/>
          <w:sz w:val="28"/>
          <w:szCs w:val="28"/>
        </w:rPr>
        <w:t>Employee Payroll</w:t>
      </w:r>
    </w:p>
    <w:p w14:paraId="0B4464DB" w14:textId="77777777" w:rsidR="00755006" w:rsidRPr="00755006" w:rsidRDefault="00755006" w:rsidP="00265697">
      <w:pPr>
        <w:spacing w:line="276" w:lineRule="auto"/>
        <w:rPr>
          <w:rFonts w:cs="Calibri"/>
          <w:sz w:val="24"/>
          <w:szCs w:val="24"/>
        </w:rPr>
      </w:pPr>
      <w:r w:rsidRPr="00755006">
        <w:rPr>
          <w:rFonts w:cs="Calibri"/>
          <w:sz w:val="24"/>
          <w:szCs w:val="24"/>
        </w:rPr>
        <w:t>WiTricity currently has 160 employees. As TD Bank acquires the company, it will likely need to expand WiTricity’s workforce across various functions to ensure smooth integration and continued growth. The areas requiring expansion include technical talent, regulatory compliance, sales, marketing, supply chain management, IT support and customer service.</w:t>
      </w:r>
    </w:p>
    <w:p w14:paraId="59DDD549" w14:textId="77777777" w:rsidR="00755006" w:rsidRPr="00755006" w:rsidRDefault="00755006" w:rsidP="00265697">
      <w:pPr>
        <w:spacing w:line="276" w:lineRule="auto"/>
        <w:rPr>
          <w:rFonts w:cs="Calibri"/>
          <w:b/>
          <w:bCs/>
          <w:sz w:val="24"/>
          <w:szCs w:val="24"/>
        </w:rPr>
      </w:pPr>
      <w:r w:rsidRPr="00755006">
        <w:rPr>
          <w:rFonts w:cs="Calibri"/>
          <w:b/>
          <w:bCs/>
          <w:sz w:val="24"/>
          <w:szCs w:val="24"/>
        </w:rPr>
        <w:lastRenderedPageBreak/>
        <w:t>Key Functions and Roles for Expansion</w:t>
      </w:r>
    </w:p>
    <w:p w14:paraId="2E4C4669" w14:textId="77777777" w:rsidR="00755006" w:rsidRPr="00755006" w:rsidRDefault="00755006" w:rsidP="00265697">
      <w:pPr>
        <w:spacing w:line="276" w:lineRule="auto"/>
        <w:rPr>
          <w:rFonts w:cs="Calibri"/>
          <w:sz w:val="24"/>
          <w:szCs w:val="24"/>
        </w:rPr>
      </w:pPr>
      <w:r w:rsidRPr="00755006">
        <w:rPr>
          <w:rFonts w:cs="Calibri"/>
          <w:sz w:val="24"/>
          <w:szCs w:val="24"/>
        </w:rPr>
        <w:t>TD Bank would hire new employees in critical areas to strengthen WiTricity’s capabilities, streamline integration and support future growth.</w:t>
      </w:r>
    </w:p>
    <w:p w14:paraId="3F35EB68" w14:textId="77777777" w:rsidR="00755006" w:rsidRPr="00755006" w:rsidRDefault="00755006" w:rsidP="00265697">
      <w:pPr>
        <w:spacing w:line="276" w:lineRule="auto"/>
        <w:rPr>
          <w:rFonts w:cs="Calibri"/>
          <w:b/>
          <w:bCs/>
          <w:sz w:val="24"/>
          <w:szCs w:val="24"/>
        </w:rPr>
      </w:pPr>
      <w:r w:rsidRPr="00755006">
        <w:rPr>
          <w:rFonts w:cs="Calibri"/>
          <w:b/>
          <w:bCs/>
          <w:sz w:val="24"/>
          <w:szCs w:val="24"/>
        </w:rPr>
        <w:t>Technical Talent and R&amp;D Expansion</w:t>
      </w:r>
    </w:p>
    <w:p w14:paraId="1294D6A4" w14:textId="77777777" w:rsidR="00755006" w:rsidRPr="00755006" w:rsidRDefault="00755006" w:rsidP="00265697">
      <w:pPr>
        <w:spacing w:line="276" w:lineRule="auto"/>
        <w:rPr>
          <w:rFonts w:cs="Calibri"/>
          <w:sz w:val="24"/>
          <w:szCs w:val="24"/>
        </w:rPr>
      </w:pPr>
      <w:r w:rsidRPr="00755006">
        <w:rPr>
          <w:rFonts w:cs="Calibri"/>
          <w:sz w:val="24"/>
          <w:szCs w:val="24"/>
        </w:rPr>
        <w:t>TD would focus on scaling WiTricity’s core technology through additional technical talent:</w:t>
      </w:r>
    </w:p>
    <w:p w14:paraId="72FB0D98" w14:textId="77777777" w:rsidR="00755006" w:rsidRPr="00755006" w:rsidRDefault="00755006" w:rsidP="00B76B0D">
      <w:pPr>
        <w:numPr>
          <w:ilvl w:val="0"/>
          <w:numId w:val="32"/>
        </w:numPr>
        <w:spacing w:line="276" w:lineRule="auto"/>
        <w:rPr>
          <w:rFonts w:cs="Calibri"/>
          <w:sz w:val="24"/>
          <w:szCs w:val="24"/>
        </w:rPr>
      </w:pPr>
      <w:r w:rsidRPr="00755006">
        <w:rPr>
          <w:rFonts w:cs="Calibri"/>
          <w:sz w:val="24"/>
          <w:szCs w:val="24"/>
        </w:rPr>
        <w:t>Research &amp; Development (R&amp;D) Engineers: Additional engineers will be needed for wireless power transfer, electric vehicle (EV) charging and energy storage.</w:t>
      </w:r>
    </w:p>
    <w:p w14:paraId="24456D04" w14:textId="77777777" w:rsidR="00755006" w:rsidRPr="00755006" w:rsidRDefault="00755006" w:rsidP="00B76B0D">
      <w:pPr>
        <w:numPr>
          <w:ilvl w:val="0"/>
          <w:numId w:val="32"/>
        </w:numPr>
        <w:spacing w:line="276" w:lineRule="auto"/>
        <w:rPr>
          <w:rFonts w:cs="Calibri"/>
          <w:sz w:val="24"/>
          <w:szCs w:val="24"/>
        </w:rPr>
      </w:pPr>
      <w:r w:rsidRPr="00755006">
        <w:rPr>
          <w:rFonts w:cs="Calibri"/>
          <w:sz w:val="24"/>
          <w:szCs w:val="24"/>
        </w:rPr>
        <w:t>Software Developers: These engineers will help integrate WiTricity's technology with TD’s financial platforms and other partner systems.</w:t>
      </w:r>
    </w:p>
    <w:p w14:paraId="16740268" w14:textId="77777777" w:rsidR="00755006" w:rsidRPr="00755006" w:rsidRDefault="00755006" w:rsidP="00B76B0D">
      <w:pPr>
        <w:numPr>
          <w:ilvl w:val="0"/>
          <w:numId w:val="32"/>
        </w:numPr>
        <w:spacing w:line="276" w:lineRule="auto"/>
        <w:rPr>
          <w:rFonts w:cs="Calibri"/>
          <w:sz w:val="24"/>
          <w:szCs w:val="24"/>
        </w:rPr>
      </w:pPr>
      <w:r w:rsidRPr="00755006">
        <w:rPr>
          <w:rFonts w:cs="Calibri"/>
          <w:sz w:val="24"/>
          <w:szCs w:val="24"/>
        </w:rPr>
        <w:t>Data Scientists: They will analyse wireless charging data for improving efficiency and predictive analytics.</w:t>
      </w:r>
    </w:p>
    <w:p w14:paraId="7B8CFBFC" w14:textId="77777777" w:rsidR="00755006" w:rsidRPr="00755006" w:rsidRDefault="00755006" w:rsidP="00265697">
      <w:pPr>
        <w:spacing w:line="276" w:lineRule="auto"/>
        <w:rPr>
          <w:rFonts w:cs="Calibri"/>
          <w:b/>
          <w:bCs/>
          <w:sz w:val="24"/>
          <w:szCs w:val="24"/>
        </w:rPr>
      </w:pPr>
      <w:r w:rsidRPr="00755006">
        <w:rPr>
          <w:rFonts w:cs="Calibri"/>
          <w:b/>
          <w:bCs/>
          <w:sz w:val="24"/>
          <w:szCs w:val="24"/>
        </w:rPr>
        <w:t xml:space="preserve"> Regulatory and Compliance Specialists</w:t>
      </w:r>
    </w:p>
    <w:p w14:paraId="6AABF931" w14:textId="77777777" w:rsidR="00755006" w:rsidRPr="00755006" w:rsidRDefault="00755006" w:rsidP="00265697">
      <w:pPr>
        <w:spacing w:line="276" w:lineRule="auto"/>
        <w:rPr>
          <w:rFonts w:cs="Calibri"/>
          <w:sz w:val="24"/>
          <w:szCs w:val="24"/>
        </w:rPr>
      </w:pPr>
      <w:r w:rsidRPr="00755006">
        <w:rPr>
          <w:rFonts w:cs="Calibri"/>
          <w:sz w:val="24"/>
          <w:szCs w:val="24"/>
        </w:rPr>
        <w:t>TD Bank will require regulatory and compliance personnel to ensure that WiTricity adheres to the relevant financial services regulations. Additionally, these personnel will oversee compliance with energy and technology industry standards.</w:t>
      </w:r>
    </w:p>
    <w:p w14:paraId="6283B65F" w14:textId="77777777" w:rsidR="00755006" w:rsidRPr="00755006" w:rsidRDefault="00755006" w:rsidP="00B76B0D">
      <w:pPr>
        <w:numPr>
          <w:ilvl w:val="0"/>
          <w:numId w:val="33"/>
        </w:numPr>
        <w:spacing w:line="276" w:lineRule="auto"/>
        <w:rPr>
          <w:rFonts w:cs="Calibri"/>
          <w:sz w:val="24"/>
          <w:szCs w:val="24"/>
        </w:rPr>
      </w:pPr>
      <w:r w:rsidRPr="00755006">
        <w:rPr>
          <w:rFonts w:cs="Calibri"/>
          <w:sz w:val="24"/>
          <w:szCs w:val="24"/>
        </w:rPr>
        <w:t>Compliance Officers: Specialists who understand both the financial and EV sector regulatory landscape.</w:t>
      </w:r>
    </w:p>
    <w:p w14:paraId="71F85817" w14:textId="77777777" w:rsidR="00755006" w:rsidRPr="00755006" w:rsidRDefault="00755006" w:rsidP="00B76B0D">
      <w:pPr>
        <w:numPr>
          <w:ilvl w:val="0"/>
          <w:numId w:val="33"/>
        </w:numPr>
        <w:spacing w:line="276" w:lineRule="auto"/>
        <w:rPr>
          <w:rFonts w:cs="Calibri"/>
          <w:sz w:val="24"/>
          <w:szCs w:val="24"/>
        </w:rPr>
      </w:pPr>
      <w:r w:rsidRPr="00755006">
        <w:rPr>
          <w:rFonts w:cs="Calibri"/>
          <w:sz w:val="24"/>
          <w:szCs w:val="24"/>
        </w:rPr>
        <w:t>Environmental &amp; Sustainability Experts: To help align WiTricity’s technology with TD’s Environmental, Social and Governance (ESG) goals.</w:t>
      </w:r>
    </w:p>
    <w:p w14:paraId="5F5854AD" w14:textId="77777777" w:rsidR="00755006" w:rsidRPr="00755006" w:rsidRDefault="00755006" w:rsidP="00265697">
      <w:pPr>
        <w:spacing w:line="276" w:lineRule="auto"/>
        <w:rPr>
          <w:rFonts w:cs="Calibri"/>
          <w:b/>
          <w:bCs/>
          <w:sz w:val="24"/>
          <w:szCs w:val="24"/>
        </w:rPr>
      </w:pPr>
      <w:r w:rsidRPr="00755006">
        <w:rPr>
          <w:rFonts w:cs="Calibri"/>
          <w:b/>
          <w:bCs/>
          <w:sz w:val="24"/>
          <w:szCs w:val="24"/>
        </w:rPr>
        <w:t xml:space="preserve"> Integration and IT Support</w:t>
      </w:r>
    </w:p>
    <w:p w14:paraId="5AB56775" w14:textId="77777777" w:rsidR="00755006" w:rsidRPr="00755006" w:rsidRDefault="00755006" w:rsidP="00265697">
      <w:pPr>
        <w:spacing w:line="276" w:lineRule="auto"/>
        <w:rPr>
          <w:rFonts w:cs="Calibri"/>
          <w:sz w:val="24"/>
          <w:szCs w:val="24"/>
        </w:rPr>
      </w:pPr>
      <w:r w:rsidRPr="00755006">
        <w:rPr>
          <w:rFonts w:cs="Calibri"/>
          <w:sz w:val="24"/>
          <w:szCs w:val="24"/>
        </w:rPr>
        <w:t>WiTricity’s infrastructure and technology must be integrated into TD’s larger IT ecosystem.</w:t>
      </w:r>
    </w:p>
    <w:p w14:paraId="7C4EE1F2" w14:textId="77777777" w:rsidR="00755006" w:rsidRPr="00755006" w:rsidRDefault="00755006" w:rsidP="00B76B0D">
      <w:pPr>
        <w:numPr>
          <w:ilvl w:val="0"/>
          <w:numId w:val="34"/>
        </w:numPr>
        <w:spacing w:line="276" w:lineRule="auto"/>
        <w:rPr>
          <w:rFonts w:cs="Calibri"/>
          <w:sz w:val="24"/>
          <w:szCs w:val="24"/>
        </w:rPr>
      </w:pPr>
      <w:r w:rsidRPr="00755006">
        <w:rPr>
          <w:rFonts w:cs="Calibri"/>
          <w:sz w:val="24"/>
          <w:szCs w:val="24"/>
        </w:rPr>
        <w:t>IT Infrastructure Specialists: These professionals will manage cloud systems, network security and overall system integration.</w:t>
      </w:r>
    </w:p>
    <w:p w14:paraId="793EF713" w14:textId="77777777" w:rsidR="00755006" w:rsidRPr="00755006" w:rsidRDefault="00755006" w:rsidP="00B76B0D">
      <w:pPr>
        <w:numPr>
          <w:ilvl w:val="0"/>
          <w:numId w:val="34"/>
        </w:numPr>
        <w:spacing w:line="276" w:lineRule="auto"/>
        <w:rPr>
          <w:rFonts w:cs="Calibri"/>
          <w:sz w:val="24"/>
          <w:szCs w:val="24"/>
        </w:rPr>
      </w:pPr>
      <w:r w:rsidRPr="00755006">
        <w:rPr>
          <w:rFonts w:cs="Calibri"/>
          <w:sz w:val="24"/>
          <w:szCs w:val="24"/>
        </w:rPr>
        <w:t>Project Managers: Experts experienced in mergers and acquisitions will oversee the smooth integration of WiTricity’s systems into TD.</w:t>
      </w:r>
    </w:p>
    <w:p w14:paraId="7F997EF9" w14:textId="77777777" w:rsidR="00755006" w:rsidRPr="00755006" w:rsidRDefault="00755006" w:rsidP="00265697">
      <w:pPr>
        <w:spacing w:line="276" w:lineRule="auto"/>
        <w:rPr>
          <w:rFonts w:cs="Calibri"/>
          <w:b/>
          <w:bCs/>
          <w:sz w:val="24"/>
          <w:szCs w:val="24"/>
        </w:rPr>
      </w:pPr>
      <w:r w:rsidRPr="00755006">
        <w:rPr>
          <w:rFonts w:cs="Calibri"/>
          <w:b/>
          <w:bCs/>
          <w:sz w:val="24"/>
          <w:szCs w:val="24"/>
        </w:rPr>
        <w:t>Sales and Marketing Expansion</w:t>
      </w:r>
    </w:p>
    <w:p w14:paraId="3EA90607" w14:textId="77777777" w:rsidR="00755006" w:rsidRPr="00755006" w:rsidRDefault="00755006" w:rsidP="00265697">
      <w:pPr>
        <w:spacing w:line="276" w:lineRule="auto"/>
        <w:rPr>
          <w:rFonts w:cs="Calibri"/>
          <w:sz w:val="24"/>
          <w:szCs w:val="24"/>
        </w:rPr>
      </w:pPr>
      <w:r w:rsidRPr="00755006">
        <w:rPr>
          <w:rFonts w:cs="Calibri"/>
          <w:sz w:val="24"/>
          <w:szCs w:val="24"/>
        </w:rPr>
        <w:t>To help WiTricity reach new customers, TD will expand its sales and marketing teams.</w:t>
      </w:r>
    </w:p>
    <w:p w14:paraId="7558FFD9" w14:textId="77777777" w:rsidR="00755006" w:rsidRPr="00755006" w:rsidRDefault="00755006" w:rsidP="00B76B0D">
      <w:pPr>
        <w:numPr>
          <w:ilvl w:val="0"/>
          <w:numId w:val="35"/>
        </w:numPr>
        <w:spacing w:line="276" w:lineRule="auto"/>
        <w:rPr>
          <w:rFonts w:cs="Calibri"/>
          <w:sz w:val="24"/>
          <w:szCs w:val="24"/>
        </w:rPr>
      </w:pPr>
      <w:r w:rsidRPr="00755006">
        <w:rPr>
          <w:rFonts w:cs="Calibri"/>
          <w:sz w:val="24"/>
          <w:szCs w:val="24"/>
        </w:rPr>
        <w:t>Sales Representatives: Additional sales personnel will target new business clients, especially in the EV and energy industries.</w:t>
      </w:r>
    </w:p>
    <w:p w14:paraId="725C28B5" w14:textId="77777777" w:rsidR="00755006" w:rsidRPr="00755006" w:rsidRDefault="00755006" w:rsidP="00B76B0D">
      <w:pPr>
        <w:numPr>
          <w:ilvl w:val="0"/>
          <w:numId w:val="35"/>
        </w:numPr>
        <w:spacing w:line="276" w:lineRule="auto"/>
        <w:rPr>
          <w:rFonts w:cs="Calibri"/>
          <w:sz w:val="24"/>
          <w:szCs w:val="24"/>
        </w:rPr>
      </w:pPr>
      <w:r w:rsidRPr="00755006">
        <w:rPr>
          <w:rFonts w:cs="Calibri"/>
          <w:sz w:val="24"/>
          <w:szCs w:val="24"/>
        </w:rPr>
        <w:lastRenderedPageBreak/>
        <w:t>Marketing Strategists: Experts will focus on digital marketing, B2B marketing and sustainability campaigns to highlight WiTricity’s wireless charging technology.</w:t>
      </w:r>
    </w:p>
    <w:p w14:paraId="549291C7" w14:textId="77777777" w:rsidR="00755006" w:rsidRPr="00755006" w:rsidRDefault="00755006" w:rsidP="00265697">
      <w:pPr>
        <w:spacing w:line="276" w:lineRule="auto"/>
        <w:rPr>
          <w:rFonts w:cs="Calibri"/>
          <w:b/>
          <w:bCs/>
          <w:sz w:val="24"/>
          <w:szCs w:val="24"/>
        </w:rPr>
      </w:pPr>
      <w:r w:rsidRPr="00755006">
        <w:rPr>
          <w:rFonts w:cs="Calibri"/>
          <w:b/>
          <w:bCs/>
          <w:sz w:val="24"/>
          <w:szCs w:val="24"/>
        </w:rPr>
        <w:t>Operations and Supply Chain Management</w:t>
      </w:r>
    </w:p>
    <w:p w14:paraId="15EF5A09" w14:textId="77777777" w:rsidR="00755006" w:rsidRPr="00755006" w:rsidRDefault="00755006" w:rsidP="00265697">
      <w:pPr>
        <w:spacing w:line="276" w:lineRule="auto"/>
        <w:rPr>
          <w:rFonts w:cs="Calibri"/>
          <w:sz w:val="24"/>
          <w:szCs w:val="24"/>
        </w:rPr>
      </w:pPr>
      <w:r w:rsidRPr="00755006">
        <w:rPr>
          <w:rFonts w:cs="Calibri"/>
          <w:sz w:val="24"/>
          <w:szCs w:val="24"/>
        </w:rPr>
        <w:t>WiTricity’s hardware production necessitates supply chain expansion.</w:t>
      </w:r>
    </w:p>
    <w:p w14:paraId="1A5DBD79" w14:textId="77777777" w:rsidR="00755006" w:rsidRPr="00755006" w:rsidRDefault="00755006" w:rsidP="00B76B0D">
      <w:pPr>
        <w:numPr>
          <w:ilvl w:val="0"/>
          <w:numId w:val="36"/>
        </w:numPr>
        <w:spacing w:line="276" w:lineRule="auto"/>
        <w:rPr>
          <w:rFonts w:cs="Calibri"/>
          <w:sz w:val="24"/>
          <w:szCs w:val="24"/>
        </w:rPr>
      </w:pPr>
      <w:r w:rsidRPr="00755006">
        <w:rPr>
          <w:rFonts w:cs="Calibri"/>
          <w:sz w:val="24"/>
          <w:szCs w:val="24"/>
        </w:rPr>
        <w:t>Supply Chain Managers: They will manage procurement, vendor relationships and logistics.</w:t>
      </w:r>
    </w:p>
    <w:p w14:paraId="193A9943" w14:textId="77777777" w:rsidR="00755006" w:rsidRPr="00755006" w:rsidRDefault="00755006" w:rsidP="00B76B0D">
      <w:pPr>
        <w:numPr>
          <w:ilvl w:val="0"/>
          <w:numId w:val="36"/>
        </w:numPr>
        <w:spacing w:line="276" w:lineRule="auto"/>
        <w:rPr>
          <w:rFonts w:cs="Calibri"/>
          <w:sz w:val="24"/>
          <w:szCs w:val="24"/>
        </w:rPr>
      </w:pPr>
      <w:r w:rsidRPr="00755006">
        <w:rPr>
          <w:rFonts w:cs="Calibri"/>
          <w:sz w:val="24"/>
          <w:szCs w:val="24"/>
        </w:rPr>
        <w:t>Manufacturing Specialists: These experts will ensure the smooth production and quality control of WiTricity’s hardware products.</w:t>
      </w:r>
    </w:p>
    <w:p w14:paraId="78164BB2" w14:textId="77777777" w:rsidR="00755006" w:rsidRPr="00755006" w:rsidRDefault="00755006" w:rsidP="00265697">
      <w:pPr>
        <w:spacing w:line="276" w:lineRule="auto"/>
        <w:rPr>
          <w:rFonts w:cs="Calibri"/>
          <w:b/>
          <w:bCs/>
          <w:sz w:val="24"/>
          <w:szCs w:val="24"/>
        </w:rPr>
      </w:pPr>
      <w:r w:rsidRPr="00755006">
        <w:rPr>
          <w:rFonts w:cs="Calibri"/>
          <w:b/>
          <w:bCs/>
          <w:sz w:val="24"/>
          <w:szCs w:val="24"/>
        </w:rPr>
        <w:t>Customer Support and Training</w:t>
      </w:r>
    </w:p>
    <w:p w14:paraId="0A62D9E3" w14:textId="77777777" w:rsidR="00755006" w:rsidRPr="00755006" w:rsidRDefault="00755006" w:rsidP="00265697">
      <w:pPr>
        <w:spacing w:line="276" w:lineRule="auto"/>
        <w:rPr>
          <w:rFonts w:cs="Calibri"/>
          <w:sz w:val="24"/>
          <w:szCs w:val="24"/>
        </w:rPr>
      </w:pPr>
      <w:r w:rsidRPr="00755006">
        <w:rPr>
          <w:rFonts w:cs="Calibri"/>
          <w:sz w:val="24"/>
          <w:szCs w:val="24"/>
        </w:rPr>
        <w:t>To handle growing demand, TD would need additional customer service personnel.</w:t>
      </w:r>
    </w:p>
    <w:p w14:paraId="0D4D9470" w14:textId="77777777" w:rsidR="00755006" w:rsidRPr="00755006" w:rsidRDefault="00755006" w:rsidP="00B76B0D">
      <w:pPr>
        <w:numPr>
          <w:ilvl w:val="0"/>
          <w:numId w:val="37"/>
        </w:numPr>
        <w:spacing w:line="276" w:lineRule="auto"/>
        <w:rPr>
          <w:rFonts w:cs="Calibri"/>
          <w:sz w:val="24"/>
          <w:szCs w:val="24"/>
        </w:rPr>
      </w:pPr>
      <w:r w:rsidRPr="00755006">
        <w:rPr>
          <w:rFonts w:cs="Calibri"/>
          <w:sz w:val="24"/>
          <w:szCs w:val="24"/>
        </w:rPr>
        <w:t>Customer Success Managers: Responsible for ensuring smooth onboarding of clients and troubleshooting technical issues.</w:t>
      </w:r>
    </w:p>
    <w:p w14:paraId="74443E4A" w14:textId="77777777" w:rsidR="00755006" w:rsidRPr="00755006" w:rsidRDefault="00755006" w:rsidP="00B76B0D">
      <w:pPr>
        <w:numPr>
          <w:ilvl w:val="0"/>
          <w:numId w:val="37"/>
        </w:numPr>
        <w:spacing w:line="276" w:lineRule="auto"/>
        <w:rPr>
          <w:rFonts w:cs="Calibri"/>
          <w:sz w:val="24"/>
          <w:szCs w:val="24"/>
        </w:rPr>
      </w:pPr>
      <w:r w:rsidRPr="00755006">
        <w:rPr>
          <w:rFonts w:cs="Calibri"/>
          <w:sz w:val="24"/>
          <w:szCs w:val="24"/>
        </w:rPr>
        <w:t>Technical Support Teams: These professionals will provide product troubleshooting training to clients and internal teams.</w:t>
      </w:r>
    </w:p>
    <w:p w14:paraId="79168029" w14:textId="77777777" w:rsidR="00755006" w:rsidRPr="00755006" w:rsidRDefault="00755006" w:rsidP="00265697">
      <w:pPr>
        <w:spacing w:line="276" w:lineRule="auto"/>
        <w:rPr>
          <w:rFonts w:cs="Calibri"/>
          <w:b/>
          <w:bCs/>
          <w:sz w:val="24"/>
          <w:szCs w:val="24"/>
        </w:rPr>
      </w:pPr>
      <w:r w:rsidRPr="00755006">
        <w:rPr>
          <w:rFonts w:cs="Calibri"/>
          <w:b/>
          <w:bCs/>
          <w:sz w:val="24"/>
          <w:szCs w:val="24"/>
        </w:rPr>
        <w:t>Human Resources and Administrative Support</w:t>
      </w:r>
    </w:p>
    <w:p w14:paraId="6F3F98A8" w14:textId="77777777" w:rsidR="00755006" w:rsidRPr="00755006" w:rsidRDefault="00755006" w:rsidP="00265697">
      <w:pPr>
        <w:spacing w:line="276" w:lineRule="auto"/>
        <w:rPr>
          <w:rFonts w:cs="Calibri"/>
          <w:sz w:val="24"/>
          <w:szCs w:val="24"/>
        </w:rPr>
      </w:pPr>
      <w:r w:rsidRPr="00755006">
        <w:rPr>
          <w:rFonts w:cs="Calibri"/>
          <w:sz w:val="24"/>
          <w:szCs w:val="24"/>
        </w:rPr>
        <w:t>With WiTricity’s growing workforce, TD will need to expand its HR and administrative teams.</w:t>
      </w:r>
    </w:p>
    <w:p w14:paraId="75D0574B" w14:textId="77777777" w:rsidR="00755006" w:rsidRPr="00755006" w:rsidRDefault="00755006" w:rsidP="00B76B0D">
      <w:pPr>
        <w:numPr>
          <w:ilvl w:val="0"/>
          <w:numId w:val="38"/>
        </w:numPr>
        <w:spacing w:line="276" w:lineRule="auto"/>
        <w:rPr>
          <w:rFonts w:cs="Calibri"/>
          <w:sz w:val="24"/>
          <w:szCs w:val="24"/>
        </w:rPr>
      </w:pPr>
      <w:r w:rsidRPr="00755006">
        <w:rPr>
          <w:rFonts w:cs="Calibri"/>
          <w:sz w:val="24"/>
          <w:szCs w:val="24"/>
        </w:rPr>
        <w:t>HR Specialists: They will manage payroll, employee onboarding and benefits.</w:t>
      </w:r>
    </w:p>
    <w:p w14:paraId="54B1D899" w14:textId="77777777" w:rsidR="00755006" w:rsidRPr="00755006" w:rsidRDefault="00755006" w:rsidP="00B76B0D">
      <w:pPr>
        <w:numPr>
          <w:ilvl w:val="0"/>
          <w:numId w:val="38"/>
        </w:numPr>
        <w:spacing w:line="276" w:lineRule="auto"/>
        <w:rPr>
          <w:rFonts w:cs="Calibri"/>
          <w:sz w:val="24"/>
          <w:szCs w:val="24"/>
        </w:rPr>
      </w:pPr>
      <w:r w:rsidRPr="00755006">
        <w:rPr>
          <w:rFonts w:cs="Calibri"/>
          <w:sz w:val="24"/>
          <w:szCs w:val="24"/>
        </w:rPr>
        <w:t>Legal Advisors: More legal experts will handle intellectual property rights, regulatory compliance and patent management.</w:t>
      </w:r>
    </w:p>
    <w:p w14:paraId="45CF4544" w14:textId="77777777" w:rsidR="00755006" w:rsidRPr="00755006" w:rsidRDefault="00755006" w:rsidP="00265697">
      <w:pPr>
        <w:spacing w:line="276" w:lineRule="auto"/>
        <w:rPr>
          <w:rFonts w:cs="Calibri"/>
          <w:b/>
          <w:bCs/>
          <w:sz w:val="24"/>
          <w:szCs w:val="24"/>
        </w:rPr>
      </w:pPr>
      <w:r w:rsidRPr="00755006">
        <w:rPr>
          <w:rFonts w:cs="Calibri"/>
          <w:b/>
          <w:bCs/>
          <w:sz w:val="24"/>
          <w:szCs w:val="24"/>
        </w:rPr>
        <w:t>Additional Hiring Needs by Function</w:t>
      </w:r>
    </w:p>
    <w:p w14:paraId="3BA119D2" w14:textId="77777777" w:rsidR="00755006" w:rsidRPr="00755006" w:rsidRDefault="00755006" w:rsidP="00265697">
      <w:pPr>
        <w:spacing w:line="276" w:lineRule="auto"/>
        <w:rPr>
          <w:rFonts w:cs="Calibri"/>
          <w:sz w:val="24"/>
          <w:szCs w:val="24"/>
        </w:rPr>
      </w:pPr>
      <w:r w:rsidRPr="00755006">
        <w:rPr>
          <w:rFonts w:cs="Calibri"/>
          <w:sz w:val="24"/>
          <w:szCs w:val="24"/>
        </w:rPr>
        <w:t>TD Bank need to hire up to 140 additional employees across various functions during the acquisition. Here is the breakdown:</w:t>
      </w:r>
    </w:p>
    <w:tbl>
      <w:tblPr>
        <w:tblStyle w:val="PlainTable3"/>
        <w:tblW w:w="9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2"/>
        <w:gridCol w:w="5177"/>
      </w:tblGrid>
      <w:tr w:rsidR="00755006" w:rsidRPr="00755006" w14:paraId="498D28A7" w14:textId="77777777" w:rsidTr="00397FFD">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E685825" w14:textId="68553BDE" w:rsidR="00755006" w:rsidRPr="00755006" w:rsidRDefault="00755006" w:rsidP="00265697">
            <w:pPr>
              <w:spacing w:after="160" w:line="276" w:lineRule="auto"/>
              <w:rPr>
                <w:rFonts w:cs="Calibri"/>
                <w:sz w:val="24"/>
                <w:szCs w:val="24"/>
              </w:rPr>
            </w:pPr>
            <w:r w:rsidRPr="00BD71F8">
              <w:rPr>
                <w:rFonts w:cs="Calibri"/>
                <w:caps w:val="0"/>
                <w:sz w:val="24"/>
                <w:szCs w:val="24"/>
              </w:rPr>
              <w:t>Function</w:t>
            </w:r>
          </w:p>
        </w:tc>
        <w:tc>
          <w:tcPr>
            <w:tcW w:w="0" w:type="auto"/>
            <w:tcBorders>
              <w:top w:val="single" w:sz="4" w:space="0" w:color="auto"/>
              <w:left w:val="single" w:sz="4" w:space="0" w:color="auto"/>
              <w:bottom w:val="single" w:sz="4" w:space="0" w:color="auto"/>
              <w:right w:val="single" w:sz="4" w:space="0" w:color="auto"/>
            </w:tcBorders>
            <w:hideMark/>
          </w:tcPr>
          <w:p w14:paraId="740A4886" w14:textId="33EAD6C0" w:rsidR="00755006" w:rsidRPr="00755006" w:rsidRDefault="00755006" w:rsidP="00265697">
            <w:pPr>
              <w:spacing w:after="160" w:line="276" w:lineRule="auto"/>
              <w:cnfStyle w:val="100000000000" w:firstRow="1" w:lastRow="0" w:firstColumn="0" w:lastColumn="0" w:oddVBand="0" w:evenVBand="0" w:oddHBand="0" w:evenHBand="0" w:firstRowFirstColumn="0" w:firstRowLastColumn="0" w:lastRowFirstColumn="0" w:lastRowLastColumn="0"/>
              <w:rPr>
                <w:rFonts w:cs="Calibri"/>
                <w:sz w:val="24"/>
                <w:szCs w:val="24"/>
              </w:rPr>
            </w:pPr>
            <w:r w:rsidRPr="00BD71F8">
              <w:rPr>
                <w:rFonts w:cs="Calibri"/>
                <w:caps w:val="0"/>
                <w:sz w:val="24"/>
                <w:szCs w:val="24"/>
              </w:rPr>
              <w:t>Estimated number of new hires</w:t>
            </w:r>
          </w:p>
        </w:tc>
      </w:tr>
      <w:tr w:rsidR="00755006" w:rsidRPr="00755006" w14:paraId="578FCF28" w14:textId="77777777" w:rsidTr="00397FF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475D5EC4" w14:textId="458A79B5" w:rsidR="00755006" w:rsidRPr="00755006" w:rsidRDefault="00755006" w:rsidP="00265697">
            <w:pPr>
              <w:spacing w:after="160" w:line="276" w:lineRule="auto"/>
              <w:rPr>
                <w:rFonts w:cs="Calibri"/>
                <w:b w:val="0"/>
                <w:bCs w:val="0"/>
                <w:sz w:val="24"/>
                <w:szCs w:val="24"/>
              </w:rPr>
            </w:pPr>
            <w:r w:rsidRPr="00EF321F">
              <w:rPr>
                <w:rFonts w:cs="Calibri"/>
                <w:b w:val="0"/>
                <w:bCs w:val="0"/>
                <w:caps w:val="0"/>
                <w:sz w:val="24"/>
                <w:szCs w:val="24"/>
              </w:rPr>
              <w:t>Regulatory compliance</w:t>
            </w:r>
          </w:p>
        </w:tc>
        <w:tc>
          <w:tcPr>
            <w:tcW w:w="0" w:type="auto"/>
            <w:tcBorders>
              <w:top w:val="single" w:sz="4" w:space="0" w:color="auto"/>
              <w:left w:val="single" w:sz="4" w:space="0" w:color="auto"/>
              <w:bottom w:val="single" w:sz="4" w:space="0" w:color="auto"/>
              <w:right w:val="single" w:sz="4" w:space="0" w:color="auto"/>
            </w:tcBorders>
            <w:hideMark/>
          </w:tcPr>
          <w:p w14:paraId="640965B5" w14:textId="77777777" w:rsidR="00755006" w:rsidRPr="00755006" w:rsidRDefault="00755006"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55006">
              <w:rPr>
                <w:rFonts w:cs="Calibri"/>
                <w:sz w:val="24"/>
                <w:szCs w:val="24"/>
              </w:rPr>
              <w:t>8-15</w:t>
            </w:r>
          </w:p>
        </w:tc>
      </w:tr>
      <w:tr w:rsidR="00755006" w:rsidRPr="00755006" w14:paraId="4E033385" w14:textId="77777777" w:rsidTr="00397FFD">
        <w:trPr>
          <w:trHeight w:val="2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430B1BC8" w14:textId="04062AE3" w:rsidR="00755006" w:rsidRPr="00755006" w:rsidRDefault="00755006" w:rsidP="00265697">
            <w:pPr>
              <w:spacing w:after="160" w:line="276" w:lineRule="auto"/>
              <w:rPr>
                <w:rFonts w:cs="Calibri"/>
                <w:b w:val="0"/>
                <w:bCs w:val="0"/>
                <w:sz w:val="24"/>
                <w:szCs w:val="24"/>
              </w:rPr>
            </w:pPr>
            <w:r w:rsidRPr="00EF321F">
              <w:rPr>
                <w:rFonts w:cs="Calibri"/>
                <w:b w:val="0"/>
                <w:bCs w:val="0"/>
                <w:caps w:val="0"/>
                <w:sz w:val="24"/>
                <w:szCs w:val="24"/>
              </w:rPr>
              <w:t>Sales and marketing</w:t>
            </w:r>
          </w:p>
        </w:tc>
        <w:tc>
          <w:tcPr>
            <w:tcW w:w="0" w:type="auto"/>
            <w:tcBorders>
              <w:top w:val="single" w:sz="4" w:space="0" w:color="auto"/>
              <w:left w:val="single" w:sz="4" w:space="0" w:color="auto"/>
              <w:bottom w:val="single" w:sz="4" w:space="0" w:color="auto"/>
              <w:right w:val="single" w:sz="4" w:space="0" w:color="auto"/>
            </w:tcBorders>
            <w:hideMark/>
          </w:tcPr>
          <w:p w14:paraId="1C3590DD" w14:textId="77777777" w:rsidR="00755006" w:rsidRPr="00755006" w:rsidRDefault="00755006"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55006">
              <w:rPr>
                <w:rFonts w:cs="Calibri"/>
                <w:sz w:val="24"/>
                <w:szCs w:val="24"/>
              </w:rPr>
              <w:t>25-35</w:t>
            </w:r>
          </w:p>
        </w:tc>
      </w:tr>
      <w:tr w:rsidR="00755006" w:rsidRPr="00755006" w14:paraId="53FC7C9D" w14:textId="77777777" w:rsidTr="00397FF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6BDC48DC" w14:textId="74383AB9" w:rsidR="00755006" w:rsidRPr="00755006" w:rsidRDefault="00755006" w:rsidP="00265697">
            <w:pPr>
              <w:spacing w:after="160" w:line="276" w:lineRule="auto"/>
              <w:rPr>
                <w:rFonts w:cs="Calibri"/>
                <w:b w:val="0"/>
                <w:bCs w:val="0"/>
                <w:sz w:val="24"/>
                <w:szCs w:val="24"/>
              </w:rPr>
            </w:pPr>
            <w:r w:rsidRPr="00EF321F">
              <w:rPr>
                <w:rFonts w:cs="Calibri"/>
                <w:b w:val="0"/>
                <w:bCs w:val="0"/>
                <w:caps w:val="0"/>
                <w:sz w:val="24"/>
                <w:szCs w:val="24"/>
              </w:rPr>
              <w:t>Supply chain management</w:t>
            </w:r>
          </w:p>
        </w:tc>
        <w:tc>
          <w:tcPr>
            <w:tcW w:w="0" w:type="auto"/>
            <w:tcBorders>
              <w:top w:val="single" w:sz="4" w:space="0" w:color="auto"/>
              <w:left w:val="single" w:sz="4" w:space="0" w:color="auto"/>
              <w:bottom w:val="single" w:sz="4" w:space="0" w:color="auto"/>
              <w:right w:val="single" w:sz="4" w:space="0" w:color="auto"/>
            </w:tcBorders>
            <w:hideMark/>
          </w:tcPr>
          <w:p w14:paraId="7CE40E10" w14:textId="77777777" w:rsidR="00755006" w:rsidRPr="00755006" w:rsidRDefault="00755006"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55006">
              <w:rPr>
                <w:rFonts w:cs="Calibri"/>
                <w:sz w:val="24"/>
                <w:szCs w:val="24"/>
              </w:rPr>
              <w:t>15-25</w:t>
            </w:r>
          </w:p>
        </w:tc>
      </w:tr>
      <w:tr w:rsidR="00755006" w:rsidRPr="00755006" w14:paraId="2AF3B331" w14:textId="77777777" w:rsidTr="00397FFD">
        <w:trPr>
          <w:trHeight w:val="2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1845762B" w14:textId="1EA84417" w:rsidR="00755006" w:rsidRPr="00755006" w:rsidRDefault="00755006" w:rsidP="00265697">
            <w:pPr>
              <w:spacing w:after="160" w:line="276" w:lineRule="auto"/>
              <w:rPr>
                <w:rFonts w:cs="Calibri"/>
                <w:b w:val="0"/>
                <w:bCs w:val="0"/>
                <w:sz w:val="24"/>
                <w:szCs w:val="24"/>
              </w:rPr>
            </w:pPr>
            <w:r w:rsidRPr="00EF321F">
              <w:rPr>
                <w:rFonts w:cs="Calibri"/>
                <w:b w:val="0"/>
                <w:bCs w:val="0"/>
                <w:caps w:val="0"/>
                <w:sz w:val="24"/>
                <w:szCs w:val="24"/>
              </w:rPr>
              <w:t>I</w:t>
            </w:r>
            <w:r w:rsidR="00341FDB" w:rsidRPr="00EF321F">
              <w:rPr>
                <w:rFonts w:cs="Calibri"/>
                <w:b w:val="0"/>
                <w:bCs w:val="0"/>
                <w:caps w:val="0"/>
                <w:sz w:val="24"/>
                <w:szCs w:val="24"/>
              </w:rPr>
              <w:t xml:space="preserve">T </w:t>
            </w:r>
            <w:r w:rsidRPr="00EF321F">
              <w:rPr>
                <w:rFonts w:cs="Calibri"/>
                <w:b w:val="0"/>
                <w:bCs w:val="0"/>
                <w:caps w:val="0"/>
                <w:sz w:val="24"/>
                <w:szCs w:val="24"/>
              </w:rPr>
              <w:t>support</w:t>
            </w:r>
          </w:p>
        </w:tc>
        <w:tc>
          <w:tcPr>
            <w:tcW w:w="0" w:type="auto"/>
            <w:tcBorders>
              <w:top w:val="single" w:sz="4" w:space="0" w:color="auto"/>
              <w:left w:val="single" w:sz="4" w:space="0" w:color="auto"/>
              <w:bottom w:val="single" w:sz="4" w:space="0" w:color="auto"/>
              <w:right w:val="single" w:sz="4" w:space="0" w:color="auto"/>
            </w:tcBorders>
            <w:hideMark/>
          </w:tcPr>
          <w:p w14:paraId="3BD30F03" w14:textId="77777777" w:rsidR="00755006" w:rsidRPr="00755006" w:rsidRDefault="00755006"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55006">
              <w:rPr>
                <w:rFonts w:cs="Calibri"/>
                <w:sz w:val="24"/>
                <w:szCs w:val="24"/>
              </w:rPr>
              <w:t>25-35</w:t>
            </w:r>
          </w:p>
        </w:tc>
      </w:tr>
      <w:tr w:rsidR="00755006" w:rsidRPr="00755006" w14:paraId="435EA8C7" w14:textId="77777777" w:rsidTr="00397FF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622E351E" w14:textId="7EFE4549" w:rsidR="00755006" w:rsidRPr="00755006" w:rsidRDefault="00755006" w:rsidP="00265697">
            <w:pPr>
              <w:spacing w:after="160" w:line="276" w:lineRule="auto"/>
              <w:rPr>
                <w:rFonts w:cs="Calibri"/>
                <w:b w:val="0"/>
                <w:bCs w:val="0"/>
                <w:sz w:val="24"/>
                <w:szCs w:val="24"/>
              </w:rPr>
            </w:pPr>
            <w:r w:rsidRPr="00EF321F">
              <w:rPr>
                <w:rFonts w:cs="Calibri"/>
                <w:b w:val="0"/>
                <w:bCs w:val="0"/>
                <w:caps w:val="0"/>
                <w:sz w:val="24"/>
                <w:szCs w:val="24"/>
              </w:rPr>
              <w:t>Customer service</w:t>
            </w:r>
          </w:p>
        </w:tc>
        <w:tc>
          <w:tcPr>
            <w:tcW w:w="0" w:type="auto"/>
            <w:tcBorders>
              <w:top w:val="single" w:sz="4" w:space="0" w:color="auto"/>
              <w:left w:val="single" w:sz="4" w:space="0" w:color="auto"/>
              <w:bottom w:val="single" w:sz="4" w:space="0" w:color="auto"/>
              <w:right w:val="single" w:sz="4" w:space="0" w:color="auto"/>
            </w:tcBorders>
            <w:hideMark/>
          </w:tcPr>
          <w:p w14:paraId="21B8A355" w14:textId="77777777" w:rsidR="00755006" w:rsidRPr="00755006" w:rsidRDefault="00755006"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55006">
              <w:rPr>
                <w:rFonts w:cs="Calibri"/>
                <w:sz w:val="24"/>
                <w:szCs w:val="24"/>
              </w:rPr>
              <w:t>20-30</w:t>
            </w:r>
          </w:p>
        </w:tc>
      </w:tr>
    </w:tbl>
    <w:p w14:paraId="217DBD47" w14:textId="77777777" w:rsidR="00755006" w:rsidRPr="00755006" w:rsidRDefault="00755006" w:rsidP="00265697">
      <w:pPr>
        <w:spacing w:line="276" w:lineRule="auto"/>
        <w:rPr>
          <w:rFonts w:cs="Calibri"/>
          <w:sz w:val="24"/>
          <w:szCs w:val="24"/>
        </w:rPr>
      </w:pPr>
      <w:r w:rsidRPr="00755006">
        <w:rPr>
          <w:rFonts w:cs="Calibri"/>
          <w:b/>
          <w:bCs/>
          <w:sz w:val="24"/>
          <w:szCs w:val="24"/>
        </w:rPr>
        <w:lastRenderedPageBreak/>
        <w:t>Total Estimate:</w:t>
      </w:r>
      <w:r w:rsidRPr="00755006">
        <w:rPr>
          <w:rFonts w:cs="Calibri"/>
          <w:sz w:val="24"/>
          <w:szCs w:val="24"/>
        </w:rPr>
        <w:t xml:space="preserve"> 93-140 additional hires would be required across these functions.</w:t>
      </w:r>
    </w:p>
    <w:p w14:paraId="6FD2FE3E" w14:textId="77777777" w:rsidR="00755006" w:rsidRPr="00755006" w:rsidRDefault="00755006" w:rsidP="00265697">
      <w:pPr>
        <w:spacing w:line="276" w:lineRule="auto"/>
        <w:rPr>
          <w:rFonts w:cs="Calibri"/>
          <w:sz w:val="24"/>
          <w:szCs w:val="24"/>
        </w:rPr>
      </w:pPr>
      <w:r w:rsidRPr="00755006">
        <w:rPr>
          <w:rFonts w:cs="Calibri"/>
          <w:b/>
          <w:bCs/>
          <w:sz w:val="24"/>
          <w:szCs w:val="24"/>
        </w:rPr>
        <w:t>Payroll Calculation for 300 Employees (Existing and New)</w:t>
      </w:r>
    </w:p>
    <w:p w14:paraId="0C708C3C" w14:textId="77777777" w:rsidR="00755006" w:rsidRPr="00755006" w:rsidRDefault="00755006" w:rsidP="00265697">
      <w:pPr>
        <w:spacing w:line="276" w:lineRule="auto"/>
        <w:rPr>
          <w:rFonts w:cs="Calibri"/>
          <w:sz w:val="24"/>
          <w:szCs w:val="24"/>
        </w:rPr>
      </w:pPr>
      <w:r w:rsidRPr="00755006">
        <w:rPr>
          <w:rFonts w:cs="Calibri"/>
          <w:sz w:val="24"/>
          <w:szCs w:val="24"/>
        </w:rPr>
        <w:t>WiTricity’s current workforce of 160 employees, combined with the estimated 140 additional hires, gives a total of 300 employees. Here is a breakdown of payroll costs for both existing and new employees.</w:t>
      </w:r>
    </w:p>
    <w:p w14:paraId="54C08913" w14:textId="77777777" w:rsidR="00755006" w:rsidRPr="00755006" w:rsidRDefault="00755006" w:rsidP="00265697">
      <w:pPr>
        <w:spacing w:line="276" w:lineRule="auto"/>
        <w:rPr>
          <w:rFonts w:cs="Calibri"/>
          <w:sz w:val="24"/>
          <w:szCs w:val="24"/>
        </w:rPr>
      </w:pPr>
      <w:r w:rsidRPr="00755006">
        <w:rPr>
          <w:rFonts w:cs="Calibri"/>
          <w:b/>
          <w:bCs/>
          <w:sz w:val="24"/>
          <w:szCs w:val="24"/>
        </w:rPr>
        <w:t xml:space="preserve"> Payroll for Existing Employees (160 Employees)</w:t>
      </w:r>
    </w:p>
    <w:p w14:paraId="79578F57" w14:textId="77777777" w:rsidR="00755006" w:rsidRPr="00755006" w:rsidRDefault="00755006" w:rsidP="00B76B0D">
      <w:pPr>
        <w:numPr>
          <w:ilvl w:val="0"/>
          <w:numId w:val="39"/>
        </w:numPr>
        <w:spacing w:line="276" w:lineRule="auto"/>
        <w:rPr>
          <w:rFonts w:cs="Calibri"/>
          <w:sz w:val="24"/>
          <w:szCs w:val="24"/>
        </w:rPr>
      </w:pPr>
      <w:r w:rsidRPr="00755006">
        <w:rPr>
          <w:rFonts w:cs="Calibri"/>
          <w:sz w:val="24"/>
          <w:szCs w:val="24"/>
        </w:rPr>
        <w:t>Average Salary: $100,000 (across roles such as engineers, managers and support staff).</w:t>
      </w:r>
    </w:p>
    <w:p w14:paraId="2F22FCF6" w14:textId="77777777" w:rsidR="00755006" w:rsidRPr="00755006" w:rsidRDefault="00755006" w:rsidP="00B76B0D">
      <w:pPr>
        <w:numPr>
          <w:ilvl w:val="0"/>
          <w:numId w:val="39"/>
        </w:numPr>
        <w:spacing w:line="276" w:lineRule="auto"/>
        <w:rPr>
          <w:rFonts w:cs="Calibri"/>
          <w:sz w:val="24"/>
          <w:szCs w:val="24"/>
        </w:rPr>
      </w:pPr>
      <w:r w:rsidRPr="00755006">
        <w:rPr>
          <w:rFonts w:cs="Calibri"/>
          <w:sz w:val="24"/>
          <w:szCs w:val="24"/>
        </w:rPr>
        <w:t>Benefits and Incentives: 30% of the base salary (for health insurance, pensions and bonuses).</w:t>
      </w:r>
    </w:p>
    <w:p w14:paraId="6C4F22AF" w14:textId="77777777" w:rsidR="00755006" w:rsidRPr="00755006" w:rsidRDefault="00755006" w:rsidP="00B76B0D">
      <w:pPr>
        <w:numPr>
          <w:ilvl w:val="0"/>
          <w:numId w:val="39"/>
        </w:numPr>
        <w:spacing w:line="276" w:lineRule="auto"/>
        <w:rPr>
          <w:rFonts w:cs="Calibri"/>
          <w:sz w:val="24"/>
          <w:szCs w:val="24"/>
        </w:rPr>
      </w:pPr>
      <w:r w:rsidRPr="00755006">
        <w:rPr>
          <w:rFonts w:cs="Calibri"/>
          <w:sz w:val="24"/>
          <w:szCs w:val="24"/>
        </w:rPr>
        <w:t>Total Cost Per Employee: $130,000 (including base salary, incentives and benefits).</w:t>
      </w:r>
    </w:p>
    <w:p w14:paraId="32F2920E" w14:textId="77777777" w:rsidR="00755006" w:rsidRPr="00755006" w:rsidRDefault="00755006" w:rsidP="00B76B0D">
      <w:pPr>
        <w:numPr>
          <w:ilvl w:val="0"/>
          <w:numId w:val="39"/>
        </w:numPr>
        <w:spacing w:line="276" w:lineRule="auto"/>
        <w:rPr>
          <w:rFonts w:cs="Calibri"/>
          <w:sz w:val="24"/>
          <w:szCs w:val="24"/>
        </w:rPr>
      </w:pPr>
      <w:r w:rsidRPr="00755006">
        <w:rPr>
          <w:rFonts w:cs="Calibri"/>
          <w:sz w:val="24"/>
          <w:szCs w:val="24"/>
        </w:rPr>
        <w:t>Total Payroll for 160 Employees: $130,000 * 160 = $ 20,800,000 annually.</w:t>
      </w:r>
    </w:p>
    <w:p w14:paraId="1ED9EDF1" w14:textId="77777777" w:rsidR="00755006" w:rsidRPr="00755006" w:rsidRDefault="00755006" w:rsidP="00265697">
      <w:pPr>
        <w:spacing w:line="276" w:lineRule="auto"/>
        <w:rPr>
          <w:rFonts w:cs="Calibri"/>
          <w:sz w:val="24"/>
          <w:szCs w:val="24"/>
        </w:rPr>
      </w:pPr>
      <w:r w:rsidRPr="00755006">
        <w:rPr>
          <w:rFonts w:cs="Calibri"/>
          <w:b/>
          <w:bCs/>
          <w:sz w:val="24"/>
          <w:szCs w:val="24"/>
        </w:rPr>
        <w:t>Payroll for New Hires (140 Employees)</w:t>
      </w:r>
    </w:p>
    <w:p w14:paraId="2989FBA3" w14:textId="77777777" w:rsidR="00755006" w:rsidRPr="00755006" w:rsidRDefault="00755006" w:rsidP="00B76B0D">
      <w:pPr>
        <w:numPr>
          <w:ilvl w:val="0"/>
          <w:numId w:val="40"/>
        </w:numPr>
        <w:spacing w:line="276" w:lineRule="auto"/>
        <w:rPr>
          <w:rFonts w:cs="Calibri"/>
          <w:sz w:val="24"/>
          <w:szCs w:val="24"/>
        </w:rPr>
      </w:pPr>
      <w:r w:rsidRPr="00755006">
        <w:rPr>
          <w:rFonts w:cs="Calibri"/>
          <w:sz w:val="24"/>
          <w:szCs w:val="24"/>
        </w:rPr>
        <w:t>Average Salary: $90,000 (across roles such as compliance officers, sales reps, marketing specialists, IT support and customer service).</w:t>
      </w:r>
    </w:p>
    <w:p w14:paraId="2D8761D3" w14:textId="77777777" w:rsidR="00755006" w:rsidRPr="00755006" w:rsidRDefault="00755006" w:rsidP="00B76B0D">
      <w:pPr>
        <w:numPr>
          <w:ilvl w:val="0"/>
          <w:numId w:val="40"/>
        </w:numPr>
        <w:spacing w:line="276" w:lineRule="auto"/>
        <w:rPr>
          <w:rFonts w:cs="Calibri"/>
          <w:sz w:val="24"/>
          <w:szCs w:val="24"/>
        </w:rPr>
      </w:pPr>
      <w:r w:rsidRPr="00755006">
        <w:rPr>
          <w:rFonts w:cs="Calibri"/>
          <w:sz w:val="24"/>
          <w:szCs w:val="24"/>
        </w:rPr>
        <w:t>Benefits and Incentives: Estimated at 30% of the base salary.</w:t>
      </w:r>
    </w:p>
    <w:p w14:paraId="3DC0ABAD" w14:textId="77777777" w:rsidR="00755006" w:rsidRPr="00755006" w:rsidRDefault="00755006" w:rsidP="00B76B0D">
      <w:pPr>
        <w:numPr>
          <w:ilvl w:val="0"/>
          <w:numId w:val="40"/>
        </w:numPr>
        <w:spacing w:line="276" w:lineRule="auto"/>
        <w:rPr>
          <w:rFonts w:cs="Calibri"/>
          <w:sz w:val="24"/>
          <w:szCs w:val="24"/>
        </w:rPr>
      </w:pPr>
      <w:r w:rsidRPr="00755006">
        <w:rPr>
          <w:rFonts w:cs="Calibri"/>
          <w:sz w:val="24"/>
          <w:szCs w:val="24"/>
        </w:rPr>
        <w:t>Total Cost Per Employee: $117,000 (including base salary, incentives and benefits).</w:t>
      </w:r>
    </w:p>
    <w:p w14:paraId="2386E564" w14:textId="77777777" w:rsidR="00755006" w:rsidRPr="00755006" w:rsidRDefault="00755006" w:rsidP="00B76B0D">
      <w:pPr>
        <w:numPr>
          <w:ilvl w:val="0"/>
          <w:numId w:val="40"/>
        </w:numPr>
        <w:spacing w:line="276" w:lineRule="auto"/>
        <w:rPr>
          <w:rFonts w:cs="Calibri"/>
          <w:sz w:val="24"/>
          <w:szCs w:val="24"/>
        </w:rPr>
      </w:pPr>
      <w:r w:rsidRPr="00755006">
        <w:rPr>
          <w:rFonts w:cs="Calibri"/>
          <w:sz w:val="24"/>
          <w:szCs w:val="24"/>
        </w:rPr>
        <w:t>Total Payroll for 140 New Hires: $117,000 * 140 = $16,380,000 annually</w:t>
      </w:r>
    </w:p>
    <w:p w14:paraId="091AE321" w14:textId="77777777" w:rsidR="00755006" w:rsidRPr="00755006" w:rsidRDefault="00755006" w:rsidP="00265697">
      <w:pPr>
        <w:spacing w:line="276" w:lineRule="auto"/>
        <w:rPr>
          <w:rFonts w:cs="Calibri"/>
          <w:b/>
          <w:bCs/>
          <w:sz w:val="24"/>
          <w:szCs w:val="24"/>
        </w:rPr>
      </w:pPr>
      <w:r w:rsidRPr="00755006">
        <w:rPr>
          <w:rFonts w:cs="Calibri"/>
          <w:b/>
          <w:bCs/>
          <w:sz w:val="24"/>
          <w:szCs w:val="24"/>
        </w:rPr>
        <w:t>Total Payroll for All Employees (300 Employees)</w:t>
      </w:r>
    </w:p>
    <w:p w14:paraId="67882C7F" w14:textId="77777777" w:rsidR="00755006" w:rsidRPr="00755006" w:rsidRDefault="00755006" w:rsidP="00B76B0D">
      <w:pPr>
        <w:numPr>
          <w:ilvl w:val="0"/>
          <w:numId w:val="41"/>
        </w:numPr>
        <w:spacing w:line="276" w:lineRule="auto"/>
        <w:rPr>
          <w:rFonts w:cs="Calibri"/>
          <w:sz w:val="24"/>
          <w:szCs w:val="24"/>
        </w:rPr>
      </w:pPr>
      <w:r w:rsidRPr="00755006">
        <w:rPr>
          <w:rFonts w:cs="Calibri"/>
          <w:sz w:val="24"/>
          <w:szCs w:val="24"/>
        </w:rPr>
        <w:t>Existing Employees Payroll: $20,800,000 annually.</w:t>
      </w:r>
    </w:p>
    <w:p w14:paraId="6E1FF739" w14:textId="77777777" w:rsidR="00755006" w:rsidRPr="00755006" w:rsidRDefault="00755006" w:rsidP="00B76B0D">
      <w:pPr>
        <w:numPr>
          <w:ilvl w:val="0"/>
          <w:numId w:val="41"/>
        </w:numPr>
        <w:spacing w:line="276" w:lineRule="auto"/>
        <w:rPr>
          <w:rFonts w:cs="Calibri"/>
          <w:sz w:val="24"/>
          <w:szCs w:val="24"/>
        </w:rPr>
      </w:pPr>
      <w:r w:rsidRPr="00755006">
        <w:rPr>
          <w:rFonts w:cs="Calibri"/>
          <w:sz w:val="24"/>
          <w:szCs w:val="24"/>
        </w:rPr>
        <w:t>New Hires Payroll: $16,380,000 annually.</w:t>
      </w:r>
    </w:p>
    <w:p w14:paraId="5B5C45E8" w14:textId="77777777" w:rsidR="00755006" w:rsidRPr="00755006" w:rsidRDefault="00755006" w:rsidP="00B76B0D">
      <w:pPr>
        <w:numPr>
          <w:ilvl w:val="0"/>
          <w:numId w:val="41"/>
        </w:numPr>
        <w:spacing w:line="276" w:lineRule="auto"/>
        <w:rPr>
          <w:rFonts w:cs="Calibri"/>
          <w:sz w:val="24"/>
          <w:szCs w:val="24"/>
        </w:rPr>
      </w:pPr>
      <w:r w:rsidRPr="00755006">
        <w:rPr>
          <w:rFonts w:cs="Calibri"/>
          <w:sz w:val="24"/>
          <w:szCs w:val="24"/>
        </w:rPr>
        <w:t>Total Annual Payroll: $20,800,000 + $16,380,000 = $37,180,000</w:t>
      </w:r>
    </w:p>
    <w:p w14:paraId="7DF2CD63" w14:textId="77777777" w:rsidR="00755006" w:rsidRPr="00755006" w:rsidRDefault="00755006" w:rsidP="00265697">
      <w:pPr>
        <w:spacing w:line="276" w:lineRule="auto"/>
        <w:rPr>
          <w:rFonts w:cs="Calibri"/>
          <w:b/>
          <w:bCs/>
          <w:sz w:val="24"/>
          <w:szCs w:val="24"/>
        </w:rPr>
      </w:pPr>
      <w:r w:rsidRPr="00755006">
        <w:rPr>
          <w:rFonts w:cs="Calibri"/>
          <w:b/>
          <w:bCs/>
          <w:sz w:val="24"/>
          <w:szCs w:val="24"/>
        </w:rPr>
        <w:t>Factors to Consider in Payroll Costs</w:t>
      </w:r>
    </w:p>
    <w:p w14:paraId="66BE55AF" w14:textId="77777777" w:rsidR="00755006" w:rsidRPr="00755006" w:rsidRDefault="00755006" w:rsidP="00B76B0D">
      <w:pPr>
        <w:numPr>
          <w:ilvl w:val="0"/>
          <w:numId w:val="42"/>
        </w:numPr>
        <w:spacing w:line="276" w:lineRule="auto"/>
        <w:rPr>
          <w:rFonts w:cs="Calibri"/>
          <w:sz w:val="24"/>
          <w:szCs w:val="24"/>
        </w:rPr>
      </w:pPr>
      <w:r w:rsidRPr="00755006">
        <w:rPr>
          <w:rFonts w:cs="Calibri"/>
          <w:sz w:val="24"/>
          <w:szCs w:val="24"/>
        </w:rPr>
        <w:t>Incentives and Bonuses: Typically, incentives are 10-15% of the base salary for technical and managerial roles, contributing to the total payroll estimate.</w:t>
      </w:r>
    </w:p>
    <w:p w14:paraId="2EEA0B31" w14:textId="77777777" w:rsidR="00755006" w:rsidRPr="00755006" w:rsidRDefault="00755006" w:rsidP="00B76B0D">
      <w:pPr>
        <w:numPr>
          <w:ilvl w:val="0"/>
          <w:numId w:val="42"/>
        </w:numPr>
        <w:spacing w:line="276" w:lineRule="auto"/>
        <w:rPr>
          <w:rFonts w:cs="Calibri"/>
          <w:sz w:val="24"/>
          <w:szCs w:val="24"/>
        </w:rPr>
      </w:pPr>
      <w:r w:rsidRPr="00755006">
        <w:rPr>
          <w:rFonts w:cs="Calibri"/>
          <w:sz w:val="24"/>
          <w:szCs w:val="24"/>
        </w:rPr>
        <w:t>Benefits and Pension Contributions: Benefits such as health insurance and pension contributions can range from 20-30% of the base salary, impacting the overall payroll costs.</w:t>
      </w:r>
    </w:p>
    <w:p w14:paraId="63BC30DD" w14:textId="77777777" w:rsidR="00755006" w:rsidRPr="00755006" w:rsidRDefault="00755006" w:rsidP="00B76B0D">
      <w:pPr>
        <w:numPr>
          <w:ilvl w:val="0"/>
          <w:numId w:val="42"/>
        </w:numPr>
        <w:spacing w:line="276" w:lineRule="auto"/>
        <w:rPr>
          <w:rFonts w:cs="Calibri"/>
          <w:sz w:val="24"/>
          <w:szCs w:val="24"/>
        </w:rPr>
      </w:pPr>
      <w:r w:rsidRPr="00755006">
        <w:rPr>
          <w:rFonts w:cs="Calibri"/>
          <w:sz w:val="24"/>
          <w:szCs w:val="24"/>
        </w:rPr>
        <w:t>Yearly hikes: Company provides yearly hikes for employees based on companies profit and employees performance. That ranges from 3-5% yearly.</w:t>
      </w:r>
    </w:p>
    <w:p w14:paraId="45AB74DD" w14:textId="77777777" w:rsidR="00755006" w:rsidRPr="00755006" w:rsidRDefault="00755006" w:rsidP="00265697">
      <w:pPr>
        <w:spacing w:line="276" w:lineRule="auto"/>
        <w:rPr>
          <w:rFonts w:cs="Calibri"/>
          <w:b/>
          <w:bCs/>
          <w:sz w:val="28"/>
          <w:szCs w:val="28"/>
        </w:rPr>
      </w:pPr>
      <w:r w:rsidRPr="00755006">
        <w:rPr>
          <w:rFonts w:cs="Calibri"/>
          <w:b/>
          <w:bCs/>
          <w:sz w:val="28"/>
          <w:szCs w:val="28"/>
        </w:rPr>
        <w:lastRenderedPageBreak/>
        <w:t>Training and Development</w:t>
      </w:r>
    </w:p>
    <w:p w14:paraId="5DAF0F4F" w14:textId="60159850" w:rsidR="00755006" w:rsidRPr="00755006" w:rsidRDefault="00755006" w:rsidP="00265697">
      <w:pPr>
        <w:spacing w:line="276" w:lineRule="auto"/>
        <w:rPr>
          <w:rFonts w:cs="Calibri"/>
          <w:sz w:val="24"/>
          <w:szCs w:val="24"/>
        </w:rPr>
      </w:pPr>
      <w:r w:rsidRPr="00755006">
        <w:rPr>
          <w:rFonts w:cs="Calibri"/>
          <w:sz w:val="24"/>
          <w:szCs w:val="24"/>
        </w:rPr>
        <w:t>When TD Bank acquires WiTricity, a key focus will be on integrating WiTricity’s operations into TD’s ecosystem. This requires extensive training and development for both the existing employees at WiTricity and the new hires at TD. The integration spans across technical skills, compliance with financial regulations and cultural alignment between the two organisations.  TD Bank recogni</w:t>
      </w:r>
      <w:r w:rsidR="00341FDB">
        <w:rPr>
          <w:rFonts w:cs="Calibri"/>
          <w:sz w:val="24"/>
          <w:szCs w:val="24"/>
        </w:rPr>
        <w:t>s</w:t>
      </w:r>
      <w:r w:rsidRPr="00755006">
        <w:rPr>
          <w:rFonts w:cs="Calibri"/>
          <w:sz w:val="24"/>
          <w:szCs w:val="24"/>
        </w:rPr>
        <w:t>es the importance of continuous learning to maintain a competitive edge and ensure a smooth transition.</w:t>
      </w:r>
    </w:p>
    <w:p w14:paraId="1FEB3F6A" w14:textId="77777777" w:rsidR="00755006" w:rsidRPr="00755006" w:rsidRDefault="00755006" w:rsidP="00265697">
      <w:pPr>
        <w:spacing w:line="276" w:lineRule="auto"/>
        <w:rPr>
          <w:rFonts w:cs="Calibri"/>
          <w:b/>
          <w:bCs/>
          <w:sz w:val="24"/>
          <w:szCs w:val="24"/>
        </w:rPr>
      </w:pPr>
      <w:r w:rsidRPr="00755006">
        <w:rPr>
          <w:rFonts w:cs="Calibri"/>
          <w:b/>
          <w:bCs/>
          <w:sz w:val="24"/>
          <w:szCs w:val="24"/>
        </w:rPr>
        <w:t>Key Training Areas</w:t>
      </w:r>
    </w:p>
    <w:p w14:paraId="1EEC86B3" w14:textId="77777777" w:rsidR="00755006" w:rsidRPr="00755006" w:rsidRDefault="00755006" w:rsidP="00265697">
      <w:pPr>
        <w:spacing w:line="276" w:lineRule="auto"/>
        <w:rPr>
          <w:rFonts w:cs="Calibri"/>
          <w:b/>
          <w:bCs/>
          <w:sz w:val="24"/>
          <w:szCs w:val="24"/>
        </w:rPr>
      </w:pPr>
      <w:r w:rsidRPr="00755006">
        <w:rPr>
          <w:rFonts w:cs="Calibri"/>
          <w:b/>
          <w:bCs/>
          <w:sz w:val="24"/>
          <w:szCs w:val="24"/>
        </w:rPr>
        <w:t>Technical Training:</w:t>
      </w:r>
    </w:p>
    <w:p w14:paraId="72F8358D" w14:textId="77777777" w:rsidR="00755006" w:rsidRPr="00755006" w:rsidRDefault="00755006" w:rsidP="00265697">
      <w:pPr>
        <w:spacing w:line="276" w:lineRule="auto"/>
        <w:rPr>
          <w:rFonts w:cs="Calibri"/>
          <w:sz w:val="24"/>
          <w:szCs w:val="24"/>
        </w:rPr>
      </w:pPr>
      <w:r w:rsidRPr="00755006">
        <w:rPr>
          <w:rFonts w:cs="Calibri"/>
          <w:sz w:val="24"/>
          <w:szCs w:val="24"/>
        </w:rPr>
        <w:t>WiTricity’s core strength is its wireless charging technology. To ensure seamless integration, TD will provide comprehensive technical training for engineers, developers and R&amp;D teams. This training focuses on:</w:t>
      </w:r>
    </w:p>
    <w:p w14:paraId="372B48BA" w14:textId="77777777" w:rsidR="00755006" w:rsidRPr="00755006" w:rsidRDefault="00755006" w:rsidP="00B76B0D">
      <w:pPr>
        <w:numPr>
          <w:ilvl w:val="0"/>
          <w:numId w:val="43"/>
        </w:numPr>
        <w:spacing w:line="276" w:lineRule="auto"/>
        <w:rPr>
          <w:rFonts w:cs="Calibri"/>
          <w:sz w:val="24"/>
          <w:szCs w:val="24"/>
        </w:rPr>
      </w:pPr>
      <w:r w:rsidRPr="00755006">
        <w:rPr>
          <w:rFonts w:cs="Calibri"/>
          <w:sz w:val="24"/>
          <w:szCs w:val="24"/>
        </w:rPr>
        <w:t>Wireless power transfer technologies</w:t>
      </w:r>
    </w:p>
    <w:p w14:paraId="1291CDA2" w14:textId="77777777" w:rsidR="00755006" w:rsidRPr="00755006" w:rsidRDefault="00755006" w:rsidP="00B76B0D">
      <w:pPr>
        <w:numPr>
          <w:ilvl w:val="0"/>
          <w:numId w:val="43"/>
        </w:numPr>
        <w:spacing w:line="276" w:lineRule="auto"/>
        <w:rPr>
          <w:rFonts w:cs="Calibri"/>
          <w:sz w:val="24"/>
          <w:szCs w:val="24"/>
        </w:rPr>
      </w:pPr>
      <w:r w:rsidRPr="00755006">
        <w:rPr>
          <w:rFonts w:cs="Calibri"/>
          <w:sz w:val="24"/>
          <w:szCs w:val="24"/>
        </w:rPr>
        <w:t>Electric vehicle charging infrastructure</w:t>
      </w:r>
    </w:p>
    <w:p w14:paraId="7E8A6CF4" w14:textId="77777777" w:rsidR="00755006" w:rsidRPr="00755006" w:rsidRDefault="00755006" w:rsidP="00B76B0D">
      <w:pPr>
        <w:numPr>
          <w:ilvl w:val="0"/>
          <w:numId w:val="43"/>
        </w:numPr>
        <w:spacing w:line="276" w:lineRule="auto"/>
        <w:rPr>
          <w:rFonts w:cs="Calibri"/>
          <w:sz w:val="24"/>
          <w:szCs w:val="24"/>
        </w:rPr>
      </w:pPr>
      <w:r w:rsidRPr="00755006">
        <w:rPr>
          <w:rFonts w:cs="Calibri"/>
          <w:sz w:val="24"/>
          <w:szCs w:val="24"/>
        </w:rPr>
        <w:t>Integration with TD’s financial platforms</w:t>
      </w:r>
    </w:p>
    <w:p w14:paraId="1F82DA2F" w14:textId="77777777" w:rsidR="00755006" w:rsidRPr="00755006" w:rsidRDefault="00755006" w:rsidP="00B76B0D">
      <w:pPr>
        <w:numPr>
          <w:ilvl w:val="0"/>
          <w:numId w:val="43"/>
        </w:numPr>
        <w:spacing w:line="276" w:lineRule="auto"/>
        <w:rPr>
          <w:rFonts w:cs="Calibri"/>
          <w:sz w:val="24"/>
          <w:szCs w:val="24"/>
        </w:rPr>
      </w:pPr>
      <w:r w:rsidRPr="00755006">
        <w:rPr>
          <w:rFonts w:cs="Calibri"/>
          <w:sz w:val="24"/>
          <w:szCs w:val="24"/>
        </w:rPr>
        <w:t>Cybersecurity protocols</w:t>
      </w:r>
    </w:p>
    <w:p w14:paraId="79F8F531" w14:textId="77777777" w:rsidR="00755006" w:rsidRPr="00755006" w:rsidRDefault="00755006" w:rsidP="00265697">
      <w:pPr>
        <w:spacing w:line="276" w:lineRule="auto"/>
        <w:rPr>
          <w:rFonts w:cs="Calibri"/>
          <w:b/>
          <w:bCs/>
          <w:sz w:val="24"/>
          <w:szCs w:val="24"/>
        </w:rPr>
      </w:pPr>
      <w:r w:rsidRPr="00755006">
        <w:rPr>
          <w:rFonts w:cs="Calibri"/>
          <w:b/>
          <w:bCs/>
          <w:sz w:val="24"/>
          <w:szCs w:val="24"/>
        </w:rPr>
        <w:t>Compliance and Regulatory Training:</w:t>
      </w:r>
    </w:p>
    <w:p w14:paraId="5EE35AE0" w14:textId="77777777" w:rsidR="00755006" w:rsidRPr="00755006" w:rsidRDefault="00755006" w:rsidP="00265697">
      <w:pPr>
        <w:spacing w:line="276" w:lineRule="auto"/>
        <w:rPr>
          <w:rFonts w:cs="Calibri"/>
          <w:sz w:val="24"/>
          <w:szCs w:val="24"/>
        </w:rPr>
      </w:pPr>
      <w:r w:rsidRPr="00755006">
        <w:rPr>
          <w:rFonts w:cs="Calibri"/>
          <w:sz w:val="24"/>
          <w:szCs w:val="24"/>
        </w:rPr>
        <w:t>Given TD’s extensive regulatory requirements as a financial institution, training programs for WiTricity employees and new hires must cover:</w:t>
      </w:r>
    </w:p>
    <w:p w14:paraId="532229CD" w14:textId="77777777" w:rsidR="00755006" w:rsidRPr="00755006" w:rsidRDefault="00755006" w:rsidP="00B76B0D">
      <w:pPr>
        <w:numPr>
          <w:ilvl w:val="0"/>
          <w:numId w:val="44"/>
        </w:numPr>
        <w:spacing w:line="276" w:lineRule="auto"/>
        <w:rPr>
          <w:rFonts w:cs="Calibri"/>
          <w:sz w:val="24"/>
          <w:szCs w:val="24"/>
        </w:rPr>
      </w:pPr>
      <w:r w:rsidRPr="00755006">
        <w:rPr>
          <w:rFonts w:cs="Calibri"/>
          <w:sz w:val="24"/>
          <w:szCs w:val="24"/>
        </w:rPr>
        <w:t>Financial compliance in the energy and EV sector</w:t>
      </w:r>
    </w:p>
    <w:p w14:paraId="60AA82ED" w14:textId="77777777" w:rsidR="00755006" w:rsidRPr="00755006" w:rsidRDefault="00755006" w:rsidP="00B76B0D">
      <w:pPr>
        <w:numPr>
          <w:ilvl w:val="0"/>
          <w:numId w:val="44"/>
        </w:numPr>
        <w:spacing w:line="276" w:lineRule="auto"/>
        <w:rPr>
          <w:rFonts w:cs="Calibri"/>
          <w:sz w:val="24"/>
          <w:szCs w:val="24"/>
        </w:rPr>
      </w:pPr>
      <w:r w:rsidRPr="00755006">
        <w:rPr>
          <w:rFonts w:cs="Calibri"/>
          <w:sz w:val="24"/>
          <w:szCs w:val="24"/>
        </w:rPr>
        <w:t>Data privacy and cybersecurity</w:t>
      </w:r>
    </w:p>
    <w:p w14:paraId="086D95B1" w14:textId="77777777" w:rsidR="00755006" w:rsidRPr="00755006" w:rsidRDefault="00755006" w:rsidP="00B76B0D">
      <w:pPr>
        <w:numPr>
          <w:ilvl w:val="0"/>
          <w:numId w:val="44"/>
        </w:numPr>
        <w:spacing w:line="276" w:lineRule="auto"/>
        <w:rPr>
          <w:rFonts w:cs="Calibri"/>
          <w:sz w:val="24"/>
          <w:szCs w:val="24"/>
        </w:rPr>
      </w:pPr>
      <w:r w:rsidRPr="00755006">
        <w:rPr>
          <w:rFonts w:cs="Calibri"/>
          <w:sz w:val="24"/>
          <w:szCs w:val="24"/>
        </w:rPr>
        <w:t>ESG (Environmental, Social, Governance) compliance</w:t>
      </w:r>
    </w:p>
    <w:p w14:paraId="6F1467BD" w14:textId="77777777" w:rsidR="00755006" w:rsidRPr="00755006" w:rsidRDefault="00755006" w:rsidP="00B76B0D">
      <w:pPr>
        <w:numPr>
          <w:ilvl w:val="0"/>
          <w:numId w:val="44"/>
        </w:numPr>
        <w:spacing w:line="276" w:lineRule="auto"/>
        <w:rPr>
          <w:rFonts w:cs="Calibri"/>
          <w:sz w:val="24"/>
          <w:szCs w:val="24"/>
        </w:rPr>
      </w:pPr>
      <w:r w:rsidRPr="00755006">
        <w:rPr>
          <w:rFonts w:cs="Calibri"/>
          <w:sz w:val="24"/>
          <w:szCs w:val="24"/>
        </w:rPr>
        <w:t>Cross-border regulations for international business expansion</w:t>
      </w:r>
    </w:p>
    <w:p w14:paraId="7CDC9F97" w14:textId="70A93D1C" w:rsidR="00755006" w:rsidRPr="00755006" w:rsidRDefault="00755006" w:rsidP="00265697">
      <w:pPr>
        <w:spacing w:line="276" w:lineRule="auto"/>
        <w:rPr>
          <w:rFonts w:cs="Calibri"/>
          <w:b/>
          <w:bCs/>
          <w:sz w:val="24"/>
          <w:szCs w:val="24"/>
        </w:rPr>
      </w:pPr>
      <w:r w:rsidRPr="00755006">
        <w:rPr>
          <w:rFonts w:cs="Calibri"/>
          <w:b/>
          <w:bCs/>
          <w:sz w:val="24"/>
          <w:szCs w:val="24"/>
        </w:rPr>
        <w:t>Cultural and Organi</w:t>
      </w:r>
      <w:r w:rsidR="00341FDB">
        <w:rPr>
          <w:rFonts w:cs="Calibri"/>
          <w:b/>
          <w:bCs/>
          <w:sz w:val="24"/>
          <w:szCs w:val="24"/>
        </w:rPr>
        <w:t>s</w:t>
      </w:r>
      <w:r w:rsidRPr="00755006">
        <w:rPr>
          <w:rFonts w:cs="Calibri"/>
          <w:b/>
          <w:bCs/>
          <w:sz w:val="24"/>
          <w:szCs w:val="24"/>
        </w:rPr>
        <w:t>ational Alignment:</w:t>
      </w:r>
    </w:p>
    <w:p w14:paraId="36E34D48" w14:textId="09BBAFB2" w:rsidR="00755006" w:rsidRPr="00755006" w:rsidRDefault="00755006" w:rsidP="00265697">
      <w:pPr>
        <w:spacing w:line="276" w:lineRule="auto"/>
        <w:rPr>
          <w:rFonts w:cs="Calibri"/>
          <w:sz w:val="24"/>
          <w:szCs w:val="24"/>
        </w:rPr>
      </w:pPr>
      <w:r w:rsidRPr="00755006">
        <w:rPr>
          <w:rFonts w:cs="Calibri"/>
          <w:sz w:val="24"/>
          <w:szCs w:val="24"/>
        </w:rPr>
        <w:t xml:space="preserve">To promote a unified work environment, WiTricity’s employees will receive training on TD’s organisational culture, values and workflows. This will help foster collaboration between teams from both </w:t>
      </w:r>
      <w:r w:rsidR="00341FDB" w:rsidRPr="00755006">
        <w:rPr>
          <w:rFonts w:cs="Calibri"/>
          <w:sz w:val="24"/>
          <w:szCs w:val="24"/>
        </w:rPr>
        <w:t>organisations and</w:t>
      </w:r>
      <w:r w:rsidRPr="00755006">
        <w:rPr>
          <w:rFonts w:cs="Calibri"/>
          <w:sz w:val="24"/>
          <w:szCs w:val="24"/>
        </w:rPr>
        <w:t xml:space="preserve"> ensure that all employees are aligned with TD’s long-term goals.</w:t>
      </w:r>
    </w:p>
    <w:p w14:paraId="49188C83" w14:textId="77777777" w:rsidR="00755006" w:rsidRPr="00755006" w:rsidRDefault="00755006" w:rsidP="00265697">
      <w:pPr>
        <w:spacing w:line="276" w:lineRule="auto"/>
        <w:rPr>
          <w:rFonts w:cs="Calibri"/>
          <w:b/>
          <w:bCs/>
          <w:sz w:val="24"/>
          <w:szCs w:val="24"/>
        </w:rPr>
      </w:pPr>
      <w:r w:rsidRPr="00755006">
        <w:rPr>
          <w:rFonts w:cs="Calibri"/>
          <w:b/>
          <w:bCs/>
          <w:sz w:val="24"/>
          <w:szCs w:val="24"/>
        </w:rPr>
        <w:t>Leadership and Professional Development:</w:t>
      </w:r>
    </w:p>
    <w:p w14:paraId="4DD350C2" w14:textId="74ACA6CD" w:rsidR="00755006" w:rsidRPr="00755006" w:rsidRDefault="00755006" w:rsidP="00265697">
      <w:pPr>
        <w:spacing w:line="276" w:lineRule="auto"/>
        <w:rPr>
          <w:rFonts w:cs="Calibri"/>
          <w:sz w:val="24"/>
          <w:szCs w:val="24"/>
        </w:rPr>
      </w:pPr>
      <w:r w:rsidRPr="00755006">
        <w:rPr>
          <w:rFonts w:cs="Calibri"/>
          <w:sz w:val="24"/>
          <w:szCs w:val="24"/>
        </w:rPr>
        <w:lastRenderedPageBreak/>
        <w:t>A portion of the budget will be allocated to developing leadership skills among middle and senior managers. TD recogni</w:t>
      </w:r>
      <w:r w:rsidR="00341FDB">
        <w:rPr>
          <w:rFonts w:cs="Calibri"/>
          <w:sz w:val="24"/>
          <w:szCs w:val="24"/>
        </w:rPr>
        <w:t>s</w:t>
      </w:r>
      <w:r w:rsidRPr="00755006">
        <w:rPr>
          <w:rFonts w:cs="Calibri"/>
          <w:sz w:val="24"/>
          <w:szCs w:val="24"/>
        </w:rPr>
        <w:t>es the need to invest in future leaders who will drive innovation and ensure operational excellence.</w:t>
      </w:r>
    </w:p>
    <w:p w14:paraId="3ECE1425" w14:textId="77777777" w:rsidR="00755006" w:rsidRPr="00755006" w:rsidRDefault="00755006" w:rsidP="00265697">
      <w:pPr>
        <w:spacing w:line="276" w:lineRule="auto"/>
        <w:rPr>
          <w:rFonts w:cs="Calibri"/>
          <w:b/>
          <w:bCs/>
          <w:sz w:val="24"/>
          <w:szCs w:val="24"/>
        </w:rPr>
      </w:pPr>
      <w:r w:rsidRPr="00755006">
        <w:rPr>
          <w:rFonts w:cs="Calibri"/>
          <w:b/>
          <w:bCs/>
          <w:sz w:val="24"/>
          <w:szCs w:val="24"/>
        </w:rPr>
        <w:t>Benefits of Training Investments</w:t>
      </w:r>
    </w:p>
    <w:p w14:paraId="02E797FA" w14:textId="6474C102" w:rsidR="00755006" w:rsidRPr="00755006" w:rsidRDefault="00755006" w:rsidP="00B76B0D">
      <w:pPr>
        <w:numPr>
          <w:ilvl w:val="0"/>
          <w:numId w:val="45"/>
        </w:numPr>
        <w:spacing w:line="276" w:lineRule="auto"/>
        <w:rPr>
          <w:rFonts w:cs="Calibri"/>
          <w:sz w:val="24"/>
          <w:szCs w:val="24"/>
        </w:rPr>
      </w:pPr>
      <w:r w:rsidRPr="00755006">
        <w:rPr>
          <w:rFonts w:cs="Calibri"/>
          <w:sz w:val="24"/>
          <w:szCs w:val="24"/>
        </w:rPr>
        <w:t>Smooth Integration: Effective training programs enable WiTricity’s employees to adapt to TD’s systems, minimi</w:t>
      </w:r>
      <w:r w:rsidR="00341FDB">
        <w:rPr>
          <w:rFonts w:cs="Calibri"/>
          <w:sz w:val="24"/>
          <w:szCs w:val="24"/>
        </w:rPr>
        <w:t>s</w:t>
      </w:r>
      <w:r w:rsidRPr="00755006">
        <w:rPr>
          <w:rFonts w:cs="Calibri"/>
          <w:sz w:val="24"/>
          <w:szCs w:val="24"/>
        </w:rPr>
        <w:t>ing disruptions and ensuring continuity of operations.</w:t>
      </w:r>
    </w:p>
    <w:p w14:paraId="09BDFEB5" w14:textId="1834E679" w:rsidR="00755006" w:rsidRPr="00755006" w:rsidRDefault="00755006" w:rsidP="00B76B0D">
      <w:pPr>
        <w:numPr>
          <w:ilvl w:val="0"/>
          <w:numId w:val="45"/>
        </w:numPr>
        <w:spacing w:line="276" w:lineRule="auto"/>
        <w:rPr>
          <w:rFonts w:cs="Calibri"/>
          <w:sz w:val="24"/>
          <w:szCs w:val="24"/>
        </w:rPr>
      </w:pPr>
      <w:r w:rsidRPr="00755006">
        <w:rPr>
          <w:rFonts w:cs="Calibri"/>
          <w:sz w:val="24"/>
          <w:szCs w:val="24"/>
        </w:rPr>
        <w:t xml:space="preserve">Skill Enhancement: By continuously developing technical, </w:t>
      </w:r>
      <w:r w:rsidR="00341FDB" w:rsidRPr="00755006">
        <w:rPr>
          <w:rFonts w:cs="Calibri"/>
          <w:sz w:val="24"/>
          <w:szCs w:val="24"/>
        </w:rPr>
        <w:t>regulatory,</w:t>
      </w:r>
      <w:r w:rsidRPr="00755006">
        <w:rPr>
          <w:rFonts w:cs="Calibri"/>
          <w:sz w:val="24"/>
          <w:szCs w:val="24"/>
        </w:rPr>
        <w:t xml:space="preserve"> leadership skills, both the teams stay ahead of industry trends by improving product quality and customer satisfaction.</w:t>
      </w:r>
    </w:p>
    <w:p w14:paraId="58E111AA" w14:textId="77777777" w:rsidR="00755006" w:rsidRPr="00755006" w:rsidRDefault="00755006" w:rsidP="00B76B0D">
      <w:pPr>
        <w:numPr>
          <w:ilvl w:val="0"/>
          <w:numId w:val="45"/>
        </w:numPr>
        <w:spacing w:line="276" w:lineRule="auto"/>
        <w:rPr>
          <w:rFonts w:cs="Calibri"/>
          <w:sz w:val="24"/>
          <w:szCs w:val="24"/>
        </w:rPr>
      </w:pPr>
      <w:r w:rsidRPr="00755006">
        <w:rPr>
          <w:rFonts w:cs="Calibri"/>
          <w:sz w:val="24"/>
          <w:szCs w:val="24"/>
        </w:rPr>
        <w:t>Innovation: Ongoing R&amp;D training equips engineers and developers with the knowledge needed to push the boundaries of wireless charging technology by enabling TD to remain competitive in the growing EV market.</w:t>
      </w:r>
    </w:p>
    <w:p w14:paraId="4D6F8229" w14:textId="77777777" w:rsidR="00755006" w:rsidRPr="00755006" w:rsidRDefault="00755006" w:rsidP="00B76B0D">
      <w:pPr>
        <w:numPr>
          <w:ilvl w:val="0"/>
          <w:numId w:val="45"/>
        </w:numPr>
        <w:spacing w:line="276" w:lineRule="auto"/>
        <w:rPr>
          <w:rFonts w:cs="Calibri"/>
          <w:sz w:val="24"/>
          <w:szCs w:val="24"/>
        </w:rPr>
      </w:pPr>
      <w:r w:rsidRPr="00755006">
        <w:rPr>
          <w:rFonts w:cs="Calibri"/>
          <w:sz w:val="24"/>
          <w:szCs w:val="24"/>
        </w:rPr>
        <w:t>Regulatory Compliance: With a focus on compliance, TD ensures that WiTricity’s operations align with both financial and technology regulations by reducing risks as well as avoiding costly penalties.</w:t>
      </w:r>
    </w:p>
    <w:p w14:paraId="49E14087" w14:textId="762B6706" w:rsidR="00755006" w:rsidRPr="00755006" w:rsidRDefault="00755006" w:rsidP="00B76B0D">
      <w:pPr>
        <w:numPr>
          <w:ilvl w:val="0"/>
          <w:numId w:val="45"/>
        </w:numPr>
        <w:spacing w:line="276" w:lineRule="auto"/>
        <w:rPr>
          <w:rFonts w:cs="Calibri"/>
          <w:b/>
          <w:bCs/>
          <w:sz w:val="24"/>
          <w:szCs w:val="24"/>
        </w:rPr>
      </w:pPr>
      <w:r w:rsidRPr="00755006">
        <w:rPr>
          <w:rFonts w:cs="Calibri"/>
          <w:sz w:val="24"/>
          <w:szCs w:val="24"/>
        </w:rPr>
        <w:t>Cultural Integration: Training programs that emphasi</w:t>
      </w:r>
      <w:r w:rsidR="00341FDB">
        <w:rPr>
          <w:rFonts w:cs="Calibri"/>
          <w:sz w:val="24"/>
          <w:szCs w:val="24"/>
        </w:rPr>
        <w:t>s</w:t>
      </w:r>
      <w:r w:rsidRPr="00755006">
        <w:rPr>
          <w:rFonts w:cs="Calibri"/>
          <w:sz w:val="24"/>
          <w:szCs w:val="24"/>
        </w:rPr>
        <w:t>e TD’s values and culture help unify teams, encouraging collaboration during the post-acquisition phase.</w:t>
      </w:r>
    </w:p>
    <w:p w14:paraId="61754884" w14:textId="36058E2B" w:rsidR="00755006" w:rsidRPr="00755006" w:rsidRDefault="00755006" w:rsidP="00265697">
      <w:pPr>
        <w:spacing w:line="276" w:lineRule="auto"/>
        <w:rPr>
          <w:rFonts w:cs="Calibri"/>
          <w:b/>
          <w:bCs/>
          <w:sz w:val="24"/>
          <w:szCs w:val="24"/>
        </w:rPr>
      </w:pPr>
      <w:r w:rsidRPr="00755006">
        <w:rPr>
          <w:rFonts w:cs="Calibri"/>
          <w:b/>
          <w:bCs/>
          <w:sz w:val="24"/>
          <w:szCs w:val="24"/>
        </w:rPr>
        <w:t xml:space="preserve">Training and Development Budget Overview </w:t>
      </w:r>
      <w:r w:rsidR="00341FDB" w:rsidRPr="00755006">
        <w:rPr>
          <w:rFonts w:cs="Calibri"/>
          <w:b/>
          <w:bCs/>
          <w:sz w:val="24"/>
          <w:szCs w:val="24"/>
        </w:rPr>
        <w:t>(Year</w:t>
      </w:r>
      <w:r w:rsidRPr="00755006">
        <w:rPr>
          <w:rFonts w:cs="Calibri"/>
          <w:b/>
          <w:bCs/>
          <w:sz w:val="24"/>
          <w:szCs w:val="24"/>
        </w:rPr>
        <w:t xml:space="preserve"> 1- Year 10)</w:t>
      </w:r>
    </w:p>
    <w:tbl>
      <w:tblPr>
        <w:tblStyle w:val="PlainTable1"/>
        <w:tblW w:w="9118" w:type="dxa"/>
        <w:tblLook w:val="04A0" w:firstRow="1" w:lastRow="0" w:firstColumn="1" w:lastColumn="0" w:noHBand="0" w:noVBand="1"/>
      </w:tblPr>
      <w:tblGrid>
        <w:gridCol w:w="3964"/>
        <w:gridCol w:w="5154"/>
      </w:tblGrid>
      <w:tr w:rsidR="00755006" w:rsidRPr="00755006" w14:paraId="55DEC28F" w14:textId="77777777" w:rsidTr="00397FFD">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6BE91C" w14:textId="77777777" w:rsidR="00755006" w:rsidRPr="00755006" w:rsidRDefault="00755006" w:rsidP="00265697">
            <w:pPr>
              <w:spacing w:after="160" w:line="276" w:lineRule="auto"/>
              <w:rPr>
                <w:rFonts w:cs="Calibri"/>
                <w:sz w:val="24"/>
                <w:szCs w:val="24"/>
              </w:rPr>
            </w:pPr>
            <w:r w:rsidRPr="00755006">
              <w:rPr>
                <w:rFonts w:cs="Calibri"/>
                <w:sz w:val="24"/>
                <w:szCs w:val="24"/>
              </w:rPr>
              <w:t>Year</w:t>
            </w:r>
          </w:p>
        </w:tc>
        <w:tc>
          <w:tcPr>
            <w:tcW w:w="51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DACC5D" w14:textId="77777777" w:rsidR="00755006" w:rsidRPr="00755006" w:rsidRDefault="00755006" w:rsidP="00265697">
            <w:pPr>
              <w:spacing w:after="160" w:line="276" w:lineRule="auto"/>
              <w:cnfStyle w:val="100000000000" w:firstRow="1" w:lastRow="0" w:firstColumn="0" w:lastColumn="0" w:oddVBand="0" w:evenVBand="0" w:oddHBand="0" w:evenHBand="0" w:firstRowFirstColumn="0" w:firstRowLastColumn="0" w:lastRowFirstColumn="0" w:lastRowLastColumn="0"/>
              <w:rPr>
                <w:rFonts w:cs="Calibri"/>
                <w:sz w:val="24"/>
                <w:szCs w:val="24"/>
              </w:rPr>
            </w:pPr>
            <w:r w:rsidRPr="00755006">
              <w:rPr>
                <w:rFonts w:cs="Calibri"/>
                <w:sz w:val="24"/>
                <w:szCs w:val="24"/>
              </w:rPr>
              <w:t>Training Budget</w:t>
            </w:r>
          </w:p>
        </w:tc>
      </w:tr>
      <w:tr w:rsidR="00755006" w:rsidRPr="00755006" w14:paraId="624A18D4" w14:textId="77777777" w:rsidTr="00397FF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AB952" w14:textId="77777777" w:rsidR="00755006" w:rsidRPr="00AB4084" w:rsidRDefault="00755006" w:rsidP="00265697">
            <w:pPr>
              <w:spacing w:after="160" w:line="276" w:lineRule="auto"/>
              <w:rPr>
                <w:rFonts w:cs="Calibri"/>
                <w:b w:val="0"/>
                <w:bCs w:val="0"/>
                <w:sz w:val="24"/>
                <w:szCs w:val="24"/>
              </w:rPr>
            </w:pPr>
            <w:r w:rsidRPr="00AB4084">
              <w:rPr>
                <w:rFonts w:cs="Calibri"/>
                <w:b w:val="0"/>
                <w:bCs w:val="0"/>
                <w:sz w:val="24"/>
                <w:szCs w:val="24"/>
              </w:rPr>
              <w:t>Year 1</w:t>
            </w:r>
          </w:p>
        </w:tc>
        <w:tc>
          <w:tcPr>
            <w:tcW w:w="51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462AC" w14:textId="77777777" w:rsidR="00755006" w:rsidRPr="00755006" w:rsidRDefault="00755006"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55006">
              <w:rPr>
                <w:rFonts w:cs="Calibri"/>
                <w:sz w:val="24"/>
                <w:szCs w:val="24"/>
              </w:rPr>
              <w:t>$3,61,200.00</w:t>
            </w:r>
          </w:p>
        </w:tc>
      </w:tr>
      <w:tr w:rsidR="00755006" w:rsidRPr="00755006" w14:paraId="735A2C95" w14:textId="77777777" w:rsidTr="00397FFD">
        <w:trPr>
          <w:trHeight w:val="262"/>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A76DA2" w14:textId="77777777" w:rsidR="00755006" w:rsidRPr="00AB4084" w:rsidRDefault="00755006" w:rsidP="00265697">
            <w:pPr>
              <w:spacing w:after="160" w:line="276" w:lineRule="auto"/>
              <w:rPr>
                <w:rFonts w:cs="Calibri"/>
                <w:b w:val="0"/>
                <w:bCs w:val="0"/>
                <w:sz w:val="24"/>
                <w:szCs w:val="24"/>
              </w:rPr>
            </w:pPr>
            <w:r w:rsidRPr="00AB4084">
              <w:rPr>
                <w:rFonts w:cs="Calibri"/>
                <w:b w:val="0"/>
                <w:bCs w:val="0"/>
                <w:sz w:val="24"/>
                <w:szCs w:val="24"/>
              </w:rPr>
              <w:t>Year 2</w:t>
            </w:r>
          </w:p>
        </w:tc>
        <w:tc>
          <w:tcPr>
            <w:tcW w:w="51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25B9EA" w14:textId="77777777" w:rsidR="00755006" w:rsidRPr="00755006" w:rsidRDefault="00755006"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55006">
              <w:rPr>
                <w:rFonts w:cs="Calibri"/>
                <w:sz w:val="24"/>
                <w:szCs w:val="24"/>
              </w:rPr>
              <w:t>$2,85,000.00</w:t>
            </w:r>
          </w:p>
        </w:tc>
      </w:tr>
      <w:tr w:rsidR="00755006" w:rsidRPr="00755006" w14:paraId="1C59A550" w14:textId="77777777" w:rsidTr="00397FFD">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6D4384" w14:textId="77777777" w:rsidR="00755006" w:rsidRPr="00AB4084" w:rsidRDefault="00755006" w:rsidP="00265697">
            <w:pPr>
              <w:spacing w:after="160" w:line="276" w:lineRule="auto"/>
              <w:rPr>
                <w:rFonts w:cs="Calibri"/>
                <w:b w:val="0"/>
                <w:bCs w:val="0"/>
                <w:sz w:val="24"/>
                <w:szCs w:val="24"/>
              </w:rPr>
            </w:pPr>
            <w:r w:rsidRPr="00AB4084">
              <w:rPr>
                <w:rFonts w:cs="Calibri"/>
                <w:b w:val="0"/>
                <w:bCs w:val="0"/>
                <w:sz w:val="24"/>
                <w:szCs w:val="24"/>
              </w:rPr>
              <w:t>Year 3</w:t>
            </w:r>
          </w:p>
        </w:tc>
        <w:tc>
          <w:tcPr>
            <w:tcW w:w="51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C414AB" w14:textId="77777777" w:rsidR="00755006" w:rsidRPr="00755006" w:rsidRDefault="00755006"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55006">
              <w:rPr>
                <w:rFonts w:cs="Calibri"/>
                <w:sz w:val="24"/>
                <w:szCs w:val="24"/>
              </w:rPr>
              <w:t>$2,55,030.20</w:t>
            </w:r>
          </w:p>
        </w:tc>
      </w:tr>
      <w:tr w:rsidR="00755006" w:rsidRPr="00755006" w14:paraId="5D050EB1" w14:textId="77777777" w:rsidTr="00397FFD">
        <w:trPr>
          <w:trHeight w:val="274"/>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27A297" w14:textId="77777777" w:rsidR="00755006" w:rsidRPr="00AB4084" w:rsidRDefault="00755006" w:rsidP="00265697">
            <w:pPr>
              <w:spacing w:after="160" w:line="276" w:lineRule="auto"/>
              <w:rPr>
                <w:rFonts w:cs="Calibri"/>
                <w:b w:val="0"/>
                <w:bCs w:val="0"/>
                <w:sz w:val="24"/>
                <w:szCs w:val="24"/>
              </w:rPr>
            </w:pPr>
            <w:r w:rsidRPr="00AB4084">
              <w:rPr>
                <w:rFonts w:cs="Calibri"/>
                <w:b w:val="0"/>
                <w:bCs w:val="0"/>
                <w:sz w:val="24"/>
                <w:szCs w:val="24"/>
              </w:rPr>
              <w:t>Year 4</w:t>
            </w:r>
          </w:p>
        </w:tc>
        <w:tc>
          <w:tcPr>
            <w:tcW w:w="51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953AFF" w14:textId="77777777" w:rsidR="00755006" w:rsidRPr="00755006" w:rsidRDefault="00755006"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55006">
              <w:rPr>
                <w:rFonts w:cs="Calibri"/>
                <w:sz w:val="24"/>
                <w:szCs w:val="24"/>
              </w:rPr>
              <w:t>$2,47,379.29</w:t>
            </w:r>
          </w:p>
        </w:tc>
      </w:tr>
      <w:tr w:rsidR="00755006" w:rsidRPr="00755006" w14:paraId="66118273" w14:textId="77777777" w:rsidTr="00397FFD">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119623" w14:textId="77777777" w:rsidR="00755006" w:rsidRPr="00AB4084" w:rsidRDefault="00755006" w:rsidP="00265697">
            <w:pPr>
              <w:spacing w:after="160" w:line="276" w:lineRule="auto"/>
              <w:rPr>
                <w:rFonts w:cs="Calibri"/>
                <w:b w:val="0"/>
                <w:bCs w:val="0"/>
                <w:sz w:val="24"/>
                <w:szCs w:val="24"/>
              </w:rPr>
            </w:pPr>
            <w:r w:rsidRPr="00AB4084">
              <w:rPr>
                <w:rFonts w:cs="Calibri"/>
                <w:b w:val="0"/>
                <w:bCs w:val="0"/>
                <w:sz w:val="24"/>
                <w:szCs w:val="24"/>
              </w:rPr>
              <w:t>Year 5</w:t>
            </w:r>
          </w:p>
        </w:tc>
        <w:tc>
          <w:tcPr>
            <w:tcW w:w="51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B97D88" w14:textId="77777777" w:rsidR="00755006" w:rsidRPr="00755006" w:rsidRDefault="00755006"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55006">
              <w:rPr>
                <w:rFonts w:cs="Calibri"/>
                <w:sz w:val="24"/>
                <w:szCs w:val="24"/>
              </w:rPr>
              <w:t>$2,39,957.92</w:t>
            </w:r>
          </w:p>
        </w:tc>
      </w:tr>
      <w:tr w:rsidR="00755006" w:rsidRPr="00755006" w14:paraId="21525D63" w14:textId="77777777" w:rsidTr="00397FFD">
        <w:trPr>
          <w:trHeight w:val="262"/>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C670E2" w14:textId="77777777" w:rsidR="00755006" w:rsidRPr="00AB4084" w:rsidRDefault="00755006" w:rsidP="00265697">
            <w:pPr>
              <w:spacing w:after="160" w:line="276" w:lineRule="auto"/>
              <w:rPr>
                <w:rFonts w:cs="Calibri"/>
                <w:b w:val="0"/>
                <w:bCs w:val="0"/>
                <w:sz w:val="24"/>
                <w:szCs w:val="24"/>
              </w:rPr>
            </w:pPr>
            <w:r w:rsidRPr="00AB4084">
              <w:rPr>
                <w:rFonts w:cs="Calibri"/>
                <w:b w:val="0"/>
                <w:bCs w:val="0"/>
                <w:sz w:val="24"/>
                <w:szCs w:val="24"/>
              </w:rPr>
              <w:t>Year 6</w:t>
            </w:r>
          </w:p>
        </w:tc>
        <w:tc>
          <w:tcPr>
            <w:tcW w:w="51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E578A5" w14:textId="77777777" w:rsidR="00755006" w:rsidRPr="00755006" w:rsidRDefault="00755006"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55006">
              <w:rPr>
                <w:rFonts w:cs="Calibri"/>
                <w:sz w:val="24"/>
                <w:szCs w:val="24"/>
              </w:rPr>
              <w:t>-</w:t>
            </w:r>
          </w:p>
        </w:tc>
      </w:tr>
      <w:tr w:rsidR="00755006" w:rsidRPr="00755006" w14:paraId="1A7226A2" w14:textId="77777777" w:rsidTr="00397FF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553C9" w14:textId="77777777" w:rsidR="00755006" w:rsidRPr="00AB4084" w:rsidRDefault="00755006" w:rsidP="00265697">
            <w:pPr>
              <w:spacing w:after="160" w:line="276" w:lineRule="auto"/>
              <w:rPr>
                <w:rFonts w:cs="Calibri"/>
                <w:b w:val="0"/>
                <w:bCs w:val="0"/>
                <w:sz w:val="24"/>
                <w:szCs w:val="24"/>
              </w:rPr>
            </w:pPr>
            <w:r w:rsidRPr="00AB4084">
              <w:rPr>
                <w:rFonts w:cs="Calibri"/>
                <w:b w:val="0"/>
                <w:bCs w:val="0"/>
                <w:sz w:val="24"/>
                <w:szCs w:val="24"/>
              </w:rPr>
              <w:t>Year 7</w:t>
            </w:r>
          </w:p>
        </w:tc>
        <w:tc>
          <w:tcPr>
            <w:tcW w:w="51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FC4865" w14:textId="77777777" w:rsidR="00755006" w:rsidRPr="00755006" w:rsidRDefault="00755006"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55006">
              <w:rPr>
                <w:rFonts w:cs="Calibri"/>
                <w:sz w:val="24"/>
                <w:szCs w:val="24"/>
              </w:rPr>
              <w:t>$2,25,000.00</w:t>
            </w:r>
          </w:p>
        </w:tc>
      </w:tr>
      <w:tr w:rsidR="00755006" w:rsidRPr="00755006" w14:paraId="5F62F7EF" w14:textId="77777777" w:rsidTr="00397FFD">
        <w:trPr>
          <w:trHeight w:val="262"/>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40C375" w14:textId="77777777" w:rsidR="00755006" w:rsidRPr="00AB4084" w:rsidRDefault="00755006" w:rsidP="00265697">
            <w:pPr>
              <w:spacing w:after="160" w:line="276" w:lineRule="auto"/>
              <w:rPr>
                <w:rFonts w:cs="Calibri"/>
                <w:b w:val="0"/>
                <w:bCs w:val="0"/>
                <w:sz w:val="24"/>
                <w:szCs w:val="24"/>
              </w:rPr>
            </w:pPr>
            <w:r w:rsidRPr="00AB4084">
              <w:rPr>
                <w:rFonts w:cs="Calibri"/>
                <w:b w:val="0"/>
                <w:bCs w:val="0"/>
                <w:sz w:val="24"/>
                <w:szCs w:val="24"/>
              </w:rPr>
              <w:t>Year 8</w:t>
            </w:r>
          </w:p>
        </w:tc>
        <w:tc>
          <w:tcPr>
            <w:tcW w:w="51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973898" w14:textId="77777777" w:rsidR="00755006" w:rsidRPr="00755006" w:rsidRDefault="00755006"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55006">
              <w:rPr>
                <w:rFonts w:cs="Calibri"/>
                <w:sz w:val="24"/>
                <w:szCs w:val="24"/>
              </w:rPr>
              <w:t>-</w:t>
            </w:r>
          </w:p>
        </w:tc>
      </w:tr>
      <w:tr w:rsidR="00755006" w:rsidRPr="00755006" w14:paraId="4F941E00" w14:textId="77777777" w:rsidTr="00397FF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CE680F" w14:textId="77777777" w:rsidR="00755006" w:rsidRPr="00AB4084" w:rsidRDefault="00755006" w:rsidP="00265697">
            <w:pPr>
              <w:spacing w:after="160" w:line="276" w:lineRule="auto"/>
              <w:rPr>
                <w:rFonts w:cs="Calibri"/>
                <w:b w:val="0"/>
                <w:bCs w:val="0"/>
                <w:sz w:val="24"/>
                <w:szCs w:val="24"/>
              </w:rPr>
            </w:pPr>
            <w:r w:rsidRPr="00AB4084">
              <w:rPr>
                <w:rFonts w:cs="Calibri"/>
                <w:b w:val="0"/>
                <w:bCs w:val="0"/>
                <w:sz w:val="24"/>
                <w:szCs w:val="24"/>
              </w:rPr>
              <w:t>Year 9</w:t>
            </w:r>
          </w:p>
        </w:tc>
        <w:tc>
          <w:tcPr>
            <w:tcW w:w="51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7AF84A" w14:textId="77777777" w:rsidR="00755006" w:rsidRPr="00755006" w:rsidRDefault="00755006"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55006">
              <w:rPr>
                <w:rFonts w:cs="Calibri"/>
                <w:sz w:val="24"/>
                <w:szCs w:val="24"/>
              </w:rPr>
              <w:t>-</w:t>
            </w:r>
          </w:p>
        </w:tc>
      </w:tr>
      <w:tr w:rsidR="00755006" w:rsidRPr="00755006" w14:paraId="7E4C52B0" w14:textId="77777777" w:rsidTr="00397FFD">
        <w:trPr>
          <w:trHeight w:val="262"/>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4FCE3B" w14:textId="77777777" w:rsidR="00755006" w:rsidRPr="00AB4084" w:rsidRDefault="00755006" w:rsidP="00265697">
            <w:pPr>
              <w:spacing w:after="160" w:line="276" w:lineRule="auto"/>
              <w:rPr>
                <w:rFonts w:cs="Calibri"/>
                <w:b w:val="0"/>
                <w:bCs w:val="0"/>
                <w:sz w:val="24"/>
                <w:szCs w:val="24"/>
              </w:rPr>
            </w:pPr>
            <w:r w:rsidRPr="00AB4084">
              <w:rPr>
                <w:rFonts w:cs="Calibri"/>
                <w:b w:val="0"/>
                <w:bCs w:val="0"/>
                <w:sz w:val="24"/>
                <w:szCs w:val="24"/>
              </w:rPr>
              <w:lastRenderedPageBreak/>
              <w:t>Year 10</w:t>
            </w:r>
          </w:p>
        </w:tc>
        <w:tc>
          <w:tcPr>
            <w:tcW w:w="51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A753F3" w14:textId="77777777" w:rsidR="00755006" w:rsidRPr="00755006" w:rsidRDefault="00755006"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55006">
              <w:rPr>
                <w:rFonts w:cs="Calibri"/>
                <w:sz w:val="24"/>
                <w:szCs w:val="24"/>
              </w:rPr>
              <w:t>$2,05,000.00</w:t>
            </w:r>
          </w:p>
        </w:tc>
      </w:tr>
    </w:tbl>
    <w:p w14:paraId="510D2819" w14:textId="77777777" w:rsidR="00755006" w:rsidRPr="00755006" w:rsidRDefault="00755006" w:rsidP="00265697">
      <w:pPr>
        <w:spacing w:line="276" w:lineRule="auto"/>
        <w:rPr>
          <w:rFonts w:cs="Calibri"/>
          <w:sz w:val="24"/>
          <w:szCs w:val="24"/>
        </w:rPr>
      </w:pPr>
    </w:p>
    <w:p w14:paraId="00C8245F" w14:textId="77777777" w:rsidR="00755006" w:rsidRPr="00755006" w:rsidRDefault="00755006" w:rsidP="00265697">
      <w:pPr>
        <w:spacing w:line="276" w:lineRule="auto"/>
        <w:rPr>
          <w:rFonts w:cs="Calibri"/>
          <w:b/>
          <w:bCs/>
          <w:sz w:val="24"/>
          <w:szCs w:val="24"/>
        </w:rPr>
      </w:pPr>
      <w:r w:rsidRPr="00755006">
        <w:rPr>
          <w:rFonts w:cs="Calibri"/>
          <w:b/>
          <w:bCs/>
          <w:sz w:val="24"/>
          <w:szCs w:val="24"/>
        </w:rPr>
        <w:t>Explanation on initial years</w:t>
      </w:r>
    </w:p>
    <w:p w14:paraId="19280976" w14:textId="77777777" w:rsidR="00755006" w:rsidRPr="00755006" w:rsidRDefault="00755006" w:rsidP="00B76B0D">
      <w:pPr>
        <w:numPr>
          <w:ilvl w:val="0"/>
          <w:numId w:val="46"/>
        </w:numPr>
        <w:spacing w:line="276" w:lineRule="auto"/>
        <w:rPr>
          <w:rFonts w:cs="Calibri"/>
          <w:sz w:val="24"/>
          <w:szCs w:val="24"/>
        </w:rPr>
      </w:pPr>
      <w:r w:rsidRPr="00755006">
        <w:rPr>
          <w:rFonts w:cs="Calibri"/>
          <w:b/>
          <w:bCs/>
          <w:sz w:val="24"/>
          <w:szCs w:val="24"/>
        </w:rPr>
        <w:t xml:space="preserve">Year 1: </w:t>
      </w:r>
      <w:r w:rsidRPr="00755006">
        <w:rPr>
          <w:rFonts w:cs="Calibri"/>
          <w:sz w:val="24"/>
          <w:szCs w:val="24"/>
        </w:rPr>
        <w:t>The acquisition phase involves significant training as TD integrates WiTricity’s employees into its systems and processes. This budget accounts for onboarding new employees, conducting technical training related to TD’s technology and cross-training for existing WiTricity employees in compliance, project management, IT integration etc. The higher figure reflects the need for initial large-scale training.</w:t>
      </w:r>
    </w:p>
    <w:p w14:paraId="2FFFA925" w14:textId="01593694" w:rsidR="00755006" w:rsidRPr="00755006" w:rsidRDefault="00755006" w:rsidP="00B76B0D">
      <w:pPr>
        <w:numPr>
          <w:ilvl w:val="0"/>
          <w:numId w:val="46"/>
        </w:numPr>
        <w:spacing w:line="276" w:lineRule="auto"/>
        <w:rPr>
          <w:rFonts w:cs="Calibri"/>
          <w:sz w:val="24"/>
          <w:szCs w:val="24"/>
        </w:rPr>
      </w:pPr>
      <w:r w:rsidRPr="00755006">
        <w:rPr>
          <w:rFonts w:cs="Calibri"/>
          <w:b/>
          <w:bCs/>
          <w:sz w:val="24"/>
          <w:szCs w:val="24"/>
        </w:rPr>
        <w:t xml:space="preserve">Year 2: </w:t>
      </w:r>
      <w:r w:rsidRPr="00755006">
        <w:rPr>
          <w:rFonts w:cs="Calibri"/>
          <w:sz w:val="24"/>
          <w:szCs w:val="24"/>
        </w:rPr>
        <w:t xml:space="preserve">By the second year, integration has </w:t>
      </w:r>
      <w:proofErr w:type="gramStart"/>
      <w:r w:rsidR="00341FDB" w:rsidRPr="00755006">
        <w:rPr>
          <w:rFonts w:cs="Calibri"/>
          <w:sz w:val="24"/>
          <w:szCs w:val="24"/>
        </w:rPr>
        <w:t>progressed</w:t>
      </w:r>
      <w:proofErr w:type="gramEnd"/>
      <w:r w:rsidRPr="00755006">
        <w:rPr>
          <w:rFonts w:cs="Calibri"/>
          <w:sz w:val="24"/>
          <w:szCs w:val="24"/>
        </w:rPr>
        <w:t xml:space="preserve"> but further training is necessary to refine the technical skills of both TD’s new hires and WiTricity’s staff. The decrease reflects the completion of foundational training with a focus on continuous professional development, leadership training for middle managers as well as speciali</w:t>
      </w:r>
      <w:r w:rsidR="00341FDB">
        <w:rPr>
          <w:rFonts w:cs="Calibri"/>
          <w:sz w:val="24"/>
          <w:szCs w:val="24"/>
        </w:rPr>
        <w:t>s</w:t>
      </w:r>
      <w:r w:rsidRPr="00755006">
        <w:rPr>
          <w:rFonts w:cs="Calibri"/>
          <w:sz w:val="24"/>
          <w:szCs w:val="24"/>
        </w:rPr>
        <w:t>ed skill training for engineers and IT personnel.</w:t>
      </w:r>
    </w:p>
    <w:p w14:paraId="7E08B509" w14:textId="5881B12C" w:rsidR="00755006" w:rsidRPr="00755006" w:rsidRDefault="00755006" w:rsidP="00B76B0D">
      <w:pPr>
        <w:numPr>
          <w:ilvl w:val="0"/>
          <w:numId w:val="46"/>
        </w:numPr>
        <w:spacing w:line="276" w:lineRule="auto"/>
        <w:rPr>
          <w:rFonts w:cs="Calibri"/>
          <w:sz w:val="24"/>
          <w:szCs w:val="24"/>
        </w:rPr>
      </w:pPr>
      <w:r w:rsidRPr="00755006">
        <w:rPr>
          <w:rFonts w:cs="Calibri"/>
          <w:b/>
          <w:bCs/>
          <w:sz w:val="24"/>
          <w:szCs w:val="24"/>
        </w:rPr>
        <w:t xml:space="preserve">Year </w:t>
      </w:r>
      <w:r w:rsidR="00341FDB" w:rsidRPr="00755006">
        <w:rPr>
          <w:rFonts w:cs="Calibri"/>
          <w:b/>
          <w:bCs/>
          <w:sz w:val="24"/>
          <w:szCs w:val="24"/>
        </w:rPr>
        <w:t>3:</w:t>
      </w:r>
      <w:r w:rsidRPr="00755006">
        <w:rPr>
          <w:rFonts w:cs="Calibri"/>
          <w:b/>
          <w:bCs/>
          <w:sz w:val="24"/>
          <w:szCs w:val="24"/>
        </w:rPr>
        <w:t xml:space="preserve"> </w:t>
      </w:r>
      <w:r w:rsidRPr="00755006">
        <w:rPr>
          <w:rFonts w:cs="Calibri"/>
          <w:sz w:val="24"/>
          <w:szCs w:val="24"/>
        </w:rPr>
        <w:t xml:space="preserve">In the third year, WiTricity’s employees continue to enhance their skills with a stronger focus on innovation, cybersecurity and product development. New technologies or product launches might require additional </w:t>
      </w:r>
      <w:proofErr w:type="gramStart"/>
      <w:r w:rsidRPr="00755006">
        <w:rPr>
          <w:rFonts w:cs="Calibri"/>
          <w:sz w:val="24"/>
          <w:szCs w:val="24"/>
        </w:rPr>
        <w:t>training</w:t>
      </w:r>
      <w:proofErr w:type="gramEnd"/>
      <w:r w:rsidRPr="00755006">
        <w:rPr>
          <w:rFonts w:cs="Calibri"/>
          <w:sz w:val="24"/>
          <w:szCs w:val="24"/>
        </w:rPr>
        <w:t xml:space="preserve"> but the budget shows a moderate decline as the bulk of onboarding training is completed.</w:t>
      </w:r>
    </w:p>
    <w:p w14:paraId="2F16127E" w14:textId="21C567D8" w:rsidR="00755006" w:rsidRPr="00755006" w:rsidRDefault="00755006" w:rsidP="00B76B0D">
      <w:pPr>
        <w:numPr>
          <w:ilvl w:val="0"/>
          <w:numId w:val="46"/>
        </w:numPr>
        <w:spacing w:line="276" w:lineRule="auto"/>
        <w:rPr>
          <w:rFonts w:cs="Calibri"/>
          <w:sz w:val="24"/>
          <w:szCs w:val="24"/>
        </w:rPr>
      </w:pPr>
      <w:r w:rsidRPr="00755006">
        <w:rPr>
          <w:rFonts w:cs="Calibri"/>
          <w:b/>
          <w:bCs/>
          <w:sz w:val="24"/>
          <w:szCs w:val="24"/>
        </w:rPr>
        <w:t xml:space="preserve">Year </w:t>
      </w:r>
      <w:r w:rsidR="00341FDB" w:rsidRPr="00755006">
        <w:rPr>
          <w:rFonts w:cs="Calibri"/>
          <w:b/>
          <w:bCs/>
          <w:sz w:val="24"/>
          <w:szCs w:val="24"/>
        </w:rPr>
        <w:t>4:</w:t>
      </w:r>
      <w:r w:rsidRPr="00755006">
        <w:rPr>
          <w:rFonts w:cs="Calibri"/>
          <w:sz w:val="24"/>
          <w:szCs w:val="24"/>
        </w:rPr>
        <w:t xml:space="preserve"> As the teams become more integrated, the focus shifts toward speciali</w:t>
      </w:r>
      <w:r w:rsidR="00341FDB">
        <w:rPr>
          <w:rFonts w:cs="Calibri"/>
          <w:sz w:val="24"/>
          <w:szCs w:val="24"/>
        </w:rPr>
        <w:t>s</w:t>
      </w:r>
      <w:r w:rsidRPr="00755006">
        <w:rPr>
          <w:rFonts w:cs="Calibri"/>
          <w:sz w:val="24"/>
          <w:szCs w:val="24"/>
        </w:rPr>
        <w:t>ed certifications, maintaining compliance and staying updated with industry trends. The slight decrease indicates that training is more streamlined with targeting key employees involved in product R&amp;D and regulatory compliance.</w:t>
      </w:r>
    </w:p>
    <w:p w14:paraId="7CD04383" w14:textId="44DFFB6F" w:rsidR="00755006" w:rsidRPr="00755006" w:rsidRDefault="00755006" w:rsidP="00B76B0D">
      <w:pPr>
        <w:numPr>
          <w:ilvl w:val="0"/>
          <w:numId w:val="46"/>
        </w:numPr>
        <w:spacing w:line="276" w:lineRule="auto"/>
        <w:rPr>
          <w:rFonts w:cs="Calibri"/>
          <w:sz w:val="24"/>
          <w:szCs w:val="24"/>
        </w:rPr>
      </w:pPr>
      <w:r w:rsidRPr="00755006">
        <w:rPr>
          <w:rFonts w:cs="Calibri"/>
          <w:b/>
          <w:bCs/>
          <w:sz w:val="24"/>
          <w:szCs w:val="24"/>
        </w:rPr>
        <w:t xml:space="preserve">Year </w:t>
      </w:r>
      <w:r w:rsidR="00341FDB" w:rsidRPr="00755006">
        <w:rPr>
          <w:rFonts w:cs="Calibri"/>
          <w:b/>
          <w:bCs/>
          <w:sz w:val="24"/>
          <w:szCs w:val="24"/>
        </w:rPr>
        <w:t>5:</w:t>
      </w:r>
      <w:r w:rsidRPr="00755006">
        <w:rPr>
          <w:rFonts w:cs="Calibri"/>
          <w:b/>
          <w:bCs/>
          <w:sz w:val="24"/>
          <w:szCs w:val="24"/>
        </w:rPr>
        <w:t xml:space="preserve"> </w:t>
      </w:r>
      <w:r w:rsidRPr="00755006">
        <w:rPr>
          <w:rFonts w:cs="Calibri"/>
          <w:sz w:val="24"/>
          <w:szCs w:val="24"/>
        </w:rPr>
        <w:t>By the fifth year, ongoing learning is essential to ensure that TD’s expanded team remains agile and ready to respond to new challenges in the wireless charging industry. The budget continues to taper off by reflecting optimi</w:t>
      </w:r>
      <w:r w:rsidR="00341FDB">
        <w:rPr>
          <w:rFonts w:cs="Calibri"/>
          <w:sz w:val="24"/>
          <w:szCs w:val="24"/>
        </w:rPr>
        <w:t>s</w:t>
      </w:r>
      <w:r w:rsidRPr="00755006">
        <w:rPr>
          <w:rFonts w:cs="Calibri"/>
          <w:sz w:val="24"/>
          <w:szCs w:val="24"/>
        </w:rPr>
        <w:t>ed training programs.</w:t>
      </w:r>
    </w:p>
    <w:p w14:paraId="5CBAED54" w14:textId="77777777" w:rsidR="00755006" w:rsidRPr="00755006" w:rsidRDefault="00755006" w:rsidP="00265697">
      <w:pPr>
        <w:spacing w:line="276" w:lineRule="auto"/>
        <w:rPr>
          <w:rFonts w:cs="Calibri"/>
          <w:sz w:val="24"/>
          <w:szCs w:val="24"/>
        </w:rPr>
      </w:pPr>
      <w:r w:rsidRPr="00755006">
        <w:rPr>
          <w:rFonts w:cs="Calibri"/>
          <w:sz w:val="24"/>
          <w:szCs w:val="24"/>
        </w:rPr>
        <w:t>As years passes the essential trainings related to technology, compliance, will be conducted once in three or four years.</w:t>
      </w:r>
    </w:p>
    <w:p w14:paraId="0A2F895C" w14:textId="77777777" w:rsidR="00755006" w:rsidRPr="00755006" w:rsidRDefault="00755006" w:rsidP="00265697">
      <w:pPr>
        <w:spacing w:line="276" w:lineRule="auto"/>
        <w:rPr>
          <w:rFonts w:cs="Calibri"/>
          <w:sz w:val="24"/>
          <w:szCs w:val="24"/>
        </w:rPr>
      </w:pPr>
      <w:r w:rsidRPr="00755006">
        <w:rPr>
          <w:rFonts w:cs="Calibri"/>
          <w:sz w:val="24"/>
          <w:szCs w:val="24"/>
        </w:rPr>
        <w:t>In conclusion, conducting training once every three years after the first five years of integration is a justifiable approach for TD Bank. It balances the need for continuous skill development with cost-efficiency. It also aligns with the pace of technological and industry changes. This strategy allows employees to remain well-informed, competitive and innovative.</w:t>
      </w:r>
    </w:p>
    <w:p w14:paraId="5CB539BB" w14:textId="77777777" w:rsidR="00755006" w:rsidRPr="00755006" w:rsidRDefault="00755006" w:rsidP="00265697">
      <w:pPr>
        <w:spacing w:line="276" w:lineRule="auto"/>
        <w:rPr>
          <w:rFonts w:cs="Calibri"/>
          <w:b/>
          <w:bCs/>
          <w:sz w:val="28"/>
          <w:szCs w:val="28"/>
        </w:rPr>
      </w:pPr>
      <w:r w:rsidRPr="00755006">
        <w:rPr>
          <w:rFonts w:cs="Calibri"/>
          <w:b/>
          <w:bCs/>
          <w:sz w:val="28"/>
          <w:szCs w:val="28"/>
        </w:rPr>
        <w:t>Communication and Internet</w:t>
      </w:r>
    </w:p>
    <w:p w14:paraId="2F749453" w14:textId="77777777" w:rsidR="00755006" w:rsidRPr="00755006" w:rsidRDefault="00755006" w:rsidP="00265697">
      <w:pPr>
        <w:spacing w:line="276" w:lineRule="auto"/>
        <w:rPr>
          <w:rFonts w:cs="Calibri"/>
          <w:sz w:val="24"/>
          <w:szCs w:val="24"/>
        </w:rPr>
      </w:pPr>
      <w:r w:rsidRPr="00755006">
        <w:rPr>
          <w:rFonts w:cs="Calibri"/>
          <w:sz w:val="24"/>
          <w:szCs w:val="24"/>
        </w:rPr>
        <w:lastRenderedPageBreak/>
        <w:t>As TD Bank integrates WiTricity into its operations, communication and internet services will play a pivotal role in ensuring seamless collaboration, data transmission, overall connectivity across the expanded global operations. The costs associated with communication infrastructure, including high-speed internet, cloud-based platforms, secure data exchange, and video conferencing tools are expected to rise significantly over the next 20 years. As TD Bank and WiTricity continue to expand their reach, the communication infrastructure must scale accordingly to support this growth.</w:t>
      </w:r>
    </w:p>
    <w:p w14:paraId="266B0261" w14:textId="10BD2201" w:rsidR="00755006" w:rsidRPr="00755006" w:rsidRDefault="00755006" w:rsidP="00265697">
      <w:pPr>
        <w:spacing w:line="276" w:lineRule="auto"/>
        <w:rPr>
          <w:rFonts w:cs="Calibri"/>
          <w:sz w:val="24"/>
          <w:szCs w:val="24"/>
        </w:rPr>
      </w:pPr>
      <w:r w:rsidRPr="00755006">
        <w:rPr>
          <w:rFonts w:cs="Calibri"/>
          <w:sz w:val="24"/>
          <w:szCs w:val="24"/>
        </w:rPr>
        <w:t xml:space="preserve">Considering the market trends in Canada, where internet and communication costs have been steadily increasing due to inflation, competitive market dynamics. With the rising demand for high-bandwidth services, it is essential to account for these factors in the long-term financial planning of the merger. This 20-year plan projects an initial budget of </w:t>
      </w:r>
      <w:r w:rsidR="00494FF9" w:rsidRPr="00BD71F8">
        <w:rPr>
          <w:rFonts w:cs="Calibri"/>
          <w:sz w:val="24"/>
          <w:szCs w:val="24"/>
        </w:rPr>
        <w:t>$</w:t>
      </w:r>
      <w:r w:rsidRPr="00755006">
        <w:rPr>
          <w:rFonts w:cs="Calibri"/>
          <w:sz w:val="24"/>
          <w:szCs w:val="24"/>
        </w:rPr>
        <w:t>80,000 for communication and internet services, with planned annual increases to accommodate the evolving needs of the business. TD Bank aims to ensure that the communication infrastructure can meet future demands efficiently while staying aligned with technological advancements and business growth.</w:t>
      </w:r>
    </w:p>
    <w:p w14:paraId="72470EFD" w14:textId="77777777" w:rsidR="00755006" w:rsidRPr="00755006" w:rsidRDefault="00755006" w:rsidP="00265697">
      <w:pPr>
        <w:spacing w:line="276" w:lineRule="auto"/>
        <w:rPr>
          <w:rFonts w:cs="Calibri"/>
          <w:sz w:val="24"/>
          <w:szCs w:val="24"/>
        </w:rPr>
      </w:pPr>
      <w:r w:rsidRPr="00755006">
        <w:rPr>
          <w:rFonts w:cs="Calibri"/>
          <w:b/>
          <w:bCs/>
          <w:sz w:val="24"/>
          <w:szCs w:val="24"/>
        </w:rPr>
        <w:t>Growing Workforce and Business Integration:</w:t>
      </w:r>
      <w:r w:rsidRPr="00755006">
        <w:rPr>
          <w:rFonts w:cs="Calibri"/>
          <w:sz w:val="24"/>
          <w:szCs w:val="24"/>
        </w:rPr>
        <w:t xml:space="preserve"> The increase accounts for the additional new hires in areas such as IT support, sales and customer service as well as the integration of WiTricity into TD Bank’s infrastructure. With more employees and new technologies, there is a greater need for communication tools, video conferencing, secure cloud networks, internet-based platforms.</w:t>
      </w:r>
    </w:p>
    <w:p w14:paraId="2B16F241" w14:textId="77777777" w:rsidR="00755006" w:rsidRPr="00755006" w:rsidRDefault="00755006" w:rsidP="00265697">
      <w:pPr>
        <w:spacing w:line="276" w:lineRule="auto"/>
        <w:rPr>
          <w:rFonts w:cs="Calibri"/>
          <w:sz w:val="24"/>
          <w:szCs w:val="24"/>
        </w:rPr>
      </w:pPr>
      <w:r w:rsidRPr="00755006">
        <w:rPr>
          <w:rFonts w:cs="Calibri"/>
          <w:b/>
          <w:bCs/>
          <w:sz w:val="24"/>
          <w:szCs w:val="24"/>
        </w:rPr>
        <w:t>Advancing Technology:</w:t>
      </w:r>
      <w:r w:rsidRPr="00755006">
        <w:rPr>
          <w:rFonts w:cs="Calibri"/>
          <w:sz w:val="24"/>
          <w:szCs w:val="24"/>
        </w:rPr>
        <w:t xml:space="preserve"> Communication costs are expected to increase due to advancements in technology. These new technologies generally require more bandwidth, better infrastructure and ongoing updates.</w:t>
      </w:r>
    </w:p>
    <w:p w14:paraId="2A586249" w14:textId="77777777" w:rsidR="00755006" w:rsidRPr="00755006" w:rsidRDefault="00755006" w:rsidP="00265697">
      <w:pPr>
        <w:spacing w:line="276" w:lineRule="auto"/>
        <w:rPr>
          <w:rFonts w:cs="Calibri"/>
          <w:sz w:val="24"/>
          <w:szCs w:val="24"/>
        </w:rPr>
      </w:pPr>
      <w:r w:rsidRPr="00755006">
        <w:rPr>
          <w:rFonts w:cs="Calibri"/>
          <w:b/>
          <w:bCs/>
          <w:sz w:val="24"/>
          <w:szCs w:val="24"/>
        </w:rPr>
        <w:t>Global Expansion:</w:t>
      </w:r>
      <w:r w:rsidRPr="00755006">
        <w:rPr>
          <w:rFonts w:cs="Calibri"/>
          <w:sz w:val="24"/>
          <w:szCs w:val="24"/>
        </w:rPr>
        <w:t xml:space="preserve"> If TD Bank plans to leverage WiTricity’s technology globally, expanding into new markets and regions, international communication needs will rise. That will contribute to the substantial growth seen in the later years.</w:t>
      </w:r>
    </w:p>
    <w:p w14:paraId="1BBF469D" w14:textId="77777777" w:rsidR="00755006" w:rsidRPr="00755006" w:rsidRDefault="00755006" w:rsidP="00265697">
      <w:pPr>
        <w:spacing w:line="276" w:lineRule="auto"/>
        <w:rPr>
          <w:rFonts w:cs="Calibri"/>
          <w:sz w:val="24"/>
          <w:szCs w:val="24"/>
        </w:rPr>
      </w:pPr>
      <w:r w:rsidRPr="00755006">
        <w:rPr>
          <w:rFonts w:cs="Calibri"/>
          <w:b/>
          <w:bCs/>
          <w:sz w:val="24"/>
          <w:szCs w:val="24"/>
        </w:rPr>
        <w:t>Inflation and Market Trends:</w:t>
      </w:r>
      <w:r w:rsidRPr="00755006">
        <w:rPr>
          <w:rFonts w:cs="Calibri"/>
          <w:sz w:val="24"/>
          <w:szCs w:val="24"/>
        </w:rPr>
        <w:t xml:space="preserve"> The communication and internet service market in Canada is known for price increases due to inflation, upgrades to infrastructure, competition among providers. According to Canada's telecom market reports, the costs of maintaining high-speed and reliable services typically rise with technological improvements and inflation rates. This shows the significant increase in costs over time.</w:t>
      </w:r>
    </w:p>
    <w:p w14:paraId="1404C270" w14:textId="77777777" w:rsidR="00755006" w:rsidRPr="00755006" w:rsidRDefault="00755006" w:rsidP="00265697">
      <w:pPr>
        <w:spacing w:line="276" w:lineRule="auto"/>
        <w:rPr>
          <w:rFonts w:cs="Calibri"/>
          <w:sz w:val="24"/>
          <w:szCs w:val="24"/>
        </w:rPr>
      </w:pPr>
      <w:r w:rsidRPr="00755006">
        <w:rPr>
          <w:rFonts w:cs="Calibri"/>
          <w:sz w:val="24"/>
          <w:szCs w:val="24"/>
        </w:rPr>
        <w:t xml:space="preserve">The initial cost of communication and internet services reflects a reasonable budget covering expenses like high-speed internet, communication tools, secure networks for both TD Bank’s existing operations as well as WiTricity’s integration. As TD Bank integrates WiTricity, the projected costs over the next 20 years reflect the growing technological and infrastructure needs of the merged company. By accounting for both current and future needs, TD Bank can adopt </w:t>
      </w:r>
      <w:r w:rsidRPr="00755006">
        <w:rPr>
          <w:rFonts w:cs="Calibri"/>
          <w:sz w:val="24"/>
          <w:szCs w:val="24"/>
        </w:rPr>
        <w:lastRenderedPageBreak/>
        <w:t>seamless operations, collaboration, growth. This will ultimately support the long-term success of the acquisition and its expanded workforce.</w:t>
      </w:r>
    </w:p>
    <w:p w14:paraId="15A40E85" w14:textId="77777777" w:rsidR="00755006" w:rsidRPr="00755006" w:rsidRDefault="00755006" w:rsidP="00265697">
      <w:pPr>
        <w:spacing w:line="276" w:lineRule="auto"/>
        <w:rPr>
          <w:rFonts w:cs="Calibri"/>
          <w:b/>
          <w:bCs/>
          <w:sz w:val="28"/>
          <w:szCs w:val="28"/>
        </w:rPr>
      </w:pPr>
      <w:r w:rsidRPr="00755006">
        <w:rPr>
          <w:rFonts w:cs="Calibri"/>
          <w:b/>
          <w:bCs/>
          <w:sz w:val="28"/>
          <w:szCs w:val="28"/>
        </w:rPr>
        <w:t>Utilities</w:t>
      </w:r>
    </w:p>
    <w:p w14:paraId="51CDB0E6" w14:textId="0B05D44E" w:rsidR="00755006" w:rsidRPr="00755006" w:rsidRDefault="00755006" w:rsidP="00265697">
      <w:pPr>
        <w:spacing w:line="276" w:lineRule="auto"/>
        <w:rPr>
          <w:rFonts w:cs="Calibri"/>
          <w:sz w:val="24"/>
          <w:szCs w:val="24"/>
        </w:rPr>
      </w:pPr>
      <w:r w:rsidRPr="00755006">
        <w:rPr>
          <w:rFonts w:cs="Calibri"/>
          <w:sz w:val="24"/>
          <w:szCs w:val="24"/>
        </w:rPr>
        <w:t>Utility costs typically include electricity, water, heating and other essential services required for the day-to-day operations of an organi</w:t>
      </w:r>
      <w:r w:rsidR="00341FDB">
        <w:rPr>
          <w:rFonts w:cs="Calibri"/>
          <w:sz w:val="24"/>
          <w:szCs w:val="24"/>
        </w:rPr>
        <w:t>s</w:t>
      </w:r>
      <w:r w:rsidRPr="00755006">
        <w:rPr>
          <w:rFonts w:cs="Calibri"/>
          <w:sz w:val="24"/>
          <w:szCs w:val="24"/>
        </w:rPr>
        <w:t xml:space="preserve">ation. Given that WiTricity operates in the tech and manufacturing </w:t>
      </w:r>
      <w:r w:rsidR="00341FDB" w:rsidRPr="00755006">
        <w:rPr>
          <w:rFonts w:cs="Calibri"/>
          <w:sz w:val="24"/>
          <w:szCs w:val="24"/>
        </w:rPr>
        <w:t>space, the</w:t>
      </w:r>
      <w:r w:rsidRPr="00755006">
        <w:rPr>
          <w:rFonts w:cs="Calibri"/>
          <w:sz w:val="24"/>
          <w:szCs w:val="24"/>
        </w:rPr>
        <w:t xml:space="preserve"> demand for electricity is likely to be higher due to the nature of its operations such as powering laboratories, manufacturing facilities, data centres, etc. As a result, utility costs would need to account for both WiTricity's existing operations. Also, the projected increase in energy demands from TD's expanded workforce and technological infrastructure post-acquisition.</w:t>
      </w:r>
    </w:p>
    <w:p w14:paraId="6731AC51" w14:textId="44711B5C" w:rsidR="00755006" w:rsidRPr="00755006" w:rsidRDefault="00755006" w:rsidP="00265697">
      <w:pPr>
        <w:spacing w:line="276" w:lineRule="auto"/>
        <w:rPr>
          <w:rFonts w:cs="Calibri"/>
          <w:sz w:val="24"/>
          <w:szCs w:val="24"/>
        </w:rPr>
      </w:pPr>
      <w:r w:rsidRPr="00755006">
        <w:rPr>
          <w:rFonts w:cs="Calibri"/>
          <w:sz w:val="24"/>
          <w:szCs w:val="24"/>
        </w:rPr>
        <w:t>To project the utility cost increases over the 20-year period, we can assume an average yearly inflation rate and utility price increases based on historical trends. On average, utility prices in Canada have risen by 2-5% annually, driven by factors such as inflation, energy consumption patterns and market demands. However, certain years may experience sharper increases due to energy policy changes, market shifts, or expansion in operations.</w:t>
      </w:r>
    </w:p>
    <w:p w14:paraId="77AC97E8" w14:textId="77777777" w:rsidR="00755006" w:rsidRPr="00755006" w:rsidRDefault="00755006" w:rsidP="00265697">
      <w:pPr>
        <w:spacing w:line="276" w:lineRule="auto"/>
        <w:rPr>
          <w:rFonts w:cs="Calibri"/>
          <w:b/>
          <w:bCs/>
          <w:sz w:val="24"/>
          <w:szCs w:val="24"/>
        </w:rPr>
      </w:pPr>
      <w:r w:rsidRPr="00755006">
        <w:rPr>
          <w:rFonts w:cs="Calibri"/>
          <w:b/>
          <w:bCs/>
          <w:sz w:val="24"/>
          <w:szCs w:val="24"/>
        </w:rPr>
        <w:t>Utility Cost Breakdown</w:t>
      </w:r>
    </w:p>
    <w:p w14:paraId="334CA27B" w14:textId="77777777" w:rsidR="00755006" w:rsidRPr="00755006" w:rsidRDefault="00755006" w:rsidP="00265697">
      <w:pPr>
        <w:spacing w:line="276" w:lineRule="auto"/>
        <w:rPr>
          <w:rFonts w:cs="Calibri"/>
          <w:sz w:val="24"/>
          <w:szCs w:val="24"/>
        </w:rPr>
      </w:pPr>
      <w:r w:rsidRPr="00755006">
        <w:rPr>
          <w:rFonts w:cs="Calibri"/>
          <w:b/>
          <w:bCs/>
          <w:sz w:val="24"/>
          <w:szCs w:val="24"/>
        </w:rPr>
        <w:t>Year 1 to Year 5:</w:t>
      </w:r>
      <w:r w:rsidRPr="00755006">
        <w:rPr>
          <w:rFonts w:cs="Calibri"/>
          <w:sz w:val="24"/>
          <w:szCs w:val="24"/>
        </w:rPr>
        <w:t xml:space="preserve"> Initial utility costs should be estimated based on the existing needs of WiTricity’s operations and TD's added infrastructure. An estimated starting utility cost of $ 88,300 could be reasonable, considering the scale of operations.</w:t>
      </w:r>
    </w:p>
    <w:p w14:paraId="1E02249F" w14:textId="77777777" w:rsidR="00755006" w:rsidRPr="00755006" w:rsidRDefault="00755006" w:rsidP="00265697">
      <w:pPr>
        <w:spacing w:line="276" w:lineRule="auto"/>
        <w:rPr>
          <w:rFonts w:cs="Calibri"/>
          <w:sz w:val="24"/>
          <w:szCs w:val="24"/>
        </w:rPr>
      </w:pPr>
      <w:r w:rsidRPr="00755006">
        <w:rPr>
          <w:rFonts w:cs="Calibri"/>
          <w:b/>
          <w:bCs/>
          <w:sz w:val="24"/>
          <w:szCs w:val="24"/>
        </w:rPr>
        <w:t>Year 6 to Year 10:</w:t>
      </w:r>
      <w:r w:rsidRPr="00755006">
        <w:rPr>
          <w:rFonts w:cs="Calibri"/>
          <w:sz w:val="24"/>
          <w:szCs w:val="24"/>
        </w:rPr>
        <w:t xml:space="preserve"> As TD integrates WiTricity, there will likely be an expansion in both personnel and facilities. This would result in an increase in utility consumption. In the first few years post-acquisition, utility costs might rise by approximately 5-7% annually due to the addition of staff, new projects and the scaling up of production.</w:t>
      </w:r>
    </w:p>
    <w:p w14:paraId="5343BCBB" w14:textId="696C63E0" w:rsidR="00755006" w:rsidRPr="00755006" w:rsidRDefault="00755006" w:rsidP="00265697">
      <w:pPr>
        <w:spacing w:line="276" w:lineRule="auto"/>
        <w:rPr>
          <w:rFonts w:cs="Calibri"/>
          <w:sz w:val="24"/>
          <w:szCs w:val="24"/>
        </w:rPr>
      </w:pPr>
      <w:r w:rsidRPr="00755006">
        <w:rPr>
          <w:rFonts w:cs="Calibri"/>
          <w:b/>
          <w:bCs/>
          <w:sz w:val="24"/>
          <w:szCs w:val="24"/>
        </w:rPr>
        <w:t>Year 11 to Year 15:</w:t>
      </w:r>
      <w:r w:rsidRPr="00755006">
        <w:rPr>
          <w:rFonts w:cs="Calibri"/>
          <w:sz w:val="24"/>
          <w:szCs w:val="24"/>
        </w:rPr>
        <w:t xml:space="preserve"> At this stage, the company would have reached a more mature state. However, energy prices and inflationary pressures may drive annual increases of 3-5%. Additionally, the increasing shift toward renewable energy and green technologies could stabili</w:t>
      </w:r>
      <w:r w:rsidR="00341FDB">
        <w:rPr>
          <w:rFonts w:cs="Calibri"/>
          <w:sz w:val="24"/>
          <w:szCs w:val="24"/>
        </w:rPr>
        <w:t>s</w:t>
      </w:r>
      <w:r w:rsidRPr="00755006">
        <w:rPr>
          <w:rFonts w:cs="Calibri"/>
          <w:sz w:val="24"/>
          <w:szCs w:val="24"/>
        </w:rPr>
        <w:t>e energy costs but it will still be affected by broader market trends.</w:t>
      </w:r>
    </w:p>
    <w:p w14:paraId="68AC2B05" w14:textId="77777777" w:rsidR="00755006" w:rsidRPr="00755006" w:rsidRDefault="00755006" w:rsidP="00265697">
      <w:pPr>
        <w:spacing w:line="276" w:lineRule="auto"/>
        <w:rPr>
          <w:rFonts w:cs="Calibri"/>
          <w:sz w:val="24"/>
          <w:szCs w:val="24"/>
        </w:rPr>
      </w:pPr>
      <w:r w:rsidRPr="00755006">
        <w:rPr>
          <w:rFonts w:cs="Calibri"/>
          <w:b/>
          <w:bCs/>
          <w:sz w:val="24"/>
          <w:szCs w:val="24"/>
        </w:rPr>
        <w:t>Year 16 to Year 20:</w:t>
      </w:r>
      <w:r w:rsidRPr="00755006">
        <w:rPr>
          <w:rFonts w:cs="Calibri"/>
          <w:sz w:val="24"/>
          <w:szCs w:val="24"/>
        </w:rPr>
        <w:t xml:space="preserve"> After years, utility cost increases may taper down to 2-3% per year. However, the growing complexity of operations and the scaling of new technologies like EV charging infrastructure may require consistent energy consumption.</w:t>
      </w:r>
    </w:p>
    <w:p w14:paraId="2FFB5DE5" w14:textId="77777777" w:rsidR="00755006" w:rsidRPr="00755006" w:rsidRDefault="00755006" w:rsidP="00265697">
      <w:pPr>
        <w:spacing w:line="276" w:lineRule="auto"/>
        <w:rPr>
          <w:rFonts w:cs="Calibri"/>
          <w:sz w:val="24"/>
          <w:szCs w:val="24"/>
        </w:rPr>
      </w:pPr>
      <w:r w:rsidRPr="00755006">
        <w:rPr>
          <w:rFonts w:cs="Calibri"/>
          <w:sz w:val="24"/>
          <w:szCs w:val="24"/>
        </w:rPr>
        <w:t xml:space="preserve">In conclusion, utility costs for WiTricity’s operations post-acquisition by TD Bank are expected to grow steadily over the 20-year period due to increased energy demands from expanded infrastructure, additional workforce and technological advancements. The above projections are </w:t>
      </w:r>
      <w:r w:rsidRPr="00755006">
        <w:rPr>
          <w:rFonts w:cs="Calibri"/>
          <w:sz w:val="24"/>
          <w:szCs w:val="24"/>
        </w:rPr>
        <w:lastRenderedPageBreak/>
        <w:t>in line with historical trends in utility price increases across Canada and align with the anticipated operational growth of WiTricity under TD’s management.</w:t>
      </w:r>
    </w:p>
    <w:p w14:paraId="594DF66D" w14:textId="77777777" w:rsidR="00755006" w:rsidRPr="00755006" w:rsidRDefault="00755006" w:rsidP="00265697">
      <w:pPr>
        <w:spacing w:line="276" w:lineRule="auto"/>
        <w:rPr>
          <w:rFonts w:cs="Calibri"/>
          <w:b/>
          <w:bCs/>
          <w:sz w:val="28"/>
          <w:szCs w:val="28"/>
        </w:rPr>
      </w:pPr>
      <w:r w:rsidRPr="00755006">
        <w:rPr>
          <w:rFonts w:cs="Calibri"/>
          <w:b/>
          <w:bCs/>
          <w:sz w:val="28"/>
          <w:szCs w:val="28"/>
        </w:rPr>
        <w:t>Distribution and Logistics</w:t>
      </w:r>
    </w:p>
    <w:p w14:paraId="1EF3A471" w14:textId="77777777" w:rsidR="00755006" w:rsidRPr="00755006" w:rsidRDefault="00755006" w:rsidP="00265697">
      <w:pPr>
        <w:spacing w:line="276" w:lineRule="auto"/>
        <w:rPr>
          <w:rFonts w:cs="Calibri"/>
          <w:sz w:val="24"/>
          <w:szCs w:val="24"/>
        </w:rPr>
      </w:pPr>
      <w:r w:rsidRPr="00755006">
        <w:rPr>
          <w:rFonts w:cs="Calibri"/>
          <w:sz w:val="24"/>
          <w:szCs w:val="24"/>
        </w:rPr>
        <w:t>The distribution and logistics expenses are critical for scaling WiTricity’s wireless charging technology globally by ensuring that the products reach customers, partners, distribution centres efficiently. The figures below reflect a reasonable growth rate, considering factors like inflation, supply chain expansion and increased demand for advanced technology logistics services.</w:t>
      </w:r>
    </w:p>
    <w:p w14:paraId="03F84BA9" w14:textId="77777777" w:rsidR="00755006" w:rsidRPr="00755006" w:rsidRDefault="00755006" w:rsidP="00265697">
      <w:pPr>
        <w:spacing w:line="276" w:lineRule="auto"/>
        <w:rPr>
          <w:rFonts w:cs="Calibri"/>
          <w:b/>
          <w:bCs/>
          <w:sz w:val="24"/>
          <w:szCs w:val="24"/>
        </w:rPr>
      </w:pPr>
      <w:r w:rsidRPr="00755006">
        <w:rPr>
          <w:rFonts w:cs="Calibri"/>
          <w:b/>
          <w:bCs/>
          <w:sz w:val="24"/>
          <w:szCs w:val="24"/>
        </w:rPr>
        <w:t>Distribution and Logistics Cost Breakdown</w:t>
      </w: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8"/>
        <w:gridCol w:w="5184"/>
      </w:tblGrid>
      <w:tr w:rsidR="00755006" w:rsidRPr="00755006" w14:paraId="3BF51D6B" w14:textId="77777777" w:rsidTr="00397FFD">
        <w:trPr>
          <w:cnfStyle w:val="100000000000" w:firstRow="1" w:lastRow="0" w:firstColumn="0" w:lastColumn="0" w:oddVBand="0" w:evenVBand="0" w:oddHBand="0" w:evenHBand="0" w:firstRowFirstColumn="0" w:firstRowLastColumn="0" w:lastRowFirstColumn="0" w:lastRowLastColumn="0"/>
          <w:trHeight w:val="9"/>
        </w:trPr>
        <w:tc>
          <w:tcPr>
            <w:cnfStyle w:val="001000000100" w:firstRow="0" w:lastRow="0" w:firstColumn="1" w:lastColumn="0" w:oddVBand="0" w:evenVBand="0" w:oddHBand="0" w:evenHBand="0" w:firstRowFirstColumn="1" w:firstRowLastColumn="0" w:lastRowFirstColumn="0" w:lastRowLastColumn="0"/>
            <w:tcW w:w="2928" w:type="dxa"/>
            <w:tcBorders>
              <w:top w:val="single" w:sz="4" w:space="0" w:color="auto"/>
              <w:left w:val="single" w:sz="4" w:space="0" w:color="auto"/>
              <w:bottom w:val="single" w:sz="4" w:space="0" w:color="auto"/>
              <w:right w:val="single" w:sz="4" w:space="0" w:color="auto"/>
            </w:tcBorders>
            <w:hideMark/>
          </w:tcPr>
          <w:p w14:paraId="677B463E" w14:textId="67B2AED1" w:rsidR="00755006" w:rsidRPr="00755006" w:rsidRDefault="00494FF9" w:rsidP="00265697">
            <w:pPr>
              <w:spacing w:after="160" w:line="276" w:lineRule="auto"/>
              <w:rPr>
                <w:rFonts w:cs="Calibri"/>
                <w:sz w:val="24"/>
                <w:szCs w:val="24"/>
              </w:rPr>
            </w:pPr>
            <w:r w:rsidRPr="00BD71F8">
              <w:rPr>
                <w:rFonts w:cs="Calibri"/>
                <w:caps w:val="0"/>
                <w:sz w:val="24"/>
                <w:szCs w:val="24"/>
              </w:rPr>
              <w:t>Year</w:t>
            </w:r>
          </w:p>
        </w:tc>
        <w:tc>
          <w:tcPr>
            <w:tcW w:w="5184" w:type="dxa"/>
            <w:tcBorders>
              <w:top w:val="single" w:sz="4" w:space="0" w:color="auto"/>
              <w:left w:val="single" w:sz="4" w:space="0" w:color="auto"/>
              <w:bottom w:val="single" w:sz="4" w:space="0" w:color="auto"/>
              <w:right w:val="single" w:sz="4" w:space="0" w:color="auto"/>
            </w:tcBorders>
            <w:hideMark/>
          </w:tcPr>
          <w:p w14:paraId="7F42AD09" w14:textId="33BF66B1" w:rsidR="00755006" w:rsidRPr="00755006" w:rsidRDefault="00494FF9" w:rsidP="00265697">
            <w:pPr>
              <w:spacing w:after="160" w:line="276" w:lineRule="auto"/>
              <w:cnfStyle w:val="100000000000" w:firstRow="1" w:lastRow="0" w:firstColumn="0" w:lastColumn="0" w:oddVBand="0" w:evenVBand="0" w:oddHBand="0" w:evenHBand="0" w:firstRowFirstColumn="0" w:firstRowLastColumn="0" w:lastRowFirstColumn="0" w:lastRowLastColumn="0"/>
              <w:rPr>
                <w:rFonts w:cs="Calibri"/>
                <w:sz w:val="24"/>
                <w:szCs w:val="24"/>
              </w:rPr>
            </w:pPr>
            <w:r w:rsidRPr="00BD71F8">
              <w:rPr>
                <w:rFonts w:cs="Calibri"/>
                <w:caps w:val="0"/>
                <w:sz w:val="24"/>
                <w:szCs w:val="24"/>
              </w:rPr>
              <w:t xml:space="preserve">Cost </w:t>
            </w:r>
          </w:p>
        </w:tc>
      </w:tr>
      <w:tr w:rsidR="00755006" w:rsidRPr="00755006" w14:paraId="14E98AC5" w14:textId="77777777" w:rsidTr="00397FFD">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928" w:type="dxa"/>
            <w:tcBorders>
              <w:top w:val="single" w:sz="4" w:space="0" w:color="auto"/>
              <w:left w:val="single" w:sz="4" w:space="0" w:color="auto"/>
              <w:bottom w:val="single" w:sz="4" w:space="0" w:color="auto"/>
              <w:right w:val="single" w:sz="4" w:space="0" w:color="auto"/>
            </w:tcBorders>
            <w:hideMark/>
          </w:tcPr>
          <w:p w14:paraId="4576621F" w14:textId="56FC31DE" w:rsidR="00755006" w:rsidRPr="00755006" w:rsidRDefault="00494FF9" w:rsidP="00265697">
            <w:pPr>
              <w:spacing w:after="160" w:line="276" w:lineRule="auto"/>
              <w:rPr>
                <w:rFonts w:cs="Calibri"/>
                <w:b w:val="0"/>
                <w:bCs w:val="0"/>
                <w:sz w:val="24"/>
                <w:szCs w:val="24"/>
              </w:rPr>
            </w:pPr>
            <w:r w:rsidRPr="00BD71F8">
              <w:rPr>
                <w:rFonts w:cs="Calibri"/>
                <w:b w:val="0"/>
                <w:bCs w:val="0"/>
                <w:caps w:val="0"/>
                <w:sz w:val="24"/>
                <w:szCs w:val="24"/>
              </w:rPr>
              <w:t>Year 1</w:t>
            </w:r>
          </w:p>
        </w:tc>
        <w:tc>
          <w:tcPr>
            <w:tcW w:w="5184" w:type="dxa"/>
            <w:tcBorders>
              <w:top w:val="single" w:sz="4" w:space="0" w:color="auto"/>
              <w:left w:val="single" w:sz="4" w:space="0" w:color="auto"/>
              <w:bottom w:val="single" w:sz="4" w:space="0" w:color="auto"/>
              <w:right w:val="single" w:sz="4" w:space="0" w:color="auto"/>
            </w:tcBorders>
            <w:hideMark/>
          </w:tcPr>
          <w:p w14:paraId="699F0757" w14:textId="77777777" w:rsidR="00755006" w:rsidRPr="00755006" w:rsidRDefault="00755006"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55006">
              <w:rPr>
                <w:rFonts w:cs="Calibri"/>
                <w:sz w:val="24"/>
                <w:szCs w:val="24"/>
              </w:rPr>
              <w:t>$5,25,000.00</w:t>
            </w:r>
          </w:p>
        </w:tc>
      </w:tr>
      <w:tr w:rsidR="00755006" w:rsidRPr="00755006" w14:paraId="5BA9E079" w14:textId="77777777" w:rsidTr="00397FFD">
        <w:trPr>
          <w:trHeight w:val="9"/>
        </w:trPr>
        <w:tc>
          <w:tcPr>
            <w:cnfStyle w:val="001000000000" w:firstRow="0" w:lastRow="0" w:firstColumn="1" w:lastColumn="0" w:oddVBand="0" w:evenVBand="0" w:oddHBand="0" w:evenHBand="0" w:firstRowFirstColumn="0" w:firstRowLastColumn="0" w:lastRowFirstColumn="0" w:lastRowLastColumn="0"/>
            <w:tcW w:w="2928" w:type="dxa"/>
            <w:tcBorders>
              <w:top w:val="single" w:sz="4" w:space="0" w:color="auto"/>
              <w:left w:val="single" w:sz="4" w:space="0" w:color="auto"/>
              <w:bottom w:val="single" w:sz="4" w:space="0" w:color="auto"/>
              <w:right w:val="single" w:sz="4" w:space="0" w:color="auto"/>
            </w:tcBorders>
            <w:hideMark/>
          </w:tcPr>
          <w:p w14:paraId="5E7D6C33" w14:textId="5D78981C" w:rsidR="00755006" w:rsidRPr="00755006" w:rsidRDefault="00494FF9" w:rsidP="00265697">
            <w:pPr>
              <w:spacing w:after="160" w:line="276" w:lineRule="auto"/>
              <w:rPr>
                <w:rFonts w:cs="Calibri"/>
                <w:b w:val="0"/>
                <w:bCs w:val="0"/>
                <w:sz w:val="24"/>
                <w:szCs w:val="24"/>
              </w:rPr>
            </w:pPr>
            <w:r w:rsidRPr="00BD71F8">
              <w:rPr>
                <w:rFonts w:cs="Calibri"/>
                <w:b w:val="0"/>
                <w:bCs w:val="0"/>
                <w:caps w:val="0"/>
                <w:sz w:val="24"/>
                <w:szCs w:val="24"/>
              </w:rPr>
              <w:t>Year 2</w:t>
            </w:r>
          </w:p>
        </w:tc>
        <w:tc>
          <w:tcPr>
            <w:tcW w:w="5184" w:type="dxa"/>
            <w:tcBorders>
              <w:top w:val="single" w:sz="4" w:space="0" w:color="auto"/>
              <w:left w:val="single" w:sz="4" w:space="0" w:color="auto"/>
              <w:bottom w:val="single" w:sz="4" w:space="0" w:color="auto"/>
              <w:right w:val="single" w:sz="4" w:space="0" w:color="auto"/>
            </w:tcBorders>
            <w:hideMark/>
          </w:tcPr>
          <w:p w14:paraId="0CACC90E" w14:textId="77777777" w:rsidR="00755006" w:rsidRPr="00755006" w:rsidRDefault="00755006"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55006">
              <w:rPr>
                <w:rFonts w:cs="Calibri"/>
                <w:sz w:val="24"/>
                <w:szCs w:val="24"/>
              </w:rPr>
              <w:t>$5,40,750.00</w:t>
            </w:r>
          </w:p>
        </w:tc>
      </w:tr>
      <w:tr w:rsidR="00755006" w:rsidRPr="00755006" w14:paraId="56392BC3" w14:textId="77777777" w:rsidTr="00397FFD">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928" w:type="dxa"/>
            <w:tcBorders>
              <w:top w:val="single" w:sz="4" w:space="0" w:color="auto"/>
              <w:left w:val="single" w:sz="4" w:space="0" w:color="auto"/>
              <w:bottom w:val="single" w:sz="4" w:space="0" w:color="auto"/>
              <w:right w:val="single" w:sz="4" w:space="0" w:color="auto"/>
            </w:tcBorders>
            <w:hideMark/>
          </w:tcPr>
          <w:p w14:paraId="1F155940" w14:textId="4BCE5A2F" w:rsidR="00755006" w:rsidRPr="00755006" w:rsidRDefault="00494FF9" w:rsidP="00265697">
            <w:pPr>
              <w:spacing w:after="160" w:line="276" w:lineRule="auto"/>
              <w:rPr>
                <w:rFonts w:cs="Calibri"/>
                <w:b w:val="0"/>
                <w:bCs w:val="0"/>
                <w:sz w:val="24"/>
                <w:szCs w:val="24"/>
              </w:rPr>
            </w:pPr>
            <w:r w:rsidRPr="00BD71F8">
              <w:rPr>
                <w:rFonts w:cs="Calibri"/>
                <w:b w:val="0"/>
                <w:bCs w:val="0"/>
                <w:caps w:val="0"/>
                <w:sz w:val="24"/>
                <w:szCs w:val="24"/>
              </w:rPr>
              <w:t>Year 3</w:t>
            </w:r>
          </w:p>
        </w:tc>
        <w:tc>
          <w:tcPr>
            <w:tcW w:w="5184" w:type="dxa"/>
            <w:tcBorders>
              <w:top w:val="single" w:sz="4" w:space="0" w:color="auto"/>
              <w:left w:val="single" w:sz="4" w:space="0" w:color="auto"/>
              <w:bottom w:val="single" w:sz="4" w:space="0" w:color="auto"/>
              <w:right w:val="single" w:sz="4" w:space="0" w:color="auto"/>
            </w:tcBorders>
            <w:hideMark/>
          </w:tcPr>
          <w:p w14:paraId="110DB72E" w14:textId="77777777" w:rsidR="00755006" w:rsidRPr="00755006" w:rsidRDefault="00755006"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55006">
              <w:rPr>
                <w:rFonts w:cs="Calibri"/>
                <w:sz w:val="24"/>
                <w:szCs w:val="24"/>
              </w:rPr>
              <w:t>$5,56,972.50</w:t>
            </w:r>
          </w:p>
        </w:tc>
      </w:tr>
      <w:tr w:rsidR="00755006" w:rsidRPr="00755006" w14:paraId="669EDE0B" w14:textId="77777777" w:rsidTr="00397FFD">
        <w:trPr>
          <w:trHeight w:val="9"/>
        </w:trPr>
        <w:tc>
          <w:tcPr>
            <w:cnfStyle w:val="001000000000" w:firstRow="0" w:lastRow="0" w:firstColumn="1" w:lastColumn="0" w:oddVBand="0" w:evenVBand="0" w:oddHBand="0" w:evenHBand="0" w:firstRowFirstColumn="0" w:firstRowLastColumn="0" w:lastRowFirstColumn="0" w:lastRowLastColumn="0"/>
            <w:tcW w:w="2928" w:type="dxa"/>
            <w:tcBorders>
              <w:top w:val="single" w:sz="4" w:space="0" w:color="auto"/>
              <w:left w:val="single" w:sz="4" w:space="0" w:color="auto"/>
              <w:bottom w:val="single" w:sz="4" w:space="0" w:color="auto"/>
              <w:right w:val="single" w:sz="4" w:space="0" w:color="auto"/>
            </w:tcBorders>
            <w:hideMark/>
          </w:tcPr>
          <w:p w14:paraId="6A50BFB0" w14:textId="69B5554C" w:rsidR="00755006" w:rsidRPr="00755006" w:rsidRDefault="00494FF9" w:rsidP="00265697">
            <w:pPr>
              <w:spacing w:after="160" w:line="276" w:lineRule="auto"/>
              <w:rPr>
                <w:rFonts w:cs="Calibri"/>
                <w:b w:val="0"/>
                <w:bCs w:val="0"/>
                <w:sz w:val="24"/>
                <w:szCs w:val="24"/>
              </w:rPr>
            </w:pPr>
            <w:r w:rsidRPr="00BD71F8">
              <w:rPr>
                <w:rFonts w:cs="Calibri"/>
                <w:b w:val="0"/>
                <w:bCs w:val="0"/>
                <w:caps w:val="0"/>
                <w:sz w:val="24"/>
                <w:szCs w:val="24"/>
              </w:rPr>
              <w:t>Year 4</w:t>
            </w:r>
          </w:p>
        </w:tc>
        <w:tc>
          <w:tcPr>
            <w:tcW w:w="5184" w:type="dxa"/>
            <w:tcBorders>
              <w:top w:val="single" w:sz="4" w:space="0" w:color="auto"/>
              <w:left w:val="single" w:sz="4" w:space="0" w:color="auto"/>
              <w:bottom w:val="single" w:sz="4" w:space="0" w:color="auto"/>
              <w:right w:val="single" w:sz="4" w:space="0" w:color="auto"/>
            </w:tcBorders>
            <w:hideMark/>
          </w:tcPr>
          <w:p w14:paraId="36D6B9B3" w14:textId="77777777" w:rsidR="00755006" w:rsidRPr="00755006" w:rsidRDefault="00755006"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55006">
              <w:rPr>
                <w:rFonts w:cs="Calibri"/>
                <w:sz w:val="24"/>
                <w:szCs w:val="24"/>
              </w:rPr>
              <w:t>$5,73,681.68</w:t>
            </w:r>
          </w:p>
        </w:tc>
      </w:tr>
      <w:tr w:rsidR="00755006" w:rsidRPr="00755006" w14:paraId="61831ABE" w14:textId="77777777" w:rsidTr="00397FFD">
        <w:trPr>
          <w:cnfStyle w:val="000000100000" w:firstRow="0" w:lastRow="0" w:firstColumn="0" w:lastColumn="0" w:oddVBand="0" w:evenVBand="0" w:oddHBand="1" w:evenHBand="0" w:firstRowFirstColumn="0" w:firstRowLastColumn="0" w:lastRowFirstColumn="0" w:lastRowLastColumn="0"/>
          <w:trHeight w:val="8"/>
        </w:trPr>
        <w:tc>
          <w:tcPr>
            <w:cnfStyle w:val="001000000000" w:firstRow="0" w:lastRow="0" w:firstColumn="1" w:lastColumn="0" w:oddVBand="0" w:evenVBand="0" w:oddHBand="0" w:evenHBand="0" w:firstRowFirstColumn="0" w:firstRowLastColumn="0" w:lastRowFirstColumn="0" w:lastRowLastColumn="0"/>
            <w:tcW w:w="2928" w:type="dxa"/>
            <w:tcBorders>
              <w:top w:val="single" w:sz="4" w:space="0" w:color="auto"/>
              <w:left w:val="single" w:sz="4" w:space="0" w:color="auto"/>
              <w:bottom w:val="single" w:sz="4" w:space="0" w:color="auto"/>
              <w:right w:val="single" w:sz="4" w:space="0" w:color="auto"/>
            </w:tcBorders>
            <w:hideMark/>
          </w:tcPr>
          <w:p w14:paraId="77B939EA" w14:textId="592E9003" w:rsidR="00755006" w:rsidRPr="00755006" w:rsidRDefault="00494FF9" w:rsidP="00265697">
            <w:pPr>
              <w:spacing w:after="160" w:line="276" w:lineRule="auto"/>
              <w:rPr>
                <w:rFonts w:cs="Calibri"/>
                <w:b w:val="0"/>
                <w:bCs w:val="0"/>
                <w:sz w:val="24"/>
                <w:szCs w:val="24"/>
              </w:rPr>
            </w:pPr>
            <w:r w:rsidRPr="00BD71F8">
              <w:rPr>
                <w:rFonts w:cs="Calibri"/>
                <w:b w:val="0"/>
                <w:bCs w:val="0"/>
                <w:caps w:val="0"/>
                <w:sz w:val="24"/>
                <w:szCs w:val="24"/>
              </w:rPr>
              <w:t>Year 5</w:t>
            </w:r>
          </w:p>
        </w:tc>
        <w:tc>
          <w:tcPr>
            <w:tcW w:w="5184" w:type="dxa"/>
            <w:tcBorders>
              <w:top w:val="single" w:sz="4" w:space="0" w:color="auto"/>
              <w:left w:val="single" w:sz="4" w:space="0" w:color="auto"/>
              <w:bottom w:val="single" w:sz="4" w:space="0" w:color="auto"/>
              <w:right w:val="single" w:sz="4" w:space="0" w:color="auto"/>
            </w:tcBorders>
            <w:hideMark/>
          </w:tcPr>
          <w:p w14:paraId="17EFB1C2" w14:textId="77777777" w:rsidR="00755006" w:rsidRPr="00755006" w:rsidRDefault="00755006"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55006">
              <w:rPr>
                <w:rFonts w:cs="Calibri"/>
                <w:sz w:val="24"/>
                <w:szCs w:val="24"/>
              </w:rPr>
              <w:t>$5,90,892.13</w:t>
            </w:r>
          </w:p>
        </w:tc>
      </w:tr>
      <w:tr w:rsidR="00755006" w:rsidRPr="00755006" w14:paraId="0AA7CF88" w14:textId="77777777" w:rsidTr="00397FFD">
        <w:trPr>
          <w:trHeight w:val="9"/>
        </w:trPr>
        <w:tc>
          <w:tcPr>
            <w:cnfStyle w:val="001000000000" w:firstRow="0" w:lastRow="0" w:firstColumn="1" w:lastColumn="0" w:oddVBand="0" w:evenVBand="0" w:oddHBand="0" w:evenHBand="0" w:firstRowFirstColumn="0" w:firstRowLastColumn="0" w:lastRowFirstColumn="0" w:lastRowLastColumn="0"/>
            <w:tcW w:w="2928" w:type="dxa"/>
            <w:tcBorders>
              <w:top w:val="single" w:sz="4" w:space="0" w:color="auto"/>
              <w:left w:val="single" w:sz="4" w:space="0" w:color="auto"/>
              <w:bottom w:val="single" w:sz="4" w:space="0" w:color="auto"/>
              <w:right w:val="single" w:sz="4" w:space="0" w:color="auto"/>
            </w:tcBorders>
            <w:hideMark/>
          </w:tcPr>
          <w:p w14:paraId="7DA5DEDC" w14:textId="415C8368" w:rsidR="00755006" w:rsidRPr="00755006" w:rsidRDefault="00494FF9" w:rsidP="00265697">
            <w:pPr>
              <w:spacing w:after="160" w:line="276" w:lineRule="auto"/>
              <w:rPr>
                <w:rFonts w:cs="Calibri"/>
                <w:b w:val="0"/>
                <w:bCs w:val="0"/>
                <w:sz w:val="24"/>
                <w:szCs w:val="24"/>
              </w:rPr>
            </w:pPr>
            <w:r w:rsidRPr="00BD71F8">
              <w:rPr>
                <w:rFonts w:cs="Calibri"/>
                <w:b w:val="0"/>
                <w:bCs w:val="0"/>
                <w:caps w:val="0"/>
                <w:sz w:val="24"/>
                <w:szCs w:val="24"/>
              </w:rPr>
              <w:t>Year 6</w:t>
            </w:r>
          </w:p>
        </w:tc>
        <w:tc>
          <w:tcPr>
            <w:tcW w:w="5184" w:type="dxa"/>
            <w:tcBorders>
              <w:top w:val="single" w:sz="4" w:space="0" w:color="auto"/>
              <w:left w:val="single" w:sz="4" w:space="0" w:color="auto"/>
              <w:bottom w:val="single" w:sz="4" w:space="0" w:color="auto"/>
              <w:right w:val="single" w:sz="4" w:space="0" w:color="auto"/>
            </w:tcBorders>
            <w:hideMark/>
          </w:tcPr>
          <w:p w14:paraId="5F639714" w14:textId="77777777" w:rsidR="00755006" w:rsidRPr="00755006" w:rsidRDefault="00755006"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55006">
              <w:rPr>
                <w:rFonts w:cs="Calibri"/>
                <w:sz w:val="24"/>
                <w:szCs w:val="24"/>
              </w:rPr>
              <w:t>$6,08,618.89</w:t>
            </w:r>
          </w:p>
        </w:tc>
      </w:tr>
      <w:tr w:rsidR="00755006" w:rsidRPr="00755006" w14:paraId="7D848256" w14:textId="77777777" w:rsidTr="00397FFD">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928" w:type="dxa"/>
            <w:tcBorders>
              <w:top w:val="single" w:sz="4" w:space="0" w:color="auto"/>
              <w:left w:val="single" w:sz="4" w:space="0" w:color="auto"/>
              <w:bottom w:val="single" w:sz="4" w:space="0" w:color="auto"/>
              <w:right w:val="single" w:sz="4" w:space="0" w:color="auto"/>
            </w:tcBorders>
            <w:hideMark/>
          </w:tcPr>
          <w:p w14:paraId="62D15225" w14:textId="055035D7" w:rsidR="00755006" w:rsidRPr="00755006" w:rsidRDefault="00494FF9" w:rsidP="00265697">
            <w:pPr>
              <w:spacing w:after="160" w:line="276" w:lineRule="auto"/>
              <w:rPr>
                <w:rFonts w:cs="Calibri"/>
                <w:b w:val="0"/>
                <w:bCs w:val="0"/>
                <w:sz w:val="24"/>
                <w:szCs w:val="24"/>
              </w:rPr>
            </w:pPr>
            <w:r w:rsidRPr="00BD71F8">
              <w:rPr>
                <w:rFonts w:cs="Calibri"/>
                <w:b w:val="0"/>
                <w:bCs w:val="0"/>
                <w:caps w:val="0"/>
                <w:sz w:val="24"/>
                <w:szCs w:val="24"/>
              </w:rPr>
              <w:t>Year 7</w:t>
            </w:r>
          </w:p>
        </w:tc>
        <w:tc>
          <w:tcPr>
            <w:tcW w:w="5184" w:type="dxa"/>
            <w:tcBorders>
              <w:top w:val="single" w:sz="4" w:space="0" w:color="auto"/>
              <w:left w:val="single" w:sz="4" w:space="0" w:color="auto"/>
              <w:bottom w:val="single" w:sz="4" w:space="0" w:color="auto"/>
              <w:right w:val="single" w:sz="4" w:space="0" w:color="auto"/>
            </w:tcBorders>
            <w:hideMark/>
          </w:tcPr>
          <w:p w14:paraId="1349490F" w14:textId="77777777" w:rsidR="00755006" w:rsidRPr="00755006" w:rsidRDefault="00755006"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55006">
              <w:rPr>
                <w:rFonts w:cs="Calibri"/>
                <w:sz w:val="24"/>
                <w:szCs w:val="24"/>
              </w:rPr>
              <w:t>$6,29,920.55</w:t>
            </w:r>
          </w:p>
        </w:tc>
      </w:tr>
      <w:tr w:rsidR="00755006" w:rsidRPr="00755006" w14:paraId="063E274A" w14:textId="77777777" w:rsidTr="00397FFD">
        <w:trPr>
          <w:trHeight w:val="9"/>
        </w:trPr>
        <w:tc>
          <w:tcPr>
            <w:cnfStyle w:val="001000000000" w:firstRow="0" w:lastRow="0" w:firstColumn="1" w:lastColumn="0" w:oddVBand="0" w:evenVBand="0" w:oddHBand="0" w:evenHBand="0" w:firstRowFirstColumn="0" w:firstRowLastColumn="0" w:lastRowFirstColumn="0" w:lastRowLastColumn="0"/>
            <w:tcW w:w="2928" w:type="dxa"/>
            <w:tcBorders>
              <w:top w:val="single" w:sz="4" w:space="0" w:color="auto"/>
              <w:left w:val="single" w:sz="4" w:space="0" w:color="auto"/>
              <w:bottom w:val="single" w:sz="4" w:space="0" w:color="auto"/>
              <w:right w:val="single" w:sz="4" w:space="0" w:color="auto"/>
            </w:tcBorders>
            <w:hideMark/>
          </w:tcPr>
          <w:p w14:paraId="5F891ECB" w14:textId="10ED3EC6" w:rsidR="00755006" w:rsidRPr="00755006" w:rsidRDefault="00494FF9" w:rsidP="00265697">
            <w:pPr>
              <w:spacing w:after="160" w:line="276" w:lineRule="auto"/>
              <w:rPr>
                <w:rFonts w:cs="Calibri"/>
                <w:b w:val="0"/>
                <w:bCs w:val="0"/>
                <w:sz w:val="24"/>
                <w:szCs w:val="24"/>
              </w:rPr>
            </w:pPr>
            <w:r w:rsidRPr="00BD71F8">
              <w:rPr>
                <w:rFonts w:cs="Calibri"/>
                <w:b w:val="0"/>
                <w:bCs w:val="0"/>
                <w:caps w:val="0"/>
                <w:sz w:val="24"/>
                <w:szCs w:val="24"/>
              </w:rPr>
              <w:t>Year 8</w:t>
            </w:r>
          </w:p>
        </w:tc>
        <w:tc>
          <w:tcPr>
            <w:tcW w:w="5184" w:type="dxa"/>
            <w:tcBorders>
              <w:top w:val="single" w:sz="4" w:space="0" w:color="auto"/>
              <w:left w:val="single" w:sz="4" w:space="0" w:color="auto"/>
              <w:bottom w:val="single" w:sz="4" w:space="0" w:color="auto"/>
              <w:right w:val="single" w:sz="4" w:space="0" w:color="auto"/>
            </w:tcBorders>
            <w:hideMark/>
          </w:tcPr>
          <w:p w14:paraId="2A6F2DD6" w14:textId="77777777" w:rsidR="00755006" w:rsidRPr="00755006" w:rsidRDefault="00755006"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55006">
              <w:rPr>
                <w:rFonts w:cs="Calibri"/>
                <w:sz w:val="24"/>
                <w:szCs w:val="24"/>
              </w:rPr>
              <w:t>$6,51,967.77</w:t>
            </w:r>
          </w:p>
        </w:tc>
      </w:tr>
      <w:tr w:rsidR="00755006" w:rsidRPr="00755006" w14:paraId="14397B3B" w14:textId="77777777" w:rsidTr="00397FFD">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928" w:type="dxa"/>
            <w:tcBorders>
              <w:top w:val="single" w:sz="4" w:space="0" w:color="auto"/>
              <w:left w:val="single" w:sz="4" w:space="0" w:color="auto"/>
              <w:bottom w:val="single" w:sz="4" w:space="0" w:color="auto"/>
              <w:right w:val="single" w:sz="4" w:space="0" w:color="auto"/>
            </w:tcBorders>
            <w:hideMark/>
          </w:tcPr>
          <w:p w14:paraId="1975EC5F" w14:textId="76F714D4" w:rsidR="00755006" w:rsidRPr="00755006" w:rsidRDefault="00494FF9" w:rsidP="00265697">
            <w:pPr>
              <w:spacing w:after="160" w:line="276" w:lineRule="auto"/>
              <w:rPr>
                <w:rFonts w:cs="Calibri"/>
                <w:b w:val="0"/>
                <w:bCs w:val="0"/>
                <w:sz w:val="24"/>
                <w:szCs w:val="24"/>
              </w:rPr>
            </w:pPr>
            <w:r w:rsidRPr="00BD71F8">
              <w:rPr>
                <w:rFonts w:cs="Calibri"/>
                <w:b w:val="0"/>
                <w:bCs w:val="0"/>
                <w:caps w:val="0"/>
                <w:sz w:val="24"/>
                <w:szCs w:val="24"/>
              </w:rPr>
              <w:t>Year 9</w:t>
            </w:r>
          </w:p>
        </w:tc>
        <w:tc>
          <w:tcPr>
            <w:tcW w:w="5184" w:type="dxa"/>
            <w:tcBorders>
              <w:top w:val="single" w:sz="4" w:space="0" w:color="auto"/>
              <w:left w:val="single" w:sz="4" w:space="0" w:color="auto"/>
              <w:bottom w:val="single" w:sz="4" w:space="0" w:color="auto"/>
              <w:right w:val="single" w:sz="4" w:space="0" w:color="auto"/>
            </w:tcBorders>
            <w:hideMark/>
          </w:tcPr>
          <w:p w14:paraId="5BF9AB9D" w14:textId="77777777" w:rsidR="00755006" w:rsidRPr="00755006" w:rsidRDefault="00755006" w:rsidP="00265697">
            <w:pPr>
              <w:spacing w:after="160" w:line="276" w:lineRule="auto"/>
              <w:cnfStyle w:val="000000100000" w:firstRow="0" w:lastRow="0" w:firstColumn="0" w:lastColumn="0" w:oddVBand="0" w:evenVBand="0" w:oddHBand="1" w:evenHBand="0" w:firstRowFirstColumn="0" w:firstRowLastColumn="0" w:lastRowFirstColumn="0" w:lastRowLastColumn="0"/>
              <w:rPr>
                <w:rFonts w:cs="Calibri"/>
                <w:sz w:val="24"/>
                <w:szCs w:val="24"/>
              </w:rPr>
            </w:pPr>
            <w:r w:rsidRPr="00755006">
              <w:rPr>
                <w:rFonts w:cs="Calibri"/>
                <w:sz w:val="24"/>
                <w:szCs w:val="24"/>
              </w:rPr>
              <w:t>$6,74,786.64</w:t>
            </w:r>
          </w:p>
        </w:tc>
      </w:tr>
      <w:tr w:rsidR="00755006" w:rsidRPr="00755006" w14:paraId="40584E7B" w14:textId="77777777" w:rsidTr="00397FFD">
        <w:trPr>
          <w:trHeight w:val="9"/>
        </w:trPr>
        <w:tc>
          <w:tcPr>
            <w:cnfStyle w:val="001000000000" w:firstRow="0" w:lastRow="0" w:firstColumn="1" w:lastColumn="0" w:oddVBand="0" w:evenVBand="0" w:oddHBand="0" w:evenHBand="0" w:firstRowFirstColumn="0" w:firstRowLastColumn="0" w:lastRowFirstColumn="0" w:lastRowLastColumn="0"/>
            <w:tcW w:w="2928" w:type="dxa"/>
            <w:tcBorders>
              <w:top w:val="single" w:sz="4" w:space="0" w:color="auto"/>
              <w:left w:val="single" w:sz="4" w:space="0" w:color="auto"/>
              <w:bottom w:val="single" w:sz="4" w:space="0" w:color="auto"/>
              <w:right w:val="single" w:sz="4" w:space="0" w:color="auto"/>
            </w:tcBorders>
            <w:hideMark/>
          </w:tcPr>
          <w:p w14:paraId="7C394E10" w14:textId="5D427C20" w:rsidR="00755006" w:rsidRPr="00755006" w:rsidRDefault="00494FF9" w:rsidP="00265697">
            <w:pPr>
              <w:spacing w:after="160" w:line="276" w:lineRule="auto"/>
              <w:rPr>
                <w:rFonts w:cs="Calibri"/>
                <w:b w:val="0"/>
                <w:bCs w:val="0"/>
                <w:sz w:val="24"/>
                <w:szCs w:val="24"/>
              </w:rPr>
            </w:pPr>
            <w:r w:rsidRPr="00BD71F8">
              <w:rPr>
                <w:rFonts w:cs="Calibri"/>
                <w:b w:val="0"/>
                <w:bCs w:val="0"/>
                <w:caps w:val="0"/>
                <w:sz w:val="24"/>
                <w:szCs w:val="24"/>
              </w:rPr>
              <w:t>Year 10</w:t>
            </w:r>
          </w:p>
        </w:tc>
        <w:tc>
          <w:tcPr>
            <w:tcW w:w="5184" w:type="dxa"/>
            <w:tcBorders>
              <w:top w:val="single" w:sz="4" w:space="0" w:color="auto"/>
              <w:left w:val="single" w:sz="4" w:space="0" w:color="auto"/>
              <w:bottom w:val="single" w:sz="4" w:space="0" w:color="auto"/>
              <w:right w:val="single" w:sz="4" w:space="0" w:color="auto"/>
            </w:tcBorders>
            <w:hideMark/>
          </w:tcPr>
          <w:p w14:paraId="3D74AE87" w14:textId="77777777" w:rsidR="00755006" w:rsidRPr="00755006" w:rsidRDefault="00755006" w:rsidP="00265697">
            <w:pPr>
              <w:spacing w:after="160" w:line="276" w:lineRule="auto"/>
              <w:cnfStyle w:val="000000000000" w:firstRow="0" w:lastRow="0" w:firstColumn="0" w:lastColumn="0" w:oddVBand="0" w:evenVBand="0" w:oddHBand="0" w:evenHBand="0" w:firstRowFirstColumn="0" w:firstRowLastColumn="0" w:lastRowFirstColumn="0" w:lastRowLastColumn="0"/>
              <w:rPr>
                <w:rFonts w:cs="Calibri"/>
                <w:sz w:val="24"/>
                <w:szCs w:val="24"/>
              </w:rPr>
            </w:pPr>
            <w:r w:rsidRPr="00755006">
              <w:rPr>
                <w:rFonts w:cs="Calibri"/>
                <w:sz w:val="24"/>
                <w:szCs w:val="24"/>
              </w:rPr>
              <w:t>$6,98,404.17</w:t>
            </w:r>
          </w:p>
        </w:tc>
      </w:tr>
    </w:tbl>
    <w:p w14:paraId="16C78B92" w14:textId="77777777" w:rsidR="00755006" w:rsidRPr="00755006" w:rsidRDefault="00755006" w:rsidP="00265697">
      <w:pPr>
        <w:spacing w:line="276" w:lineRule="auto"/>
        <w:rPr>
          <w:rFonts w:cs="Calibri"/>
          <w:sz w:val="24"/>
          <w:szCs w:val="24"/>
        </w:rPr>
      </w:pPr>
    </w:p>
    <w:p w14:paraId="00420D13" w14:textId="77777777" w:rsidR="00755006" w:rsidRPr="00755006" w:rsidRDefault="00755006" w:rsidP="00265697">
      <w:pPr>
        <w:spacing w:line="276" w:lineRule="auto"/>
        <w:rPr>
          <w:rFonts w:cs="Calibri"/>
          <w:sz w:val="24"/>
          <w:szCs w:val="24"/>
        </w:rPr>
      </w:pPr>
      <w:r w:rsidRPr="00755006">
        <w:rPr>
          <w:rFonts w:cs="Calibri"/>
          <w:b/>
          <w:bCs/>
          <w:sz w:val="24"/>
          <w:szCs w:val="24"/>
        </w:rPr>
        <w:t>Inflation and Rising Transportation Costs:</w:t>
      </w:r>
      <w:r w:rsidRPr="00755006">
        <w:rPr>
          <w:rFonts w:cs="Calibri"/>
          <w:sz w:val="24"/>
          <w:szCs w:val="24"/>
        </w:rPr>
        <w:t xml:space="preserve"> Each year, costs for transportation, warehousing, logistics infrastructure rise due to inflation, fuel costs and general market price increases.</w:t>
      </w:r>
    </w:p>
    <w:p w14:paraId="00FC4BC0" w14:textId="77777777" w:rsidR="00755006" w:rsidRPr="00755006" w:rsidRDefault="00755006" w:rsidP="00265697">
      <w:pPr>
        <w:spacing w:line="276" w:lineRule="auto"/>
        <w:rPr>
          <w:rFonts w:cs="Calibri"/>
          <w:sz w:val="24"/>
          <w:szCs w:val="24"/>
        </w:rPr>
      </w:pPr>
      <w:r w:rsidRPr="00755006">
        <w:rPr>
          <w:rFonts w:cs="Calibri"/>
          <w:sz w:val="24"/>
          <w:szCs w:val="24"/>
        </w:rPr>
        <w:t xml:space="preserve">In the early years, the cost increase is relatively modest (around 3% annually) to reflect the initial scaling of operations. As WiTricity’s product adoption expands, the distribution network becomes more </w:t>
      </w:r>
      <w:proofErr w:type="gramStart"/>
      <w:r w:rsidRPr="00755006">
        <w:rPr>
          <w:rFonts w:cs="Calibri"/>
          <w:sz w:val="24"/>
          <w:szCs w:val="24"/>
        </w:rPr>
        <w:t>complex</w:t>
      </w:r>
      <w:proofErr w:type="gramEnd"/>
      <w:r w:rsidRPr="00755006">
        <w:rPr>
          <w:rFonts w:cs="Calibri"/>
          <w:sz w:val="24"/>
          <w:szCs w:val="24"/>
        </w:rPr>
        <w:t xml:space="preserve"> and logistics services must be increased to support global reach.</w:t>
      </w:r>
    </w:p>
    <w:p w14:paraId="69F2C0EB" w14:textId="77777777" w:rsidR="00755006" w:rsidRPr="00755006" w:rsidRDefault="00755006" w:rsidP="00265697">
      <w:pPr>
        <w:spacing w:line="276" w:lineRule="auto"/>
        <w:rPr>
          <w:rFonts w:cs="Calibri"/>
          <w:sz w:val="24"/>
          <w:szCs w:val="24"/>
        </w:rPr>
      </w:pPr>
      <w:r w:rsidRPr="00755006">
        <w:rPr>
          <w:rFonts w:cs="Calibri"/>
          <w:b/>
          <w:bCs/>
          <w:sz w:val="24"/>
          <w:szCs w:val="24"/>
        </w:rPr>
        <w:t>Supply Chain Complexity and International Expansion:</w:t>
      </w:r>
      <w:r w:rsidRPr="00755006">
        <w:rPr>
          <w:rFonts w:cs="Calibri"/>
          <w:sz w:val="24"/>
          <w:szCs w:val="24"/>
        </w:rPr>
        <w:t xml:space="preserve"> As WiTricity scales, TD Bank will need to consider international shipping which includes compliance with customs regulations, tariff, and potentially higher shipping costs for delivering sensitive electronic components. The cost increase from Year 5 onwards accounts for expansion into international markets, setting up new </w:t>
      </w:r>
      <w:r w:rsidRPr="00755006">
        <w:rPr>
          <w:rFonts w:cs="Calibri"/>
          <w:sz w:val="24"/>
          <w:szCs w:val="24"/>
        </w:rPr>
        <w:lastRenderedPageBreak/>
        <w:t>distribution centres and managing complex global supply chains. By Year 6, a steady increase of approximately 3.5% annually is applied to reflect growing global distribution needs.</w:t>
      </w:r>
    </w:p>
    <w:p w14:paraId="20DFDA1E" w14:textId="0938104F" w:rsidR="00755006" w:rsidRPr="00755006" w:rsidRDefault="00755006" w:rsidP="00265697">
      <w:pPr>
        <w:spacing w:line="276" w:lineRule="auto"/>
        <w:rPr>
          <w:rFonts w:cs="Calibri"/>
          <w:sz w:val="24"/>
          <w:szCs w:val="24"/>
        </w:rPr>
      </w:pPr>
      <w:r w:rsidRPr="00755006">
        <w:rPr>
          <w:rFonts w:cs="Calibri"/>
          <w:b/>
          <w:bCs/>
          <w:sz w:val="24"/>
          <w:szCs w:val="24"/>
        </w:rPr>
        <w:t>Warehouse and Storage Costs:</w:t>
      </w:r>
      <w:r w:rsidRPr="00755006">
        <w:rPr>
          <w:rFonts w:cs="Calibri"/>
          <w:sz w:val="24"/>
          <w:szCs w:val="24"/>
        </w:rPr>
        <w:t xml:space="preserve"> WiTricity's technology may require speciali</w:t>
      </w:r>
      <w:r w:rsidR="00341FDB">
        <w:rPr>
          <w:rFonts w:cs="Calibri"/>
          <w:sz w:val="24"/>
          <w:szCs w:val="24"/>
        </w:rPr>
        <w:t>s</w:t>
      </w:r>
      <w:r w:rsidRPr="00755006">
        <w:rPr>
          <w:rFonts w:cs="Calibri"/>
          <w:sz w:val="24"/>
          <w:szCs w:val="24"/>
        </w:rPr>
        <w:t>ed storage conditions. This will add to warehousing and logistics management costs. As product volumes increase, TD may need additional warehouse space or more advanced logistics systems to handle the storage and dispatch of products.</w:t>
      </w:r>
    </w:p>
    <w:p w14:paraId="46BF686C" w14:textId="77777777" w:rsidR="00755006" w:rsidRPr="00755006" w:rsidRDefault="00755006" w:rsidP="00265697">
      <w:pPr>
        <w:spacing w:line="276" w:lineRule="auto"/>
        <w:rPr>
          <w:rFonts w:cs="Calibri"/>
          <w:sz w:val="24"/>
          <w:szCs w:val="24"/>
        </w:rPr>
      </w:pPr>
      <w:r w:rsidRPr="00755006">
        <w:rPr>
          <w:rFonts w:cs="Calibri"/>
          <w:b/>
          <w:bCs/>
          <w:sz w:val="24"/>
          <w:szCs w:val="24"/>
        </w:rPr>
        <w:t>Technological Advancements</w:t>
      </w:r>
      <w:r w:rsidRPr="00755006">
        <w:rPr>
          <w:rFonts w:cs="Calibri"/>
          <w:sz w:val="24"/>
          <w:szCs w:val="24"/>
        </w:rPr>
        <w:t>: The increase in logistics costs can also be attributed to investments in advanced supply chain technologies, such as automation, AI-based logistics planning and inventory management systems. As these technologies are integrated into WiTricity’s operations, they will help improve efficiency but may require initial capital outlay.</w:t>
      </w:r>
    </w:p>
    <w:p w14:paraId="3815C190" w14:textId="77777777" w:rsidR="00755006" w:rsidRPr="00755006" w:rsidRDefault="00755006" w:rsidP="00265697">
      <w:pPr>
        <w:spacing w:line="276" w:lineRule="auto"/>
        <w:rPr>
          <w:rFonts w:cs="Calibri"/>
          <w:sz w:val="24"/>
          <w:szCs w:val="24"/>
        </w:rPr>
      </w:pPr>
      <w:r w:rsidRPr="00755006">
        <w:rPr>
          <w:rFonts w:cs="Calibri"/>
          <w:sz w:val="24"/>
          <w:szCs w:val="24"/>
        </w:rPr>
        <w:t>According to data from the Bank of Canada, inflation rates in Canada have fluctuated, with an average of 2-3% annually. Logistics and transportation costs are particularly sensitive to fuel prices as well as economic conditions. These values reflect a conservative 3-4% increase in the early years and a slight rise in later years due to increased operational complexity.</w:t>
      </w:r>
    </w:p>
    <w:p w14:paraId="35AF9258" w14:textId="77777777" w:rsidR="00755006" w:rsidRPr="00755006" w:rsidRDefault="00755006" w:rsidP="00265697">
      <w:pPr>
        <w:spacing w:line="276" w:lineRule="auto"/>
        <w:rPr>
          <w:rFonts w:cs="Calibri"/>
          <w:sz w:val="24"/>
          <w:szCs w:val="24"/>
        </w:rPr>
      </w:pPr>
      <w:r w:rsidRPr="00755006">
        <w:rPr>
          <w:rFonts w:cs="Calibri"/>
          <w:sz w:val="24"/>
          <w:szCs w:val="24"/>
        </w:rPr>
        <w:t>The values provided for distribution and logistics costs are reasonable with industry expectations. The projected increase year-over-year reflects inflation, supply chain expansion and the complexity of managing international logistics for advanced technology products. By considering both domestic and global market trends, TD Bank can ensure WiTricity’s distribution network supports its long-term growth strategy efficiently.</w:t>
      </w:r>
    </w:p>
    <w:p w14:paraId="2B8E1C6D" w14:textId="77777777" w:rsidR="00755006" w:rsidRPr="00755006" w:rsidRDefault="00755006" w:rsidP="00265697">
      <w:pPr>
        <w:spacing w:line="276" w:lineRule="auto"/>
        <w:rPr>
          <w:rFonts w:cs="Calibri"/>
          <w:b/>
          <w:bCs/>
          <w:sz w:val="28"/>
          <w:szCs w:val="28"/>
        </w:rPr>
      </w:pPr>
      <w:r w:rsidRPr="00755006">
        <w:rPr>
          <w:rFonts w:cs="Calibri"/>
          <w:b/>
          <w:bCs/>
          <w:sz w:val="28"/>
          <w:szCs w:val="28"/>
        </w:rPr>
        <w:t>Marketing and Advertising</w:t>
      </w:r>
    </w:p>
    <w:p w14:paraId="05E54F01" w14:textId="77777777" w:rsidR="00755006" w:rsidRPr="00755006" w:rsidRDefault="00755006" w:rsidP="00265697">
      <w:pPr>
        <w:spacing w:line="276" w:lineRule="auto"/>
        <w:rPr>
          <w:rFonts w:cs="Calibri"/>
          <w:sz w:val="24"/>
          <w:szCs w:val="24"/>
        </w:rPr>
      </w:pPr>
      <w:r w:rsidRPr="00755006">
        <w:rPr>
          <w:rFonts w:cs="Calibri"/>
          <w:sz w:val="24"/>
          <w:szCs w:val="24"/>
        </w:rPr>
        <w:t>In developing a comprehensive marketing and advertising strategy for TD Bank’s acquisition of WiTricity, it is crucial to allocate resources effectively to ensure maximum impact as well as sustained brand presence over time. The proposed budget begins with a significant investment in the early years to build awareness and establish the WiTricity brand, gradually tapering off as market recognition grows. This phased approach ensures that TD can leverage both traditional advertising platforms like television and digital channels to target a wide audience while maintaining cost-efficiency. By aligning spending with industry trends and customer engagement patterns, this strategy positions TD as well as WiTricity for long-term success in the competitive tech market.</w:t>
      </w:r>
    </w:p>
    <w:p w14:paraId="49147ED4" w14:textId="77777777" w:rsidR="00755006" w:rsidRPr="00755006" w:rsidRDefault="00755006" w:rsidP="00265697">
      <w:pPr>
        <w:spacing w:line="276" w:lineRule="auto"/>
        <w:rPr>
          <w:rFonts w:cs="Calibri"/>
          <w:b/>
          <w:bCs/>
          <w:sz w:val="24"/>
          <w:szCs w:val="24"/>
        </w:rPr>
      </w:pPr>
      <w:r w:rsidRPr="00755006">
        <w:rPr>
          <w:rFonts w:cs="Calibri"/>
          <w:b/>
          <w:bCs/>
          <w:sz w:val="24"/>
          <w:szCs w:val="24"/>
        </w:rPr>
        <w:t>Initial High Spending (Years 1 to 5)</w:t>
      </w:r>
    </w:p>
    <w:p w14:paraId="32525DF6" w14:textId="77777777" w:rsidR="00755006" w:rsidRPr="00755006" w:rsidRDefault="00755006" w:rsidP="00265697">
      <w:pPr>
        <w:spacing w:line="276" w:lineRule="auto"/>
        <w:rPr>
          <w:rFonts w:cs="Calibri"/>
          <w:sz w:val="24"/>
          <w:szCs w:val="24"/>
        </w:rPr>
      </w:pPr>
      <w:r w:rsidRPr="00755006">
        <w:rPr>
          <w:rFonts w:cs="Calibri"/>
          <w:sz w:val="24"/>
          <w:szCs w:val="24"/>
        </w:rPr>
        <w:t>Budget Range: $1,75,00,000.00 to $1,61,41,442.80</w:t>
      </w:r>
    </w:p>
    <w:p w14:paraId="1CEB8322" w14:textId="77777777" w:rsidR="00755006" w:rsidRPr="00755006" w:rsidRDefault="00755006" w:rsidP="00265697">
      <w:pPr>
        <w:spacing w:line="276" w:lineRule="auto"/>
        <w:rPr>
          <w:rFonts w:cs="Calibri"/>
          <w:sz w:val="24"/>
          <w:szCs w:val="24"/>
        </w:rPr>
      </w:pPr>
      <w:r w:rsidRPr="00755006">
        <w:rPr>
          <w:rFonts w:cs="Calibri"/>
          <w:b/>
          <w:bCs/>
          <w:sz w:val="24"/>
          <w:szCs w:val="24"/>
        </w:rPr>
        <w:t>Rationale:</w:t>
      </w:r>
      <w:r w:rsidRPr="00755006">
        <w:rPr>
          <w:rFonts w:cs="Calibri"/>
          <w:sz w:val="24"/>
          <w:szCs w:val="24"/>
        </w:rPr>
        <w:t xml:space="preserve"> In the first few years after TD Bank acquires WiTricity, significant marketing efforts will be required to promote the new wireless charging technology for both to existing customers and </w:t>
      </w:r>
      <w:r w:rsidRPr="00755006">
        <w:rPr>
          <w:rFonts w:cs="Calibri"/>
          <w:sz w:val="24"/>
          <w:szCs w:val="24"/>
        </w:rPr>
        <w:lastRenderedPageBreak/>
        <w:t>to new markets. This would likely involve a combination of traditional and digital media to maximise reach as well as build awareness.</w:t>
      </w:r>
    </w:p>
    <w:p w14:paraId="12125DE3" w14:textId="77777777" w:rsidR="00755006" w:rsidRPr="00755006" w:rsidRDefault="00755006" w:rsidP="00265697">
      <w:pPr>
        <w:spacing w:line="276" w:lineRule="auto"/>
        <w:rPr>
          <w:rFonts w:cs="Calibri"/>
          <w:sz w:val="24"/>
          <w:szCs w:val="24"/>
        </w:rPr>
      </w:pPr>
      <w:r w:rsidRPr="00755006">
        <w:rPr>
          <w:rFonts w:cs="Calibri"/>
          <w:b/>
          <w:bCs/>
          <w:sz w:val="24"/>
          <w:szCs w:val="24"/>
        </w:rPr>
        <w:t>Television Advertising:</w:t>
      </w:r>
      <w:r w:rsidRPr="00755006">
        <w:rPr>
          <w:rFonts w:cs="Calibri"/>
          <w:sz w:val="24"/>
          <w:szCs w:val="24"/>
        </w:rPr>
        <w:t xml:space="preserve"> TV advertisements are essential for reaching a broad audience quickly especially during product launches. This offers high visibility and can create a strong brand presence. Around 25-30% of the budget could be allocated to television advertisements in the early years to make an impact.</w:t>
      </w:r>
    </w:p>
    <w:p w14:paraId="65A87939" w14:textId="77777777" w:rsidR="00755006" w:rsidRPr="00755006" w:rsidRDefault="00755006" w:rsidP="00265697">
      <w:pPr>
        <w:spacing w:line="276" w:lineRule="auto"/>
        <w:rPr>
          <w:rFonts w:cs="Calibri"/>
          <w:sz w:val="24"/>
          <w:szCs w:val="24"/>
        </w:rPr>
      </w:pPr>
      <w:r w:rsidRPr="00755006">
        <w:rPr>
          <w:rFonts w:cs="Calibri"/>
          <w:sz w:val="24"/>
          <w:szCs w:val="24"/>
        </w:rPr>
        <w:t>Example: In Year 1, 30% of $1,75,00,000 would mean $52,50,000 for television advertising.</w:t>
      </w:r>
    </w:p>
    <w:p w14:paraId="0B3F5C8C" w14:textId="77777777" w:rsidR="00755006" w:rsidRPr="00755006" w:rsidRDefault="00755006" w:rsidP="00265697">
      <w:pPr>
        <w:spacing w:line="276" w:lineRule="auto"/>
        <w:rPr>
          <w:rFonts w:cs="Calibri"/>
          <w:sz w:val="24"/>
          <w:szCs w:val="24"/>
        </w:rPr>
      </w:pPr>
      <w:r w:rsidRPr="00755006">
        <w:rPr>
          <w:rFonts w:cs="Calibri"/>
          <w:b/>
          <w:bCs/>
          <w:sz w:val="24"/>
          <w:szCs w:val="24"/>
        </w:rPr>
        <w:t>Digital Advertising</w:t>
      </w:r>
      <w:r w:rsidRPr="00755006">
        <w:rPr>
          <w:rFonts w:cs="Calibri"/>
          <w:sz w:val="24"/>
          <w:szCs w:val="24"/>
        </w:rPr>
        <w:t xml:space="preserve"> (YouTube, LinkedIn, Twitter, etc.): Social media platforms are crucial for both brand awareness and customer engagement. As digital advertising is cost-effective and allows precise targeting, it is likely to be a significant part of the strategy. Around 35-40% of the budget could be allocated to social media campaigns across platforms like YouTube, LinkedIn and Twitter.</w:t>
      </w:r>
    </w:p>
    <w:p w14:paraId="18CE1C5C" w14:textId="77777777" w:rsidR="00755006" w:rsidRPr="00755006" w:rsidRDefault="00755006" w:rsidP="00265697">
      <w:pPr>
        <w:spacing w:line="276" w:lineRule="auto"/>
        <w:rPr>
          <w:rFonts w:cs="Calibri"/>
          <w:sz w:val="24"/>
          <w:szCs w:val="24"/>
        </w:rPr>
      </w:pPr>
      <w:r w:rsidRPr="00755006">
        <w:rPr>
          <w:rFonts w:cs="Calibri"/>
          <w:sz w:val="24"/>
          <w:szCs w:val="24"/>
        </w:rPr>
        <w:t>Example: In Year 1, 40% of $1,75,00,000 would allocate $70,00,000 for digital media.</w:t>
      </w:r>
    </w:p>
    <w:p w14:paraId="3622C36C" w14:textId="77777777" w:rsidR="00755006" w:rsidRPr="00755006" w:rsidRDefault="00755006" w:rsidP="00265697">
      <w:pPr>
        <w:spacing w:line="276" w:lineRule="auto"/>
        <w:rPr>
          <w:rFonts w:cs="Calibri"/>
          <w:b/>
          <w:bCs/>
          <w:sz w:val="24"/>
          <w:szCs w:val="24"/>
        </w:rPr>
      </w:pPr>
      <w:r w:rsidRPr="00755006">
        <w:rPr>
          <w:rFonts w:cs="Calibri"/>
          <w:b/>
          <w:bCs/>
          <w:sz w:val="24"/>
          <w:szCs w:val="24"/>
        </w:rPr>
        <w:t>Mid-Term Spending (Years 6 to 10)</w:t>
      </w:r>
    </w:p>
    <w:p w14:paraId="6EAFE371" w14:textId="77777777" w:rsidR="00755006" w:rsidRPr="00755006" w:rsidRDefault="00755006" w:rsidP="00265697">
      <w:pPr>
        <w:spacing w:line="276" w:lineRule="auto"/>
        <w:rPr>
          <w:rFonts w:cs="Calibri"/>
          <w:sz w:val="24"/>
          <w:szCs w:val="24"/>
        </w:rPr>
      </w:pPr>
      <w:r w:rsidRPr="00755006">
        <w:rPr>
          <w:rFonts w:cs="Calibri"/>
          <w:sz w:val="24"/>
          <w:szCs w:val="24"/>
        </w:rPr>
        <w:t>Budget Range: $1,48,50,127.38 to $1,06,38,526.71</w:t>
      </w:r>
    </w:p>
    <w:p w14:paraId="6CB564C1" w14:textId="77777777" w:rsidR="00755006" w:rsidRPr="00755006" w:rsidRDefault="00755006" w:rsidP="00265697">
      <w:pPr>
        <w:spacing w:line="276" w:lineRule="auto"/>
        <w:rPr>
          <w:rFonts w:cs="Calibri"/>
          <w:sz w:val="24"/>
          <w:szCs w:val="24"/>
        </w:rPr>
      </w:pPr>
      <w:r w:rsidRPr="00755006">
        <w:rPr>
          <w:rFonts w:cs="Calibri"/>
          <w:b/>
          <w:bCs/>
          <w:sz w:val="24"/>
          <w:szCs w:val="24"/>
        </w:rPr>
        <w:t>Rationale:</w:t>
      </w:r>
      <w:r w:rsidRPr="00755006">
        <w:rPr>
          <w:rFonts w:cs="Calibri"/>
          <w:sz w:val="24"/>
          <w:szCs w:val="24"/>
        </w:rPr>
        <w:t xml:space="preserve"> During this period, TD can reduce marketing expenses while maintaining brand visibility and customer engagement as the product becomes established in the market. The focus could shift from broad awareness campaigns to targeted campaigns aimed at retention and product enhancements.</w:t>
      </w:r>
    </w:p>
    <w:p w14:paraId="05E71FF3" w14:textId="77777777" w:rsidR="00755006" w:rsidRPr="00755006" w:rsidRDefault="00755006" w:rsidP="00265697">
      <w:pPr>
        <w:spacing w:line="276" w:lineRule="auto"/>
        <w:rPr>
          <w:rFonts w:cs="Calibri"/>
          <w:sz w:val="24"/>
          <w:szCs w:val="24"/>
        </w:rPr>
      </w:pPr>
      <w:r w:rsidRPr="00755006">
        <w:rPr>
          <w:rFonts w:cs="Calibri"/>
          <w:b/>
          <w:bCs/>
          <w:sz w:val="24"/>
          <w:szCs w:val="24"/>
        </w:rPr>
        <w:t>Television Advertising:</w:t>
      </w:r>
      <w:r w:rsidRPr="00755006">
        <w:rPr>
          <w:rFonts w:cs="Calibri"/>
          <w:sz w:val="24"/>
          <w:szCs w:val="24"/>
        </w:rPr>
        <w:t xml:space="preserve"> The need for heavy TV advertising decreases as brand recognition improves. TD could reduce TV spend to around 15-20% of the budget.</w:t>
      </w:r>
    </w:p>
    <w:p w14:paraId="0EC16D0B" w14:textId="77777777" w:rsidR="00755006" w:rsidRPr="00755006" w:rsidRDefault="00755006" w:rsidP="00265697">
      <w:pPr>
        <w:spacing w:line="276" w:lineRule="auto"/>
        <w:rPr>
          <w:rFonts w:cs="Calibri"/>
          <w:sz w:val="24"/>
          <w:szCs w:val="24"/>
        </w:rPr>
      </w:pPr>
      <w:r w:rsidRPr="00755006">
        <w:rPr>
          <w:rFonts w:cs="Calibri"/>
          <w:sz w:val="24"/>
          <w:szCs w:val="24"/>
        </w:rPr>
        <w:t>Example: In Year 6, 20% of $1,48,50,127.38 would allocate $29,70,025 to TV advertising.</w:t>
      </w:r>
    </w:p>
    <w:p w14:paraId="2D810894" w14:textId="77777777" w:rsidR="00755006" w:rsidRPr="00755006" w:rsidRDefault="00755006" w:rsidP="00265697">
      <w:pPr>
        <w:spacing w:line="276" w:lineRule="auto"/>
        <w:rPr>
          <w:rFonts w:cs="Calibri"/>
          <w:sz w:val="24"/>
          <w:szCs w:val="24"/>
        </w:rPr>
      </w:pPr>
      <w:r w:rsidRPr="00755006">
        <w:rPr>
          <w:rFonts w:cs="Calibri"/>
          <w:b/>
          <w:bCs/>
          <w:sz w:val="24"/>
          <w:szCs w:val="24"/>
        </w:rPr>
        <w:t>Digital Advertising</w:t>
      </w:r>
      <w:r w:rsidRPr="00755006">
        <w:rPr>
          <w:rFonts w:cs="Calibri"/>
          <w:sz w:val="24"/>
          <w:szCs w:val="24"/>
        </w:rPr>
        <w:t xml:space="preserve"> (YouTube, LinkedIn, Twitter, etc.): Digital advertising remains a core component but could also see a slight reduction in allocation to around 30-35%, as the brand is already well-known.</w:t>
      </w:r>
    </w:p>
    <w:p w14:paraId="4A32D77A" w14:textId="77777777" w:rsidR="00755006" w:rsidRPr="00755006" w:rsidRDefault="00755006" w:rsidP="00265697">
      <w:pPr>
        <w:spacing w:line="276" w:lineRule="auto"/>
        <w:rPr>
          <w:rFonts w:cs="Calibri"/>
          <w:sz w:val="24"/>
          <w:szCs w:val="24"/>
        </w:rPr>
      </w:pPr>
      <w:r w:rsidRPr="00755006">
        <w:rPr>
          <w:rFonts w:cs="Calibri"/>
          <w:sz w:val="24"/>
          <w:szCs w:val="24"/>
        </w:rPr>
        <w:t>Example: In Year 6, 35% of $1,48,50,127.38 would mean $51,97,544 for digital media advertising.</w:t>
      </w:r>
    </w:p>
    <w:p w14:paraId="1B8148A0" w14:textId="77777777" w:rsidR="00755006" w:rsidRPr="00755006" w:rsidRDefault="00755006" w:rsidP="00265697">
      <w:pPr>
        <w:spacing w:line="276" w:lineRule="auto"/>
        <w:rPr>
          <w:rFonts w:cs="Calibri"/>
          <w:b/>
          <w:bCs/>
          <w:sz w:val="24"/>
          <w:szCs w:val="24"/>
        </w:rPr>
      </w:pPr>
      <w:r w:rsidRPr="00755006">
        <w:rPr>
          <w:rFonts w:cs="Calibri"/>
          <w:b/>
          <w:bCs/>
          <w:sz w:val="24"/>
          <w:szCs w:val="24"/>
        </w:rPr>
        <w:t>Long-Term Spending (Years 11 to 20)</w:t>
      </w:r>
    </w:p>
    <w:p w14:paraId="49CBEBC7" w14:textId="77777777" w:rsidR="00755006" w:rsidRPr="00755006" w:rsidRDefault="00755006" w:rsidP="00265697">
      <w:pPr>
        <w:spacing w:line="276" w:lineRule="auto"/>
        <w:rPr>
          <w:rFonts w:cs="Calibri"/>
          <w:sz w:val="24"/>
          <w:szCs w:val="24"/>
        </w:rPr>
      </w:pPr>
      <w:r w:rsidRPr="00755006">
        <w:rPr>
          <w:rFonts w:cs="Calibri"/>
          <w:sz w:val="24"/>
          <w:szCs w:val="24"/>
        </w:rPr>
        <w:t>Budget Range: $97,87,444.57 to $27,94,747.58</w:t>
      </w:r>
    </w:p>
    <w:p w14:paraId="2F212057" w14:textId="77777777" w:rsidR="00755006" w:rsidRPr="00755006" w:rsidRDefault="00755006" w:rsidP="00265697">
      <w:pPr>
        <w:spacing w:line="276" w:lineRule="auto"/>
        <w:rPr>
          <w:rFonts w:cs="Calibri"/>
          <w:sz w:val="24"/>
          <w:szCs w:val="24"/>
        </w:rPr>
      </w:pPr>
      <w:r w:rsidRPr="00755006">
        <w:rPr>
          <w:rFonts w:cs="Calibri"/>
          <w:b/>
          <w:bCs/>
          <w:sz w:val="24"/>
          <w:szCs w:val="24"/>
        </w:rPr>
        <w:t>Rationale:</w:t>
      </w:r>
      <w:r w:rsidRPr="00755006">
        <w:rPr>
          <w:rFonts w:cs="Calibri"/>
          <w:sz w:val="24"/>
          <w:szCs w:val="24"/>
        </w:rPr>
        <w:t xml:space="preserve"> In the long term, the need for significant advertising diminishes as the product matures and TD can rely on brand loyalty, customer retention as well as organic growth. Advertising efforts will likely focus on maintaining market share and supporting new features or innovations in wireless charging technology.</w:t>
      </w:r>
    </w:p>
    <w:p w14:paraId="24E2646D" w14:textId="77777777" w:rsidR="00755006" w:rsidRPr="00755006" w:rsidRDefault="00755006" w:rsidP="00265697">
      <w:pPr>
        <w:spacing w:line="276" w:lineRule="auto"/>
        <w:rPr>
          <w:rFonts w:cs="Calibri"/>
          <w:sz w:val="24"/>
          <w:szCs w:val="24"/>
        </w:rPr>
      </w:pPr>
      <w:r w:rsidRPr="00755006">
        <w:rPr>
          <w:rFonts w:cs="Calibri"/>
          <w:b/>
          <w:bCs/>
          <w:sz w:val="24"/>
          <w:szCs w:val="24"/>
        </w:rPr>
        <w:lastRenderedPageBreak/>
        <w:t>Television Advertising:</w:t>
      </w:r>
      <w:r w:rsidRPr="00755006">
        <w:rPr>
          <w:rFonts w:cs="Calibri"/>
          <w:sz w:val="24"/>
          <w:szCs w:val="24"/>
        </w:rPr>
        <w:t xml:space="preserve"> TV spend could reduce further to around 10-15% of the total budget as digital channels become the primary focus.</w:t>
      </w:r>
    </w:p>
    <w:p w14:paraId="1C3373A1" w14:textId="77777777" w:rsidR="00755006" w:rsidRPr="00755006" w:rsidRDefault="00755006" w:rsidP="00265697">
      <w:pPr>
        <w:spacing w:line="276" w:lineRule="auto"/>
        <w:rPr>
          <w:rFonts w:cs="Calibri"/>
          <w:sz w:val="24"/>
          <w:szCs w:val="24"/>
        </w:rPr>
      </w:pPr>
      <w:r w:rsidRPr="00755006">
        <w:rPr>
          <w:rFonts w:cs="Calibri"/>
          <w:sz w:val="24"/>
          <w:szCs w:val="24"/>
        </w:rPr>
        <w:t>Example: In Year 11, 15% of $97,87,444.57 would allocate $14,68,116 to TV advertising.</w:t>
      </w:r>
    </w:p>
    <w:p w14:paraId="7CE7ACA5" w14:textId="77777777" w:rsidR="00755006" w:rsidRPr="00755006" w:rsidRDefault="00755006" w:rsidP="00265697">
      <w:pPr>
        <w:spacing w:line="276" w:lineRule="auto"/>
        <w:rPr>
          <w:rFonts w:cs="Calibri"/>
          <w:sz w:val="24"/>
          <w:szCs w:val="24"/>
        </w:rPr>
      </w:pPr>
      <w:r w:rsidRPr="00755006">
        <w:rPr>
          <w:rFonts w:cs="Calibri"/>
          <w:b/>
          <w:bCs/>
          <w:sz w:val="24"/>
          <w:szCs w:val="24"/>
        </w:rPr>
        <w:t>Digital Advertising</w:t>
      </w:r>
      <w:r w:rsidRPr="00755006">
        <w:rPr>
          <w:rFonts w:cs="Calibri"/>
          <w:sz w:val="24"/>
          <w:szCs w:val="24"/>
        </w:rPr>
        <w:t xml:space="preserve"> (YouTube, LinkedIn, Twitter, etc.): By this stage, TD should focus more on engaging its established customer base and maintaining a strong online presence. Allocating 25-30% of the budget to digital platforms would help maintain visibility.</w:t>
      </w:r>
    </w:p>
    <w:p w14:paraId="5ED728E1" w14:textId="77777777" w:rsidR="00755006" w:rsidRPr="00755006" w:rsidRDefault="00755006" w:rsidP="00265697">
      <w:pPr>
        <w:spacing w:line="276" w:lineRule="auto"/>
        <w:rPr>
          <w:rFonts w:cs="Calibri"/>
          <w:sz w:val="24"/>
          <w:szCs w:val="24"/>
        </w:rPr>
      </w:pPr>
      <w:r w:rsidRPr="00755006">
        <w:rPr>
          <w:rFonts w:cs="Calibri"/>
          <w:sz w:val="24"/>
          <w:szCs w:val="24"/>
        </w:rPr>
        <w:t>Example: In Year 11, 30% of $97,87,444.57 would allocate $29,36,233 to digital media.</w:t>
      </w:r>
    </w:p>
    <w:p w14:paraId="7F483226" w14:textId="27F24629" w:rsidR="00755006" w:rsidRPr="00755006" w:rsidRDefault="00755006" w:rsidP="00265697">
      <w:pPr>
        <w:spacing w:line="276" w:lineRule="auto"/>
        <w:rPr>
          <w:rFonts w:cs="Calibri"/>
          <w:sz w:val="24"/>
          <w:szCs w:val="24"/>
        </w:rPr>
      </w:pPr>
      <w:r w:rsidRPr="00755006">
        <w:rPr>
          <w:rFonts w:cs="Calibri"/>
          <w:sz w:val="24"/>
          <w:szCs w:val="24"/>
        </w:rPr>
        <w:t>As TD continues to leverage both traditional and digital channels, the proposed budget allows for flexibility to adapt to changing market dynamics as well as customer preferences. The allocation of funds to television and digital platforms aligns with industry practices which allows TD to maximise reach while optimi</w:t>
      </w:r>
      <w:r w:rsidR="00341FDB">
        <w:rPr>
          <w:rFonts w:cs="Calibri"/>
          <w:sz w:val="24"/>
          <w:szCs w:val="24"/>
        </w:rPr>
        <w:t>s</w:t>
      </w:r>
      <w:r w:rsidRPr="00755006">
        <w:rPr>
          <w:rFonts w:cs="Calibri"/>
          <w:sz w:val="24"/>
          <w:szCs w:val="24"/>
        </w:rPr>
        <w:t>ing cost efficiency as the product matures.</w:t>
      </w:r>
    </w:p>
    <w:p w14:paraId="43F6925D" w14:textId="77777777" w:rsidR="00755006" w:rsidRPr="00755006" w:rsidRDefault="00755006" w:rsidP="00265697">
      <w:pPr>
        <w:spacing w:line="276" w:lineRule="auto"/>
        <w:rPr>
          <w:rFonts w:cs="Calibri"/>
          <w:b/>
          <w:bCs/>
          <w:sz w:val="28"/>
          <w:szCs w:val="28"/>
        </w:rPr>
      </w:pPr>
      <w:r w:rsidRPr="00755006">
        <w:rPr>
          <w:rFonts w:cs="Calibri"/>
          <w:b/>
          <w:bCs/>
          <w:sz w:val="28"/>
          <w:szCs w:val="28"/>
        </w:rPr>
        <w:t>Income Tax Rate</w:t>
      </w:r>
    </w:p>
    <w:p w14:paraId="6559DDBD" w14:textId="77777777" w:rsidR="00755006" w:rsidRPr="00755006" w:rsidRDefault="00755006" w:rsidP="00265697">
      <w:pPr>
        <w:spacing w:line="276" w:lineRule="auto"/>
        <w:rPr>
          <w:rFonts w:cs="Calibri"/>
          <w:sz w:val="24"/>
          <w:szCs w:val="24"/>
        </w:rPr>
      </w:pPr>
      <w:r w:rsidRPr="00755006">
        <w:rPr>
          <w:rFonts w:cs="Calibri"/>
          <w:sz w:val="24"/>
          <w:szCs w:val="24"/>
        </w:rPr>
        <w:t xml:space="preserve">The income tax rates for TD Bank over the five-year period (2019 to 2023) are as follows: </w:t>
      </w:r>
    </w:p>
    <w:p w14:paraId="439C8157" w14:textId="66925C7B" w:rsidR="00755006" w:rsidRPr="00755006" w:rsidRDefault="00755006" w:rsidP="00265697">
      <w:pPr>
        <w:spacing w:line="276" w:lineRule="auto"/>
        <w:rPr>
          <w:rFonts w:cs="Calibri"/>
          <w:sz w:val="24"/>
          <w:szCs w:val="24"/>
        </w:rPr>
      </w:pPr>
      <w:r w:rsidRPr="00755006">
        <w:rPr>
          <w:rFonts w:cs="Calibri"/>
          <w:sz w:val="24"/>
          <w:szCs w:val="24"/>
        </w:rPr>
        <w:t>In 2019, the rate was 20.7%, in 2020 it dropped to 9.7</w:t>
      </w:r>
      <w:r w:rsidR="004E0DD6" w:rsidRPr="00755006">
        <w:rPr>
          <w:rFonts w:cs="Calibri"/>
          <w:sz w:val="24"/>
          <w:szCs w:val="24"/>
        </w:rPr>
        <w:t>%, in</w:t>
      </w:r>
      <w:r w:rsidRPr="00755006">
        <w:rPr>
          <w:rFonts w:cs="Calibri"/>
          <w:sz w:val="24"/>
          <w:szCs w:val="24"/>
        </w:rPr>
        <w:t xml:space="preserve"> 2021 it increased to 21.1% followed by 19.5% in 2022 and finally 24.2% in 2023. These figures reflect the fluctuations in TD’s effective tax rate over the period which can be influenced by various factors including corporate tax strategies, changes in taxable income and external conditions like government policies or exceptional events such as the COVID-19 pandemic.</w:t>
      </w:r>
    </w:p>
    <w:p w14:paraId="661AACBD" w14:textId="77777777" w:rsidR="00755006" w:rsidRPr="00755006" w:rsidRDefault="00755006" w:rsidP="00265697">
      <w:pPr>
        <w:spacing w:line="276" w:lineRule="auto"/>
        <w:rPr>
          <w:rFonts w:cs="Calibri"/>
          <w:sz w:val="24"/>
          <w:szCs w:val="24"/>
        </w:rPr>
      </w:pPr>
      <w:r w:rsidRPr="00755006">
        <w:rPr>
          <w:rFonts w:cs="Calibri"/>
          <w:sz w:val="24"/>
          <w:szCs w:val="24"/>
        </w:rPr>
        <w:t>To determine a more stable, we calculate the average of these five yearly rates. By averaging these rates, we obtain an income tax rate of 19.04% which provides a balanced estimate that accounts for both the lower rate in 2020 and the higher rates in other years. This average rate offers a more realistic basis for projecting future tax liabilities for TD Bank especially in the context of long-term financial planning.</w:t>
      </w:r>
    </w:p>
    <w:p w14:paraId="2861A91A" w14:textId="77777777" w:rsidR="00755006" w:rsidRPr="00755006" w:rsidRDefault="00755006" w:rsidP="00265697">
      <w:pPr>
        <w:spacing w:line="276" w:lineRule="auto"/>
        <w:rPr>
          <w:rFonts w:cs="Calibri"/>
          <w:b/>
          <w:bCs/>
          <w:sz w:val="24"/>
          <w:szCs w:val="24"/>
        </w:rPr>
      </w:pPr>
      <w:r w:rsidRPr="00755006">
        <w:rPr>
          <w:rFonts w:cs="Calibri"/>
          <w:b/>
          <w:bCs/>
          <w:sz w:val="24"/>
          <w:szCs w:val="24"/>
        </w:rPr>
        <w:t>Why use an average?</w:t>
      </w:r>
    </w:p>
    <w:p w14:paraId="45A10723" w14:textId="77777777" w:rsidR="00755006" w:rsidRPr="00755006" w:rsidRDefault="00755006" w:rsidP="00265697">
      <w:pPr>
        <w:spacing w:line="276" w:lineRule="auto"/>
        <w:rPr>
          <w:rFonts w:cs="Calibri"/>
          <w:sz w:val="24"/>
          <w:szCs w:val="24"/>
        </w:rPr>
      </w:pPr>
      <w:r w:rsidRPr="00755006">
        <w:rPr>
          <w:rFonts w:cs="Calibri"/>
          <w:sz w:val="24"/>
          <w:szCs w:val="24"/>
        </w:rPr>
        <w:t>Using an average tax rate of 19.04% gives a fair estimation of what TD Bank’s effective tax rate might be over time by considering both higher and lower tax years. This method is particularly useful for long-term financial planning as it smooths out the instability in tax rates from year to year by allowing for more reliable projections.</w:t>
      </w:r>
    </w:p>
    <w:p w14:paraId="4D9BA880" w14:textId="77777777" w:rsidR="00755006" w:rsidRDefault="00755006" w:rsidP="00265697">
      <w:pPr>
        <w:spacing w:line="276" w:lineRule="auto"/>
        <w:rPr>
          <w:rFonts w:cs="Calibri"/>
        </w:rPr>
      </w:pPr>
      <w:r w:rsidRPr="00755006">
        <w:rPr>
          <w:rFonts w:cs="Calibri"/>
          <w:sz w:val="24"/>
          <w:szCs w:val="24"/>
        </w:rPr>
        <w:t>For future forecasts, this average rate provides a consistent benchmark for estimating tax liabilities across multiple years. While the tax rate may change slightly in future years due to government policies or corporate tax strategies, the 19.04% serves as a reasonable and justified assumption for long-term planning</w:t>
      </w:r>
      <w:r w:rsidRPr="00755006">
        <w:rPr>
          <w:rFonts w:cs="Calibri"/>
        </w:rPr>
        <w:t>.</w:t>
      </w:r>
    </w:p>
    <w:p w14:paraId="496E8679" w14:textId="77777777" w:rsidR="00255EFC" w:rsidRDefault="00255EFC" w:rsidP="00265697">
      <w:pPr>
        <w:spacing w:line="276" w:lineRule="auto"/>
        <w:rPr>
          <w:rFonts w:cs="Calibri"/>
        </w:rPr>
      </w:pPr>
    </w:p>
    <w:p w14:paraId="23FAD65F" w14:textId="19E6FDE5" w:rsidR="00255EFC" w:rsidRPr="00EF321F" w:rsidRDefault="00EF321F" w:rsidP="00EF321F">
      <w:pPr>
        <w:pStyle w:val="Heading2"/>
        <w:rPr>
          <w:rFonts w:ascii="Calibri" w:hAnsi="Calibri" w:cs="Calibri"/>
          <w:sz w:val="28"/>
          <w:szCs w:val="28"/>
          <w:lang w:val="en-US"/>
        </w:rPr>
      </w:pPr>
      <w:bookmarkStart w:id="26" w:name="_Toc182000896"/>
      <w:r w:rsidRPr="00EF321F">
        <w:rPr>
          <w:rFonts w:ascii="Calibri" w:hAnsi="Calibri" w:cs="Calibri"/>
          <w:sz w:val="28"/>
          <w:szCs w:val="28"/>
          <w:lang w:val="en-US"/>
        </w:rPr>
        <w:t>Return On Investment (</w:t>
      </w:r>
      <w:r w:rsidR="00255EFC" w:rsidRPr="00EF321F">
        <w:rPr>
          <w:rFonts w:ascii="Calibri" w:hAnsi="Calibri" w:cs="Calibri"/>
          <w:sz w:val="28"/>
          <w:szCs w:val="28"/>
          <w:lang w:val="en-US"/>
        </w:rPr>
        <w:t>ROI</w:t>
      </w:r>
      <w:r w:rsidRPr="00EF321F">
        <w:rPr>
          <w:rFonts w:ascii="Calibri" w:hAnsi="Calibri" w:cs="Calibri"/>
          <w:sz w:val="28"/>
          <w:szCs w:val="28"/>
          <w:lang w:val="en-US"/>
        </w:rPr>
        <w:t>)</w:t>
      </w:r>
      <w:bookmarkEnd w:id="26"/>
    </w:p>
    <w:p w14:paraId="0F345FC4" w14:textId="4DA6F8D5" w:rsidR="00255EFC" w:rsidRPr="00165076" w:rsidRDefault="00255EFC" w:rsidP="00255EFC">
      <w:pPr>
        <w:spacing w:line="276" w:lineRule="auto"/>
        <w:rPr>
          <w:sz w:val="24"/>
          <w:szCs w:val="24"/>
          <w:lang w:val="en-CA"/>
        </w:rPr>
      </w:pPr>
      <w:r w:rsidRPr="00165076">
        <w:rPr>
          <w:sz w:val="24"/>
          <w:szCs w:val="24"/>
          <w:lang w:val="en-CA"/>
        </w:rPr>
        <w:t>The ROI metrics show negative values for the initial seven years, starting at a sharp -92.95% in Year 1 and gradually enhancing, yet remaining negative through Year 7 (-3.51%). These early losses suggest that the company is probably investing significantly in infrastructure, technology advancement, or market growth, leading to initial expenses exceeding revenue. This stage exemplifies a common pattern in capital-intensive, high-growth sectors, particularly in cutting-edge areas such as wireless EV charging, where a significant upfront investment is typically necessary.</w:t>
      </w:r>
    </w:p>
    <w:p w14:paraId="674A89EA" w14:textId="77777777" w:rsidR="00255EFC" w:rsidRPr="00165076" w:rsidRDefault="00255EFC" w:rsidP="00255EFC">
      <w:pPr>
        <w:spacing w:line="276" w:lineRule="auto"/>
        <w:rPr>
          <w:sz w:val="24"/>
          <w:szCs w:val="24"/>
          <w:lang w:val="en-CA"/>
        </w:rPr>
      </w:pPr>
      <w:r w:rsidRPr="00165076">
        <w:rPr>
          <w:sz w:val="24"/>
          <w:szCs w:val="24"/>
          <w:lang w:val="en-CA"/>
        </w:rPr>
        <w:t>The ROI becomes positive in Year 8 achieving 0.14%, signifying the point where returns start to surpass initial investments and continuous operational expenses. After this break-even year, ROI increases rapidly with consistent growth, hitting 7.18% in Year 10. The shift to positive ROI indicates improved efficiency, growing revenues from various income sources, and a possible scaling effect as WiTricity solidifies its market presence. This change suggests that the business model is probably becoming self-sufficient at this stage, with income meeting operational expenses and producing profits.</w:t>
      </w:r>
    </w:p>
    <w:p w14:paraId="3199BA30" w14:textId="77777777" w:rsidR="00255EFC" w:rsidRPr="00165076" w:rsidRDefault="00255EFC" w:rsidP="00255EFC">
      <w:pPr>
        <w:spacing w:line="276" w:lineRule="auto"/>
        <w:rPr>
          <w:sz w:val="24"/>
          <w:szCs w:val="24"/>
          <w:lang w:val="en-CA"/>
        </w:rPr>
      </w:pPr>
      <w:r w:rsidRPr="00165076">
        <w:rPr>
          <w:sz w:val="24"/>
          <w:szCs w:val="24"/>
          <w:lang w:val="en-CA"/>
        </w:rPr>
        <w:t>Following Year 10, the ROI growth rate shows significant improvement, hitting 24.05% in Year 11 and persisting upward, achieving an impressive 69.14% by Year 20. This rapid rise indicates that WiTricity's investments yield substantial long-term benefits, probably because of greater market uptake, reduced operational expenses, and varied income from the sale of charging equipment, agreements with third parties, and additional sources. The considerable ROI in subsequent years illustrates significant profitability prospects and suggests that this acquisition would provide TD Bank with considerable returns over an extended period.</w:t>
      </w:r>
    </w:p>
    <w:p w14:paraId="718897A7" w14:textId="77777777" w:rsidR="00255EFC" w:rsidRPr="00165076" w:rsidRDefault="00255EFC" w:rsidP="00255EFC">
      <w:pPr>
        <w:rPr>
          <w:lang w:val="en-CA"/>
        </w:rPr>
      </w:pPr>
    </w:p>
    <w:p w14:paraId="202EE82B" w14:textId="77777777" w:rsidR="00255EFC" w:rsidRPr="00165076" w:rsidRDefault="00255EFC" w:rsidP="00255EFC">
      <w:pPr>
        <w:rPr>
          <w:lang w:val="en-US"/>
        </w:rPr>
      </w:pPr>
      <w:r w:rsidRPr="00165076">
        <w:rPr>
          <w:noProof/>
          <w:lang w:val="en-CA"/>
        </w:rPr>
        <w:lastRenderedPageBreak/>
        <w:drawing>
          <wp:inline distT="0" distB="0" distL="0" distR="0" wp14:anchorId="428D6EE5" wp14:editId="74056397">
            <wp:extent cx="5771408" cy="3028208"/>
            <wp:effectExtent l="0" t="0" r="1270" b="1270"/>
            <wp:docPr id="1405101686" name="Chart 13">
              <a:extLst xmlns:a="http://schemas.openxmlformats.org/drawingml/2006/main">
                <a:ext uri="{FF2B5EF4-FFF2-40B4-BE49-F238E27FC236}">
                  <a16:creationId xmlns:a16="http://schemas.microsoft.com/office/drawing/2014/main" id="{838C9646-AD92-0ECD-DDE1-ABA28EE75C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A6543F" w14:textId="77777777" w:rsidR="00255EFC" w:rsidRPr="00755006" w:rsidRDefault="00255EFC" w:rsidP="00265697">
      <w:pPr>
        <w:spacing w:line="276" w:lineRule="auto"/>
        <w:rPr>
          <w:rFonts w:cs="Calibri"/>
        </w:rPr>
      </w:pPr>
    </w:p>
    <w:p w14:paraId="1FAB9950" w14:textId="77777777" w:rsidR="00522BD4" w:rsidRPr="00BD71F8" w:rsidRDefault="00522BD4" w:rsidP="00BE1377">
      <w:pPr>
        <w:rPr>
          <w:rFonts w:cs="Calibri"/>
        </w:rPr>
      </w:pPr>
    </w:p>
    <w:p w14:paraId="5367DF9A" w14:textId="77777777" w:rsidR="00522BD4" w:rsidRPr="00BD71F8" w:rsidRDefault="00522BD4" w:rsidP="00BE1377">
      <w:pPr>
        <w:rPr>
          <w:rFonts w:cs="Calibri"/>
        </w:rPr>
      </w:pPr>
    </w:p>
    <w:p w14:paraId="5D9F1243" w14:textId="77777777" w:rsidR="00522BD4" w:rsidRPr="00BD71F8" w:rsidRDefault="00522BD4" w:rsidP="00BE1377">
      <w:pPr>
        <w:rPr>
          <w:rFonts w:cs="Calibri"/>
        </w:rPr>
      </w:pPr>
    </w:p>
    <w:p w14:paraId="3ADB7052" w14:textId="77777777" w:rsidR="00522BD4" w:rsidRPr="00BD71F8" w:rsidRDefault="00522BD4" w:rsidP="00BE1377">
      <w:pPr>
        <w:rPr>
          <w:rFonts w:cs="Calibri"/>
        </w:rPr>
      </w:pPr>
    </w:p>
    <w:p w14:paraId="7860C3B0" w14:textId="77777777" w:rsidR="006C7678" w:rsidRPr="00BD71F8" w:rsidRDefault="006C7678" w:rsidP="00BE1377">
      <w:pPr>
        <w:rPr>
          <w:rFonts w:cs="Calibri"/>
        </w:rPr>
      </w:pPr>
    </w:p>
    <w:p w14:paraId="328B3F2C" w14:textId="77777777" w:rsidR="00BE1377" w:rsidRPr="00BD71F8" w:rsidRDefault="00BE1377" w:rsidP="00BE1377">
      <w:pPr>
        <w:rPr>
          <w:rFonts w:cs="Calibri"/>
        </w:rPr>
      </w:pPr>
    </w:p>
    <w:p w14:paraId="34AAD788" w14:textId="77777777" w:rsidR="006507C7" w:rsidRPr="00BD71F8" w:rsidRDefault="006507C7" w:rsidP="00BE1377">
      <w:pPr>
        <w:rPr>
          <w:rFonts w:cs="Calibri"/>
        </w:rPr>
      </w:pPr>
    </w:p>
    <w:p w14:paraId="5F57D62C" w14:textId="77777777" w:rsidR="00644434" w:rsidRDefault="00644434" w:rsidP="003F7795">
      <w:pPr>
        <w:pStyle w:val="Heading1"/>
        <w:rPr>
          <w:rFonts w:ascii="Calibri" w:hAnsi="Calibri" w:cs="Calibri"/>
        </w:rPr>
      </w:pPr>
      <w:r>
        <w:rPr>
          <w:rFonts w:ascii="Calibri" w:hAnsi="Calibri" w:cs="Calibri"/>
        </w:rPr>
        <w:br w:type="page"/>
      </w:r>
    </w:p>
    <w:p w14:paraId="1A34D1FB" w14:textId="2C4E9FDE" w:rsidR="00BE1377" w:rsidRPr="00BD71F8" w:rsidRDefault="00BE1377" w:rsidP="003F7795">
      <w:pPr>
        <w:pStyle w:val="Heading1"/>
        <w:rPr>
          <w:rFonts w:ascii="Calibri" w:hAnsi="Calibri" w:cs="Calibri"/>
          <w:sz w:val="96"/>
          <w:szCs w:val="96"/>
        </w:rPr>
      </w:pPr>
      <w:bookmarkStart w:id="27" w:name="_Toc182000897"/>
      <w:r w:rsidRPr="00BD71F8">
        <w:rPr>
          <w:rFonts w:ascii="Calibri" w:hAnsi="Calibri" w:cs="Calibri"/>
        </w:rPr>
        <w:lastRenderedPageBreak/>
        <w:t>News Board</w:t>
      </w:r>
      <w:bookmarkEnd w:id="27"/>
    </w:p>
    <w:p w14:paraId="0AC916ED" w14:textId="7E498CCC" w:rsidR="00A6554D" w:rsidRPr="00BD71F8" w:rsidRDefault="00A6554D" w:rsidP="00265697">
      <w:pPr>
        <w:spacing w:line="276" w:lineRule="auto"/>
        <w:rPr>
          <w:rFonts w:cs="Calibri"/>
          <w:b/>
          <w:bCs/>
          <w:sz w:val="24"/>
          <w:szCs w:val="24"/>
        </w:rPr>
      </w:pPr>
      <w:r w:rsidRPr="00BD71F8">
        <w:rPr>
          <w:rFonts w:cs="Calibri"/>
          <w:b/>
          <w:bCs/>
          <w:sz w:val="24"/>
          <w:szCs w:val="24"/>
        </w:rPr>
        <w:t>1</w:t>
      </w:r>
      <w:r w:rsidR="00270897" w:rsidRPr="00BD71F8">
        <w:rPr>
          <w:rFonts w:cs="Calibri"/>
          <w:b/>
          <w:bCs/>
          <w:sz w:val="24"/>
          <w:szCs w:val="24"/>
        </w:rPr>
        <w:t>.</w:t>
      </w:r>
      <w:r w:rsidR="00A473DE" w:rsidRPr="00BD71F8">
        <w:rPr>
          <w:rFonts w:ascii="Times New Roman" w:eastAsia="Times New Roman" w:hAnsi="Times New Roman" w:cs="Times New Roman"/>
          <w:b/>
          <w:bCs/>
          <w:kern w:val="0"/>
          <w:sz w:val="28"/>
          <w:szCs w:val="28"/>
          <w:lang w:eastAsia="en-CA"/>
          <w14:ligatures w14:val="none"/>
        </w:rPr>
        <w:t xml:space="preserve"> </w:t>
      </w:r>
      <w:r w:rsidR="00A473DE" w:rsidRPr="00BD71F8">
        <w:rPr>
          <w:rFonts w:cs="Calibri"/>
          <w:b/>
          <w:bCs/>
          <w:sz w:val="24"/>
          <w:szCs w:val="24"/>
        </w:rPr>
        <w:t xml:space="preserve">Bank of Canada Reduces Policy Rate by 50 Basis Points to </w:t>
      </w:r>
      <w:r w:rsidR="00AD2881" w:rsidRPr="00BD71F8">
        <w:rPr>
          <w:rFonts w:cs="Calibri"/>
          <w:b/>
          <w:bCs/>
          <w:sz w:val="24"/>
          <w:szCs w:val="24"/>
        </w:rPr>
        <w:t>3.75</w:t>
      </w:r>
      <w:r w:rsidR="00A473DE" w:rsidRPr="00BD71F8">
        <w:rPr>
          <w:rFonts w:cs="Calibri"/>
          <w:b/>
          <w:bCs/>
          <w:sz w:val="24"/>
          <w:szCs w:val="24"/>
        </w:rPr>
        <w:t>%</w:t>
      </w:r>
    </w:p>
    <w:p w14:paraId="27FEA3C5" w14:textId="630319C0" w:rsidR="00A473DE" w:rsidRPr="00BD71F8" w:rsidRDefault="00A473DE" w:rsidP="00265697">
      <w:pPr>
        <w:spacing w:line="276" w:lineRule="auto"/>
        <w:rPr>
          <w:rFonts w:cs="Calibri"/>
          <w:sz w:val="24"/>
          <w:szCs w:val="24"/>
        </w:rPr>
      </w:pPr>
      <w:r w:rsidRPr="00BD71F8">
        <w:rPr>
          <w:rFonts w:cs="Calibri"/>
          <w:sz w:val="24"/>
          <w:szCs w:val="24"/>
        </w:rPr>
        <w:t>On October 23, 2024, the Bank of Canada reduced its policy rate by 50 basis points to 3.75%</w:t>
      </w:r>
      <w:r w:rsidR="00265697" w:rsidRPr="00BD71F8">
        <w:rPr>
          <w:rFonts w:cs="Calibri"/>
          <w:sz w:val="24"/>
          <w:szCs w:val="24"/>
        </w:rPr>
        <w:t xml:space="preserve">. </w:t>
      </w:r>
      <w:r w:rsidR="007A5000" w:rsidRPr="00BD71F8">
        <w:rPr>
          <w:rFonts w:cs="Calibri"/>
          <w:sz w:val="24"/>
          <w:szCs w:val="24"/>
        </w:rPr>
        <w:t xml:space="preserve">This decision was made </w:t>
      </w:r>
      <w:r w:rsidRPr="00BD71F8">
        <w:rPr>
          <w:rFonts w:cs="Calibri"/>
          <w:sz w:val="24"/>
          <w:szCs w:val="24"/>
        </w:rPr>
        <w:t>to sustain</w:t>
      </w:r>
      <w:r w:rsidR="007A5000" w:rsidRPr="00BD71F8">
        <w:rPr>
          <w:rFonts w:cs="Calibri"/>
          <w:sz w:val="24"/>
          <w:szCs w:val="24"/>
        </w:rPr>
        <w:t xml:space="preserve"> economic</w:t>
      </w:r>
      <w:r w:rsidRPr="00BD71F8">
        <w:rPr>
          <w:rFonts w:cs="Calibri"/>
          <w:sz w:val="24"/>
          <w:szCs w:val="24"/>
        </w:rPr>
        <w:t xml:space="preserve"> growth and maintain inflation near the 2% target. Although Canada’s GDP growth is projected to strengthen high </w:t>
      </w:r>
      <w:proofErr w:type="gramStart"/>
      <w:r w:rsidRPr="00BD71F8">
        <w:rPr>
          <w:rFonts w:cs="Calibri"/>
          <w:sz w:val="24"/>
          <w:szCs w:val="24"/>
        </w:rPr>
        <w:t>unemployment</w:t>
      </w:r>
      <w:proofErr w:type="gramEnd"/>
      <w:r w:rsidRPr="00BD71F8">
        <w:rPr>
          <w:rFonts w:cs="Calibri"/>
          <w:sz w:val="24"/>
          <w:szCs w:val="24"/>
        </w:rPr>
        <w:t xml:space="preserve"> and a slowed </w:t>
      </w:r>
      <w:r w:rsidR="004E0DD6" w:rsidRPr="00BD71F8">
        <w:rPr>
          <w:rFonts w:cs="Calibri"/>
          <w:sz w:val="24"/>
          <w:szCs w:val="24"/>
        </w:rPr>
        <w:t>labour</w:t>
      </w:r>
      <w:r w:rsidRPr="00BD71F8">
        <w:rPr>
          <w:rFonts w:cs="Calibri"/>
          <w:sz w:val="24"/>
          <w:szCs w:val="24"/>
        </w:rPr>
        <w:t xml:space="preserve"> market impact have prompted this rate cut.</w:t>
      </w:r>
      <w:r w:rsidR="00EB4F5E" w:rsidRPr="00BD71F8">
        <w:rPr>
          <w:rFonts w:cs="Calibri"/>
          <w:sz w:val="24"/>
          <w:szCs w:val="24"/>
        </w:rPr>
        <w:t xml:space="preserve"> In Canada</w:t>
      </w:r>
      <w:r w:rsidR="00265697" w:rsidRPr="00BD71F8">
        <w:rPr>
          <w:rFonts w:cs="Calibri"/>
          <w:sz w:val="24"/>
          <w:szCs w:val="24"/>
        </w:rPr>
        <w:t xml:space="preserve"> </w:t>
      </w:r>
      <w:r w:rsidR="00EB4F5E" w:rsidRPr="00BD71F8">
        <w:rPr>
          <w:rFonts w:cs="Calibri"/>
          <w:sz w:val="24"/>
          <w:szCs w:val="24"/>
        </w:rPr>
        <w:t>the economy is expected to grow at a modest pace with GDP growth forecast at 1.2% in 2024, 2.1% in 2025</w:t>
      </w:r>
      <w:r w:rsidR="00265697" w:rsidRPr="00BD71F8">
        <w:rPr>
          <w:rFonts w:cs="Calibri"/>
          <w:sz w:val="24"/>
          <w:szCs w:val="24"/>
        </w:rPr>
        <w:t xml:space="preserve"> </w:t>
      </w:r>
      <w:r w:rsidR="00EB4F5E" w:rsidRPr="00BD71F8">
        <w:rPr>
          <w:rFonts w:cs="Calibri"/>
          <w:sz w:val="24"/>
          <w:szCs w:val="24"/>
        </w:rPr>
        <w:t xml:space="preserve">and 2.3% in 2026. </w:t>
      </w:r>
      <w:r w:rsidR="00265697" w:rsidRPr="00BD71F8">
        <w:rPr>
          <w:rFonts w:cs="Calibri"/>
          <w:sz w:val="24"/>
          <w:szCs w:val="24"/>
        </w:rPr>
        <w:t>I</w:t>
      </w:r>
      <w:r w:rsidR="00EB4F5E" w:rsidRPr="00BD71F8">
        <w:rPr>
          <w:rFonts w:cs="Calibri"/>
          <w:sz w:val="24"/>
          <w:szCs w:val="24"/>
        </w:rPr>
        <w:t>nflation has dropped to 1.6% and is expected to remain close to the 2% target over the projection horizon.</w:t>
      </w:r>
      <w:r w:rsidR="00EB4F5E" w:rsidRPr="00BD71F8">
        <w:rPr>
          <w:sz w:val="24"/>
          <w:szCs w:val="24"/>
        </w:rPr>
        <w:t xml:space="preserve"> </w:t>
      </w:r>
      <w:r w:rsidR="00D13E83" w:rsidRPr="00BD71F8">
        <w:rPr>
          <w:rFonts w:cs="Calibri"/>
          <w:sz w:val="24"/>
          <w:szCs w:val="24"/>
        </w:rPr>
        <w:t>F</w:t>
      </w:r>
      <w:r w:rsidR="00EB4F5E" w:rsidRPr="00BD71F8">
        <w:rPr>
          <w:rFonts w:cs="Calibri"/>
          <w:sz w:val="24"/>
          <w:szCs w:val="24"/>
        </w:rPr>
        <w:t>urther rate reductions may be considered if the economy evolves as forecast. Next rate announcement is on December 11, 2024.</w:t>
      </w:r>
    </w:p>
    <w:p w14:paraId="5F814575" w14:textId="77777777" w:rsidR="00A6554D" w:rsidRPr="00BD71F8" w:rsidRDefault="00A6554D" w:rsidP="00265697">
      <w:pPr>
        <w:spacing w:after="0" w:line="276" w:lineRule="auto"/>
        <w:rPr>
          <w:rStyle w:val="Strong"/>
          <w:rFonts w:cs="Calibri"/>
          <w:sz w:val="24"/>
          <w:szCs w:val="24"/>
        </w:rPr>
      </w:pPr>
      <w:r w:rsidRPr="00BD71F8">
        <w:rPr>
          <w:rStyle w:val="Strong"/>
          <w:rFonts w:cs="Calibri"/>
          <w:sz w:val="24"/>
          <w:szCs w:val="24"/>
        </w:rPr>
        <w:t>Impact on TD Bank</w:t>
      </w:r>
    </w:p>
    <w:p w14:paraId="5AE6FECD" w14:textId="221A2C96" w:rsidR="00D13E83" w:rsidRPr="00BD71F8" w:rsidRDefault="00D13E83" w:rsidP="00265697">
      <w:pPr>
        <w:spacing w:line="276" w:lineRule="auto"/>
        <w:rPr>
          <w:rStyle w:val="Strong"/>
          <w:b w:val="0"/>
          <w:bCs w:val="0"/>
          <w:sz w:val="24"/>
          <w:szCs w:val="24"/>
        </w:rPr>
      </w:pPr>
      <w:r w:rsidRPr="00BD71F8">
        <w:rPr>
          <w:rStyle w:val="Strong"/>
          <w:b w:val="0"/>
          <w:bCs w:val="0"/>
          <w:sz w:val="24"/>
          <w:szCs w:val="24"/>
        </w:rPr>
        <w:t>The Bank of Canada's decision to reduce its policy rate by 50 basis points to 3.75% is likely to have a positive impact on TD Bank. With a lower policy rate TD Bank's funding costs will decrease</w:t>
      </w:r>
      <w:r w:rsidR="00E1685B" w:rsidRPr="00BD71F8">
        <w:rPr>
          <w:rStyle w:val="Strong"/>
          <w:b w:val="0"/>
          <w:bCs w:val="0"/>
          <w:sz w:val="24"/>
          <w:szCs w:val="24"/>
        </w:rPr>
        <w:t xml:space="preserve"> </w:t>
      </w:r>
      <w:r w:rsidRPr="00BD71F8">
        <w:rPr>
          <w:rStyle w:val="Strong"/>
          <w:b w:val="0"/>
          <w:bCs w:val="0"/>
          <w:sz w:val="24"/>
          <w:szCs w:val="24"/>
        </w:rPr>
        <w:t>which will improve its net interest margin (NIM). This could lead to higher profitability and increased earnings. A lower interest rate environment can stimulate borrowing and lending activities</w:t>
      </w:r>
      <w:r w:rsidR="00E1685B" w:rsidRPr="00BD71F8">
        <w:rPr>
          <w:rStyle w:val="Strong"/>
          <w:b w:val="0"/>
          <w:bCs w:val="0"/>
          <w:sz w:val="24"/>
          <w:szCs w:val="24"/>
        </w:rPr>
        <w:t xml:space="preserve"> </w:t>
      </w:r>
      <w:r w:rsidRPr="00BD71F8">
        <w:rPr>
          <w:rStyle w:val="Strong"/>
          <w:b w:val="0"/>
          <w:bCs w:val="0"/>
          <w:sz w:val="24"/>
          <w:szCs w:val="24"/>
        </w:rPr>
        <w:t>which could lead to increased loan growth for TD Bank. This</w:t>
      </w:r>
      <w:r w:rsidR="00E1685B" w:rsidRPr="00BD71F8">
        <w:rPr>
          <w:rStyle w:val="Strong"/>
          <w:b w:val="0"/>
          <w:bCs w:val="0"/>
          <w:sz w:val="24"/>
          <w:szCs w:val="24"/>
        </w:rPr>
        <w:t xml:space="preserve"> </w:t>
      </w:r>
      <w:r w:rsidRPr="00BD71F8">
        <w:rPr>
          <w:rStyle w:val="Strong"/>
          <w:b w:val="0"/>
          <w:bCs w:val="0"/>
          <w:sz w:val="24"/>
          <w:szCs w:val="24"/>
        </w:rPr>
        <w:t>can generate more revenue and profit for the bank. A lower policy rate can make borrowing cheaper for homebuyers</w:t>
      </w:r>
      <w:r w:rsidR="00E1685B" w:rsidRPr="00BD71F8">
        <w:rPr>
          <w:rStyle w:val="Strong"/>
          <w:b w:val="0"/>
          <w:bCs w:val="0"/>
          <w:sz w:val="24"/>
          <w:szCs w:val="24"/>
        </w:rPr>
        <w:t xml:space="preserve"> </w:t>
      </w:r>
      <w:r w:rsidRPr="00BD71F8">
        <w:rPr>
          <w:rStyle w:val="Strong"/>
          <w:b w:val="0"/>
          <w:bCs w:val="0"/>
          <w:sz w:val="24"/>
          <w:szCs w:val="24"/>
        </w:rPr>
        <w:t xml:space="preserve">which could lead to an increase in mortgage applications and originations. As one of the largest mortgage lenders in Canada TD Bank could benefit from this trend. Lower interest rates can encourage consumers </w:t>
      </w:r>
      <w:r w:rsidR="00E1685B" w:rsidRPr="00BD71F8">
        <w:rPr>
          <w:rStyle w:val="Strong"/>
          <w:b w:val="0"/>
          <w:bCs w:val="0"/>
          <w:sz w:val="24"/>
          <w:szCs w:val="24"/>
        </w:rPr>
        <w:t>as well as</w:t>
      </w:r>
      <w:r w:rsidRPr="00BD71F8">
        <w:rPr>
          <w:rStyle w:val="Strong"/>
          <w:b w:val="0"/>
          <w:bCs w:val="0"/>
          <w:sz w:val="24"/>
          <w:szCs w:val="24"/>
        </w:rPr>
        <w:t xml:space="preserve"> businesses to spend and invest</w:t>
      </w:r>
      <w:r w:rsidR="00E1685B" w:rsidRPr="00BD71F8">
        <w:rPr>
          <w:rStyle w:val="Strong"/>
          <w:b w:val="0"/>
          <w:bCs w:val="0"/>
          <w:sz w:val="24"/>
          <w:szCs w:val="24"/>
        </w:rPr>
        <w:t>. This</w:t>
      </w:r>
      <w:r w:rsidRPr="00BD71F8">
        <w:rPr>
          <w:rStyle w:val="Strong"/>
          <w:b w:val="0"/>
          <w:bCs w:val="0"/>
          <w:sz w:val="24"/>
          <w:szCs w:val="24"/>
        </w:rPr>
        <w:t xml:space="preserve"> can lead to increased economic activity and growth. This</w:t>
      </w:r>
      <w:r w:rsidR="00E1685B" w:rsidRPr="00BD71F8">
        <w:rPr>
          <w:rStyle w:val="Strong"/>
          <w:b w:val="0"/>
          <w:bCs w:val="0"/>
          <w:sz w:val="24"/>
          <w:szCs w:val="24"/>
        </w:rPr>
        <w:t xml:space="preserve"> </w:t>
      </w:r>
      <w:r w:rsidRPr="00BD71F8">
        <w:rPr>
          <w:rStyle w:val="Strong"/>
          <w:b w:val="0"/>
          <w:bCs w:val="0"/>
          <w:sz w:val="24"/>
          <w:szCs w:val="24"/>
        </w:rPr>
        <w:t>can benefit TD Bank's retail and commercial banking businesses.</w:t>
      </w:r>
    </w:p>
    <w:p w14:paraId="60D1D51C" w14:textId="77777777" w:rsidR="00A6554D" w:rsidRPr="00BD71F8" w:rsidRDefault="00A6554D" w:rsidP="00265697">
      <w:pPr>
        <w:spacing w:after="0" w:line="276" w:lineRule="auto"/>
        <w:rPr>
          <w:rFonts w:cs="Calibri"/>
          <w:b/>
          <w:bCs/>
          <w:sz w:val="24"/>
          <w:szCs w:val="24"/>
        </w:rPr>
      </w:pPr>
      <w:r w:rsidRPr="00BD71F8">
        <w:rPr>
          <w:rFonts w:cs="Calibri"/>
          <w:b/>
          <w:bCs/>
          <w:sz w:val="24"/>
          <w:szCs w:val="24"/>
        </w:rPr>
        <w:t>Impact on acquisition of WiTricity</w:t>
      </w:r>
    </w:p>
    <w:p w14:paraId="68F6DF8C" w14:textId="0AEC9BB0" w:rsidR="00D13E83" w:rsidRPr="00BD71F8" w:rsidRDefault="00D13E83" w:rsidP="00265697">
      <w:pPr>
        <w:spacing w:after="0" w:line="276" w:lineRule="auto"/>
        <w:rPr>
          <w:rFonts w:cs="Calibri"/>
          <w:sz w:val="24"/>
          <w:szCs w:val="24"/>
        </w:rPr>
      </w:pPr>
      <w:r w:rsidRPr="00BD71F8">
        <w:rPr>
          <w:rFonts w:cs="Calibri"/>
          <w:sz w:val="24"/>
          <w:szCs w:val="24"/>
        </w:rPr>
        <w:t>The Bank of Canada’s rate cut to 3.75% could positively influence TD Bank’s potential acquisition of WiTricity by lowering financing costs</w:t>
      </w:r>
      <w:r w:rsidR="00E1685B" w:rsidRPr="00BD71F8">
        <w:rPr>
          <w:rFonts w:cs="Calibri"/>
          <w:sz w:val="24"/>
          <w:szCs w:val="24"/>
        </w:rPr>
        <w:t xml:space="preserve"> </w:t>
      </w:r>
      <w:r w:rsidRPr="00BD71F8">
        <w:rPr>
          <w:rFonts w:cs="Calibri"/>
          <w:sz w:val="24"/>
          <w:szCs w:val="24"/>
        </w:rPr>
        <w:t xml:space="preserve">potentially freeing up capital to support the acquisition. </w:t>
      </w:r>
      <w:r w:rsidR="00E1685B" w:rsidRPr="00BD71F8">
        <w:rPr>
          <w:rFonts w:cs="Calibri"/>
          <w:sz w:val="24"/>
          <w:szCs w:val="24"/>
        </w:rPr>
        <w:t>L</w:t>
      </w:r>
      <w:r w:rsidRPr="00BD71F8">
        <w:rPr>
          <w:rFonts w:cs="Calibri"/>
          <w:sz w:val="24"/>
          <w:szCs w:val="24"/>
        </w:rPr>
        <w:t>ower rates might stimulate broader EV market growth which could increase demand for WiTricity’s EV wireless charging technology</w:t>
      </w:r>
      <w:r w:rsidR="00E1685B" w:rsidRPr="00BD71F8">
        <w:rPr>
          <w:rFonts w:cs="Calibri"/>
          <w:sz w:val="24"/>
          <w:szCs w:val="24"/>
        </w:rPr>
        <w:t xml:space="preserve"> which will</w:t>
      </w:r>
      <w:r w:rsidRPr="00BD71F8">
        <w:rPr>
          <w:rFonts w:cs="Calibri"/>
          <w:sz w:val="24"/>
          <w:szCs w:val="24"/>
        </w:rPr>
        <w:t xml:space="preserve"> </w:t>
      </w:r>
      <w:r w:rsidR="00E1685B" w:rsidRPr="00BD71F8">
        <w:rPr>
          <w:rFonts w:cs="Calibri"/>
          <w:sz w:val="24"/>
          <w:szCs w:val="24"/>
        </w:rPr>
        <w:t>add a</w:t>
      </w:r>
      <w:r w:rsidRPr="00BD71F8">
        <w:rPr>
          <w:rFonts w:cs="Calibri"/>
          <w:sz w:val="24"/>
          <w:szCs w:val="24"/>
        </w:rPr>
        <w:t xml:space="preserve"> strategic value to the acquisition. </w:t>
      </w:r>
      <w:r w:rsidR="00E1685B" w:rsidRPr="00BD71F8">
        <w:rPr>
          <w:rFonts w:cs="Calibri"/>
          <w:sz w:val="24"/>
          <w:szCs w:val="24"/>
        </w:rPr>
        <w:t>T</w:t>
      </w:r>
      <w:r w:rsidRPr="00BD71F8">
        <w:rPr>
          <w:rFonts w:cs="Calibri"/>
          <w:sz w:val="24"/>
          <w:szCs w:val="24"/>
        </w:rPr>
        <w:t>he rate cut could also intensify competition for investments in the EV secto</w:t>
      </w:r>
      <w:r w:rsidR="00E1685B" w:rsidRPr="00BD71F8">
        <w:rPr>
          <w:rFonts w:cs="Calibri"/>
          <w:sz w:val="24"/>
          <w:szCs w:val="24"/>
        </w:rPr>
        <w:t xml:space="preserve">r. </w:t>
      </w:r>
      <w:r w:rsidRPr="00BD71F8">
        <w:rPr>
          <w:rFonts w:cs="Calibri"/>
          <w:sz w:val="24"/>
          <w:szCs w:val="24"/>
        </w:rPr>
        <w:t xml:space="preserve"> </w:t>
      </w:r>
      <w:r w:rsidR="00E1685B" w:rsidRPr="00BD71F8">
        <w:rPr>
          <w:rFonts w:cs="Calibri"/>
          <w:sz w:val="24"/>
          <w:szCs w:val="24"/>
        </w:rPr>
        <w:t>T</w:t>
      </w:r>
      <w:r w:rsidRPr="00BD71F8">
        <w:rPr>
          <w:rFonts w:cs="Calibri"/>
          <w:sz w:val="24"/>
          <w:szCs w:val="24"/>
        </w:rPr>
        <w:t>he timing of TD's decision</w:t>
      </w:r>
      <w:r w:rsidR="00E1685B" w:rsidRPr="00BD71F8">
        <w:rPr>
          <w:rFonts w:cs="Calibri"/>
          <w:sz w:val="24"/>
          <w:szCs w:val="24"/>
        </w:rPr>
        <w:t xml:space="preserve"> is</w:t>
      </w:r>
      <w:r w:rsidRPr="00BD71F8">
        <w:rPr>
          <w:rFonts w:cs="Calibri"/>
          <w:sz w:val="24"/>
          <w:szCs w:val="24"/>
        </w:rPr>
        <w:t xml:space="preserve"> critical in capturing value from WiTricity's technological edge in the market.</w:t>
      </w:r>
    </w:p>
    <w:p w14:paraId="2CBD85C4" w14:textId="77777777" w:rsidR="00060D75" w:rsidRPr="00BD71F8" w:rsidRDefault="00060D75" w:rsidP="00265697">
      <w:pPr>
        <w:spacing w:after="0" w:line="276" w:lineRule="auto"/>
        <w:rPr>
          <w:rFonts w:cs="Calibri"/>
          <w:sz w:val="24"/>
          <w:szCs w:val="24"/>
        </w:rPr>
      </w:pPr>
    </w:p>
    <w:p w14:paraId="4B325426" w14:textId="6E90459C" w:rsidR="00A6554D" w:rsidRPr="00BD71F8" w:rsidRDefault="00A6554D" w:rsidP="00265697">
      <w:pPr>
        <w:spacing w:line="276" w:lineRule="auto"/>
        <w:rPr>
          <w:rFonts w:cs="Calibri"/>
          <w:b/>
          <w:bCs/>
          <w:sz w:val="24"/>
          <w:szCs w:val="24"/>
        </w:rPr>
      </w:pPr>
      <w:r w:rsidRPr="00BD71F8">
        <w:rPr>
          <w:rFonts w:cs="Calibri"/>
          <w:b/>
          <w:bCs/>
          <w:sz w:val="24"/>
          <w:szCs w:val="24"/>
        </w:rPr>
        <w:t>2.</w:t>
      </w:r>
      <w:r w:rsidR="00041941" w:rsidRPr="00BD71F8">
        <w:rPr>
          <w:rFonts w:cs="Calibri"/>
          <w:b/>
          <w:bCs/>
          <w:sz w:val="24"/>
          <w:szCs w:val="24"/>
        </w:rPr>
        <w:t xml:space="preserve"> TD Asset Management Inc. Celebrated with Six Awards at 2024 LSEG Lipper Fund Awards for Outstanding Fund Performance.</w:t>
      </w:r>
    </w:p>
    <w:p w14:paraId="0FCA0873" w14:textId="6A740615" w:rsidR="00041941" w:rsidRPr="00BD71F8" w:rsidRDefault="00041941" w:rsidP="00265697">
      <w:pPr>
        <w:spacing w:line="276" w:lineRule="auto"/>
        <w:rPr>
          <w:rFonts w:cs="Calibri"/>
          <w:sz w:val="24"/>
          <w:szCs w:val="24"/>
        </w:rPr>
      </w:pPr>
      <w:r w:rsidRPr="00BD71F8">
        <w:rPr>
          <w:rFonts w:cs="Calibri"/>
          <w:sz w:val="24"/>
          <w:szCs w:val="24"/>
        </w:rPr>
        <w:t>At the 2024 Canada LSEG Lipper Fund Awards</w:t>
      </w:r>
      <w:r w:rsidR="00E1685B" w:rsidRPr="00BD71F8">
        <w:rPr>
          <w:rFonts w:cs="Calibri"/>
          <w:sz w:val="24"/>
          <w:szCs w:val="24"/>
        </w:rPr>
        <w:t xml:space="preserve"> </w:t>
      </w:r>
      <w:r w:rsidRPr="00BD71F8">
        <w:rPr>
          <w:rFonts w:cs="Calibri"/>
          <w:sz w:val="24"/>
          <w:szCs w:val="24"/>
        </w:rPr>
        <w:t>TD Asset Management Inc. (TDAM) was celebrated in six categories</w:t>
      </w:r>
      <w:r w:rsidR="00E1685B" w:rsidRPr="00BD71F8">
        <w:rPr>
          <w:rFonts w:cs="Calibri"/>
          <w:sz w:val="24"/>
          <w:szCs w:val="24"/>
        </w:rPr>
        <w:t xml:space="preserve"> </w:t>
      </w:r>
      <w:r w:rsidRPr="00BD71F8">
        <w:rPr>
          <w:rFonts w:cs="Calibri"/>
          <w:sz w:val="24"/>
          <w:szCs w:val="24"/>
        </w:rPr>
        <w:t>showcasing strong risk-adjusted performance in fund management. Awards went to funds like the TD U.S. Monthly Income Fund and the TD North American Dividend Fund</w:t>
      </w:r>
      <w:r w:rsidR="00E1685B" w:rsidRPr="00BD71F8">
        <w:rPr>
          <w:rFonts w:cs="Calibri"/>
          <w:sz w:val="24"/>
          <w:szCs w:val="24"/>
        </w:rPr>
        <w:t xml:space="preserve"> </w:t>
      </w:r>
      <w:r w:rsidRPr="00BD71F8">
        <w:rPr>
          <w:rFonts w:cs="Calibri"/>
          <w:sz w:val="24"/>
          <w:szCs w:val="24"/>
        </w:rPr>
        <w:t>as well as several TD ETFs. These awards underscore TDAM’s dedication to delivering consistent</w:t>
      </w:r>
      <w:r w:rsidR="00E1685B" w:rsidRPr="00BD71F8">
        <w:rPr>
          <w:rFonts w:cs="Calibri"/>
          <w:sz w:val="24"/>
          <w:szCs w:val="24"/>
        </w:rPr>
        <w:t xml:space="preserve"> </w:t>
      </w:r>
      <w:r w:rsidRPr="00BD71F8">
        <w:rPr>
          <w:rFonts w:cs="Calibri"/>
          <w:sz w:val="24"/>
          <w:szCs w:val="24"/>
        </w:rPr>
        <w:t xml:space="preserve">high </w:t>
      </w:r>
      <w:r w:rsidRPr="00BD71F8">
        <w:rPr>
          <w:rFonts w:cs="Calibri"/>
          <w:sz w:val="24"/>
          <w:szCs w:val="24"/>
        </w:rPr>
        <w:lastRenderedPageBreak/>
        <w:t>value returns for Canadian investors through disciplined and strategic fund management. David Sykes, Senior Vice President and Chief Investment Officer at TDAM attributed the recognition to the strength of the company's investment teams.</w:t>
      </w:r>
    </w:p>
    <w:p w14:paraId="65F10DEB" w14:textId="77777777" w:rsidR="00A6554D" w:rsidRPr="00BD71F8" w:rsidRDefault="00A6554D" w:rsidP="00265697">
      <w:pPr>
        <w:spacing w:after="0" w:line="276" w:lineRule="auto"/>
        <w:rPr>
          <w:rFonts w:cs="Calibri"/>
          <w:b/>
          <w:bCs/>
          <w:sz w:val="24"/>
          <w:szCs w:val="24"/>
        </w:rPr>
      </w:pPr>
      <w:r w:rsidRPr="00BD71F8">
        <w:rPr>
          <w:rFonts w:cs="Calibri"/>
          <w:b/>
          <w:bCs/>
          <w:sz w:val="24"/>
          <w:szCs w:val="24"/>
        </w:rPr>
        <w:t>Impact on TD Bank</w:t>
      </w:r>
    </w:p>
    <w:p w14:paraId="0087B188" w14:textId="4C218DAE" w:rsidR="00041941" w:rsidRPr="00BD71F8" w:rsidRDefault="00041941" w:rsidP="00265697">
      <w:pPr>
        <w:spacing w:line="276" w:lineRule="auto"/>
        <w:rPr>
          <w:rFonts w:cs="Calibri"/>
          <w:sz w:val="24"/>
          <w:szCs w:val="24"/>
        </w:rPr>
      </w:pPr>
      <w:r w:rsidRPr="00BD71F8">
        <w:rPr>
          <w:rFonts w:cs="Calibri"/>
          <w:sz w:val="24"/>
          <w:szCs w:val="24"/>
        </w:rPr>
        <w:t>The recognition of TD Asset Management Inc. at the 2024 Canada LSEG Lipper Fund Awards bolsters TD Bank's reputation as a leading financial institution with robust asset management capabilities. Such achievements enhance investor trust</w:t>
      </w:r>
      <w:r w:rsidR="00E1685B" w:rsidRPr="00BD71F8">
        <w:rPr>
          <w:rFonts w:cs="Calibri"/>
          <w:sz w:val="24"/>
          <w:szCs w:val="24"/>
        </w:rPr>
        <w:t xml:space="preserve"> </w:t>
      </w:r>
      <w:r w:rsidRPr="00BD71F8">
        <w:rPr>
          <w:rFonts w:cs="Calibri"/>
          <w:sz w:val="24"/>
          <w:szCs w:val="24"/>
        </w:rPr>
        <w:t xml:space="preserve">potentially attracting more clients to TD's investment products. This acknowledgment also strengthens TD's brand in the financial sector by showcasing their expertise in generating consistent, risk-adjusted returns, thereby positioning the bank </w:t>
      </w:r>
      <w:r w:rsidR="004E0DD6" w:rsidRPr="00BD71F8">
        <w:rPr>
          <w:rFonts w:cs="Calibri"/>
          <w:sz w:val="24"/>
          <w:szCs w:val="24"/>
        </w:rPr>
        <w:t>favourably</w:t>
      </w:r>
      <w:r w:rsidRPr="00BD71F8">
        <w:rPr>
          <w:rFonts w:cs="Calibri"/>
          <w:sz w:val="24"/>
          <w:szCs w:val="24"/>
        </w:rPr>
        <w:t xml:space="preserve"> in an increasingly competitive asset management market.</w:t>
      </w:r>
    </w:p>
    <w:p w14:paraId="22D787CF" w14:textId="7D0DC59C" w:rsidR="00A6554D" w:rsidRPr="00BD71F8" w:rsidRDefault="00A6554D" w:rsidP="00265697">
      <w:pPr>
        <w:spacing w:after="0" w:line="276" w:lineRule="auto"/>
        <w:rPr>
          <w:rFonts w:cs="Calibri"/>
          <w:b/>
          <w:bCs/>
          <w:sz w:val="24"/>
          <w:szCs w:val="24"/>
        </w:rPr>
      </w:pPr>
      <w:r w:rsidRPr="00BD71F8">
        <w:rPr>
          <w:rFonts w:cs="Calibri"/>
          <w:b/>
          <w:bCs/>
          <w:sz w:val="24"/>
          <w:szCs w:val="24"/>
        </w:rPr>
        <w:t>Impact on acquisition of WiTricity</w:t>
      </w:r>
    </w:p>
    <w:p w14:paraId="17B00764" w14:textId="345D1FFE" w:rsidR="006507C7" w:rsidRPr="00BD71F8" w:rsidRDefault="00041941" w:rsidP="00265697">
      <w:pPr>
        <w:spacing w:after="0" w:line="276" w:lineRule="auto"/>
        <w:rPr>
          <w:rFonts w:cs="Calibri"/>
          <w:sz w:val="24"/>
          <w:szCs w:val="24"/>
        </w:rPr>
      </w:pPr>
      <w:r w:rsidRPr="00BD71F8">
        <w:rPr>
          <w:rFonts w:cs="Calibri"/>
          <w:sz w:val="24"/>
          <w:szCs w:val="24"/>
        </w:rPr>
        <w:t>TD Asset Management’s recent award recognition could positively impact TD Bank’s potential acquisition of WiTricity by strengthening TD's financial credibility and increasing investor confidence. This acknowledgment affirms TD’s capability in delivering strong risk-adjusted returns</w:t>
      </w:r>
      <w:r w:rsidR="00E1685B" w:rsidRPr="00BD71F8">
        <w:rPr>
          <w:rFonts w:cs="Calibri"/>
          <w:sz w:val="24"/>
          <w:szCs w:val="24"/>
        </w:rPr>
        <w:t xml:space="preserve"> </w:t>
      </w:r>
      <w:r w:rsidRPr="00BD71F8">
        <w:rPr>
          <w:rFonts w:cs="Calibri"/>
          <w:sz w:val="24"/>
          <w:szCs w:val="24"/>
        </w:rPr>
        <w:t xml:space="preserve">which may enhance the financial attractiveness and stability of a significant acquisition like WiTricity. </w:t>
      </w:r>
      <w:r w:rsidR="00E1685B" w:rsidRPr="00BD71F8">
        <w:rPr>
          <w:rFonts w:cs="Calibri"/>
          <w:sz w:val="24"/>
          <w:szCs w:val="24"/>
        </w:rPr>
        <w:t>W</w:t>
      </w:r>
      <w:r w:rsidRPr="00BD71F8">
        <w:rPr>
          <w:rFonts w:cs="Calibri"/>
          <w:sz w:val="24"/>
          <w:szCs w:val="24"/>
        </w:rPr>
        <w:t>ith TD being recogni</w:t>
      </w:r>
      <w:r w:rsidR="00341FDB">
        <w:rPr>
          <w:rFonts w:cs="Calibri"/>
          <w:sz w:val="24"/>
          <w:szCs w:val="24"/>
        </w:rPr>
        <w:t>s</w:t>
      </w:r>
      <w:r w:rsidRPr="00BD71F8">
        <w:rPr>
          <w:rFonts w:cs="Calibri"/>
          <w:sz w:val="24"/>
          <w:szCs w:val="24"/>
        </w:rPr>
        <w:t>ed for strategic fund management the bank could leverage this reputation to assure stakeholders of their expertise in evaluating high-potential assets</w:t>
      </w:r>
      <w:r w:rsidR="00E1685B" w:rsidRPr="00BD71F8">
        <w:rPr>
          <w:rFonts w:cs="Calibri"/>
          <w:sz w:val="24"/>
          <w:szCs w:val="24"/>
        </w:rPr>
        <w:t xml:space="preserve"> </w:t>
      </w:r>
      <w:r w:rsidRPr="00BD71F8">
        <w:rPr>
          <w:rFonts w:cs="Calibri"/>
          <w:sz w:val="24"/>
          <w:szCs w:val="24"/>
        </w:rPr>
        <w:t>like WiTricity</w:t>
      </w:r>
      <w:r w:rsidR="00E1685B" w:rsidRPr="00BD71F8">
        <w:rPr>
          <w:rFonts w:cs="Calibri"/>
          <w:sz w:val="24"/>
          <w:szCs w:val="24"/>
        </w:rPr>
        <w:t xml:space="preserve"> </w:t>
      </w:r>
      <w:r w:rsidRPr="00BD71F8">
        <w:rPr>
          <w:rFonts w:cs="Calibri"/>
          <w:sz w:val="24"/>
          <w:szCs w:val="24"/>
        </w:rPr>
        <w:t>in the EV sector.</w:t>
      </w:r>
    </w:p>
    <w:p w14:paraId="282A92D8" w14:textId="77777777" w:rsidR="00264CCA" w:rsidRPr="00BD71F8" w:rsidRDefault="00264CCA" w:rsidP="00F2521A">
      <w:pPr>
        <w:pStyle w:val="Heading1"/>
      </w:pPr>
      <w:r w:rsidRPr="00BD71F8">
        <w:br w:type="page"/>
      </w:r>
    </w:p>
    <w:p w14:paraId="055633AF" w14:textId="2337A10F" w:rsidR="00BE1377" w:rsidRPr="00BD71F8" w:rsidRDefault="00BE1377" w:rsidP="00F2521A">
      <w:pPr>
        <w:pStyle w:val="Heading1"/>
        <w:rPr>
          <w:rFonts w:ascii="Calibri" w:hAnsi="Calibri" w:cs="Calibri"/>
        </w:rPr>
      </w:pPr>
      <w:bookmarkStart w:id="28" w:name="_Toc182000898"/>
      <w:r w:rsidRPr="00BD71F8">
        <w:rPr>
          <w:rFonts w:ascii="Calibri" w:hAnsi="Calibri" w:cs="Calibri"/>
        </w:rPr>
        <w:lastRenderedPageBreak/>
        <w:t>Conclusion</w:t>
      </w:r>
      <w:bookmarkEnd w:id="28"/>
    </w:p>
    <w:p w14:paraId="0BD2BC79" w14:textId="10486E9D" w:rsidR="00264CCA" w:rsidRPr="00264CCA" w:rsidRDefault="00264CCA" w:rsidP="00265697">
      <w:pPr>
        <w:spacing w:after="0" w:line="276" w:lineRule="auto"/>
        <w:rPr>
          <w:rFonts w:cs="Calibri"/>
          <w:b/>
          <w:bCs/>
          <w:sz w:val="24"/>
          <w:szCs w:val="24"/>
        </w:rPr>
      </w:pPr>
      <w:r w:rsidRPr="00264CCA">
        <w:rPr>
          <w:rFonts w:cs="Calibri"/>
          <w:sz w:val="24"/>
          <w:szCs w:val="24"/>
        </w:rPr>
        <w:t xml:space="preserve">Upon considering all choices relative to the established criteria where the purchase of WiTricity stands out as the most advantageous option for TD Bank. This tactical step would enable the bank to establish itself as a leader in the sustainable energy field and take advantage of the expanding EV market. While the purchase involves increased upfront expenses and operational requirements the long-term advantages closely match TD Bank's objectives. This helps in the expansion and sustainable investments of TD Bank. TD Bank can diversify its revenue sources while enhancing its dedication to environmental sustainability by acquiring WiTricity which is a principle that is increasingly significant to its customers and stakeholders </w:t>
      </w:r>
    </w:p>
    <w:p w14:paraId="798F9C1D" w14:textId="2EBBE468" w:rsidR="004F71A0" w:rsidRPr="00BD71F8" w:rsidRDefault="004F71A0" w:rsidP="000166E7">
      <w:pPr>
        <w:spacing w:after="0"/>
        <w:rPr>
          <w:rFonts w:cs="Calibri"/>
        </w:rPr>
      </w:pPr>
    </w:p>
    <w:p w14:paraId="1564F767" w14:textId="77777777" w:rsidR="004F71A0" w:rsidRPr="00BD71F8" w:rsidRDefault="004F71A0" w:rsidP="004F71A0">
      <w:pPr>
        <w:rPr>
          <w:rFonts w:cs="Calibri"/>
        </w:rPr>
      </w:pPr>
    </w:p>
    <w:p w14:paraId="5D73EF6D" w14:textId="77777777" w:rsidR="004F71A0" w:rsidRPr="00BD71F8" w:rsidRDefault="004F71A0" w:rsidP="004F71A0">
      <w:pPr>
        <w:rPr>
          <w:rFonts w:cs="Calibri"/>
        </w:rPr>
      </w:pPr>
    </w:p>
    <w:p w14:paraId="43B50D9A" w14:textId="77777777" w:rsidR="004F71A0" w:rsidRPr="00BD71F8" w:rsidRDefault="004F71A0" w:rsidP="004F71A0">
      <w:pPr>
        <w:rPr>
          <w:rFonts w:cs="Calibri"/>
        </w:rPr>
      </w:pPr>
    </w:p>
    <w:p w14:paraId="13D7A118" w14:textId="77777777" w:rsidR="004F71A0" w:rsidRPr="00BD71F8" w:rsidRDefault="004F71A0" w:rsidP="004F71A0">
      <w:pPr>
        <w:rPr>
          <w:rFonts w:cs="Calibri"/>
        </w:rPr>
      </w:pPr>
    </w:p>
    <w:p w14:paraId="524BC885" w14:textId="77777777" w:rsidR="004F71A0" w:rsidRPr="00BD71F8" w:rsidRDefault="004F71A0" w:rsidP="004F71A0">
      <w:pPr>
        <w:rPr>
          <w:rFonts w:cs="Calibri"/>
        </w:rPr>
      </w:pPr>
    </w:p>
    <w:p w14:paraId="11191800" w14:textId="77777777" w:rsidR="006507C7" w:rsidRPr="00BD71F8" w:rsidRDefault="006507C7" w:rsidP="00BE1377">
      <w:pPr>
        <w:rPr>
          <w:rFonts w:cs="Calibri"/>
        </w:rPr>
      </w:pPr>
    </w:p>
    <w:p w14:paraId="2FCAB5B0" w14:textId="77777777" w:rsidR="006507C7" w:rsidRPr="00BD71F8" w:rsidRDefault="006507C7" w:rsidP="00BE1377">
      <w:pPr>
        <w:rPr>
          <w:rFonts w:cs="Calibri"/>
        </w:rPr>
      </w:pPr>
    </w:p>
    <w:p w14:paraId="01B82C58" w14:textId="77777777" w:rsidR="006507C7" w:rsidRPr="00BD71F8" w:rsidRDefault="006507C7" w:rsidP="00BE1377">
      <w:pPr>
        <w:rPr>
          <w:rFonts w:cs="Calibri"/>
        </w:rPr>
      </w:pPr>
    </w:p>
    <w:p w14:paraId="6ED86668" w14:textId="77777777" w:rsidR="006507C7" w:rsidRPr="00BD71F8" w:rsidRDefault="006507C7" w:rsidP="00BE1377">
      <w:pPr>
        <w:rPr>
          <w:rFonts w:cs="Calibri"/>
        </w:rPr>
      </w:pPr>
    </w:p>
    <w:p w14:paraId="33901F2A" w14:textId="77777777" w:rsidR="006507C7" w:rsidRPr="00BD71F8" w:rsidRDefault="006507C7" w:rsidP="00BE1377">
      <w:pPr>
        <w:rPr>
          <w:rFonts w:cs="Calibri"/>
        </w:rPr>
      </w:pPr>
    </w:p>
    <w:p w14:paraId="3423D486" w14:textId="77777777" w:rsidR="00843F3B" w:rsidRPr="00BD71F8" w:rsidRDefault="00843F3B" w:rsidP="00F2521A">
      <w:pPr>
        <w:pStyle w:val="Heading1"/>
      </w:pPr>
      <w:r w:rsidRPr="00BD71F8">
        <w:br w:type="page"/>
      </w:r>
    </w:p>
    <w:p w14:paraId="6B66E1F1" w14:textId="646C91D7" w:rsidR="00BE1377" w:rsidRPr="00BD71F8" w:rsidRDefault="00BE1377" w:rsidP="00F2521A">
      <w:pPr>
        <w:pStyle w:val="Heading1"/>
        <w:rPr>
          <w:rFonts w:ascii="Calibri" w:hAnsi="Calibri" w:cs="Calibri"/>
        </w:rPr>
      </w:pPr>
      <w:bookmarkStart w:id="29" w:name="_Toc182000899"/>
      <w:r w:rsidRPr="00BD71F8">
        <w:rPr>
          <w:rFonts w:ascii="Calibri" w:hAnsi="Calibri" w:cs="Calibri"/>
        </w:rPr>
        <w:lastRenderedPageBreak/>
        <w:t>Call of Action</w:t>
      </w:r>
      <w:bookmarkEnd w:id="29"/>
    </w:p>
    <w:p w14:paraId="6A4932BC" w14:textId="1330E88C" w:rsidR="006507C7" w:rsidRPr="00BD71F8" w:rsidRDefault="00843F3B" w:rsidP="006507C7">
      <w:pPr>
        <w:spacing w:after="0"/>
        <w:rPr>
          <w:rFonts w:cs="Calibri"/>
          <w:b/>
          <w:bCs/>
        </w:rPr>
      </w:pPr>
      <w:r w:rsidRPr="00BD71F8">
        <w:rPr>
          <w:rFonts w:cs="Calibri"/>
          <w:b/>
          <w:bCs/>
        </w:rPr>
        <w:t>Unlock the Full Potential of Wireless Charging</w:t>
      </w:r>
    </w:p>
    <w:p w14:paraId="0D36FF00" w14:textId="5C29B588" w:rsidR="00843F3B" w:rsidRPr="00BD71F8" w:rsidRDefault="00843F3B" w:rsidP="00265697">
      <w:pPr>
        <w:spacing w:line="276" w:lineRule="auto"/>
        <w:rPr>
          <w:rFonts w:cs="Calibri"/>
          <w:sz w:val="24"/>
          <w:szCs w:val="24"/>
        </w:rPr>
      </w:pPr>
      <w:r w:rsidRPr="00BD71F8">
        <w:rPr>
          <w:rFonts w:cs="Calibri"/>
          <w:sz w:val="24"/>
          <w:szCs w:val="24"/>
        </w:rPr>
        <w:t>Imagine a future where energy is transferred effortlessly</w:t>
      </w:r>
      <w:r w:rsidR="00297F94" w:rsidRPr="00BD71F8">
        <w:rPr>
          <w:rFonts w:cs="Calibri"/>
          <w:sz w:val="24"/>
          <w:szCs w:val="24"/>
        </w:rPr>
        <w:t xml:space="preserve"> </w:t>
      </w:r>
      <w:r w:rsidRPr="00BD71F8">
        <w:rPr>
          <w:rFonts w:cs="Calibri"/>
          <w:sz w:val="24"/>
          <w:szCs w:val="24"/>
        </w:rPr>
        <w:t xml:space="preserve">without the need for cords or cables. A future where your customers can charge their devices on-the-go, seamlessly and efficiently. That future is now within </w:t>
      </w:r>
      <w:proofErr w:type="gramStart"/>
      <w:r w:rsidRPr="00BD71F8">
        <w:rPr>
          <w:rFonts w:cs="Calibri"/>
          <w:sz w:val="24"/>
          <w:szCs w:val="24"/>
        </w:rPr>
        <w:t>reach</w:t>
      </w:r>
      <w:proofErr w:type="gramEnd"/>
      <w:r w:rsidRPr="00BD71F8">
        <w:rPr>
          <w:rFonts w:cs="Calibri"/>
          <w:sz w:val="24"/>
          <w:szCs w:val="24"/>
        </w:rPr>
        <w:t xml:space="preserve"> and we can show you how.</w:t>
      </w:r>
    </w:p>
    <w:p w14:paraId="52393115" w14:textId="38E9984D" w:rsidR="00843F3B" w:rsidRPr="00843F3B" w:rsidRDefault="00843F3B" w:rsidP="00265697">
      <w:pPr>
        <w:spacing w:line="276" w:lineRule="auto"/>
        <w:rPr>
          <w:rFonts w:cs="Calibri"/>
          <w:sz w:val="24"/>
          <w:szCs w:val="24"/>
        </w:rPr>
      </w:pPr>
      <w:r w:rsidRPr="00843F3B">
        <w:rPr>
          <w:rFonts w:cs="Calibri"/>
          <w:sz w:val="24"/>
          <w:szCs w:val="24"/>
        </w:rPr>
        <w:t xml:space="preserve">As a leading financial </w:t>
      </w:r>
      <w:r w:rsidR="00BD71F8" w:rsidRPr="00BD71F8">
        <w:rPr>
          <w:rFonts w:cs="Calibri"/>
          <w:sz w:val="24"/>
          <w:szCs w:val="24"/>
        </w:rPr>
        <w:t>institution,</w:t>
      </w:r>
      <w:r w:rsidR="008D5A32" w:rsidRPr="00BD71F8">
        <w:rPr>
          <w:rFonts w:cs="Calibri"/>
          <w:sz w:val="24"/>
          <w:szCs w:val="24"/>
        </w:rPr>
        <w:t xml:space="preserve"> </w:t>
      </w:r>
      <w:r w:rsidRPr="00843F3B">
        <w:rPr>
          <w:rFonts w:cs="Calibri"/>
          <w:sz w:val="24"/>
          <w:szCs w:val="24"/>
        </w:rPr>
        <w:t>you understand the importance of staying ahead of the curve in innovation and technology. Wireless charging is poised to revolutioni</w:t>
      </w:r>
      <w:r w:rsidR="00341FDB">
        <w:rPr>
          <w:rFonts w:cs="Calibri"/>
          <w:sz w:val="24"/>
          <w:szCs w:val="24"/>
        </w:rPr>
        <w:t>s</w:t>
      </w:r>
      <w:r w:rsidRPr="00843F3B">
        <w:rPr>
          <w:rFonts w:cs="Calibri"/>
          <w:sz w:val="24"/>
          <w:szCs w:val="24"/>
        </w:rPr>
        <w:t>e the way we think about energy</w:t>
      </w:r>
      <w:r w:rsidR="00297F94" w:rsidRPr="00BD71F8">
        <w:rPr>
          <w:rFonts w:cs="Calibri"/>
          <w:sz w:val="24"/>
          <w:szCs w:val="24"/>
        </w:rPr>
        <w:t>. A</w:t>
      </w:r>
      <w:r w:rsidRPr="00843F3B">
        <w:rPr>
          <w:rFonts w:cs="Calibri"/>
          <w:sz w:val="24"/>
          <w:szCs w:val="24"/>
        </w:rPr>
        <w:t>cquiring WiTricity could be a game-changer for your organi</w:t>
      </w:r>
      <w:r w:rsidR="00341FDB">
        <w:rPr>
          <w:rFonts w:cs="Calibri"/>
          <w:sz w:val="24"/>
          <w:szCs w:val="24"/>
        </w:rPr>
        <w:t>s</w:t>
      </w:r>
      <w:r w:rsidRPr="00843F3B">
        <w:rPr>
          <w:rFonts w:cs="Calibri"/>
          <w:sz w:val="24"/>
          <w:szCs w:val="24"/>
        </w:rPr>
        <w:t>ation.</w:t>
      </w:r>
    </w:p>
    <w:p w14:paraId="771CC1FA" w14:textId="6D02A8BF" w:rsidR="00843F3B" w:rsidRPr="00BD71F8" w:rsidRDefault="00843F3B" w:rsidP="00265697">
      <w:pPr>
        <w:spacing w:line="276" w:lineRule="auto"/>
        <w:rPr>
          <w:rFonts w:cs="Calibri"/>
          <w:sz w:val="24"/>
          <w:szCs w:val="24"/>
        </w:rPr>
      </w:pPr>
      <w:r w:rsidRPr="00843F3B">
        <w:rPr>
          <w:rFonts w:cs="Calibri"/>
          <w:sz w:val="24"/>
          <w:szCs w:val="24"/>
        </w:rPr>
        <w:t>Our expert report provides a comprehensive analysis of the potential acquisition including the benefits of wireless charging</w:t>
      </w:r>
      <w:r w:rsidR="00297F94" w:rsidRPr="00BD71F8">
        <w:rPr>
          <w:rFonts w:cs="Calibri"/>
          <w:sz w:val="24"/>
          <w:szCs w:val="24"/>
        </w:rPr>
        <w:t xml:space="preserve"> and</w:t>
      </w:r>
      <w:r w:rsidRPr="00843F3B">
        <w:rPr>
          <w:rFonts w:cs="Calibri"/>
          <w:sz w:val="24"/>
          <w:szCs w:val="24"/>
        </w:rPr>
        <w:t xml:space="preserve"> the competitive landscape. You'll gain valuable insights into the opportunities and challenges of this </w:t>
      </w:r>
      <w:r w:rsidR="00297F94" w:rsidRPr="00BD71F8">
        <w:rPr>
          <w:rFonts w:cs="Calibri"/>
          <w:sz w:val="24"/>
          <w:szCs w:val="24"/>
        </w:rPr>
        <w:t>proposal.</w:t>
      </w:r>
    </w:p>
    <w:p w14:paraId="4E353177" w14:textId="32785B5C" w:rsidR="00297F94" w:rsidRPr="00BD71F8" w:rsidRDefault="00297F94" w:rsidP="00265697">
      <w:pPr>
        <w:spacing w:after="0" w:line="276" w:lineRule="auto"/>
        <w:rPr>
          <w:rFonts w:cs="Calibri"/>
          <w:sz w:val="24"/>
          <w:szCs w:val="24"/>
        </w:rPr>
      </w:pPr>
      <w:r w:rsidRPr="00BD71F8">
        <w:rPr>
          <w:rFonts w:cs="Calibri"/>
          <w:sz w:val="24"/>
          <w:szCs w:val="24"/>
        </w:rPr>
        <w:t>Our exclusive service would reveal the transformative power of wireless charging and the strategic implications of TD Bank acquiring WiTricity. You</w:t>
      </w:r>
      <w:r w:rsidR="00FF20B0" w:rsidRPr="00BD71F8">
        <w:rPr>
          <w:rFonts w:cs="Calibri"/>
          <w:sz w:val="24"/>
          <w:szCs w:val="24"/>
        </w:rPr>
        <w:t xml:space="preserve"> wi</w:t>
      </w:r>
      <w:r w:rsidRPr="00BD71F8">
        <w:rPr>
          <w:rFonts w:cs="Calibri"/>
          <w:sz w:val="24"/>
          <w:szCs w:val="24"/>
        </w:rPr>
        <w:t>ll discover:</w:t>
      </w:r>
    </w:p>
    <w:p w14:paraId="69B7855C" w14:textId="2799F683" w:rsidR="00297F94" w:rsidRPr="00BD71F8" w:rsidRDefault="00297F94" w:rsidP="00B76B0D">
      <w:pPr>
        <w:pStyle w:val="ListParagraph"/>
        <w:numPr>
          <w:ilvl w:val="0"/>
          <w:numId w:val="2"/>
        </w:numPr>
        <w:spacing w:after="0" w:line="276" w:lineRule="auto"/>
        <w:rPr>
          <w:rFonts w:cs="Calibri"/>
          <w:sz w:val="24"/>
          <w:szCs w:val="24"/>
        </w:rPr>
      </w:pPr>
      <w:r w:rsidRPr="00BD71F8">
        <w:rPr>
          <w:rFonts w:cs="Calibri"/>
          <w:sz w:val="24"/>
          <w:szCs w:val="24"/>
        </w:rPr>
        <w:t>The game</w:t>
      </w:r>
      <w:r w:rsidR="00FF20B0" w:rsidRPr="00BD71F8">
        <w:rPr>
          <w:rFonts w:cs="Calibri"/>
          <w:sz w:val="24"/>
          <w:szCs w:val="24"/>
        </w:rPr>
        <w:t xml:space="preserve"> </w:t>
      </w:r>
      <w:r w:rsidRPr="00BD71F8">
        <w:rPr>
          <w:rFonts w:cs="Calibri"/>
          <w:sz w:val="24"/>
          <w:szCs w:val="24"/>
        </w:rPr>
        <w:t>changing benefits of wireless charging for your customers and your business.</w:t>
      </w:r>
    </w:p>
    <w:p w14:paraId="4084002D" w14:textId="572F6385" w:rsidR="00297F94" w:rsidRPr="00BD71F8" w:rsidRDefault="00297F94" w:rsidP="00B76B0D">
      <w:pPr>
        <w:pStyle w:val="ListParagraph"/>
        <w:numPr>
          <w:ilvl w:val="0"/>
          <w:numId w:val="2"/>
        </w:numPr>
        <w:spacing w:after="0" w:line="276" w:lineRule="auto"/>
        <w:rPr>
          <w:rFonts w:cs="Calibri"/>
          <w:sz w:val="24"/>
          <w:szCs w:val="24"/>
        </w:rPr>
      </w:pPr>
      <w:r w:rsidRPr="00BD71F8">
        <w:rPr>
          <w:rFonts w:cs="Calibri"/>
          <w:sz w:val="24"/>
          <w:szCs w:val="24"/>
        </w:rPr>
        <w:t>The competitive landscape and how to stay ahead of the curve.</w:t>
      </w:r>
    </w:p>
    <w:p w14:paraId="737D9118" w14:textId="5D764C09" w:rsidR="00297F94" w:rsidRPr="00BD71F8" w:rsidRDefault="00297F94" w:rsidP="00B76B0D">
      <w:pPr>
        <w:pStyle w:val="ListParagraph"/>
        <w:numPr>
          <w:ilvl w:val="0"/>
          <w:numId w:val="2"/>
        </w:numPr>
        <w:spacing w:line="276" w:lineRule="auto"/>
        <w:rPr>
          <w:rFonts w:cs="Calibri"/>
          <w:sz w:val="24"/>
          <w:szCs w:val="24"/>
        </w:rPr>
      </w:pPr>
      <w:r w:rsidRPr="00BD71F8">
        <w:rPr>
          <w:rFonts w:cs="Calibri"/>
          <w:sz w:val="24"/>
          <w:szCs w:val="24"/>
        </w:rPr>
        <w:t>Practical guidance on navigating the complexities of wireless power transfer.</w:t>
      </w:r>
    </w:p>
    <w:p w14:paraId="5C2E0408" w14:textId="027F8705" w:rsidR="00297F94" w:rsidRPr="00BD71F8" w:rsidRDefault="00297F94" w:rsidP="00265697">
      <w:pPr>
        <w:spacing w:line="276" w:lineRule="auto"/>
        <w:rPr>
          <w:rFonts w:cs="Calibri"/>
          <w:sz w:val="24"/>
          <w:szCs w:val="24"/>
        </w:rPr>
      </w:pPr>
      <w:r w:rsidRPr="00BD71F8">
        <w:rPr>
          <w:rFonts w:cs="Calibri"/>
          <w:sz w:val="24"/>
          <w:szCs w:val="24"/>
        </w:rPr>
        <w:t>Don't miss out on this opportunity to electrify your business and stay ahead of the competition. Get instant access to our expert analysis and start shaping the future of energy transmission today.</w:t>
      </w:r>
    </w:p>
    <w:p w14:paraId="6E1DE8AE" w14:textId="3AB75C3C" w:rsidR="00297F94" w:rsidRPr="00BD71F8" w:rsidRDefault="00297F94" w:rsidP="00265697">
      <w:pPr>
        <w:spacing w:before="240" w:after="0" w:line="276" w:lineRule="auto"/>
        <w:rPr>
          <w:rFonts w:cs="Calibri"/>
        </w:rPr>
      </w:pPr>
      <w:r w:rsidRPr="00BD71F8">
        <w:rPr>
          <w:rFonts w:cs="Calibri"/>
          <w:sz w:val="24"/>
          <w:szCs w:val="24"/>
        </w:rPr>
        <w:t>Let's shape the future of energy transmission together.</w:t>
      </w:r>
    </w:p>
    <w:p w14:paraId="50604E47" w14:textId="77777777" w:rsidR="00297F94" w:rsidRPr="00843F3B" w:rsidRDefault="00297F94" w:rsidP="00297F94">
      <w:pPr>
        <w:spacing w:after="0"/>
        <w:rPr>
          <w:rFonts w:cs="Calibri"/>
        </w:rPr>
      </w:pPr>
    </w:p>
    <w:p w14:paraId="31D5C593" w14:textId="77777777" w:rsidR="00843F3B" w:rsidRPr="00BD71F8" w:rsidRDefault="00843F3B" w:rsidP="006507C7">
      <w:pPr>
        <w:spacing w:after="0"/>
        <w:rPr>
          <w:rFonts w:cs="Calibri"/>
        </w:rPr>
      </w:pPr>
    </w:p>
    <w:p w14:paraId="5D0B6BB1" w14:textId="77777777" w:rsidR="006507C7" w:rsidRPr="00BD71F8" w:rsidRDefault="006507C7" w:rsidP="006507C7">
      <w:pPr>
        <w:spacing w:after="0"/>
        <w:rPr>
          <w:rFonts w:cs="Calibri"/>
        </w:rPr>
      </w:pPr>
    </w:p>
    <w:p w14:paraId="2630A4BA" w14:textId="77777777" w:rsidR="006507C7" w:rsidRPr="00BD71F8" w:rsidRDefault="006507C7" w:rsidP="006507C7">
      <w:pPr>
        <w:spacing w:after="0"/>
        <w:rPr>
          <w:rFonts w:cs="Calibri"/>
        </w:rPr>
      </w:pPr>
    </w:p>
    <w:p w14:paraId="45520A70" w14:textId="77777777" w:rsidR="006507C7" w:rsidRPr="00BD71F8" w:rsidRDefault="006507C7" w:rsidP="006507C7">
      <w:pPr>
        <w:spacing w:after="0"/>
        <w:rPr>
          <w:rFonts w:cs="Calibri"/>
        </w:rPr>
      </w:pPr>
    </w:p>
    <w:p w14:paraId="4FB700F9" w14:textId="77777777" w:rsidR="006507C7" w:rsidRPr="00BD71F8" w:rsidRDefault="006507C7" w:rsidP="006507C7">
      <w:pPr>
        <w:spacing w:after="0"/>
        <w:rPr>
          <w:rFonts w:cs="Calibri"/>
        </w:rPr>
      </w:pPr>
    </w:p>
    <w:p w14:paraId="216769D5" w14:textId="77777777" w:rsidR="006507C7" w:rsidRPr="00BD71F8" w:rsidRDefault="006507C7" w:rsidP="006507C7">
      <w:pPr>
        <w:spacing w:after="0"/>
        <w:rPr>
          <w:rFonts w:cs="Calibri"/>
        </w:rPr>
      </w:pPr>
    </w:p>
    <w:p w14:paraId="083F042D" w14:textId="77777777" w:rsidR="006507C7" w:rsidRPr="00BD71F8" w:rsidRDefault="006507C7" w:rsidP="006507C7">
      <w:pPr>
        <w:spacing w:after="0"/>
        <w:rPr>
          <w:rFonts w:cs="Calibri"/>
        </w:rPr>
      </w:pPr>
    </w:p>
    <w:p w14:paraId="4FEF1BA2" w14:textId="77777777" w:rsidR="006507C7" w:rsidRPr="00BD71F8" w:rsidRDefault="006507C7" w:rsidP="006507C7">
      <w:pPr>
        <w:spacing w:after="0"/>
        <w:rPr>
          <w:rFonts w:cs="Calibri"/>
        </w:rPr>
      </w:pPr>
    </w:p>
    <w:p w14:paraId="6A961962" w14:textId="77777777" w:rsidR="006507C7" w:rsidRPr="00BD71F8" w:rsidRDefault="006507C7" w:rsidP="006507C7">
      <w:pPr>
        <w:spacing w:after="0"/>
        <w:rPr>
          <w:rFonts w:cs="Calibri"/>
        </w:rPr>
      </w:pPr>
    </w:p>
    <w:p w14:paraId="54C82418" w14:textId="77777777" w:rsidR="006507C7" w:rsidRPr="00BD71F8" w:rsidRDefault="006507C7" w:rsidP="006507C7">
      <w:pPr>
        <w:spacing w:after="0"/>
        <w:rPr>
          <w:rFonts w:cs="Calibri"/>
        </w:rPr>
      </w:pPr>
    </w:p>
    <w:p w14:paraId="375D40B9" w14:textId="77777777" w:rsidR="00843F3B" w:rsidRPr="00BD71F8" w:rsidRDefault="00843F3B" w:rsidP="00F2521A">
      <w:pPr>
        <w:pStyle w:val="Heading1"/>
      </w:pPr>
      <w:r w:rsidRPr="00BD71F8">
        <w:br w:type="page"/>
      </w:r>
    </w:p>
    <w:p w14:paraId="57FF3EDC" w14:textId="69A34364" w:rsidR="00BE1377" w:rsidRPr="00BD71F8" w:rsidRDefault="00BE1377" w:rsidP="00F2521A">
      <w:pPr>
        <w:pStyle w:val="Heading1"/>
      </w:pPr>
      <w:bookmarkStart w:id="30" w:name="_Toc182000900"/>
      <w:r w:rsidRPr="00BD71F8">
        <w:lastRenderedPageBreak/>
        <w:t>References</w:t>
      </w:r>
      <w:bookmarkEnd w:id="30"/>
      <w:r w:rsidRPr="00BD71F8">
        <w:t xml:space="preserve"> </w:t>
      </w:r>
    </w:p>
    <w:p w14:paraId="62BE9C1F" w14:textId="77777777" w:rsidR="00265697" w:rsidRPr="00BD71F8" w:rsidRDefault="00265697" w:rsidP="00265697">
      <w:pPr>
        <w:spacing w:after="0" w:line="276" w:lineRule="auto"/>
        <w:rPr>
          <w:sz w:val="24"/>
          <w:szCs w:val="24"/>
        </w:rPr>
      </w:pPr>
      <w:r w:rsidRPr="00BD71F8">
        <w:rPr>
          <w:sz w:val="24"/>
          <w:szCs w:val="24"/>
        </w:rPr>
        <w:t>CRA. (</w:t>
      </w:r>
      <w:r w:rsidR="00FF20B0" w:rsidRPr="00BD71F8">
        <w:rPr>
          <w:sz w:val="24"/>
          <w:szCs w:val="24"/>
        </w:rPr>
        <w:t>n.d.).</w:t>
      </w:r>
      <w:r w:rsidRPr="00BD71F8">
        <w:rPr>
          <w:sz w:val="24"/>
          <w:szCs w:val="24"/>
        </w:rPr>
        <w:t xml:space="preserve"> </w:t>
      </w:r>
      <w:r w:rsidR="00FF20B0" w:rsidRPr="00BD71F8">
        <w:rPr>
          <w:sz w:val="24"/>
          <w:szCs w:val="24"/>
        </w:rPr>
        <w:t>Classes of depreciable property.</w:t>
      </w:r>
      <w:r w:rsidRPr="00BD71F8">
        <w:rPr>
          <w:sz w:val="24"/>
          <w:szCs w:val="24"/>
        </w:rPr>
        <w:t xml:space="preserve">  </w:t>
      </w:r>
    </w:p>
    <w:p w14:paraId="69CF9DD8" w14:textId="0DAC76C4" w:rsidR="00FF20B0" w:rsidRPr="00BD71F8" w:rsidRDefault="00265697" w:rsidP="00265697">
      <w:pPr>
        <w:spacing w:line="276" w:lineRule="auto"/>
        <w:rPr>
          <w:sz w:val="24"/>
          <w:szCs w:val="24"/>
        </w:rPr>
      </w:pPr>
      <w:hyperlink r:id="rId18" w:history="1">
        <w:r w:rsidRPr="00BD71F8">
          <w:rPr>
            <w:rStyle w:val="Hyperlink"/>
            <w:sz w:val="24"/>
            <w:szCs w:val="24"/>
          </w:rPr>
          <w:t>https://www.canada.ca/en/revenue-agency/services/tax/businesses/topics/sole-proprietorships-partnerships/report-business-income-expenses/claiming-capital-cost-allowance/classes-depreciable-property.html</w:t>
        </w:r>
      </w:hyperlink>
    </w:p>
    <w:p w14:paraId="3851DAA0" w14:textId="77777777" w:rsidR="00265697" w:rsidRPr="00BD71F8" w:rsidRDefault="00FF20B0" w:rsidP="00265697">
      <w:pPr>
        <w:spacing w:after="0" w:line="276" w:lineRule="auto"/>
        <w:rPr>
          <w:sz w:val="24"/>
          <w:szCs w:val="24"/>
        </w:rPr>
      </w:pPr>
      <w:r w:rsidRPr="00FF20B0">
        <w:rPr>
          <w:sz w:val="24"/>
          <w:szCs w:val="24"/>
        </w:rPr>
        <w:t xml:space="preserve">Glassdoor. (n.d.). WiTricity engineering salaries. Glassdoor. </w:t>
      </w:r>
      <w:r w:rsidR="00265697" w:rsidRPr="00BD71F8">
        <w:rPr>
          <w:sz w:val="24"/>
          <w:szCs w:val="24"/>
        </w:rPr>
        <w:t xml:space="preserve">   </w:t>
      </w:r>
    </w:p>
    <w:p w14:paraId="729E7EB2" w14:textId="3C85CFB3" w:rsidR="00FF20B0" w:rsidRPr="00FF20B0" w:rsidRDefault="00265697" w:rsidP="00265697">
      <w:pPr>
        <w:spacing w:line="276" w:lineRule="auto"/>
        <w:rPr>
          <w:sz w:val="24"/>
          <w:szCs w:val="24"/>
        </w:rPr>
      </w:pPr>
      <w:hyperlink r:id="rId19" w:history="1">
        <w:r w:rsidRPr="00FF20B0">
          <w:rPr>
            <w:rStyle w:val="Hyperlink"/>
            <w:sz w:val="24"/>
            <w:szCs w:val="24"/>
          </w:rPr>
          <w:t>https://www.glassdoor.com/Salary/WiTricity-Engineering-Salaries-EI_E719306.0,9_DEPT1007_IP2.htm</w:t>
        </w:r>
      </w:hyperlink>
    </w:p>
    <w:p w14:paraId="5C3DA77E" w14:textId="77777777" w:rsidR="00265697" w:rsidRPr="00BD71F8" w:rsidRDefault="00FF20B0" w:rsidP="00265697">
      <w:pPr>
        <w:spacing w:after="0" w:line="276" w:lineRule="auto"/>
        <w:rPr>
          <w:sz w:val="24"/>
          <w:szCs w:val="24"/>
        </w:rPr>
      </w:pPr>
      <w:r w:rsidRPr="00FF20B0">
        <w:rPr>
          <w:sz w:val="24"/>
          <w:szCs w:val="24"/>
        </w:rPr>
        <w:t xml:space="preserve">TD Bank. (n.d.). Advertising Profile | See Their Ad Spend! | </w:t>
      </w:r>
      <w:proofErr w:type="spellStart"/>
      <w:r w:rsidRPr="00FF20B0">
        <w:rPr>
          <w:sz w:val="24"/>
          <w:szCs w:val="24"/>
        </w:rPr>
        <w:t>MediaRadar</w:t>
      </w:r>
      <w:proofErr w:type="spellEnd"/>
      <w:r w:rsidRPr="00FF20B0">
        <w:rPr>
          <w:sz w:val="24"/>
          <w:szCs w:val="24"/>
        </w:rPr>
        <w:t>.</w:t>
      </w:r>
      <w:r w:rsidR="00265697" w:rsidRPr="00BD71F8">
        <w:rPr>
          <w:sz w:val="24"/>
          <w:szCs w:val="24"/>
        </w:rPr>
        <w:t xml:space="preserve">     </w:t>
      </w:r>
    </w:p>
    <w:p w14:paraId="456F6A06" w14:textId="66E54381" w:rsidR="00FF20B0" w:rsidRPr="00FF20B0" w:rsidRDefault="00265697" w:rsidP="00265697">
      <w:pPr>
        <w:spacing w:line="276" w:lineRule="auto"/>
        <w:rPr>
          <w:sz w:val="24"/>
          <w:szCs w:val="24"/>
        </w:rPr>
      </w:pPr>
      <w:hyperlink r:id="rId20" w:anchor="MediaSpend" w:history="1">
        <w:r w:rsidRPr="00FF20B0">
          <w:rPr>
            <w:rStyle w:val="Hyperlink"/>
            <w:sz w:val="24"/>
            <w:szCs w:val="24"/>
          </w:rPr>
          <w:t>https://advertisers.mediaradar.com/td-bank-advertising-profile#MediaSpend</w:t>
        </w:r>
      </w:hyperlink>
    </w:p>
    <w:p w14:paraId="5E434FA7" w14:textId="77777777" w:rsidR="00FF20B0" w:rsidRPr="00FF20B0" w:rsidRDefault="00FF20B0" w:rsidP="00265697">
      <w:pPr>
        <w:spacing w:after="0" w:line="276" w:lineRule="auto"/>
        <w:rPr>
          <w:sz w:val="24"/>
          <w:szCs w:val="24"/>
        </w:rPr>
      </w:pPr>
      <w:r w:rsidRPr="00FF20B0">
        <w:rPr>
          <w:sz w:val="24"/>
          <w:szCs w:val="24"/>
        </w:rPr>
        <w:t xml:space="preserve">WiTricity. (n.d.). </w:t>
      </w:r>
      <w:proofErr w:type="spellStart"/>
      <w:r w:rsidRPr="00FF20B0">
        <w:rPr>
          <w:sz w:val="24"/>
          <w:szCs w:val="24"/>
        </w:rPr>
        <w:t>WiTriCity</w:t>
      </w:r>
      <w:proofErr w:type="spellEnd"/>
      <w:r w:rsidRPr="00FF20B0">
        <w:rPr>
          <w:sz w:val="24"/>
          <w:szCs w:val="24"/>
        </w:rPr>
        <w:t xml:space="preserve"> | LinkedIn. </w:t>
      </w:r>
    </w:p>
    <w:p w14:paraId="5753B3F3" w14:textId="77777777" w:rsidR="00FF20B0" w:rsidRPr="00FF20B0" w:rsidRDefault="00FF20B0" w:rsidP="00265697">
      <w:pPr>
        <w:spacing w:line="276" w:lineRule="auto"/>
        <w:rPr>
          <w:sz w:val="24"/>
          <w:szCs w:val="24"/>
        </w:rPr>
      </w:pPr>
      <w:hyperlink r:id="rId21" w:history="1">
        <w:r w:rsidRPr="00FF20B0">
          <w:rPr>
            <w:rStyle w:val="Hyperlink"/>
            <w:sz w:val="24"/>
            <w:szCs w:val="24"/>
          </w:rPr>
          <w:t>https://www.linkedin.com/company/witricity-corporation/</w:t>
        </w:r>
      </w:hyperlink>
    </w:p>
    <w:p w14:paraId="76176CFB" w14:textId="77777777" w:rsidR="00265697" w:rsidRPr="00BD71F8" w:rsidRDefault="00FF20B0" w:rsidP="00265697">
      <w:pPr>
        <w:spacing w:after="0" w:line="276" w:lineRule="auto"/>
        <w:rPr>
          <w:sz w:val="24"/>
          <w:szCs w:val="24"/>
        </w:rPr>
      </w:pPr>
      <w:r w:rsidRPr="00FF20B0">
        <w:rPr>
          <w:sz w:val="24"/>
          <w:szCs w:val="24"/>
        </w:rPr>
        <w:t xml:space="preserve">TD Bank Group. (2023). 2023 annual report. </w:t>
      </w:r>
    </w:p>
    <w:p w14:paraId="412B5BE7" w14:textId="704854F5" w:rsidR="00FF20B0" w:rsidRPr="00FF20B0" w:rsidRDefault="00265697" w:rsidP="00265697">
      <w:pPr>
        <w:spacing w:line="276" w:lineRule="auto"/>
        <w:rPr>
          <w:sz w:val="24"/>
          <w:szCs w:val="24"/>
        </w:rPr>
      </w:pPr>
      <w:hyperlink r:id="rId22" w:history="1">
        <w:r w:rsidRPr="00FF20B0">
          <w:rPr>
            <w:rStyle w:val="Hyperlink"/>
            <w:sz w:val="24"/>
            <w:szCs w:val="24"/>
          </w:rPr>
          <w:t>https://www.td.com/content/dam/tdcom/canada/about-td/pdf/quarterly-results/2023/2023-annual-report-e.pdf</w:t>
        </w:r>
      </w:hyperlink>
    </w:p>
    <w:p w14:paraId="1F98ABDF" w14:textId="77777777" w:rsidR="00265697" w:rsidRPr="00BD71F8" w:rsidRDefault="00FF20B0" w:rsidP="00265697">
      <w:pPr>
        <w:spacing w:after="0" w:line="276" w:lineRule="auto"/>
        <w:rPr>
          <w:sz w:val="24"/>
          <w:szCs w:val="24"/>
        </w:rPr>
      </w:pPr>
      <w:r w:rsidRPr="00FF20B0">
        <w:rPr>
          <w:sz w:val="24"/>
          <w:szCs w:val="24"/>
        </w:rPr>
        <w:t xml:space="preserve">TD Bank Group. (2022). 2022 annual report. </w:t>
      </w:r>
    </w:p>
    <w:p w14:paraId="3771729A" w14:textId="5BB756E1" w:rsidR="00FF20B0" w:rsidRPr="00FF20B0" w:rsidRDefault="00265697" w:rsidP="00265697">
      <w:pPr>
        <w:spacing w:line="276" w:lineRule="auto"/>
        <w:rPr>
          <w:sz w:val="24"/>
          <w:szCs w:val="24"/>
        </w:rPr>
      </w:pPr>
      <w:hyperlink r:id="rId23" w:history="1">
        <w:r w:rsidRPr="00FF20B0">
          <w:rPr>
            <w:rStyle w:val="Hyperlink"/>
            <w:sz w:val="24"/>
            <w:szCs w:val="24"/>
          </w:rPr>
          <w:t>https://www.td.com/document/PDF/ar2022/ar2022-Complete-Report.pdf</w:t>
        </w:r>
      </w:hyperlink>
    </w:p>
    <w:p w14:paraId="164654F1" w14:textId="77777777" w:rsidR="00FF20B0" w:rsidRPr="00FF20B0" w:rsidRDefault="00FF20B0" w:rsidP="00265697">
      <w:pPr>
        <w:spacing w:after="0" w:line="276" w:lineRule="auto"/>
        <w:rPr>
          <w:sz w:val="24"/>
          <w:szCs w:val="24"/>
        </w:rPr>
      </w:pPr>
      <w:r w:rsidRPr="00FF20B0">
        <w:rPr>
          <w:sz w:val="24"/>
          <w:szCs w:val="24"/>
        </w:rPr>
        <w:t>TD Bank Group. (2021). 2021 annual report.</w:t>
      </w:r>
    </w:p>
    <w:p w14:paraId="2335509C" w14:textId="77777777" w:rsidR="00FF20B0" w:rsidRPr="00FF20B0" w:rsidRDefault="00FF20B0" w:rsidP="00FF20B0">
      <w:pPr>
        <w:rPr>
          <w:sz w:val="24"/>
          <w:szCs w:val="24"/>
        </w:rPr>
      </w:pPr>
      <w:hyperlink r:id="rId24" w:history="1">
        <w:r w:rsidRPr="00FF20B0">
          <w:rPr>
            <w:rStyle w:val="Hyperlink"/>
            <w:sz w:val="24"/>
            <w:szCs w:val="24"/>
          </w:rPr>
          <w:t>https://www.td.com/document/PDF/ar2021/ar2021-Complete-Report.pdf</w:t>
        </w:r>
      </w:hyperlink>
    </w:p>
    <w:p w14:paraId="63F16EBB" w14:textId="1C2125D8" w:rsidR="00FF20B0" w:rsidRPr="00BD71F8" w:rsidRDefault="00FF20B0" w:rsidP="00FF20B0">
      <w:pPr>
        <w:spacing w:after="0"/>
        <w:rPr>
          <w:sz w:val="24"/>
          <w:szCs w:val="24"/>
        </w:rPr>
      </w:pPr>
      <w:r w:rsidRPr="00BD71F8">
        <w:rPr>
          <w:sz w:val="24"/>
          <w:szCs w:val="24"/>
        </w:rPr>
        <w:t>TD Bank. (2024). TD Asset Management Inc. Recogni</w:t>
      </w:r>
      <w:r w:rsidR="00341FDB">
        <w:rPr>
          <w:sz w:val="24"/>
          <w:szCs w:val="24"/>
        </w:rPr>
        <w:t>s</w:t>
      </w:r>
      <w:r w:rsidRPr="00BD71F8">
        <w:rPr>
          <w:sz w:val="24"/>
          <w:szCs w:val="24"/>
        </w:rPr>
        <w:t xml:space="preserve">ed in Six Categories at the 2024 Canada LSEG Lipper Fund Awards </w:t>
      </w:r>
    </w:p>
    <w:p w14:paraId="6FF389FD" w14:textId="7AE7E1BB" w:rsidR="0005395E" w:rsidRPr="00BD71F8" w:rsidRDefault="00FF20B0" w:rsidP="0005395E">
      <w:pPr>
        <w:rPr>
          <w:sz w:val="24"/>
          <w:szCs w:val="24"/>
        </w:rPr>
      </w:pPr>
      <w:hyperlink r:id="rId25" w:history="1">
        <w:r w:rsidRPr="00BD71F8">
          <w:rPr>
            <w:rStyle w:val="Hyperlink"/>
            <w:sz w:val="24"/>
            <w:szCs w:val="24"/>
          </w:rPr>
          <w:t>https://stories.td.com/ca/en/news/2024-11-07-td-asset-management-inc.-recognized-in-six-categories-at-the</w:t>
        </w:r>
      </w:hyperlink>
    </w:p>
    <w:p w14:paraId="1D1E8917" w14:textId="77777777" w:rsidR="00FF20B0" w:rsidRPr="00BD71F8" w:rsidRDefault="00FF20B0" w:rsidP="00FF20B0">
      <w:pPr>
        <w:spacing w:after="0"/>
        <w:rPr>
          <w:sz w:val="24"/>
          <w:szCs w:val="24"/>
        </w:rPr>
      </w:pPr>
      <w:proofErr w:type="spellStart"/>
      <w:r w:rsidRPr="00BD71F8">
        <w:rPr>
          <w:sz w:val="24"/>
          <w:szCs w:val="24"/>
        </w:rPr>
        <w:t>Bedroadreality</w:t>
      </w:r>
      <w:proofErr w:type="spellEnd"/>
      <w:r w:rsidRPr="00BD71F8">
        <w:rPr>
          <w:sz w:val="24"/>
          <w:szCs w:val="24"/>
        </w:rPr>
        <w:t xml:space="preserve">. (n.d.). </w:t>
      </w:r>
      <w:r w:rsidRPr="00BD71F8">
        <w:rPr>
          <w:b/>
          <w:bCs/>
          <w:sz w:val="24"/>
          <w:szCs w:val="24"/>
        </w:rPr>
        <w:t> </w:t>
      </w:r>
      <w:r w:rsidRPr="00BD71F8">
        <w:rPr>
          <w:sz w:val="24"/>
          <w:szCs w:val="24"/>
        </w:rPr>
        <w:t xml:space="preserve">What are Building Operating Costs? </w:t>
      </w:r>
    </w:p>
    <w:p w14:paraId="256B1CD5" w14:textId="6723A355" w:rsidR="00FF20B0" w:rsidRPr="00BD71F8" w:rsidRDefault="00FF20B0" w:rsidP="00FF20B0">
      <w:pPr>
        <w:spacing w:after="0"/>
        <w:rPr>
          <w:sz w:val="24"/>
          <w:szCs w:val="24"/>
        </w:rPr>
      </w:pPr>
      <w:hyperlink r:id="rId26" w:history="1">
        <w:r w:rsidRPr="00BD71F8">
          <w:rPr>
            <w:rStyle w:val="Hyperlink"/>
            <w:sz w:val="24"/>
            <w:szCs w:val="24"/>
          </w:rPr>
          <w:t>https://bedrockrealty.ca/real-estate-resources/real-estate-articles/what-are-building-operating-costs/</w:t>
        </w:r>
      </w:hyperlink>
    </w:p>
    <w:p w14:paraId="2B1EDA64" w14:textId="77777777" w:rsidR="00FF20B0" w:rsidRPr="0005395E" w:rsidRDefault="00FF20B0" w:rsidP="0005395E"/>
    <w:sectPr w:rsidR="00FF20B0" w:rsidRPr="0005395E" w:rsidSect="00377B07">
      <w:headerReference w:type="default" r:id="rId27"/>
      <w:footerReference w:type="default" r:id="rId28"/>
      <w:pgSz w:w="12240" w:h="15840"/>
      <w:pgMar w:top="1440" w:right="1440" w:bottom="1440" w:left="1440" w:header="708" w:footer="708"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7FDB6" w14:textId="77777777" w:rsidR="00BE2B3A" w:rsidRPr="00BD71F8" w:rsidRDefault="00BE2B3A" w:rsidP="00BE1377">
      <w:pPr>
        <w:spacing w:after="0" w:line="240" w:lineRule="auto"/>
      </w:pPr>
      <w:r w:rsidRPr="00BD71F8">
        <w:separator/>
      </w:r>
    </w:p>
  </w:endnote>
  <w:endnote w:type="continuationSeparator" w:id="0">
    <w:p w14:paraId="1CBDA257" w14:textId="77777777" w:rsidR="00BE2B3A" w:rsidRPr="00BD71F8" w:rsidRDefault="00BE2B3A" w:rsidP="00BE1377">
      <w:pPr>
        <w:spacing w:after="0" w:line="240" w:lineRule="auto"/>
      </w:pPr>
      <w:r w:rsidRPr="00BD71F8">
        <w:continuationSeparator/>
      </w:r>
    </w:p>
  </w:endnote>
  <w:endnote w:type="continuationNotice" w:id="1">
    <w:p w14:paraId="36548286" w14:textId="77777777" w:rsidR="00BE2B3A" w:rsidRDefault="00BE2B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1868335"/>
      <w:docPartObj>
        <w:docPartGallery w:val="Page Numbers (Bottom of Page)"/>
        <w:docPartUnique/>
      </w:docPartObj>
    </w:sdtPr>
    <w:sdtContent>
      <w:p w14:paraId="19216252" w14:textId="26BEE396" w:rsidR="00BE1377" w:rsidRPr="00BD71F8" w:rsidRDefault="00BE1377">
        <w:pPr>
          <w:pStyle w:val="Footer"/>
          <w:jc w:val="right"/>
        </w:pPr>
        <w:r w:rsidRPr="00BD71F8">
          <w:t xml:space="preserve">Page | </w:t>
        </w:r>
        <w:r w:rsidRPr="00BD71F8">
          <w:fldChar w:fldCharType="begin"/>
        </w:r>
        <w:r w:rsidRPr="00BD71F8">
          <w:instrText xml:space="preserve"> PAGE   \* MERGEFORMAT </w:instrText>
        </w:r>
        <w:r w:rsidRPr="00BD71F8">
          <w:fldChar w:fldCharType="separate"/>
        </w:r>
        <w:r w:rsidRPr="00BD71F8">
          <w:t>2</w:t>
        </w:r>
        <w:r w:rsidRPr="00BD71F8">
          <w:fldChar w:fldCharType="end"/>
        </w:r>
        <w:r w:rsidRPr="00BD71F8">
          <w:t xml:space="preserve"> </w:t>
        </w:r>
      </w:p>
    </w:sdtContent>
  </w:sdt>
  <w:p w14:paraId="3572E050" w14:textId="77777777" w:rsidR="00BE1377" w:rsidRPr="00BD71F8" w:rsidRDefault="00BE1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9953B" w14:textId="77777777" w:rsidR="00BE2B3A" w:rsidRPr="00BD71F8" w:rsidRDefault="00BE2B3A" w:rsidP="00BE1377">
      <w:pPr>
        <w:spacing w:after="0" w:line="240" w:lineRule="auto"/>
      </w:pPr>
      <w:r w:rsidRPr="00BD71F8">
        <w:separator/>
      </w:r>
    </w:p>
  </w:footnote>
  <w:footnote w:type="continuationSeparator" w:id="0">
    <w:p w14:paraId="302417BD" w14:textId="77777777" w:rsidR="00BE2B3A" w:rsidRPr="00BD71F8" w:rsidRDefault="00BE2B3A" w:rsidP="00BE1377">
      <w:pPr>
        <w:spacing w:after="0" w:line="240" w:lineRule="auto"/>
      </w:pPr>
      <w:r w:rsidRPr="00BD71F8">
        <w:continuationSeparator/>
      </w:r>
    </w:p>
  </w:footnote>
  <w:footnote w:type="continuationNotice" w:id="1">
    <w:p w14:paraId="2EDCF776" w14:textId="77777777" w:rsidR="00BE2B3A" w:rsidRDefault="00BE2B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FF119" w14:textId="0618935D" w:rsidR="00BE1377" w:rsidRPr="00BD71F8" w:rsidRDefault="00BE1377" w:rsidP="00BE1377">
    <w:pPr>
      <w:pStyle w:val="Header"/>
      <w:jc w:val="left"/>
    </w:pPr>
    <w:r w:rsidRPr="00BD71F8">
      <w:rPr>
        <w:rFonts w:cs="Calibri"/>
        <w:noProof/>
        <w:sz w:val="18"/>
        <w:szCs w:val="18"/>
      </w:rPr>
      <w:drawing>
        <wp:anchor distT="0" distB="0" distL="114300" distR="114300" simplePos="0" relativeHeight="251658240" behindDoc="1" locked="0" layoutInCell="1" allowOverlap="1" wp14:anchorId="1A6FB92B" wp14:editId="34550F0B">
          <wp:simplePos x="0" y="0"/>
          <wp:positionH relativeFrom="margin">
            <wp:posOffset>6013450</wp:posOffset>
          </wp:positionH>
          <wp:positionV relativeFrom="page">
            <wp:posOffset>335915</wp:posOffset>
          </wp:positionV>
          <wp:extent cx="374650" cy="384810"/>
          <wp:effectExtent l="0" t="0" r="6350" b="0"/>
          <wp:wrapThrough wrapText="bothSides">
            <wp:wrapPolygon edited="0">
              <wp:start x="0" y="0"/>
              <wp:lineTo x="0" y="20317"/>
              <wp:lineTo x="20868" y="20317"/>
              <wp:lineTo x="20868" y="0"/>
              <wp:lineTo x="0" y="0"/>
            </wp:wrapPolygon>
          </wp:wrapThrough>
          <wp:docPr id="1057022028"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7064" t="15948" r="16496" b="15944"/>
                  <a:stretch/>
                </pic:blipFill>
                <pic:spPr bwMode="auto">
                  <a:xfrm>
                    <a:off x="0" y="0"/>
                    <a:ext cx="374650" cy="384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Pr="00BD71F8">
      <w:rPr>
        <w:sz w:val="18"/>
        <w:szCs w:val="18"/>
      </w:rPr>
      <w:t>ProcessPro</w:t>
    </w:r>
    <w:proofErr w:type="spellEnd"/>
    <w:r w:rsidRPr="00BD71F8">
      <w:rPr>
        <w:sz w:val="18"/>
        <w:szCs w:val="18"/>
      </w:rPr>
      <w:t xml:space="preserve"> Partners – </w:t>
    </w:r>
    <w:r w:rsidRPr="00BD71F8">
      <w:rPr>
        <w:i/>
        <w:iCs/>
        <w:sz w:val="18"/>
        <w:szCs w:val="18"/>
      </w:rPr>
      <w:t>Efficient Process, Efficient Solutions</w:t>
    </w:r>
    <w:r w:rsidRPr="00BD71F8">
      <w:rPr>
        <w:i/>
        <w:iCs/>
        <w:sz w:val="18"/>
        <w:szCs w:val="18"/>
      </w:rPr>
      <w:ptab w:relativeTo="margin" w:alignment="center" w:leader="none"/>
    </w:r>
    <w:r w:rsidRPr="00BD71F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2E2"/>
    <w:multiLevelType w:val="hybridMultilevel"/>
    <w:tmpl w:val="DEBC5D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0DA4E07"/>
    <w:multiLevelType w:val="multilevel"/>
    <w:tmpl w:val="64629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9301F"/>
    <w:multiLevelType w:val="multilevel"/>
    <w:tmpl w:val="3A3A2BBA"/>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40B81"/>
    <w:multiLevelType w:val="multilevel"/>
    <w:tmpl w:val="1B5C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22B02"/>
    <w:multiLevelType w:val="multilevel"/>
    <w:tmpl w:val="3A3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8F72B69"/>
    <w:multiLevelType w:val="multilevel"/>
    <w:tmpl w:val="414C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C63EF"/>
    <w:multiLevelType w:val="multilevel"/>
    <w:tmpl w:val="2D043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00D4F"/>
    <w:multiLevelType w:val="hybridMultilevel"/>
    <w:tmpl w:val="988824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0CB66027"/>
    <w:multiLevelType w:val="hybridMultilevel"/>
    <w:tmpl w:val="1EAADA7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9" w15:restartNumberingAfterBreak="0">
    <w:nsid w:val="0F642983"/>
    <w:multiLevelType w:val="hybridMultilevel"/>
    <w:tmpl w:val="89F852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0F8D4EC8"/>
    <w:multiLevelType w:val="hybridMultilevel"/>
    <w:tmpl w:val="2196EE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0FB411E3"/>
    <w:multiLevelType w:val="multilevel"/>
    <w:tmpl w:val="AB5A4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C4D58"/>
    <w:multiLevelType w:val="hybridMultilevel"/>
    <w:tmpl w:val="E6CE29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13D15CD7"/>
    <w:multiLevelType w:val="multilevel"/>
    <w:tmpl w:val="D84C8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16305"/>
    <w:multiLevelType w:val="hybridMultilevel"/>
    <w:tmpl w:val="1C4C1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25C41328"/>
    <w:multiLevelType w:val="multilevel"/>
    <w:tmpl w:val="3A3A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D7C02"/>
    <w:multiLevelType w:val="hybridMultilevel"/>
    <w:tmpl w:val="5746AB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2C223FFC"/>
    <w:multiLevelType w:val="hybridMultilevel"/>
    <w:tmpl w:val="D93ECE9A"/>
    <w:lvl w:ilvl="0" w:tplc="10090001">
      <w:start w:val="1"/>
      <w:numFmt w:val="bullet"/>
      <w:lvlText w:val=""/>
      <w:lvlJc w:val="left"/>
      <w:pPr>
        <w:ind w:left="768" w:hanging="360"/>
      </w:pPr>
      <w:rPr>
        <w:rFonts w:ascii="Symbol" w:hAnsi="Symbol" w:hint="default"/>
      </w:rPr>
    </w:lvl>
    <w:lvl w:ilvl="1" w:tplc="10090003">
      <w:start w:val="1"/>
      <w:numFmt w:val="bullet"/>
      <w:lvlText w:val="o"/>
      <w:lvlJc w:val="left"/>
      <w:pPr>
        <w:ind w:left="1488" w:hanging="360"/>
      </w:pPr>
      <w:rPr>
        <w:rFonts w:ascii="Courier New" w:hAnsi="Courier New" w:cs="Courier New" w:hint="default"/>
      </w:rPr>
    </w:lvl>
    <w:lvl w:ilvl="2" w:tplc="10090005">
      <w:start w:val="1"/>
      <w:numFmt w:val="bullet"/>
      <w:lvlText w:val=""/>
      <w:lvlJc w:val="left"/>
      <w:pPr>
        <w:ind w:left="2208" w:hanging="360"/>
      </w:pPr>
      <w:rPr>
        <w:rFonts w:ascii="Wingdings" w:hAnsi="Wingdings" w:hint="default"/>
      </w:rPr>
    </w:lvl>
    <w:lvl w:ilvl="3" w:tplc="10090001">
      <w:start w:val="1"/>
      <w:numFmt w:val="bullet"/>
      <w:lvlText w:val=""/>
      <w:lvlJc w:val="left"/>
      <w:pPr>
        <w:ind w:left="2928" w:hanging="360"/>
      </w:pPr>
      <w:rPr>
        <w:rFonts w:ascii="Symbol" w:hAnsi="Symbol" w:hint="default"/>
      </w:rPr>
    </w:lvl>
    <w:lvl w:ilvl="4" w:tplc="10090003">
      <w:start w:val="1"/>
      <w:numFmt w:val="bullet"/>
      <w:lvlText w:val="o"/>
      <w:lvlJc w:val="left"/>
      <w:pPr>
        <w:ind w:left="3648" w:hanging="360"/>
      </w:pPr>
      <w:rPr>
        <w:rFonts w:ascii="Courier New" w:hAnsi="Courier New" w:cs="Courier New" w:hint="default"/>
      </w:rPr>
    </w:lvl>
    <w:lvl w:ilvl="5" w:tplc="10090005">
      <w:start w:val="1"/>
      <w:numFmt w:val="bullet"/>
      <w:lvlText w:val=""/>
      <w:lvlJc w:val="left"/>
      <w:pPr>
        <w:ind w:left="4368" w:hanging="360"/>
      </w:pPr>
      <w:rPr>
        <w:rFonts w:ascii="Wingdings" w:hAnsi="Wingdings" w:hint="default"/>
      </w:rPr>
    </w:lvl>
    <w:lvl w:ilvl="6" w:tplc="10090001">
      <w:start w:val="1"/>
      <w:numFmt w:val="bullet"/>
      <w:lvlText w:val=""/>
      <w:lvlJc w:val="left"/>
      <w:pPr>
        <w:ind w:left="5088" w:hanging="360"/>
      </w:pPr>
      <w:rPr>
        <w:rFonts w:ascii="Symbol" w:hAnsi="Symbol" w:hint="default"/>
      </w:rPr>
    </w:lvl>
    <w:lvl w:ilvl="7" w:tplc="10090003">
      <w:start w:val="1"/>
      <w:numFmt w:val="bullet"/>
      <w:lvlText w:val="o"/>
      <w:lvlJc w:val="left"/>
      <w:pPr>
        <w:ind w:left="5808" w:hanging="360"/>
      </w:pPr>
      <w:rPr>
        <w:rFonts w:ascii="Courier New" w:hAnsi="Courier New" w:cs="Courier New" w:hint="default"/>
      </w:rPr>
    </w:lvl>
    <w:lvl w:ilvl="8" w:tplc="10090005">
      <w:start w:val="1"/>
      <w:numFmt w:val="bullet"/>
      <w:lvlText w:val=""/>
      <w:lvlJc w:val="left"/>
      <w:pPr>
        <w:ind w:left="6528" w:hanging="360"/>
      </w:pPr>
      <w:rPr>
        <w:rFonts w:ascii="Wingdings" w:hAnsi="Wingdings" w:hint="default"/>
      </w:rPr>
    </w:lvl>
  </w:abstractNum>
  <w:abstractNum w:abstractNumId="18" w15:restartNumberingAfterBreak="0">
    <w:nsid w:val="2DE61279"/>
    <w:multiLevelType w:val="hybridMultilevel"/>
    <w:tmpl w:val="AFFE0E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30281AC4"/>
    <w:multiLevelType w:val="hybridMultilevel"/>
    <w:tmpl w:val="01D220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36B75775"/>
    <w:multiLevelType w:val="hybridMultilevel"/>
    <w:tmpl w:val="F8604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38625026"/>
    <w:multiLevelType w:val="hybridMultilevel"/>
    <w:tmpl w:val="09765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39360F57"/>
    <w:multiLevelType w:val="hybridMultilevel"/>
    <w:tmpl w:val="D7D2523C"/>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3" w15:restartNumberingAfterBreak="0">
    <w:nsid w:val="3CEA0B3A"/>
    <w:multiLevelType w:val="hybridMultilevel"/>
    <w:tmpl w:val="DE84061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24" w15:restartNumberingAfterBreak="0">
    <w:nsid w:val="3D441656"/>
    <w:multiLevelType w:val="multilevel"/>
    <w:tmpl w:val="2A7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D3209"/>
    <w:multiLevelType w:val="multilevel"/>
    <w:tmpl w:val="7BE0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142873"/>
    <w:multiLevelType w:val="multilevel"/>
    <w:tmpl w:val="FCA60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842900"/>
    <w:multiLevelType w:val="hybridMultilevel"/>
    <w:tmpl w:val="392806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8" w15:restartNumberingAfterBreak="0">
    <w:nsid w:val="495805AC"/>
    <w:multiLevelType w:val="hybridMultilevel"/>
    <w:tmpl w:val="79E02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9" w15:restartNumberingAfterBreak="0">
    <w:nsid w:val="49824353"/>
    <w:multiLevelType w:val="hybridMultilevel"/>
    <w:tmpl w:val="1FAA25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49EF155D"/>
    <w:multiLevelType w:val="hybridMultilevel"/>
    <w:tmpl w:val="8124AA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4E7D4E86"/>
    <w:multiLevelType w:val="hybridMultilevel"/>
    <w:tmpl w:val="6660E18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32" w15:restartNumberingAfterBreak="0">
    <w:nsid w:val="51A15C4E"/>
    <w:multiLevelType w:val="hybridMultilevel"/>
    <w:tmpl w:val="ADBC6F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3" w15:restartNumberingAfterBreak="0">
    <w:nsid w:val="52596575"/>
    <w:multiLevelType w:val="multilevel"/>
    <w:tmpl w:val="FE4EB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8A52CB"/>
    <w:multiLevelType w:val="hybridMultilevel"/>
    <w:tmpl w:val="FFB682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5" w15:restartNumberingAfterBreak="0">
    <w:nsid w:val="55AA26FF"/>
    <w:multiLevelType w:val="hybridMultilevel"/>
    <w:tmpl w:val="658C26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6" w15:restartNumberingAfterBreak="0">
    <w:nsid w:val="583C3212"/>
    <w:multiLevelType w:val="hybridMultilevel"/>
    <w:tmpl w:val="22581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7" w15:restartNumberingAfterBreak="0">
    <w:nsid w:val="59460C49"/>
    <w:multiLevelType w:val="multilevel"/>
    <w:tmpl w:val="E0560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6F19B4"/>
    <w:multiLevelType w:val="hybridMultilevel"/>
    <w:tmpl w:val="77E28C6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9" w15:restartNumberingAfterBreak="0">
    <w:nsid w:val="686D7994"/>
    <w:multiLevelType w:val="hybridMultilevel"/>
    <w:tmpl w:val="F10AD0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0" w15:restartNumberingAfterBreak="0">
    <w:nsid w:val="6B740C8B"/>
    <w:multiLevelType w:val="hybridMultilevel"/>
    <w:tmpl w:val="B1A478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1" w15:restartNumberingAfterBreak="0">
    <w:nsid w:val="6C0C5CE1"/>
    <w:multiLevelType w:val="hybridMultilevel"/>
    <w:tmpl w:val="D92289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2" w15:restartNumberingAfterBreak="0">
    <w:nsid w:val="76EE5518"/>
    <w:multiLevelType w:val="hybridMultilevel"/>
    <w:tmpl w:val="78E440BC"/>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3" w15:restartNumberingAfterBreak="0">
    <w:nsid w:val="772B7A6F"/>
    <w:multiLevelType w:val="hybridMultilevel"/>
    <w:tmpl w:val="8AA6A2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 w15:restartNumberingAfterBreak="0">
    <w:nsid w:val="790804DA"/>
    <w:multiLevelType w:val="hybridMultilevel"/>
    <w:tmpl w:val="B36A93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5" w15:restartNumberingAfterBreak="0">
    <w:nsid w:val="7B4E3157"/>
    <w:multiLevelType w:val="hybridMultilevel"/>
    <w:tmpl w:val="38CC77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501432177">
    <w:abstractNumId w:val="38"/>
  </w:num>
  <w:num w:numId="2" w16cid:durableId="984234622">
    <w:abstractNumId w:val="15"/>
  </w:num>
  <w:num w:numId="3" w16cid:durableId="1248540421">
    <w:abstractNumId w:val="4"/>
  </w:num>
  <w:num w:numId="4" w16cid:durableId="1535534206">
    <w:abstractNumId w:val="17"/>
  </w:num>
  <w:num w:numId="5" w16cid:durableId="1003166706">
    <w:abstractNumId w:val="39"/>
  </w:num>
  <w:num w:numId="6" w16cid:durableId="1741364907">
    <w:abstractNumId w:val="28"/>
  </w:num>
  <w:num w:numId="7" w16cid:durableId="1063405285">
    <w:abstractNumId w:val="10"/>
  </w:num>
  <w:num w:numId="8" w16cid:durableId="1526752198">
    <w:abstractNumId w:val="40"/>
  </w:num>
  <w:num w:numId="9" w16cid:durableId="846090855">
    <w:abstractNumId w:val="35"/>
  </w:num>
  <w:num w:numId="10" w16cid:durableId="1494301974">
    <w:abstractNumId w:val="18"/>
  </w:num>
  <w:num w:numId="11" w16cid:durableId="1959335910">
    <w:abstractNumId w:val="14"/>
  </w:num>
  <w:num w:numId="12" w16cid:durableId="242379338">
    <w:abstractNumId w:val="36"/>
  </w:num>
  <w:num w:numId="13" w16cid:durableId="1449884844">
    <w:abstractNumId w:val="45"/>
  </w:num>
  <w:num w:numId="14" w16cid:durableId="1250770485">
    <w:abstractNumId w:val="44"/>
  </w:num>
  <w:num w:numId="15" w16cid:durableId="964962846">
    <w:abstractNumId w:val="7"/>
  </w:num>
  <w:num w:numId="16" w16cid:durableId="1174346346">
    <w:abstractNumId w:val="20"/>
  </w:num>
  <w:num w:numId="17" w16cid:durableId="454905708">
    <w:abstractNumId w:val="12"/>
  </w:num>
  <w:num w:numId="18" w16cid:durableId="1061101515">
    <w:abstractNumId w:val="0"/>
  </w:num>
  <w:num w:numId="19" w16cid:durableId="212155179">
    <w:abstractNumId w:val="19"/>
  </w:num>
  <w:num w:numId="20" w16cid:durableId="387455424">
    <w:abstractNumId w:val="16"/>
  </w:num>
  <w:num w:numId="21" w16cid:durableId="1014725224">
    <w:abstractNumId w:val="9"/>
  </w:num>
  <w:num w:numId="22" w16cid:durableId="1755123665">
    <w:abstractNumId w:val="41"/>
  </w:num>
  <w:num w:numId="23" w16cid:durableId="310981863">
    <w:abstractNumId w:val="27"/>
  </w:num>
  <w:num w:numId="24" w16cid:durableId="1580212070">
    <w:abstractNumId w:val="34"/>
  </w:num>
  <w:num w:numId="25" w16cid:durableId="2025863802">
    <w:abstractNumId w:val="22"/>
  </w:num>
  <w:num w:numId="26" w16cid:durableId="2058120341">
    <w:abstractNumId w:val="2"/>
  </w:num>
  <w:num w:numId="27" w16cid:durableId="1023820087">
    <w:abstractNumId w:val="31"/>
  </w:num>
  <w:num w:numId="28" w16cid:durableId="1723560679">
    <w:abstractNumId w:val="23"/>
  </w:num>
  <w:num w:numId="29" w16cid:durableId="1105465453">
    <w:abstractNumId w:val="8"/>
  </w:num>
  <w:num w:numId="30" w16cid:durableId="2115393340">
    <w:abstractNumId w:val="42"/>
  </w:num>
  <w:num w:numId="31" w16cid:durableId="1730766447">
    <w:abstractNumId w:val="32"/>
  </w:num>
  <w:num w:numId="32" w16cid:durableId="431508557">
    <w:abstractNumId w:val="1"/>
  </w:num>
  <w:num w:numId="33" w16cid:durableId="2031636422">
    <w:abstractNumId w:val="24"/>
  </w:num>
  <w:num w:numId="34" w16cid:durableId="2065328241">
    <w:abstractNumId w:val="11"/>
  </w:num>
  <w:num w:numId="35" w16cid:durableId="1430471401">
    <w:abstractNumId w:val="37"/>
  </w:num>
  <w:num w:numId="36" w16cid:durableId="1364281351">
    <w:abstractNumId w:val="25"/>
  </w:num>
  <w:num w:numId="37" w16cid:durableId="1557201508">
    <w:abstractNumId w:val="3"/>
  </w:num>
  <w:num w:numId="38" w16cid:durableId="742798815">
    <w:abstractNumId w:val="5"/>
  </w:num>
  <w:num w:numId="39" w16cid:durableId="426002698">
    <w:abstractNumId w:val="6"/>
  </w:num>
  <w:num w:numId="40" w16cid:durableId="1409958924">
    <w:abstractNumId w:val="13"/>
  </w:num>
  <w:num w:numId="41" w16cid:durableId="161897393">
    <w:abstractNumId w:val="26"/>
  </w:num>
  <w:num w:numId="42" w16cid:durableId="403256329">
    <w:abstractNumId w:val="33"/>
  </w:num>
  <w:num w:numId="43" w16cid:durableId="40594373">
    <w:abstractNumId w:val="29"/>
  </w:num>
  <w:num w:numId="44" w16cid:durableId="1978029179">
    <w:abstractNumId w:val="43"/>
  </w:num>
  <w:num w:numId="45" w16cid:durableId="1336881940">
    <w:abstractNumId w:val="21"/>
  </w:num>
  <w:num w:numId="46" w16cid:durableId="413094644">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W1NLcwNDU3tjSwMDBS0lEKTi0uzszPAykwrAUAw1WeBSwAAAA="/>
  </w:docVars>
  <w:rsids>
    <w:rsidRoot w:val="00BE1377"/>
    <w:rsid w:val="000166E7"/>
    <w:rsid w:val="00026209"/>
    <w:rsid w:val="00030FB9"/>
    <w:rsid w:val="00041265"/>
    <w:rsid w:val="00041941"/>
    <w:rsid w:val="0005395E"/>
    <w:rsid w:val="00060D75"/>
    <w:rsid w:val="000A3601"/>
    <w:rsid w:val="000B1DF1"/>
    <w:rsid w:val="000B2B7E"/>
    <w:rsid w:val="001100EE"/>
    <w:rsid w:val="00156F40"/>
    <w:rsid w:val="00165076"/>
    <w:rsid w:val="00187BEC"/>
    <w:rsid w:val="00194215"/>
    <w:rsid w:val="001A1CD5"/>
    <w:rsid w:val="001B1A79"/>
    <w:rsid w:val="001B317F"/>
    <w:rsid w:val="002022D9"/>
    <w:rsid w:val="00203B4A"/>
    <w:rsid w:val="00214E6E"/>
    <w:rsid w:val="0021542B"/>
    <w:rsid w:val="00220636"/>
    <w:rsid w:val="00225B83"/>
    <w:rsid w:val="00226C1A"/>
    <w:rsid w:val="0023109D"/>
    <w:rsid w:val="00247256"/>
    <w:rsid w:val="00255EFC"/>
    <w:rsid w:val="00264CCA"/>
    <w:rsid w:val="00265697"/>
    <w:rsid w:val="00266CFF"/>
    <w:rsid w:val="00270897"/>
    <w:rsid w:val="00296B95"/>
    <w:rsid w:val="00297F94"/>
    <w:rsid w:val="002A4445"/>
    <w:rsid w:val="002D2F2A"/>
    <w:rsid w:val="002E3185"/>
    <w:rsid w:val="002F61C5"/>
    <w:rsid w:val="003045A3"/>
    <w:rsid w:val="00326301"/>
    <w:rsid w:val="00341FDB"/>
    <w:rsid w:val="003512A0"/>
    <w:rsid w:val="003579ED"/>
    <w:rsid w:val="00366073"/>
    <w:rsid w:val="00377B07"/>
    <w:rsid w:val="00397FFD"/>
    <w:rsid w:val="003A0AE6"/>
    <w:rsid w:val="003A2FD6"/>
    <w:rsid w:val="003A7546"/>
    <w:rsid w:val="003B31B8"/>
    <w:rsid w:val="003F3B3E"/>
    <w:rsid w:val="003F7795"/>
    <w:rsid w:val="004147B3"/>
    <w:rsid w:val="0043072A"/>
    <w:rsid w:val="004351FB"/>
    <w:rsid w:val="004431B9"/>
    <w:rsid w:val="0045045E"/>
    <w:rsid w:val="00467FD7"/>
    <w:rsid w:val="00480BEA"/>
    <w:rsid w:val="00494FF9"/>
    <w:rsid w:val="004B2CE6"/>
    <w:rsid w:val="004C0BF4"/>
    <w:rsid w:val="004D4413"/>
    <w:rsid w:val="004E0DD6"/>
    <w:rsid w:val="004E1958"/>
    <w:rsid w:val="004F4B7A"/>
    <w:rsid w:val="004F71A0"/>
    <w:rsid w:val="005062D2"/>
    <w:rsid w:val="00522BD4"/>
    <w:rsid w:val="00522C5A"/>
    <w:rsid w:val="00540FEB"/>
    <w:rsid w:val="005736D0"/>
    <w:rsid w:val="0057589D"/>
    <w:rsid w:val="005773DB"/>
    <w:rsid w:val="00591F5C"/>
    <w:rsid w:val="005A7FC9"/>
    <w:rsid w:val="005F2249"/>
    <w:rsid w:val="00617C48"/>
    <w:rsid w:val="00632149"/>
    <w:rsid w:val="00636AC6"/>
    <w:rsid w:val="00644434"/>
    <w:rsid w:val="00650521"/>
    <w:rsid w:val="006507C7"/>
    <w:rsid w:val="006519BC"/>
    <w:rsid w:val="00652376"/>
    <w:rsid w:val="006747F2"/>
    <w:rsid w:val="0068677A"/>
    <w:rsid w:val="00697B9F"/>
    <w:rsid w:val="006B5FA7"/>
    <w:rsid w:val="006C24FE"/>
    <w:rsid w:val="006C5CD2"/>
    <w:rsid w:val="006C7678"/>
    <w:rsid w:val="006D05F8"/>
    <w:rsid w:val="006E3387"/>
    <w:rsid w:val="007125C3"/>
    <w:rsid w:val="007246E9"/>
    <w:rsid w:val="007337B3"/>
    <w:rsid w:val="00755006"/>
    <w:rsid w:val="007845A0"/>
    <w:rsid w:val="007A4F54"/>
    <w:rsid w:val="007A5000"/>
    <w:rsid w:val="007B2B89"/>
    <w:rsid w:val="007B7F11"/>
    <w:rsid w:val="007D66A8"/>
    <w:rsid w:val="007E2163"/>
    <w:rsid w:val="007F6C7F"/>
    <w:rsid w:val="00815D32"/>
    <w:rsid w:val="0082261E"/>
    <w:rsid w:val="00825AB9"/>
    <w:rsid w:val="00835F9B"/>
    <w:rsid w:val="00843F3B"/>
    <w:rsid w:val="00864E2A"/>
    <w:rsid w:val="008B2FCE"/>
    <w:rsid w:val="008D5A32"/>
    <w:rsid w:val="008E4317"/>
    <w:rsid w:val="00921010"/>
    <w:rsid w:val="00923607"/>
    <w:rsid w:val="00924A7F"/>
    <w:rsid w:val="00937374"/>
    <w:rsid w:val="009959A4"/>
    <w:rsid w:val="009B45C5"/>
    <w:rsid w:val="00A00C87"/>
    <w:rsid w:val="00A01A46"/>
    <w:rsid w:val="00A12A83"/>
    <w:rsid w:val="00A13029"/>
    <w:rsid w:val="00A1577E"/>
    <w:rsid w:val="00A20611"/>
    <w:rsid w:val="00A35E53"/>
    <w:rsid w:val="00A473DE"/>
    <w:rsid w:val="00A55415"/>
    <w:rsid w:val="00A57BDD"/>
    <w:rsid w:val="00A60230"/>
    <w:rsid w:val="00A61FA3"/>
    <w:rsid w:val="00A6554D"/>
    <w:rsid w:val="00A82E97"/>
    <w:rsid w:val="00A904FA"/>
    <w:rsid w:val="00A95B05"/>
    <w:rsid w:val="00AA6A49"/>
    <w:rsid w:val="00AA6FD6"/>
    <w:rsid w:val="00AB4084"/>
    <w:rsid w:val="00AC2385"/>
    <w:rsid w:val="00AD2881"/>
    <w:rsid w:val="00B12FA3"/>
    <w:rsid w:val="00B212D8"/>
    <w:rsid w:val="00B2470F"/>
    <w:rsid w:val="00B25BF8"/>
    <w:rsid w:val="00B26D8A"/>
    <w:rsid w:val="00B57146"/>
    <w:rsid w:val="00B75F90"/>
    <w:rsid w:val="00B76B0D"/>
    <w:rsid w:val="00B85C1C"/>
    <w:rsid w:val="00B8708C"/>
    <w:rsid w:val="00B910D9"/>
    <w:rsid w:val="00BA22A1"/>
    <w:rsid w:val="00BA2D86"/>
    <w:rsid w:val="00BA4BCC"/>
    <w:rsid w:val="00BD71F8"/>
    <w:rsid w:val="00BE1377"/>
    <w:rsid w:val="00BE2B3A"/>
    <w:rsid w:val="00BE7B8B"/>
    <w:rsid w:val="00BF18DB"/>
    <w:rsid w:val="00C12322"/>
    <w:rsid w:val="00C336C7"/>
    <w:rsid w:val="00C85E3C"/>
    <w:rsid w:val="00C926AE"/>
    <w:rsid w:val="00CC05ED"/>
    <w:rsid w:val="00CE7976"/>
    <w:rsid w:val="00CF5280"/>
    <w:rsid w:val="00D04D69"/>
    <w:rsid w:val="00D13E83"/>
    <w:rsid w:val="00D23A86"/>
    <w:rsid w:val="00D302E5"/>
    <w:rsid w:val="00D552AE"/>
    <w:rsid w:val="00D669D4"/>
    <w:rsid w:val="00D9346C"/>
    <w:rsid w:val="00DD0374"/>
    <w:rsid w:val="00DF44FD"/>
    <w:rsid w:val="00E07769"/>
    <w:rsid w:val="00E1685B"/>
    <w:rsid w:val="00E209B3"/>
    <w:rsid w:val="00E22AE0"/>
    <w:rsid w:val="00E63F2F"/>
    <w:rsid w:val="00E653C8"/>
    <w:rsid w:val="00E854FE"/>
    <w:rsid w:val="00E86FE2"/>
    <w:rsid w:val="00E974EB"/>
    <w:rsid w:val="00EB4F5E"/>
    <w:rsid w:val="00ED45D1"/>
    <w:rsid w:val="00EE2C8E"/>
    <w:rsid w:val="00EF2DAA"/>
    <w:rsid w:val="00EF321F"/>
    <w:rsid w:val="00F20088"/>
    <w:rsid w:val="00F20D33"/>
    <w:rsid w:val="00F2521A"/>
    <w:rsid w:val="00F316CE"/>
    <w:rsid w:val="00F36D57"/>
    <w:rsid w:val="00F5556E"/>
    <w:rsid w:val="00FC32A1"/>
    <w:rsid w:val="00FF20B0"/>
    <w:rsid w:val="00FF66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B0B14"/>
  <w15:chartTrackingRefBased/>
  <w15:docId w15:val="{E1552973-AE9B-4BDC-B2D2-17385214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377"/>
    <w:pPr>
      <w:spacing w:line="259" w:lineRule="auto"/>
      <w:jc w:val="both"/>
    </w:pPr>
    <w:rPr>
      <w:rFonts w:ascii="Calibri" w:hAnsi="Calibri"/>
      <w:sz w:val="22"/>
      <w:szCs w:val="22"/>
      <w:lang w:val="en-GB"/>
    </w:rPr>
  </w:style>
  <w:style w:type="paragraph" w:styleId="Heading1">
    <w:name w:val="heading 1"/>
    <w:basedOn w:val="Normal"/>
    <w:next w:val="Normal"/>
    <w:link w:val="Heading1Char"/>
    <w:uiPriority w:val="9"/>
    <w:qFormat/>
    <w:rsid w:val="00BE1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1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1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1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1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377"/>
    <w:rPr>
      <w:rFonts w:eastAsiaTheme="majorEastAsia" w:cstheme="majorBidi"/>
      <w:color w:val="272727" w:themeColor="text1" w:themeTint="D8"/>
    </w:rPr>
  </w:style>
  <w:style w:type="paragraph" w:styleId="Title">
    <w:name w:val="Title"/>
    <w:basedOn w:val="Normal"/>
    <w:next w:val="Normal"/>
    <w:link w:val="TitleChar"/>
    <w:uiPriority w:val="10"/>
    <w:qFormat/>
    <w:rsid w:val="00BE1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377"/>
    <w:pPr>
      <w:spacing w:before="160"/>
      <w:jc w:val="center"/>
    </w:pPr>
    <w:rPr>
      <w:i/>
      <w:iCs/>
      <w:color w:val="404040" w:themeColor="text1" w:themeTint="BF"/>
    </w:rPr>
  </w:style>
  <w:style w:type="character" w:customStyle="1" w:styleId="QuoteChar">
    <w:name w:val="Quote Char"/>
    <w:basedOn w:val="DefaultParagraphFont"/>
    <w:link w:val="Quote"/>
    <w:uiPriority w:val="29"/>
    <w:rsid w:val="00BE1377"/>
    <w:rPr>
      <w:i/>
      <w:iCs/>
      <w:color w:val="404040" w:themeColor="text1" w:themeTint="BF"/>
    </w:rPr>
  </w:style>
  <w:style w:type="paragraph" w:styleId="ListParagraph">
    <w:name w:val="List Paragraph"/>
    <w:basedOn w:val="Normal"/>
    <w:uiPriority w:val="34"/>
    <w:qFormat/>
    <w:rsid w:val="00BE1377"/>
    <w:pPr>
      <w:ind w:left="720"/>
      <w:contextualSpacing/>
    </w:pPr>
  </w:style>
  <w:style w:type="character" w:styleId="IntenseEmphasis">
    <w:name w:val="Intense Emphasis"/>
    <w:basedOn w:val="DefaultParagraphFont"/>
    <w:uiPriority w:val="21"/>
    <w:qFormat/>
    <w:rsid w:val="00BE1377"/>
    <w:rPr>
      <w:i/>
      <w:iCs/>
      <w:color w:val="0F4761" w:themeColor="accent1" w:themeShade="BF"/>
    </w:rPr>
  </w:style>
  <w:style w:type="paragraph" w:styleId="IntenseQuote">
    <w:name w:val="Intense Quote"/>
    <w:basedOn w:val="Normal"/>
    <w:next w:val="Normal"/>
    <w:link w:val="IntenseQuoteChar"/>
    <w:uiPriority w:val="30"/>
    <w:qFormat/>
    <w:rsid w:val="00BE1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377"/>
    <w:rPr>
      <w:i/>
      <w:iCs/>
      <w:color w:val="0F4761" w:themeColor="accent1" w:themeShade="BF"/>
    </w:rPr>
  </w:style>
  <w:style w:type="character" w:styleId="IntenseReference">
    <w:name w:val="Intense Reference"/>
    <w:basedOn w:val="DefaultParagraphFont"/>
    <w:uiPriority w:val="32"/>
    <w:qFormat/>
    <w:rsid w:val="00BE1377"/>
    <w:rPr>
      <w:b/>
      <w:bCs/>
      <w:smallCaps/>
      <w:color w:val="0F4761" w:themeColor="accent1" w:themeShade="BF"/>
      <w:spacing w:val="5"/>
    </w:rPr>
  </w:style>
  <w:style w:type="table" w:styleId="PlainTable1">
    <w:name w:val="Plain Table 1"/>
    <w:basedOn w:val="TableNormal"/>
    <w:uiPriority w:val="41"/>
    <w:rsid w:val="00BE1377"/>
    <w:pPr>
      <w:spacing w:after="0" w:line="240" w:lineRule="auto"/>
    </w:pPr>
    <w:rPr>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E1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377"/>
    <w:rPr>
      <w:rFonts w:ascii="Calibri" w:hAnsi="Calibri"/>
      <w:sz w:val="22"/>
      <w:szCs w:val="22"/>
    </w:rPr>
  </w:style>
  <w:style w:type="paragraph" w:styleId="Footer">
    <w:name w:val="footer"/>
    <w:basedOn w:val="Normal"/>
    <w:link w:val="FooterChar"/>
    <w:uiPriority w:val="99"/>
    <w:unhideWhenUsed/>
    <w:rsid w:val="00BE1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377"/>
    <w:rPr>
      <w:rFonts w:ascii="Calibri" w:hAnsi="Calibri"/>
      <w:sz w:val="22"/>
      <w:szCs w:val="22"/>
    </w:rPr>
  </w:style>
  <w:style w:type="paragraph" w:styleId="TOCHeading">
    <w:name w:val="TOC Heading"/>
    <w:basedOn w:val="Heading1"/>
    <w:next w:val="Normal"/>
    <w:uiPriority w:val="39"/>
    <w:unhideWhenUsed/>
    <w:qFormat/>
    <w:rsid w:val="00BE13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BE1377"/>
    <w:pPr>
      <w:spacing w:after="100"/>
      <w:ind w:left="220"/>
    </w:pPr>
  </w:style>
  <w:style w:type="character" w:styleId="Hyperlink">
    <w:name w:val="Hyperlink"/>
    <w:basedOn w:val="DefaultParagraphFont"/>
    <w:uiPriority w:val="99"/>
    <w:unhideWhenUsed/>
    <w:rsid w:val="00BE1377"/>
    <w:rPr>
      <w:color w:val="467886" w:themeColor="hyperlink"/>
      <w:u w:val="single"/>
    </w:rPr>
  </w:style>
  <w:style w:type="table" w:styleId="PlainTable4">
    <w:name w:val="Plain Table 4"/>
    <w:basedOn w:val="TableNormal"/>
    <w:uiPriority w:val="44"/>
    <w:rsid w:val="001A1C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1A1CD5"/>
    <w:pPr>
      <w:spacing w:after="100"/>
      <w:ind w:left="440"/>
    </w:pPr>
  </w:style>
  <w:style w:type="table" w:styleId="GridTable4-Accent4">
    <w:name w:val="Grid Table 4 Accent 4"/>
    <w:basedOn w:val="TableNormal"/>
    <w:uiPriority w:val="49"/>
    <w:rsid w:val="005F2249"/>
    <w:pPr>
      <w:spacing w:after="0" w:line="240" w:lineRule="auto"/>
    </w:pPr>
    <w:rPr>
      <w:sz w:val="22"/>
      <w:szCs w:val="22"/>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A6554D"/>
    <w:rPr>
      <w:b/>
      <w:bCs/>
    </w:rPr>
  </w:style>
  <w:style w:type="character" w:styleId="UnresolvedMention">
    <w:name w:val="Unresolved Mention"/>
    <w:basedOn w:val="DefaultParagraphFont"/>
    <w:uiPriority w:val="99"/>
    <w:semiHidden/>
    <w:unhideWhenUsed/>
    <w:rsid w:val="0005395E"/>
    <w:rPr>
      <w:color w:val="605E5C"/>
      <w:shd w:val="clear" w:color="auto" w:fill="E1DFDD"/>
    </w:rPr>
  </w:style>
  <w:style w:type="paragraph" w:styleId="TOC1">
    <w:name w:val="toc 1"/>
    <w:basedOn w:val="Normal"/>
    <w:next w:val="Normal"/>
    <w:autoRedefine/>
    <w:uiPriority w:val="39"/>
    <w:unhideWhenUsed/>
    <w:rsid w:val="007A4F54"/>
    <w:pPr>
      <w:spacing w:after="100"/>
    </w:pPr>
  </w:style>
  <w:style w:type="paragraph" w:styleId="NormalWeb">
    <w:name w:val="Normal (Web)"/>
    <w:basedOn w:val="Normal"/>
    <w:uiPriority w:val="99"/>
    <w:semiHidden/>
    <w:unhideWhenUsed/>
    <w:rsid w:val="00A473DE"/>
    <w:rPr>
      <w:rFonts w:ascii="Times New Roman" w:hAnsi="Times New Roman" w:cs="Times New Roman"/>
      <w:sz w:val="24"/>
      <w:szCs w:val="24"/>
    </w:rPr>
  </w:style>
  <w:style w:type="table" w:styleId="TableGrid">
    <w:name w:val="Table Grid"/>
    <w:basedOn w:val="TableNormal"/>
    <w:uiPriority w:val="39"/>
    <w:rsid w:val="00A9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550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FF20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4246">
      <w:bodyDiv w:val="1"/>
      <w:marLeft w:val="0"/>
      <w:marRight w:val="0"/>
      <w:marTop w:val="0"/>
      <w:marBottom w:val="0"/>
      <w:divBdr>
        <w:top w:val="none" w:sz="0" w:space="0" w:color="auto"/>
        <w:left w:val="none" w:sz="0" w:space="0" w:color="auto"/>
        <w:bottom w:val="none" w:sz="0" w:space="0" w:color="auto"/>
        <w:right w:val="none" w:sz="0" w:space="0" w:color="auto"/>
      </w:divBdr>
    </w:div>
    <w:div w:id="68308381">
      <w:bodyDiv w:val="1"/>
      <w:marLeft w:val="0"/>
      <w:marRight w:val="0"/>
      <w:marTop w:val="0"/>
      <w:marBottom w:val="0"/>
      <w:divBdr>
        <w:top w:val="none" w:sz="0" w:space="0" w:color="auto"/>
        <w:left w:val="none" w:sz="0" w:space="0" w:color="auto"/>
        <w:bottom w:val="none" w:sz="0" w:space="0" w:color="auto"/>
        <w:right w:val="none" w:sz="0" w:space="0" w:color="auto"/>
      </w:divBdr>
    </w:div>
    <w:div w:id="95760069">
      <w:bodyDiv w:val="1"/>
      <w:marLeft w:val="0"/>
      <w:marRight w:val="0"/>
      <w:marTop w:val="0"/>
      <w:marBottom w:val="0"/>
      <w:divBdr>
        <w:top w:val="none" w:sz="0" w:space="0" w:color="auto"/>
        <w:left w:val="none" w:sz="0" w:space="0" w:color="auto"/>
        <w:bottom w:val="none" w:sz="0" w:space="0" w:color="auto"/>
        <w:right w:val="none" w:sz="0" w:space="0" w:color="auto"/>
      </w:divBdr>
    </w:div>
    <w:div w:id="125856885">
      <w:bodyDiv w:val="1"/>
      <w:marLeft w:val="0"/>
      <w:marRight w:val="0"/>
      <w:marTop w:val="0"/>
      <w:marBottom w:val="0"/>
      <w:divBdr>
        <w:top w:val="none" w:sz="0" w:space="0" w:color="auto"/>
        <w:left w:val="none" w:sz="0" w:space="0" w:color="auto"/>
        <w:bottom w:val="none" w:sz="0" w:space="0" w:color="auto"/>
        <w:right w:val="none" w:sz="0" w:space="0" w:color="auto"/>
      </w:divBdr>
    </w:div>
    <w:div w:id="145708778">
      <w:bodyDiv w:val="1"/>
      <w:marLeft w:val="0"/>
      <w:marRight w:val="0"/>
      <w:marTop w:val="0"/>
      <w:marBottom w:val="0"/>
      <w:divBdr>
        <w:top w:val="none" w:sz="0" w:space="0" w:color="auto"/>
        <w:left w:val="none" w:sz="0" w:space="0" w:color="auto"/>
        <w:bottom w:val="none" w:sz="0" w:space="0" w:color="auto"/>
        <w:right w:val="none" w:sz="0" w:space="0" w:color="auto"/>
      </w:divBdr>
    </w:div>
    <w:div w:id="149636045">
      <w:bodyDiv w:val="1"/>
      <w:marLeft w:val="0"/>
      <w:marRight w:val="0"/>
      <w:marTop w:val="0"/>
      <w:marBottom w:val="0"/>
      <w:divBdr>
        <w:top w:val="none" w:sz="0" w:space="0" w:color="auto"/>
        <w:left w:val="none" w:sz="0" w:space="0" w:color="auto"/>
        <w:bottom w:val="none" w:sz="0" w:space="0" w:color="auto"/>
        <w:right w:val="none" w:sz="0" w:space="0" w:color="auto"/>
      </w:divBdr>
    </w:div>
    <w:div w:id="177278459">
      <w:bodyDiv w:val="1"/>
      <w:marLeft w:val="0"/>
      <w:marRight w:val="0"/>
      <w:marTop w:val="0"/>
      <w:marBottom w:val="0"/>
      <w:divBdr>
        <w:top w:val="none" w:sz="0" w:space="0" w:color="auto"/>
        <w:left w:val="none" w:sz="0" w:space="0" w:color="auto"/>
        <w:bottom w:val="none" w:sz="0" w:space="0" w:color="auto"/>
        <w:right w:val="none" w:sz="0" w:space="0" w:color="auto"/>
      </w:divBdr>
    </w:div>
    <w:div w:id="192422552">
      <w:bodyDiv w:val="1"/>
      <w:marLeft w:val="0"/>
      <w:marRight w:val="0"/>
      <w:marTop w:val="0"/>
      <w:marBottom w:val="0"/>
      <w:divBdr>
        <w:top w:val="none" w:sz="0" w:space="0" w:color="auto"/>
        <w:left w:val="none" w:sz="0" w:space="0" w:color="auto"/>
        <w:bottom w:val="none" w:sz="0" w:space="0" w:color="auto"/>
        <w:right w:val="none" w:sz="0" w:space="0" w:color="auto"/>
      </w:divBdr>
    </w:div>
    <w:div w:id="197355760">
      <w:bodyDiv w:val="1"/>
      <w:marLeft w:val="0"/>
      <w:marRight w:val="0"/>
      <w:marTop w:val="0"/>
      <w:marBottom w:val="0"/>
      <w:divBdr>
        <w:top w:val="none" w:sz="0" w:space="0" w:color="auto"/>
        <w:left w:val="none" w:sz="0" w:space="0" w:color="auto"/>
        <w:bottom w:val="none" w:sz="0" w:space="0" w:color="auto"/>
        <w:right w:val="none" w:sz="0" w:space="0" w:color="auto"/>
      </w:divBdr>
    </w:div>
    <w:div w:id="206111147">
      <w:bodyDiv w:val="1"/>
      <w:marLeft w:val="0"/>
      <w:marRight w:val="0"/>
      <w:marTop w:val="0"/>
      <w:marBottom w:val="0"/>
      <w:divBdr>
        <w:top w:val="none" w:sz="0" w:space="0" w:color="auto"/>
        <w:left w:val="none" w:sz="0" w:space="0" w:color="auto"/>
        <w:bottom w:val="none" w:sz="0" w:space="0" w:color="auto"/>
        <w:right w:val="none" w:sz="0" w:space="0" w:color="auto"/>
      </w:divBdr>
    </w:div>
    <w:div w:id="258024329">
      <w:bodyDiv w:val="1"/>
      <w:marLeft w:val="0"/>
      <w:marRight w:val="0"/>
      <w:marTop w:val="0"/>
      <w:marBottom w:val="0"/>
      <w:divBdr>
        <w:top w:val="none" w:sz="0" w:space="0" w:color="auto"/>
        <w:left w:val="none" w:sz="0" w:space="0" w:color="auto"/>
        <w:bottom w:val="none" w:sz="0" w:space="0" w:color="auto"/>
        <w:right w:val="none" w:sz="0" w:space="0" w:color="auto"/>
      </w:divBdr>
    </w:div>
    <w:div w:id="268468191">
      <w:bodyDiv w:val="1"/>
      <w:marLeft w:val="0"/>
      <w:marRight w:val="0"/>
      <w:marTop w:val="0"/>
      <w:marBottom w:val="0"/>
      <w:divBdr>
        <w:top w:val="none" w:sz="0" w:space="0" w:color="auto"/>
        <w:left w:val="none" w:sz="0" w:space="0" w:color="auto"/>
        <w:bottom w:val="none" w:sz="0" w:space="0" w:color="auto"/>
        <w:right w:val="none" w:sz="0" w:space="0" w:color="auto"/>
      </w:divBdr>
    </w:div>
    <w:div w:id="268973679">
      <w:bodyDiv w:val="1"/>
      <w:marLeft w:val="0"/>
      <w:marRight w:val="0"/>
      <w:marTop w:val="0"/>
      <w:marBottom w:val="0"/>
      <w:divBdr>
        <w:top w:val="none" w:sz="0" w:space="0" w:color="auto"/>
        <w:left w:val="none" w:sz="0" w:space="0" w:color="auto"/>
        <w:bottom w:val="none" w:sz="0" w:space="0" w:color="auto"/>
        <w:right w:val="none" w:sz="0" w:space="0" w:color="auto"/>
      </w:divBdr>
    </w:div>
    <w:div w:id="337661329">
      <w:bodyDiv w:val="1"/>
      <w:marLeft w:val="0"/>
      <w:marRight w:val="0"/>
      <w:marTop w:val="0"/>
      <w:marBottom w:val="0"/>
      <w:divBdr>
        <w:top w:val="none" w:sz="0" w:space="0" w:color="auto"/>
        <w:left w:val="none" w:sz="0" w:space="0" w:color="auto"/>
        <w:bottom w:val="none" w:sz="0" w:space="0" w:color="auto"/>
        <w:right w:val="none" w:sz="0" w:space="0" w:color="auto"/>
      </w:divBdr>
    </w:div>
    <w:div w:id="338436711">
      <w:bodyDiv w:val="1"/>
      <w:marLeft w:val="0"/>
      <w:marRight w:val="0"/>
      <w:marTop w:val="0"/>
      <w:marBottom w:val="0"/>
      <w:divBdr>
        <w:top w:val="none" w:sz="0" w:space="0" w:color="auto"/>
        <w:left w:val="none" w:sz="0" w:space="0" w:color="auto"/>
        <w:bottom w:val="none" w:sz="0" w:space="0" w:color="auto"/>
        <w:right w:val="none" w:sz="0" w:space="0" w:color="auto"/>
      </w:divBdr>
    </w:div>
    <w:div w:id="379474852">
      <w:bodyDiv w:val="1"/>
      <w:marLeft w:val="0"/>
      <w:marRight w:val="0"/>
      <w:marTop w:val="0"/>
      <w:marBottom w:val="0"/>
      <w:divBdr>
        <w:top w:val="none" w:sz="0" w:space="0" w:color="auto"/>
        <w:left w:val="none" w:sz="0" w:space="0" w:color="auto"/>
        <w:bottom w:val="none" w:sz="0" w:space="0" w:color="auto"/>
        <w:right w:val="none" w:sz="0" w:space="0" w:color="auto"/>
      </w:divBdr>
    </w:div>
    <w:div w:id="525289765">
      <w:bodyDiv w:val="1"/>
      <w:marLeft w:val="0"/>
      <w:marRight w:val="0"/>
      <w:marTop w:val="0"/>
      <w:marBottom w:val="0"/>
      <w:divBdr>
        <w:top w:val="none" w:sz="0" w:space="0" w:color="auto"/>
        <w:left w:val="none" w:sz="0" w:space="0" w:color="auto"/>
        <w:bottom w:val="none" w:sz="0" w:space="0" w:color="auto"/>
        <w:right w:val="none" w:sz="0" w:space="0" w:color="auto"/>
      </w:divBdr>
    </w:div>
    <w:div w:id="527185204">
      <w:bodyDiv w:val="1"/>
      <w:marLeft w:val="0"/>
      <w:marRight w:val="0"/>
      <w:marTop w:val="0"/>
      <w:marBottom w:val="0"/>
      <w:divBdr>
        <w:top w:val="none" w:sz="0" w:space="0" w:color="auto"/>
        <w:left w:val="none" w:sz="0" w:space="0" w:color="auto"/>
        <w:bottom w:val="none" w:sz="0" w:space="0" w:color="auto"/>
        <w:right w:val="none" w:sz="0" w:space="0" w:color="auto"/>
      </w:divBdr>
    </w:div>
    <w:div w:id="543060457">
      <w:bodyDiv w:val="1"/>
      <w:marLeft w:val="0"/>
      <w:marRight w:val="0"/>
      <w:marTop w:val="0"/>
      <w:marBottom w:val="0"/>
      <w:divBdr>
        <w:top w:val="none" w:sz="0" w:space="0" w:color="auto"/>
        <w:left w:val="none" w:sz="0" w:space="0" w:color="auto"/>
        <w:bottom w:val="none" w:sz="0" w:space="0" w:color="auto"/>
        <w:right w:val="none" w:sz="0" w:space="0" w:color="auto"/>
      </w:divBdr>
    </w:div>
    <w:div w:id="588317921">
      <w:bodyDiv w:val="1"/>
      <w:marLeft w:val="0"/>
      <w:marRight w:val="0"/>
      <w:marTop w:val="0"/>
      <w:marBottom w:val="0"/>
      <w:divBdr>
        <w:top w:val="none" w:sz="0" w:space="0" w:color="auto"/>
        <w:left w:val="none" w:sz="0" w:space="0" w:color="auto"/>
        <w:bottom w:val="none" w:sz="0" w:space="0" w:color="auto"/>
        <w:right w:val="none" w:sz="0" w:space="0" w:color="auto"/>
      </w:divBdr>
    </w:div>
    <w:div w:id="663750371">
      <w:bodyDiv w:val="1"/>
      <w:marLeft w:val="0"/>
      <w:marRight w:val="0"/>
      <w:marTop w:val="0"/>
      <w:marBottom w:val="0"/>
      <w:divBdr>
        <w:top w:val="none" w:sz="0" w:space="0" w:color="auto"/>
        <w:left w:val="none" w:sz="0" w:space="0" w:color="auto"/>
        <w:bottom w:val="none" w:sz="0" w:space="0" w:color="auto"/>
        <w:right w:val="none" w:sz="0" w:space="0" w:color="auto"/>
      </w:divBdr>
    </w:div>
    <w:div w:id="663971206">
      <w:bodyDiv w:val="1"/>
      <w:marLeft w:val="0"/>
      <w:marRight w:val="0"/>
      <w:marTop w:val="0"/>
      <w:marBottom w:val="0"/>
      <w:divBdr>
        <w:top w:val="none" w:sz="0" w:space="0" w:color="auto"/>
        <w:left w:val="none" w:sz="0" w:space="0" w:color="auto"/>
        <w:bottom w:val="none" w:sz="0" w:space="0" w:color="auto"/>
        <w:right w:val="none" w:sz="0" w:space="0" w:color="auto"/>
      </w:divBdr>
    </w:div>
    <w:div w:id="670446897">
      <w:bodyDiv w:val="1"/>
      <w:marLeft w:val="0"/>
      <w:marRight w:val="0"/>
      <w:marTop w:val="0"/>
      <w:marBottom w:val="0"/>
      <w:divBdr>
        <w:top w:val="none" w:sz="0" w:space="0" w:color="auto"/>
        <w:left w:val="none" w:sz="0" w:space="0" w:color="auto"/>
        <w:bottom w:val="none" w:sz="0" w:space="0" w:color="auto"/>
        <w:right w:val="none" w:sz="0" w:space="0" w:color="auto"/>
      </w:divBdr>
    </w:div>
    <w:div w:id="675883480">
      <w:bodyDiv w:val="1"/>
      <w:marLeft w:val="0"/>
      <w:marRight w:val="0"/>
      <w:marTop w:val="0"/>
      <w:marBottom w:val="0"/>
      <w:divBdr>
        <w:top w:val="none" w:sz="0" w:space="0" w:color="auto"/>
        <w:left w:val="none" w:sz="0" w:space="0" w:color="auto"/>
        <w:bottom w:val="none" w:sz="0" w:space="0" w:color="auto"/>
        <w:right w:val="none" w:sz="0" w:space="0" w:color="auto"/>
      </w:divBdr>
    </w:div>
    <w:div w:id="691536441">
      <w:bodyDiv w:val="1"/>
      <w:marLeft w:val="0"/>
      <w:marRight w:val="0"/>
      <w:marTop w:val="0"/>
      <w:marBottom w:val="0"/>
      <w:divBdr>
        <w:top w:val="none" w:sz="0" w:space="0" w:color="auto"/>
        <w:left w:val="none" w:sz="0" w:space="0" w:color="auto"/>
        <w:bottom w:val="none" w:sz="0" w:space="0" w:color="auto"/>
        <w:right w:val="none" w:sz="0" w:space="0" w:color="auto"/>
      </w:divBdr>
    </w:div>
    <w:div w:id="700519833">
      <w:bodyDiv w:val="1"/>
      <w:marLeft w:val="0"/>
      <w:marRight w:val="0"/>
      <w:marTop w:val="0"/>
      <w:marBottom w:val="0"/>
      <w:divBdr>
        <w:top w:val="none" w:sz="0" w:space="0" w:color="auto"/>
        <w:left w:val="none" w:sz="0" w:space="0" w:color="auto"/>
        <w:bottom w:val="none" w:sz="0" w:space="0" w:color="auto"/>
        <w:right w:val="none" w:sz="0" w:space="0" w:color="auto"/>
      </w:divBdr>
    </w:div>
    <w:div w:id="764109616">
      <w:bodyDiv w:val="1"/>
      <w:marLeft w:val="0"/>
      <w:marRight w:val="0"/>
      <w:marTop w:val="0"/>
      <w:marBottom w:val="0"/>
      <w:divBdr>
        <w:top w:val="none" w:sz="0" w:space="0" w:color="auto"/>
        <w:left w:val="none" w:sz="0" w:space="0" w:color="auto"/>
        <w:bottom w:val="none" w:sz="0" w:space="0" w:color="auto"/>
        <w:right w:val="none" w:sz="0" w:space="0" w:color="auto"/>
      </w:divBdr>
    </w:div>
    <w:div w:id="801194635">
      <w:bodyDiv w:val="1"/>
      <w:marLeft w:val="0"/>
      <w:marRight w:val="0"/>
      <w:marTop w:val="0"/>
      <w:marBottom w:val="0"/>
      <w:divBdr>
        <w:top w:val="none" w:sz="0" w:space="0" w:color="auto"/>
        <w:left w:val="none" w:sz="0" w:space="0" w:color="auto"/>
        <w:bottom w:val="none" w:sz="0" w:space="0" w:color="auto"/>
        <w:right w:val="none" w:sz="0" w:space="0" w:color="auto"/>
      </w:divBdr>
      <w:divsChild>
        <w:div w:id="105857210">
          <w:marLeft w:val="0"/>
          <w:marRight w:val="0"/>
          <w:marTop w:val="0"/>
          <w:marBottom w:val="0"/>
          <w:divBdr>
            <w:top w:val="none" w:sz="0" w:space="0" w:color="auto"/>
            <w:left w:val="none" w:sz="0" w:space="0" w:color="auto"/>
            <w:bottom w:val="none" w:sz="0" w:space="0" w:color="auto"/>
            <w:right w:val="none" w:sz="0" w:space="0" w:color="auto"/>
          </w:divBdr>
          <w:divsChild>
            <w:div w:id="195821585">
              <w:marLeft w:val="0"/>
              <w:marRight w:val="0"/>
              <w:marTop w:val="0"/>
              <w:marBottom w:val="0"/>
              <w:divBdr>
                <w:top w:val="none" w:sz="0" w:space="0" w:color="auto"/>
                <w:left w:val="none" w:sz="0" w:space="0" w:color="auto"/>
                <w:bottom w:val="none" w:sz="0" w:space="0" w:color="auto"/>
                <w:right w:val="none" w:sz="0" w:space="0" w:color="auto"/>
              </w:divBdr>
              <w:divsChild>
                <w:div w:id="1744597324">
                  <w:marLeft w:val="0"/>
                  <w:marRight w:val="0"/>
                  <w:marTop w:val="0"/>
                  <w:marBottom w:val="0"/>
                  <w:divBdr>
                    <w:top w:val="none" w:sz="0" w:space="0" w:color="auto"/>
                    <w:left w:val="none" w:sz="0" w:space="0" w:color="auto"/>
                    <w:bottom w:val="none" w:sz="0" w:space="0" w:color="auto"/>
                    <w:right w:val="none" w:sz="0" w:space="0" w:color="auto"/>
                  </w:divBdr>
                  <w:divsChild>
                    <w:div w:id="363361027">
                      <w:marLeft w:val="0"/>
                      <w:marRight w:val="0"/>
                      <w:marTop w:val="0"/>
                      <w:marBottom w:val="0"/>
                      <w:divBdr>
                        <w:top w:val="none" w:sz="0" w:space="0" w:color="auto"/>
                        <w:left w:val="none" w:sz="0" w:space="0" w:color="auto"/>
                        <w:bottom w:val="none" w:sz="0" w:space="0" w:color="auto"/>
                        <w:right w:val="none" w:sz="0" w:space="0" w:color="auto"/>
                      </w:divBdr>
                      <w:divsChild>
                        <w:div w:id="1743410846">
                          <w:marLeft w:val="0"/>
                          <w:marRight w:val="0"/>
                          <w:marTop w:val="0"/>
                          <w:marBottom w:val="0"/>
                          <w:divBdr>
                            <w:top w:val="none" w:sz="0" w:space="0" w:color="auto"/>
                            <w:left w:val="none" w:sz="0" w:space="0" w:color="auto"/>
                            <w:bottom w:val="none" w:sz="0" w:space="0" w:color="auto"/>
                            <w:right w:val="none" w:sz="0" w:space="0" w:color="auto"/>
                          </w:divBdr>
                          <w:divsChild>
                            <w:div w:id="5016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372742">
      <w:bodyDiv w:val="1"/>
      <w:marLeft w:val="0"/>
      <w:marRight w:val="0"/>
      <w:marTop w:val="0"/>
      <w:marBottom w:val="0"/>
      <w:divBdr>
        <w:top w:val="none" w:sz="0" w:space="0" w:color="auto"/>
        <w:left w:val="none" w:sz="0" w:space="0" w:color="auto"/>
        <w:bottom w:val="none" w:sz="0" w:space="0" w:color="auto"/>
        <w:right w:val="none" w:sz="0" w:space="0" w:color="auto"/>
      </w:divBdr>
    </w:div>
    <w:div w:id="850874423">
      <w:bodyDiv w:val="1"/>
      <w:marLeft w:val="0"/>
      <w:marRight w:val="0"/>
      <w:marTop w:val="0"/>
      <w:marBottom w:val="0"/>
      <w:divBdr>
        <w:top w:val="none" w:sz="0" w:space="0" w:color="auto"/>
        <w:left w:val="none" w:sz="0" w:space="0" w:color="auto"/>
        <w:bottom w:val="none" w:sz="0" w:space="0" w:color="auto"/>
        <w:right w:val="none" w:sz="0" w:space="0" w:color="auto"/>
      </w:divBdr>
    </w:div>
    <w:div w:id="882059700">
      <w:bodyDiv w:val="1"/>
      <w:marLeft w:val="0"/>
      <w:marRight w:val="0"/>
      <w:marTop w:val="0"/>
      <w:marBottom w:val="0"/>
      <w:divBdr>
        <w:top w:val="none" w:sz="0" w:space="0" w:color="auto"/>
        <w:left w:val="none" w:sz="0" w:space="0" w:color="auto"/>
        <w:bottom w:val="none" w:sz="0" w:space="0" w:color="auto"/>
        <w:right w:val="none" w:sz="0" w:space="0" w:color="auto"/>
      </w:divBdr>
    </w:div>
    <w:div w:id="885484713">
      <w:bodyDiv w:val="1"/>
      <w:marLeft w:val="0"/>
      <w:marRight w:val="0"/>
      <w:marTop w:val="0"/>
      <w:marBottom w:val="0"/>
      <w:divBdr>
        <w:top w:val="none" w:sz="0" w:space="0" w:color="auto"/>
        <w:left w:val="none" w:sz="0" w:space="0" w:color="auto"/>
        <w:bottom w:val="none" w:sz="0" w:space="0" w:color="auto"/>
        <w:right w:val="none" w:sz="0" w:space="0" w:color="auto"/>
      </w:divBdr>
    </w:div>
    <w:div w:id="886795124">
      <w:bodyDiv w:val="1"/>
      <w:marLeft w:val="0"/>
      <w:marRight w:val="0"/>
      <w:marTop w:val="0"/>
      <w:marBottom w:val="0"/>
      <w:divBdr>
        <w:top w:val="none" w:sz="0" w:space="0" w:color="auto"/>
        <w:left w:val="none" w:sz="0" w:space="0" w:color="auto"/>
        <w:bottom w:val="none" w:sz="0" w:space="0" w:color="auto"/>
        <w:right w:val="none" w:sz="0" w:space="0" w:color="auto"/>
      </w:divBdr>
    </w:div>
    <w:div w:id="895700134">
      <w:bodyDiv w:val="1"/>
      <w:marLeft w:val="0"/>
      <w:marRight w:val="0"/>
      <w:marTop w:val="0"/>
      <w:marBottom w:val="0"/>
      <w:divBdr>
        <w:top w:val="none" w:sz="0" w:space="0" w:color="auto"/>
        <w:left w:val="none" w:sz="0" w:space="0" w:color="auto"/>
        <w:bottom w:val="none" w:sz="0" w:space="0" w:color="auto"/>
        <w:right w:val="none" w:sz="0" w:space="0" w:color="auto"/>
      </w:divBdr>
    </w:div>
    <w:div w:id="936710921">
      <w:bodyDiv w:val="1"/>
      <w:marLeft w:val="0"/>
      <w:marRight w:val="0"/>
      <w:marTop w:val="0"/>
      <w:marBottom w:val="0"/>
      <w:divBdr>
        <w:top w:val="none" w:sz="0" w:space="0" w:color="auto"/>
        <w:left w:val="none" w:sz="0" w:space="0" w:color="auto"/>
        <w:bottom w:val="none" w:sz="0" w:space="0" w:color="auto"/>
        <w:right w:val="none" w:sz="0" w:space="0" w:color="auto"/>
      </w:divBdr>
    </w:div>
    <w:div w:id="948270647">
      <w:bodyDiv w:val="1"/>
      <w:marLeft w:val="0"/>
      <w:marRight w:val="0"/>
      <w:marTop w:val="0"/>
      <w:marBottom w:val="0"/>
      <w:divBdr>
        <w:top w:val="none" w:sz="0" w:space="0" w:color="auto"/>
        <w:left w:val="none" w:sz="0" w:space="0" w:color="auto"/>
        <w:bottom w:val="none" w:sz="0" w:space="0" w:color="auto"/>
        <w:right w:val="none" w:sz="0" w:space="0" w:color="auto"/>
      </w:divBdr>
    </w:div>
    <w:div w:id="959872984">
      <w:bodyDiv w:val="1"/>
      <w:marLeft w:val="0"/>
      <w:marRight w:val="0"/>
      <w:marTop w:val="0"/>
      <w:marBottom w:val="0"/>
      <w:divBdr>
        <w:top w:val="none" w:sz="0" w:space="0" w:color="auto"/>
        <w:left w:val="none" w:sz="0" w:space="0" w:color="auto"/>
        <w:bottom w:val="none" w:sz="0" w:space="0" w:color="auto"/>
        <w:right w:val="none" w:sz="0" w:space="0" w:color="auto"/>
      </w:divBdr>
    </w:div>
    <w:div w:id="976955194">
      <w:bodyDiv w:val="1"/>
      <w:marLeft w:val="0"/>
      <w:marRight w:val="0"/>
      <w:marTop w:val="0"/>
      <w:marBottom w:val="0"/>
      <w:divBdr>
        <w:top w:val="none" w:sz="0" w:space="0" w:color="auto"/>
        <w:left w:val="none" w:sz="0" w:space="0" w:color="auto"/>
        <w:bottom w:val="none" w:sz="0" w:space="0" w:color="auto"/>
        <w:right w:val="none" w:sz="0" w:space="0" w:color="auto"/>
      </w:divBdr>
    </w:div>
    <w:div w:id="990643943">
      <w:bodyDiv w:val="1"/>
      <w:marLeft w:val="0"/>
      <w:marRight w:val="0"/>
      <w:marTop w:val="0"/>
      <w:marBottom w:val="0"/>
      <w:divBdr>
        <w:top w:val="none" w:sz="0" w:space="0" w:color="auto"/>
        <w:left w:val="none" w:sz="0" w:space="0" w:color="auto"/>
        <w:bottom w:val="none" w:sz="0" w:space="0" w:color="auto"/>
        <w:right w:val="none" w:sz="0" w:space="0" w:color="auto"/>
      </w:divBdr>
    </w:div>
    <w:div w:id="1003775293">
      <w:bodyDiv w:val="1"/>
      <w:marLeft w:val="0"/>
      <w:marRight w:val="0"/>
      <w:marTop w:val="0"/>
      <w:marBottom w:val="0"/>
      <w:divBdr>
        <w:top w:val="none" w:sz="0" w:space="0" w:color="auto"/>
        <w:left w:val="none" w:sz="0" w:space="0" w:color="auto"/>
        <w:bottom w:val="none" w:sz="0" w:space="0" w:color="auto"/>
        <w:right w:val="none" w:sz="0" w:space="0" w:color="auto"/>
      </w:divBdr>
    </w:div>
    <w:div w:id="1087658342">
      <w:bodyDiv w:val="1"/>
      <w:marLeft w:val="0"/>
      <w:marRight w:val="0"/>
      <w:marTop w:val="0"/>
      <w:marBottom w:val="0"/>
      <w:divBdr>
        <w:top w:val="none" w:sz="0" w:space="0" w:color="auto"/>
        <w:left w:val="none" w:sz="0" w:space="0" w:color="auto"/>
        <w:bottom w:val="none" w:sz="0" w:space="0" w:color="auto"/>
        <w:right w:val="none" w:sz="0" w:space="0" w:color="auto"/>
      </w:divBdr>
    </w:div>
    <w:div w:id="1132946508">
      <w:bodyDiv w:val="1"/>
      <w:marLeft w:val="0"/>
      <w:marRight w:val="0"/>
      <w:marTop w:val="0"/>
      <w:marBottom w:val="0"/>
      <w:divBdr>
        <w:top w:val="none" w:sz="0" w:space="0" w:color="auto"/>
        <w:left w:val="none" w:sz="0" w:space="0" w:color="auto"/>
        <w:bottom w:val="none" w:sz="0" w:space="0" w:color="auto"/>
        <w:right w:val="none" w:sz="0" w:space="0" w:color="auto"/>
      </w:divBdr>
    </w:div>
    <w:div w:id="1133332232">
      <w:bodyDiv w:val="1"/>
      <w:marLeft w:val="0"/>
      <w:marRight w:val="0"/>
      <w:marTop w:val="0"/>
      <w:marBottom w:val="0"/>
      <w:divBdr>
        <w:top w:val="none" w:sz="0" w:space="0" w:color="auto"/>
        <w:left w:val="none" w:sz="0" w:space="0" w:color="auto"/>
        <w:bottom w:val="none" w:sz="0" w:space="0" w:color="auto"/>
        <w:right w:val="none" w:sz="0" w:space="0" w:color="auto"/>
      </w:divBdr>
    </w:div>
    <w:div w:id="1133523234">
      <w:bodyDiv w:val="1"/>
      <w:marLeft w:val="0"/>
      <w:marRight w:val="0"/>
      <w:marTop w:val="0"/>
      <w:marBottom w:val="0"/>
      <w:divBdr>
        <w:top w:val="none" w:sz="0" w:space="0" w:color="auto"/>
        <w:left w:val="none" w:sz="0" w:space="0" w:color="auto"/>
        <w:bottom w:val="none" w:sz="0" w:space="0" w:color="auto"/>
        <w:right w:val="none" w:sz="0" w:space="0" w:color="auto"/>
      </w:divBdr>
    </w:div>
    <w:div w:id="1173642409">
      <w:bodyDiv w:val="1"/>
      <w:marLeft w:val="0"/>
      <w:marRight w:val="0"/>
      <w:marTop w:val="0"/>
      <w:marBottom w:val="0"/>
      <w:divBdr>
        <w:top w:val="none" w:sz="0" w:space="0" w:color="auto"/>
        <w:left w:val="none" w:sz="0" w:space="0" w:color="auto"/>
        <w:bottom w:val="none" w:sz="0" w:space="0" w:color="auto"/>
        <w:right w:val="none" w:sz="0" w:space="0" w:color="auto"/>
      </w:divBdr>
    </w:div>
    <w:div w:id="1233277212">
      <w:bodyDiv w:val="1"/>
      <w:marLeft w:val="0"/>
      <w:marRight w:val="0"/>
      <w:marTop w:val="0"/>
      <w:marBottom w:val="0"/>
      <w:divBdr>
        <w:top w:val="none" w:sz="0" w:space="0" w:color="auto"/>
        <w:left w:val="none" w:sz="0" w:space="0" w:color="auto"/>
        <w:bottom w:val="none" w:sz="0" w:space="0" w:color="auto"/>
        <w:right w:val="none" w:sz="0" w:space="0" w:color="auto"/>
      </w:divBdr>
    </w:div>
    <w:div w:id="1302491776">
      <w:bodyDiv w:val="1"/>
      <w:marLeft w:val="0"/>
      <w:marRight w:val="0"/>
      <w:marTop w:val="0"/>
      <w:marBottom w:val="0"/>
      <w:divBdr>
        <w:top w:val="none" w:sz="0" w:space="0" w:color="auto"/>
        <w:left w:val="none" w:sz="0" w:space="0" w:color="auto"/>
        <w:bottom w:val="none" w:sz="0" w:space="0" w:color="auto"/>
        <w:right w:val="none" w:sz="0" w:space="0" w:color="auto"/>
      </w:divBdr>
    </w:div>
    <w:div w:id="1310012750">
      <w:bodyDiv w:val="1"/>
      <w:marLeft w:val="0"/>
      <w:marRight w:val="0"/>
      <w:marTop w:val="0"/>
      <w:marBottom w:val="0"/>
      <w:divBdr>
        <w:top w:val="none" w:sz="0" w:space="0" w:color="auto"/>
        <w:left w:val="none" w:sz="0" w:space="0" w:color="auto"/>
        <w:bottom w:val="none" w:sz="0" w:space="0" w:color="auto"/>
        <w:right w:val="none" w:sz="0" w:space="0" w:color="auto"/>
      </w:divBdr>
    </w:div>
    <w:div w:id="1351640543">
      <w:bodyDiv w:val="1"/>
      <w:marLeft w:val="0"/>
      <w:marRight w:val="0"/>
      <w:marTop w:val="0"/>
      <w:marBottom w:val="0"/>
      <w:divBdr>
        <w:top w:val="none" w:sz="0" w:space="0" w:color="auto"/>
        <w:left w:val="none" w:sz="0" w:space="0" w:color="auto"/>
        <w:bottom w:val="none" w:sz="0" w:space="0" w:color="auto"/>
        <w:right w:val="none" w:sz="0" w:space="0" w:color="auto"/>
      </w:divBdr>
    </w:div>
    <w:div w:id="1385374402">
      <w:bodyDiv w:val="1"/>
      <w:marLeft w:val="0"/>
      <w:marRight w:val="0"/>
      <w:marTop w:val="0"/>
      <w:marBottom w:val="0"/>
      <w:divBdr>
        <w:top w:val="none" w:sz="0" w:space="0" w:color="auto"/>
        <w:left w:val="none" w:sz="0" w:space="0" w:color="auto"/>
        <w:bottom w:val="none" w:sz="0" w:space="0" w:color="auto"/>
        <w:right w:val="none" w:sz="0" w:space="0" w:color="auto"/>
      </w:divBdr>
    </w:div>
    <w:div w:id="1410882061">
      <w:bodyDiv w:val="1"/>
      <w:marLeft w:val="0"/>
      <w:marRight w:val="0"/>
      <w:marTop w:val="0"/>
      <w:marBottom w:val="0"/>
      <w:divBdr>
        <w:top w:val="none" w:sz="0" w:space="0" w:color="auto"/>
        <w:left w:val="none" w:sz="0" w:space="0" w:color="auto"/>
        <w:bottom w:val="none" w:sz="0" w:space="0" w:color="auto"/>
        <w:right w:val="none" w:sz="0" w:space="0" w:color="auto"/>
      </w:divBdr>
    </w:div>
    <w:div w:id="1420562741">
      <w:bodyDiv w:val="1"/>
      <w:marLeft w:val="0"/>
      <w:marRight w:val="0"/>
      <w:marTop w:val="0"/>
      <w:marBottom w:val="0"/>
      <w:divBdr>
        <w:top w:val="none" w:sz="0" w:space="0" w:color="auto"/>
        <w:left w:val="none" w:sz="0" w:space="0" w:color="auto"/>
        <w:bottom w:val="none" w:sz="0" w:space="0" w:color="auto"/>
        <w:right w:val="none" w:sz="0" w:space="0" w:color="auto"/>
      </w:divBdr>
    </w:div>
    <w:div w:id="1428234195">
      <w:bodyDiv w:val="1"/>
      <w:marLeft w:val="0"/>
      <w:marRight w:val="0"/>
      <w:marTop w:val="0"/>
      <w:marBottom w:val="0"/>
      <w:divBdr>
        <w:top w:val="none" w:sz="0" w:space="0" w:color="auto"/>
        <w:left w:val="none" w:sz="0" w:space="0" w:color="auto"/>
        <w:bottom w:val="none" w:sz="0" w:space="0" w:color="auto"/>
        <w:right w:val="none" w:sz="0" w:space="0" w:color="auto"/>
      </w:divBdr>
    </w:div>
    <w:div w:id="1457483984">
      <w:bodyDiv w:val="1"/>
      <w:marLeft w:val="0"/>
      <w:marRight w:val="0"/>
      <w:marTop w:val="0"/>
      <w:marBottom w:val="0"/>
      <w:divBdr>
        <w:top w:val="none" w:sz="0" w:space="0" w:color="auto"/>
        <w:left w:val="none" w:sz="0" w:space="0" w:color="auto"/>
        <w:bottom w:val="none" w:sz="0" w:space="0" w:color="auto"/>
        <w:right w:val="none" w:sz="0" w:space="0" w:color="auto"/>
      </w:divBdr>
    </w:div>
    <w:div w:id="1497115275">
      <w:bodyDiv w:val="1"/>
      <w:marLeft w:val="0"/>
      <w:marRight w:val="0"/>
      <w:marTop w:val="0"/>
      <w:marBottom w:val="0"/>
      <w:divBdr>
        <w:top w:val="none" w:sz="0" w:space="0" w:color="auto"/>
        <w:left w:val="none" w:sz="0" w:space="0" w:color="auto"/>
        <w:bottom w:val="none" w:sz="0" w:space="0" w:color="auto"/>
        <w:right w:val="none" w:sz="0" w:space="0" w:color="auto"/>
      </w:divBdr>
    </w:div>
    <w:div w:id="1512723147">
      <w:bodyDiv w:val="1"/>
      <w:marLeft w:val="0"/>
      <w:marRight w:val="0"/>
      <w:marTop w:val="0"/>
      <w:marBottom w:val="0"/>
      <w:divBdr>
        <w:top w:val="none" w:sz="0" w:space="0" w:color="auto"/>
        <w:left w:val="none" w:sz="0" w:space="0" w:color="auto"/>
        <w:bottom w:val="none" w:sz="0" w:space="0" w:color="auto"/>
        <w:right w:val="none" w:sz="0" w:space="0" w:color="auto"/>
      </w:divBdr>
    </w:div>
    <w:div w:id="1524857486">
      <w:bodyDiv w:val="1"/>
      <w:marLeft w:val="0"/>
      <w:marRight w:val="0"/>
      <w:marTop w:val="0"/>
      <w:marBottom w:val="0"/>
      <w:divBdr>
        <w:top w:val="none" w:sz="0" w:space="0" w:color="auto"/>
        <w:left w:val="none" w:sz="0" w:space="0" w:color="auto"/>
        <w:bottom w:val="none" w:sz="0" w:space="0" w:color="auto"/>
        <w:right w:val="none" w:sz="0" w:space="0" w:color="auto"/>
      </w:divBdr>
    </w:div>
    <w:div w:id="1539472077">
      <w:bodyDiv w:val="1"/>
      <w:marLeft w:val="0"/>
      <w:marRight w:val="0"/>
      <w:marTop w:val="0"/>
      <w:marBottom w:val="0"/>
      <w:divBdr>
        <w:top w:val="none" w:sz="0" w:space="0" w:color="auto"/>
        <w:left w:val="none" w:sz="0" w:space="0" w:color="auto"/>
        <w:bottom w:val="none" w:sz="0" w:space="0" w:color="auto"/>
        <w:right w:val="none" w:sz="0" w:space="0" w:color="auto"/>
      </w:divBdr>
    </w:div>
    <w:div w:id="1549419885">
      <w:bodyDiv w:val="1"/>
      <w:marLeft w:val="0"/>
      <w:marRight w:val="0"/>
      <w:marTop w:val="0"/>
      <w:marBottom w:val="0"/>
      <w:divBdr>
        <w:top w:val="none" w:sz="0" w:space="0" w:color="auto"/>
        <w:left w:val="none" w:sz="0" w:space="0" w:color="auto"/>
        <w:bottom w:val="none" w:sz="0" w:space="0" w:color="auto"/>
        <w:right w:val="none" w:sz="0" w:space="0" w:color="auto"/>
      </w:divBdr>
    </w:div>
    <w:div w:id="1550142892">
      <w:bodyDiv w:val="1"/>
      <w:marLeft w:val="0"/>
      <w:marRight w:val="0"/>
      <w:marTop w:val="0"/>
      <w:marBottom w:val="0"/>
      <w:divBdr>
        <w:top w:val="none" w:sz="0" w:space="0" w:color="auto"/>
        <w:left w:val="none" w:sz="0" w:space="0" w:color="auto"/>
        <w:bottom w:val="none" w:sz="0" w:space="0" w:color="auto"/>
        <w:right w:val="none" w:sz="0" w:space="0" w:color="auto"/>
      </w:divBdr>
    </w:div>
    <w:div w:id="1563056248">
      <w:bodyDiv w:val="1"/>
      <w:marLeft w:val="0"/>
      <w:marRight w:val="0"/>
      <w:marTop w:val="0"/>
      <w:marBottom w:val="0"/>
      <w:divBdr>
        <w:top w:val="none" w:sz="0" w:space="0" w:color="auto"/>
        <w:left w:val="none" w:sz="0" w:space="0" w:color="auto"/>
        <w:bottom w:val="none" w:sz="0" w:space="0" w:color="auto"/>
        <w:right w:val="none" w:sz="0" w:space="0" w:color="auto"/>
      </w:divBdr>
    </w:div>
    <w:div w:id="1563370914">
      <w:bodyDiv w:val="1"/>
      <w:marLeft w:val="0"/>
      <w:marRight w:val="0"/>
      <w:marTop w:val="0"/>
      <w:marBottom w:val="0"/>
      <w:divBdr>
        <w:top w:val="none" w:sz="0" w:space="0" w:color="auto"/>
        <w:left w:val="none" w:sz="0" w:space="0" w:color="auto"/>
        <w:bottom w:val="none" w:sz="0" w:space="0" w:color="auto"/>
        <w:right w:val="none" w:sz="0" w:space="0" w:color="auto"/>
      </w:divBdr>
    </w:div>
    <w:div w:id="1575433885">
      <w:bodyDiv w:val="1"/>
      <w:marLeft w:val="0"/>
      <w:marRight w:val="0"/>
      <w:marTop w:val="0"/>
      <w:marBottom w:val="0"/>
      <w:divBdr>
        <w:top w:val="none" w:sz="0" w:space="0" w:color="auto"/>
        <w:left w:val="none" w:sz="0" w:space="0" w:color="auto"/>
        <w:bottom w:val="none" w:sz="0" w:space="0" w:color="auto"/>
        <w:right w:val="none" w:sz="0" w:space="0" w:color="auto"/>
      </w:divBdr>
    </w:div>
    <w:div w:id="1617642715">
      <w:bodyDiv w:val="1"/>
      <w:marLeft w:val="0"/>
      <w:marRight w:val="0"/>
      <w:marTop w:val="0"/>
      <w:marBottom w:val="0"/>
      <w:divBdr>
        <w:top w:val="none" w:sz="0" w:space="0" w:color="auto"/>
        <w:left w:val="none" w:sz="0" w:space="0" w:color="auto"/>
        <w:bottom w:val="none" w:sz="0" w:space="0" w:color="auto"/>
        <w:right w:val="none" w:sz="0" w:space="0" w:color="auto"/>
      </w:divBdr>
    </w:div>
    <w:div w:id="1641379207">
      <w:bodyDiv w:val="1"/>
      <w:marLeft w:val="0"/>
      <w:marRight w:val="0"/>
      <w:marTop w:val="0"/>
      <w:marBottom w:val="0"/>
      <w:divBdr>
        <w:top w:val="none" w:sz="0" w:space="0" w:color="auto"/>
        <w:left w:val="none" w:sz="0" w:space="0" w:color="auto"/>
        <w:bottom w:val="none" w:sz="0" w:space="0" w:color="auto"/>
        <w:right w:val="none" w:sz="0" w:space="0" w:color="auto"/>
      </w:divBdr>
    </w:div>
    <w:div w:id="1684359416">
      <w:bodyDiv w:val="1"/>
      <w:marLeft w:val="0"/>
      <w:marRight w:val="0"/>
      <w:marTop w:val="0"/>
      <w:marBottom w:val="0"/>
      <w:divBdr>
        <w:top w:val="none" w:sz="0" w:space="0" w:color="auto"/>
        <w:left w:val="none" w:sz="0" w:space="0" w:color="auto"/>
        <w:bottom w:val="none" w:sz="0" w:space="0" w:color="auto"/>
        <w:right w:val="none" w:sz="0" w:space="0" w:color="auto"/>
      </w:divBdr>
    </w:div>
    <w:div w:id="1697654444">
      <w:bodyDiv w:val="1"/>
      <w:marLeft w:val="0"/>
      <w:marRight w:val="0"/>
      <w:marTop w:val="0"/>
      <w:marBottom w:val="0"/>
      <w:divBdr>
        <w:top w:val="none" w:sz="0" w:space="0" w:color="auto"/>
        <w:left w:val="none" w:sz="0" w:space="0" w:color="auto"/>
        <w:bottom w:val="none" w:sz="0" w:space="0" w:color="auto"/>
        <w:right w:val="none" w:sz="0" w:space="0" w:color="auto"/>
      </w:divBdr>
    </w:div>
    <w:div w:id="1713849313">
      <w:bodyDiv w:val="1"/>
      <w:marLeft w:val="0"/>
      <w:marRight w:val="0"/>
      <w:marTop w:val="0"/>
      <w:marBottom w:val="0"/>
      <w:divBdr>
        <w:top w:val="none" w:sz="0" w:space="0" w:color="auto"/>
        <w:left w:val="none" w:sz="0" w:space="0" w:color="auto"/>
        <w:bottom w:val="none" w:sz="0" w:space="0" w:color="auto"/>
        <w:right w:val="none" w:sz="0" w:space="0" w:color="auto"/>
      </w:divBdr>
    </w:div>
    <w:div w:id="1724135758">
      <w:bodyDiv w:val="1"/>
      <w:marLeft w:val="0"/>
      <w:marRight w:val="0"/>
      <w:marTop w:val="0"/>
      <w:marBottom w:val="0"/>
      <w:divBdr>
        <w:top w:val="none" w:sz="0" w:space="0" w:color="auto"/>
        <w:left w:val="none" w:sz="0" w:space="0" w:color="auto"/>
        <w:bottom w:val="none" w:sz="0" w:space="0" w:color="auto"/>
        <w:right w:val="none" w:sz="0" w:space="0" w:color="auto"/>
      </w:divBdr>
    </w:div>
    <w:div w:id="1757943638">
      <w:bodyDiv w:val="1"/>
      <w:marLeft w:val="0"/>
      <w:marRight w:val="0"/>
      <w:marTop w:val="0"/>
      <w:marBottom w:val="0"/>
      <w:divBdr>
        <w:top w:val="none" w:sz="0" w:space="0" w:color="auto"/>
        <w:left w:val="none" w:sz="0" w:space="0" w:color="auto"/>
        <w:bottom w:val="none" w:sz="0" w:space="0" w:color="auto"/>
        <w:right w:val="none" w:sz="0" w:space="0" w:color="auto"/>
      </w:divBdr>
    </w:div>
    <w:div w:id="1849127425">
      <w:bodyDiv w:val="1"/>
      <w:marLeft w:val="0"/>
      <w:marRight w:val="0"/>
      <w:marTop w:val="0"/>
      <w:marBottom w:val="0"/>
      <w:divBdr>
        <w:top w:val="none" w:sz="0" w:space="0" w:color="auto"/>
        <w:left w:val="none" w:sz="0" w:space="0" w:color="auto"/>
        <w:bottom w:val="none" w:sz="0" w:space="0" w:color="auto"/>
        <w:right w:val="none" w:sz="0" w:space="0" w:color="auto"/>
      </w:divBdr>
      <w:divsChild>
        <w:div w:id="1783764786">
          <w:marLeft w:val="0"/>
          <w:marRight w:val="0"/>
          <w:marTop w:val="0"/>
          <w:marBottom w:val="0"/>
          <w:divBdr>
            <w:top w:val="none" w:sz="0" w:space="0" w:color="auto"/>
            <w:left w:val="none" w:sz="0" w:space="0" w:color="auto"/>
            <w:bottom w:val="none" w:sz="0" w:space="0" w:color="auto"/>
            <w:right w:val="none" w:sz="0" w:space="0" w:color="auto"/>
          </w:divBdr>
          <w:divsChild>
            <w:div w:id="914709960">
              <w:marLeft w:val="0"/>
              <w:marRight w:val="0"/>
              <w:marTop w:val="0"/>
              <w:marBottom w:val="0"/>
              <w:divBdr>
                <w:top w:val="none" w:sz="0" w:space="0" w:color="auto"/>
                <w:left w:val="none" w:sz="0" w:space="0" w:color="auto"/>
                <w:bottom w:val="none" w:sz="0" w:space="0" w:color="auto"/>
                <w:right w:val="none" w:sz="0" w:space="0" w:color="auto"/>
              </w:divBdr>
              <w:divsChild>
                <w:div w:id="1676105435">
                  <w:marLeft w:val="0"/>
                  <w:marRight w:val="0"/>
                  <w:marTop w:val="0"/>
                  <w:marBottom w:val="0"/>
                  <w:divBdr>
                    <w:top w:val="none" w:sz="0" w:space="0" w:color="auto"/>
                    <w:left w:val="none" w:sz="0" w:space="0" w:color="auto"/>
                    <w:bottom w:val="none" w:sz="0" w:space="0" w:color="auto"/>
                    <w:right w:val="none" w:sz="0" w:space="0" w:color="auto"/>
                  </w:divBdr>
                  <w:divsChild>
                    <w:div w:id="186720371">
                      <w:marLeft w:val="0"/>
                      <w:marRight w:val="0"/>
                      <w:marTop w:val="0"/>
                      <w:marBottom w:val="0"/>
                      <w:divBdr>
                        <w:top w:val="none" w:sz="0" w:space="0" w:color="auto"/>
                        <w:left w:val="none" w:sz="0" w:space="0" w:color="auto"/>
                        <w:bottom w:val="none" w:sz="0" w:space="0" w:color="auto"/>
                        <w:right w:val="none" w:sz="0" w:space="0" w:color="auto"/>
                      </w:divBdr>
                      <w:divsChild>
                        <w:div w:id="109326593">
                          <w:marLeft w:val="0"/>
                          <w:marRight w:val="0"/>
                          <w:marTop w:val="0"/>
                          <w:marBottom w:val="0"/>
                          <w:divBdr>
                            <w:top w:val="none" w:sz="0" w:space="0" w:color="auto"/>
                            <w:left w:val="none" w:sz="0" w:space="0" w:color="auto"/>
                            <w:bottom w:val="none" w:sz="0" w:space="0" w:color="auto"/>
                            <w:right w:val="none" w:sz="0" w:space="0" w:color="auto"/>
                          </w:divBdr>
                          <w:divsChild>
                            <w:div w:id="20359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323488">
      <w:bodyDiv w:val="1"/>
      <w:marLeft w:val="0"/>
      <w:marRight w:val="0"/>
      <w:marTop w:val="0"/>
      <w:marBottom w:val="0"/>
      <w:divBdr>
        <w:top w:val="none" w:sz="0" w:space="0" w:color="auto"/>
        <w:left w:val="none" w:sz="0" w:space="0" w:color="auto"/>
        <w:bottom w:val="none" w:sz="0" w:space="0" w:color="auto"/>
        <w:right w:val="none" w:sz="0" w:space="0" w:color="auto"/>
      </w:divBdr>
    </w:div>
    <w:div w:id="1936664555">
      <w:bodyDiv w:val="1"/>
      <w:marLeft w:val="0"/>
      <w:marRight w:val="0"/>
      <w:marTop w:val="0"/>
      <w:marBottom w:val="0"/>
      <w:divBdr>
        <w:top w:val="none" w:sz="0" w:space="0" w:color="auto"/>
        <w:left w:val="none" w:sz="0" w:space="0" w:color="auto"/>
        <w:bottom w:val="none" w:sz="0" w:space="0" w:color="auto"/>
        <w:right w:val="none" w:sz="0" w:space="0" w:color="auto"/>
      </w:divBdr>
    </w:div>
    <w:div w:id="1953131173">
      <w:bodyDiv w:val="1"/>
      <w:marLeft w:val="0"/>
      <w:marRight w:val="0"/>
      <w:marTop w:val="0"/>
      <w:marBottom w:val="0"/>
      <w:divBdr>
        <w:top w:val="none" w:sz="0" w:space="0" w:color="auto"/>
        <w:left w:val="none" w:sz="0" w:space="0" w:color="auto"/>
        <w:bottom w:val="none" w:sz="0" w:space="0" w:color="auto"/>
        <w:right w:val="none" w:sz="0" w:space="0" w:color="auto"/>
      </w:divBdr>
    </w:div>
    <w:div w:id="2034067138">
      <w:bodyDiv w:val="1"/>
      <w:marLeft w:val="0"/>
      <w:marRight w:val="0"/>
      <w:marTop w:val="0"/>
      <w:marBottom w:val="0"/>
      <w:divBdr>
        <w:top w:val="none" w:sz="0" w:space="0" w:color="auto"/>
        <w:left w:val="none" w:sz="0" w:space="0" w:color="auto"/>
        <w:bottom w:val="none" w:sz="0" w:space="0" w:color="auto"/>
        <w:right w:val="none" w:sz="0" w:space="0" w:color="auto"/>
      </w:divBdr>
    </w:div>
    <w:div w:id="2045786259">
      <w:bodyDiv w:val="1"/>
      <w:marLeft w:val="0"/>
      <w:marRight w:val="0"/>
      <w:marTop w:val="0"/>
      <w:marBottom w:val="0"/>
      <w:divBdr>
        <w:top w:val="none" w:sz="0" w:space="0" w:color="auto"/>
        <w:left w:val="none" w:sz="0" w:space="0" w:color="auto"/>
        <w:bottom w:val="none" w:sz="0" w:space="0" w:color="auto"/>
        <w:right w:val="none" w:sz="0" w:space="0" w:color="auto"/>
      </w:divBdr>
    </w:div>
    <w:div w:id="2056199240">
      <w:bodyDiv w:val="1"/>
      <w:marLeft w:val="0"/>
      <w:marRight w:val="0"/>
      <w:marTop w:val="0"/>
      <w:marBottom w:val="0"/>
      <w:divBdr>
        <w:top w:val="none" w:sz="0" w:space="0" w:color="auto"/>
        <w:left w:val="none" w:sz="0" w:space="0" w:color="auto"/>
        <w:bottom w:val="none" w:sz="0" w:space="0" w:color="auto"/>
        <w:right w:val="none" w:sz="0" w:space="0" w:color="auto"/>
      </w:divBdr>
      <w:divsChild>
        <w:div w:id="111871240">
          <w:marLeft w:val="0"/>
          <w:marRight w:val="0"/>
          <w:marTop w:val="0"/>
          <w:marBottom w:val="0"/>
          <w:divBdr>
            <w:top w:val="none" w:sz="0" w:space="0" w:color="auto"/>
            <w:left w:val="none" w:sz="0" w:space="0" w:color="auto"/>
            <w:bottom w:val="none" w:sz="0" w:space="0" w:color="auto"/>
            <w:right w:val="none" w:sz="0" w:space="0" w:color="auto"/>
          </w:divBdr>
          <w:divsChild>
            <w:div w:id="1323510383">
              <w:marLeft w:val="0"/>
              <w:marRight w:val="0"/>
              <w:marTop w:val="0"/>
              <w:marBottom w:val="0"/>
              <w:divBdr>
                <w:top w:val="none" w:sz="0" w:space="0" w:color="auto"/>
                <w:left w:val="none" w:sz="0" w:space="0" w:color="auto"/>
                <w:bottom w:val="none" w:sz="0" w:space="0" w:color="auto"/>
                <w:right w:val="none" w:sz="0" w:space="0" w:color="auto"/>
              </w:divBdr>
              <w:divsChild>
                <w:div w:id="1082489843">
                  <w:marLeft w:val="0"/>
                  <w:marRight w:val="0"/>
                  <w:marTop w:val="0"/>
                  <w:marBottom w:val="0"/>
                  <w:divBdr>
                    <w:top w:val="none" w:sz="0" w:space="0" w:color="auto"/>
                    <w:left w:val="none" w:sz="0" w:space="0" w:color="auto"/>
                    <w:bottom w:val="none" w:sz="0" w:space="0" w:color="auto"/>
                    <w:right w:val="none" w:sz="0" w:space="0" w:color="auto"/>
                  </w:divBdr>
                  <w:divsChild>
                    <w:div w:id="471604858">
                      <w:marLeft w:val="0"/>
                      <w:marRight w:val="0"/>
                      <w:marTop w:val="0"/>
                      <w:marBottom w:val="0"/>
                      <w:divBdr>
                        <w:top w:val="none" w:sz="0" w:space="0" w:color="auto"/>
                        <w:left w:val="none" w:sz="0" w:space="0" w:color="auto"/>
                        <w:bottom w:val="none" w:sz="0" w:space="0" w:color="auto"/>
                        <w:right w:val="none" w:sz="0" w:space="0" w:color="auto"/>
                      </w:divBdr>
                      <w:divsChild>
                        <w:div w:id="1582520707">
                          <w:marLeft w:val="0"/>
                          <w:marRight w:val="0"/>
                          <w:marTop w:val="0"/>
                          <w:marBottom w:val="0"/>
                          <w:divBdr>
                            <w:top w:val="none" w:sz="0" w:space="0" w:color="auto"/>
                            <w:left w:val="none" w:sz="0" w:space="0" w:color="auto"/>
                            <w:bottom w:val="none" w:sz="0" w:space="0" w:color="auto"/>
                            <w:right w:val="none" w:sz="0" w:space="0" w:color="auto"/>
                          </w:divBdr>
                          <w:divsChild>
                            <w:div w:id="15858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424640">
      <w:bodyDiv w:val="1"/>
      <w:marLeft w:val="0"/>
      <w:marRight w:val="0"/>
      <w:marTop w:val="0"/>
      <w:marBottom w:val="0"/>
      <w:divBdr>
        <w:top w:val="none" w:sz="0" w:space="0" w:color="auto"/>
        <w:left w:val="none" w:sz="0" w:space="0" w:color="auto"/>
        <w:bottom w:val="none" w:sz="0" w:space="0" w:color="auto"/>
        <w:right w:val="none" w:sz="0" w:space="0" w:color="auto"/>
      </w:divBdr>
    </w:div>
    <w:div w:id="2102414574">
      <w:bodyDiv w:val="1"/>
      <w:marLeft w:val="0"/>
      <w:marRight w:val="0"/>
      <w:marTop w:val="0"/>
      <w:marBottom w:val="0"/>
      <w:divBdr>
        <w:top w:val="none" w:sz="0" w:space="0" w:color="auto"/>
        <w:left w:val="none" w:sz="0" w:space="0" w:color="auto"/>
        <w:bottom w:val="none" w:sz="0" w:space="0" w:color="auto"/>
        <w:right w:val="none" w:sz="0" w:space="0" w:color="auto"/>
      </w:divBdr>
    </w:div>
    <w:div w:id="2112309230">
      <w:bodyDiv w:val="1"/>
      <w:marLeft w:val="0"/>
      <w:marRight w:val="0"/>
      <w:marTop w:val="0"/>
      <w:marBottom w:val="0"/>
      <w:divBdr>
        <w:top w:val="none" w:sz="0" w:space="0" w:color="auto"/>
        <w:left w:val="none" w:sz="0" w:space="0" w:color="auto"/>
        <w:bottom w:val="none" w:sz="0" w:space="0" w:color="auto"/>
        <w:right w:val="none" w:sz="0" w:space="0" w:color="auto"/>
      </w:divBdr>
    </w:div>
    <w:div w:id="2125031609">
      <w:bodyDiv w:val="1"/>
      <w:marLeft w:val="0"/>
      <w:marRight w:val="0"/>
      <w:marTop w:val="0"/>
      <w:marBottom w:val="0"/>
      <w:divBdr>
        <w:top w:val="none" w:sz="0" w:space="0" w:color="auto"/>
        <w:left w:val="none" w:sz="0" w:space="0" w:color="auto"/>
        <w:bottom w:val="none" w:sz="0" w:space="0" w:color="auto"/>
        <w:right w:val="none" w:sz="0" w:space="0" w:color="auto"/>
      </w:divBdr>
      <w:divsChild>
        <w:div w:id="1369716953">
          <w:marLeft w:val="0"/>
          <w:marRight w:val="0"/>
          <w:marTop w:val="0"/>
          <w:marBottom w:val="0"/>
          <w:divBdr>
            <w:top w:val="none" w:sz="0" w:space="0" w:color="auto"/>
            <w:left w:val="none" w:sz="0" w:space="0" w:color="auto"/>
            <w:bottom w:val="none" w:sz="0" w:space="0" w:color="auto"/>
            <w:right w:val="none" w:sz="0" w:space="0" w:color="auto"/>
          </w:divBdr>
          <w:divsChild>
            <w:div w:id="1341546718">
              <w:marLeft w:val="0"/>
              <w:marRight w:val="0"/>
              <w:marTop w:val="0"/>
              <w:marBottom w:val="0"/>
              <w:divBdr>
                <w:top w:val="none" w:sz="0" w:space="0" w:color="auto"/>
                <w:left w:val="none" w:sz="0" w:space="0" w:color="auto"/>
                <w:bottom w:val="none" w:sz="0" w:space="0" w:color="auto"/>
                <w:right w:val="none" w:sz="0" w:space="0" w:color="auto"/>
              </w:divBdr>
              <w:divsChild>
                <w:div w:id="2062513556">
                  <w:marLeft w:val="0"/>
                  <w:marRight w:val="0"/>
                  <w:marTop w:val="0"/>
                  <w:marBottom w:val="0"/>
                  <w:divBdr>
                    <w:top w:val="none" w:sz="0" w:space="0" w:color="auto"/>
                    <w:left w:val="none" w:sz="0" w:space="0" w:color="auto"/>
                    <w:bottom w:val="none" w:sz="0" w:space="0" w:color="auto"/>
                    <w:right w:val="none" w:sz="0" w:space="0" w:color="auto"/>
                  </w:divBdr>
                  <w:divsChild>
                    <w:div w:id="1509714434">
                      <w:marLeft w:val="0"/>
                      <w:marRight w:val="0"/>
                      <w:marTop w:val="0"/>
                      <w:marBottom w:val="0"/>
                      <w:divBdr>
                        <w:top w:val="none" w:sz="0" w:space="0" w:color="auto"/>
                        <w:left w:val="none" w:sz="0" w:space="0" w:color="auto"/>
                        <w:bottom w:val="none" w:sz="0" w:space="0" w:color="auto"/>
                        <w:right w:val="none" w:sz="0" w:space="0" w:color="auto"/>
                      </w:divBdr>
                      <w:divsChild>
                        <w:div w:id="1423600777">
                          <w:marLeft w:val="0"/>
                          <w:marRight w:val="0"/>
                          <w:marTop w:val="0"/>
                          <w:marBottom w:val="0"/>
                          <w:divBdr>
                            <w:top w:val="none" w:sz="0" w:space="0" w:color="auto"/>
                            <w:left w:val="none" w:sz="0" w:space="0" w:color="auto"/>
                            <w:bottom w:val="none" w:sz="0" w:space="0" w:color="auto"/>
                            <w:right w:val="none" w:sz="0" w:space="0" w:color="auto"/>
                          </w:divBdr>
                          <w:divsChild>
                            <w:div w:id="10530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hyperlink" Target="https://www.canada.ca/en/revenue-agency/services/tax/businesses/topics/sole-proprietorships-partnerships/report-business-income-expenses/claiming-capital-cost-allowance/classes-depreciable-property.html" TargetMode="External"/><Relationship Id="rId26" Type="http://schemas.openxmlformats.org/officeDocument/2006/relationships/hyperlink" Target="https://bedrockrealty.ca/real-estate-resources/real-estate-articles/what-are-building-operating-costs/" TargetMode="External"/><Relationship Id="rId3" Type="http://schemas.openxmlformats.org/officeDocument/2006/relationships/styles" Target="styles.xml"/><Relationship Id="rId21" Type="http://schemas.openxmlformats.org/officeDocument/2006/relationships/hyperlink" Target="https://www.linkedin.com/company/witricity-corporation/"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7.xml"/><Relationship Id="rId25" Type="http://schemas.openxmlformats.org/officeDocument/2006/relationships/hyperlink" Target="https://stories.td.com/ca/en/news/2024-11-07-td-asset-management-inc.-recognized-in-six-categories-at-the"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advertisers.mediaradar.com/td-bank-advertising-profi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www.td.com/document/PDF/ar2021/ar2021-Complete-Report.pdf"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td.com/document/PDF/ar2022/ar2022-Complete-Report.pdf" TargetMode="External"/><Relationship Id="rId28"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hyperlink" Target="https://www.glassdoor.com/Salary/WiTricity-Engineering-Salaries-EI_E719306.0,9_DEPT1007_IP2.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hyperlink" Target="https://www.td.com/content/dam/tdcom/canada/about-td/pdf/quarterly-results/2023/2023-annual-report-e.pdf"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stuconestogacon-my.sharepoint.com/personal/rvarahabhatlaka4860_conestogac_on_ca/Documents/Microsoft%20Teams%20Chat%20Files/Feasibility%20Stud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uconestogacon-my.sharepoint.com/personal/rvarahabhatlaka4860_conestogac_on_ca/Documents/Microsoft%20Teams%20Chat%20Files/Feasibility%20Stud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tuconestogacon-my.sharepoint.com/personal/rvarahabhatlaka4860_conestogac_on_ca/Documents/Microsoft%20Teams%20Chat%20Files/Feasibility%20Stud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stuconestogacon-my.sharepoint.com/personal/rvarahabhatlaka4860_conestogac_on_ca/Documents/Microsoft%20Teams%20Chat%20Files/Feasibility%20Stud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stuconestogacon-my.sharepoint.com/personal/rvarahabhatlaka4860_conestogac_on_ca/Documents/Microsoft%20Teams%20Chat%20Files/Feasibility%20Stud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stuconestogacon-my.sharepoint.com/personal/rvarahabhatlaka4860_conestogac_on_ca/Documents/Microsoft%20Teams%20Chat%20Files/Feasibility%20Stud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stuconestogacon-my.sharepoint.com/personal/rvarahabhatlaka4860_conestogac_on_ca/Documents/Microsoft%20Teams%20Chat%20Files/Feasibility%20Study.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Revenue From Charging Equipment Sales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'[Feasibility Study.xlsx]Feasibility Study'!$A$13:$G$13</c:f>
              <c:strCache>
                <c:ptCount val="7"/>
                <c:pt idx="0">
                  <c:v>Charging Equipment Sales</c:v>
                </c:pt>
                <c:pt idx="1">
                  <c:v>Charging Equipment Sales</c:v>
                </c:pt>
                <c:pt idx="2">
                  <c:v>Charging Equipment Sales</c:v>
                </c:pt>
                <c:pt idx="3">
                  <c:v>Charging Equipment Sales</c:v>
                </c:pt>
                <c:pt idx="4">
                  <c:v>Charging Equipment Sales</c:v>
                </c:pt>
                <c:pt idx="5">
                  <c:v>Charging Equipment Sales</c:v>
                </c:pt>
                <c:pt idx="6">
                  <c:v>Charging Equipment Sales</c:v>
                </c:pt>
              </c:strCache>
            </c:strRef>
          </c:tx>
          <c:spPr>
            <a:ln w="31750" cap="rnd">
              <a:solidFill>
                <a:schemeClr val="accent1"/>
              </a:solidFill>
              <a:round/>
            </a:ln>
            <a:effectLst/>
          </c:spPr>
          <c:marker>
            <c:symbol val="none"/>
          </c:marker>
          <c:trendline>
            <c:spPr>
              <a:ln w="19050" cap="rnd">
                <a:solidFill>
                  <a:schemeClr val="accent1"/>
                </a:solidFill>
                <a:prstDash val="sysDash"/>
              </a:ln>
              <a:effectLst/>
            </c:spPr>
            <c:trendlineType val="linear"/>
            <c:dispRSqr val="0"/>
            <c:dispEq val="0"/>
          </c:trendline>
          <c:val>
            <c:numRef>
              <c:f>'[Feasibility Study.xlsx]Feasibility Study'!$H$13:$AA$13</c:f>
              <c:numCache>
                <c:formatCode>_("$"* #,##0.00_);_("$"* \(#,##0.00\);_("$"* "-"??_);_(@_)</c:formatCode>
                <c:ptCount val="20"/>
                <c:pt idx="0">
                  <c:v>0</c:v>
                </c:pt>
                <c:pt idx="1">
                  <c:v>26000000</c:v>
                </c:pt>
                <c:pt idx="2" formatCode="&quot;$&quot;#,##0_);[Red]\(&quot;$&quot;#,##0\)">
                  <c:v>27300000</c:v>
                </c:pt>
                <c:pt idx="3" formatCode="&quot;$&quot;#,##0_);[Red]\(&quot;$&quot;#,##0\)">
                  <c:v>28665000</c:v>
                </c:pt>
                <c:pt idx="4" formatCode="&quot;$&quot;#,##0_);[Red]\(&quot;$&quot;#,##0\)">
                  <c:v>30098250</c:v>
                </c:pt>
                <c:pt idx="5" formatCode="&quot;$&quot;#,##0_);[Red]\(&quot;$&quot;#,##0\)">
                  <c:v>31603162.5</c:v>
                </c:pt>
                <c:pt idx="6" formatCode="&quot;$&quot;#,##0_);[Red]\(&quot;$&quot;#,##0\)">
                  <c:v>33183320.625</c:v>
                </c:pt>
                <c:pt idx="7" formatCode="&quot;$&quot;#,##0_);[Red]\(&quot;$&quot;#,##0\)">
                  <c:v>34842486.65625</c:v>
                </c:pt>
                <c:pt idx="8" formatCode="&quot;$&quot;#,##0_);[Red]\(&quot;$&quot;#,##0\)">
                  <c:v>36584610.989062503</c:v>
                </c:pt>
                <c:pt idx="9" formatCode="&quot;$&quot;#,##0_);[Red]\(&quot;$&quot;#,##0\)">
                  <c:v>38413841.538515627</c:v>
                </c:pt>
                <c:pt idx="10" formatCode="&quot;$&quot;#,##0_);[Red]\(&quot;$&quot;#,##0\)">
                  <c:v>40334533.615441412</c:v>
                </c:pt>
                <c:pt idx="11" formatCode="&quot;$&quot;#,##0_);[Red]\(&quot;$&quot;#,##0\)">
                  <c:v>42351260.296213485</c:v>
                </c:pt>
                <c:pt idx="12" formatCode="&quot;$&quot;#,##0_);[Red]\(&quot;$&quot;#,##0\)">
                  <c:v>44468823.311024159</c:v>
                </c:pt>
                <c:pt idx="13" formatCode="&quot;$&quot;#,##0_);[Red]\(&quot;$&quot;#,##0\)">
                  <c:v>46692264.476575367</c:v>
                </c:pt>
                <c:pt idx="14" formatCode="&quot;$&quot;#,##0_);[Red]\(&quot;$&quot;#,##0\)">
                  <c:v>49026877.700404137</c:v>
                </c:pt>
                <c:pt idx="15" formatCode="&quot;$&quot;#,##0_);[Red]\(&quot;$&quot;#,##0\)">
                  <c:v>51478221.585424341</c:v>
                </c:pt>
                <c:pt idx="16" formatCode="&quot;$&quot;#,##0_);[Red]\(&quot;$&quot;#,##0\)">
                  <c:v>54052132.664695561</c:v>
                </c:pt>
                <c:pt idx="17" formatCode="&quot;$&quot;#,##0_);[Red]\(&quot;$&quot;#,##0\)">
                  <c:v>56754739.297930337</c:v>
                </c:pt>
                <c:pt idx="18" formatCode="&quot;$&quot;#,##0_);[Red]\(&quot;$&quot;#,##0\)">
                  <c:v>59592476.262826853</c:v>
                </c:pt>
                <c:pt idx="19" formatCode="&quot;$&quot;#,##0_);[Red]\(&quot;$&quot;#,##0\)">
                  <c:v>62572100.075968198</c:v>
                </c:pt>
              </c:numCache>
            </c:numRef>
          </c:val>
          <c:smooth val="0"/>
          <c:extLst>
            <c:ext xmlns:c16="http://schemas.microsoft.com/office/drawing/2014/chart" uri="{C3380CC4-5D6E-409C-BE32-E72D297353CC}">
              <c16:uniqueId val="{00000001-E3B6-438A-A073-2A309C4C8093}"/>
            </c:ext>
          </c:extLst>
        </c:ser>
        <c:dLbls>
          <c:showLegendKey val="0"/>
          <c:showVal val="0"/>
          <c:showCatName val="0"/>
          <c:showSerName val="0"/>
          <c:showPercent val="0"/>
          <c:showBubbleSize val="0"/>
        </c:dLbls>
        <c:smooth val="0"/>
        <c:axId val="1314228528"/>
        <c:axId val="1314213648"/>
      </c:lineChart>
      <c:catAx>
        <c:axId val="13142285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CA"/>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crossAx val="1314213648"/>
        <c:crossesAt val="0"/>
        <c:auto val="1"/>
        <c:lblAlgn val="ctr"/>
        <c:lblOffset val="100"/>
        <c:noMultiLvlLbl val="0"/>
      </c:catAx>
      <c:valAx>
        <c:axId val="13142136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CA"/>
                  <a:t>Revenue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crossAx val="1314228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b="1"/>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080" b="1" i="0" u="none" strike="noStrike" kern="1200" baseline="0">
                <a:solidFill>
                  <a:schemeClr val="tx2"/>
                </a:solidFill>
                <a:latin typeface="+mn-lt"/>
                <a:ea typeface="+mn-ea"/>
                <a:cs typeface="+mn-cs"/>
              </a:defRPr>
            </a:pPr>
            <a:r>
              <a:rPr lang="en-CA"/>
              <a:t>Advertising and Sponsorship </a:t>
            </a:r>
          </a:p>
        </c:rich>
      </c:tx>
      <c:overlay val="0"/>
      <c:spPr>
        <a:noFill/>
        <a:ln>
          <a:noFill/>
        </a:ln>
        <a:effectLst/>
      </c:spPr>
      <c:txPr>
        <a:bodyPr rot="0" spcFirstLastPara="1" vertOverflow="ellipsis" vert="horz" wrap="square" anchor="ctr" anchorCtr="1"/>
        <a:lstStyle/>
        <a:p>
          <a:pPr>
            <a:defRPr lang="en-US" sz="108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'[Feasibility Study.xlsx]Feasibility Study'!$A$14:$G$14</c:f>
              <c:strCache>
                <c:ptCount val="7"/>
                <c:pt idx="0">
                  <c:v>Advertising and Sponsorship</c:v>
                </c:pt>
                <c:pt idx="1">
                  <c:v>Advertising and Sponsorship</c:v>
                </c:pt>
                <c:pt idx="2">
                  <c:v>Advertising and Sponsorship</c:v>
                </c:pt>
                <c:pt idx="3">
                  <c:v>Advertising and Sponsorship</c:v>
                </c:pt>
                <c:pt idx="4">
                  <c:v>Advertising and Sponsorship</c:v>
                </c:pt>
                <c:pt idx="5">
                  <c:v>Advertising and Sponsorship</c:v>
                </c:pt>
                <c:pt idx="6">
                  <c:v>Advertising and Sponsorship</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trendline>
            <c:spPr>
              <a:ln w="19050" cap="rnd">
                <a:solidFill>
                  <a:schemeClr val="accent1"/>
                </a:solidFill>
                <a:prstDash val="sysDash"/>
              </a:ln>
              <a:effectLst/>
            </c:spPr>
            <c:trendlineType val="linear"/>
            <c:dispRSqr val="0"/>
            <c:dispEq val="0"/>
          </c:trendline>
          <c:val>
            <c:numRef>
              <c:f>'[Feasibility Study.xlsx]Feasibility Study'!$H$14:$AA$14</c:f>
              <c:numCache>
                <c:formatCode>_("$"* #,##0.00_);_("$"* \(#,##0.00\);_("$"* "-"??_);_(@_)</c:formatCode>
                <c:ptCount val="20"/>
                <c:pt idx="0">
                  <c:v>10000000</c:v>
                </c:pt>
                <c:pt idx="1">
                  <c:v>10500000</c:v>
                </c:pt>
                <c:pt idx="2">
                  <c:v>11025000</c:v>
                </c:pt>
                <c:pt idx="3">
                  <c:v>11576250</c:v>
                </c:pt>
                <c:pt idx="4">
                  <c:v>12155062.5</c:v>
                </c:pt>
                <c:pt idx="5">
                  <c:v>12762815.625</c:v>
                </c:pt>
                <c:pt idx="6">
                  <c:v>13400956.40625</c:v>
                </c:pt>
                <c:pt idx="7">
                  <c:v>14071004.2265625</c:v>
                </c:pt>
                <c:pt idx="8">
                  <c:v>14774554.437890625</c:v>
                </c:pt>
                <c:pt idx="9">
                  <c:v>15513282.159785155</c:v>
                </c:pt>
                <c:pt idx="10">
                  <c:v>16288946.267774412</c:v>
                </c:pt>
                <c:pt idx="11">
                  <c:v>17103393.581163134</c:v>
                </c:pt>
                <c:pt idx="12">
                  <c:v>17958563.260221291</c:v>
                </c:pt>
                <c:pt idx="13">
                  <c:v>18856491.423232354</c:v>
                </c:pt>
                <c:pt idx="14">
                  <c:v>19799315.994393971</c:v>
                </c:pt>
                <c:pt idx="15">
                  <c:v>20789281.79411367</c:v>
                </c:pt>
                <c:pt idx="16">
                  <c:v>21828745.883819353</c:v>
                </c:pt>
                <c:pt idx="17">
                  <c:v>22920183.178010322</c:v>
                </c:pt>
                <c:pt idx="18">
                  <c:v>24066192.336910836</c:v>
                </c:pt>
                <c:pt idx="19">
                  <c:v>25269501.953756377</c:v>
                </c:pt>
              </c:numCache>
            </c:numRef>
          </c:val>
          <c:extLst>
            <c:ext xmlns:c16="http://schemas.microsoft.com/office/drawing/2014/chart" uri="{C3380CC4-5D6E-409C-BE32-E72D297353CC}">
              <c16:uniqueId val="{00000001-786F-4686-81C2-27A4BD3C29D5}"/>
            </c:ext>
          </c:extLst>
        </c:ser>
        <c:dLbls>
          <c:showLegendKey val="0"/>
          <c:showVal val="0"/>
          <c:showCatName val="0"/>
          <c:showSerName val="0"/>
          <c:showPercent val="0"/>
          <c:showBubbleSize val="0"/>
        </c:dLbls>
        <c:gapWidth val="100"/>
        <c:overlap val="-24"/>
        <c:axId val="1314229488"/>
        <c:axId val="1314233328"/>
      </c:barChart>
      <c:catAx>
        <c:axId val="1314229488"/>
        <c:scaling>
          <c:orientation val="minMax"/>
        </c:scaling>
        <c:delete val="0"/>
        <c:axPos val="b"/>
        <c:title>
          <c:tx>
            <c:rich>
              <a:bodyPr rot="0" spcFirstLastPara="1" vertOverflow="ellipsis" vert="horz" wrap="square" anchor="ctr" anchorCtr="1"/>
              <a:lstStyle/>
              <a:p>
                <a:pPr>
                  <a:defRPr lang="en-US" sz="900" b="1" i="0" u="none" strike="noStrike" kern="1200" baseline="0">
                    <a:solidFill>
                      <a:schemeClr val="tx2"/>
                    </a:solidFill>
                    <a:latin typeface="+mn-lt"/>
                    <a:ea typeface="+mn-ea"/>
                    <a:cs typeface="+mn-cs"/>
                  </a:defRPr>
                </a:pPr>
                <a:r>
                  <a:rPr lang="en-CA"/>
                  <a:t>Year</a:t>
                </a:r>
              </a:p>
            </c:rich>
          </c:tx>
          <c:overlay val="0"/>
          <c:spPr>
            <a:noFill/>
            <a:ln>
              <a:noFill/>
            </a:ln>
            <a:effectLst/>
          </c:spPr>
          <c:txPr>
            <a:bodyPr rot="0" spcFirstLastPara="1" vertOverflow="ellipsis" vert="horz" wrap="square" anchor="ctr" anchorCtr="1"/>
            <a:lstStyle/>
            <a:p>
              <a:pPr>
                <a:defRPr lang="en-US"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lang="en-US" sz="900" b="1" i="0" u="none" strike="noStrike" kern="1200" baseline="0">
                <a:solidFill>
                  <a:schemeClr val="tx2"/>
                </a:solidFill>
                <a:latin typeface="+mn-lt"/>
                <a:ea typeface="+mn-ea"/>
                <a:cs typeface="+mn-cs"/>
              </a:defRPr>
            </a:pPr>
            <a:endParaRPr lang="en-US"/>
          </a:p>
        </c:txPr>
        <c:crossAx val="1314233328"/>
        <c:crosses val="autoZero"/>
        <c:auto val="1"/>
        <c:lblAlgn val="ctr"/>
        <c:lblOffset val="100"/>
        <c:noMultiLvlLbl val="0"/>
      </c:catAx>
      <c:valAx>
        <c:axId val="131423332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tx2"/>
                    </a:solidFill>
                    <a:latin typeface="+mn-lt"/>
                    <a:ea typeface="+mn-ea"/>
                    <a:cs typeface="+mn-cs"/>
                  </a:defRPr>
                </a:pPr>
                <a:r>
                  <a:rPr lang="en-CA"/>
                  <a:t>Revenue</a:t>
                </a:r>
              </a:p>
            </c:rich>
          </c:tx>
          <c:overlay val="0"/>
          <c:spPr>
            <a:noFill/>
            <a:ln>
              <a:noFill/>
            </a:ln>
            <a:effectLst/>
          </c:spPr>
          <c:txPr>
            <a:bodyPr rot="-5400000" spcFirstLastPara="1" vertOverflow="ellipsis" vert="horz" wrap="square" anchor="ctr" anchorCtr="1"/>
            <a:lstStyle/>
            <a:p>
              <a:pPr>
                <a:defRPr lang="en-US" sz="900" b="1" i="0" u="none" strike="noStrike" kern="1200" baseline="0">
                  <a:solidFill>
                    <a:schemeClr val="tx2"/>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lang="en-US" sz="900" b="1" i="0" u="none" strike="noStrike" kern="1200" baseline="0">
                <a:solidFill>
                  <a:schemeClr val="tx2"/>
                </a:solidFill>
                <a:latin typeface="+mn-lt"/>
                <a:ea typeface="+mn-ea"/>
                <a:cs typeface="+mn-cs"/>
              </a:defRPr>
            </a:pPr>
            <a:endParaRPr lang="en-US"/>
          </a:p>
        </c:txPr>
        <c:crossAx val="1314229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en-US" sz="900" b="1" i="0" u="none" strike="noStrike" kern="1200" baseline="0">
          <a:solidFill>
            <a:schemeClr val="tx2"/>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CA"/>
              <a:t>Revenue From Running Charging Stations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areaChart>
        <c:grouping val="standard"/>
        <c:varyColors val="0"/>
        <c:ser>
          <c:idx val="0"/>
          <c:order val="0"/>
          <c:tx>
            <c:strRef>
              <c:f>'[Feasibility Study.xlsx]Feasibility Study'!$A$15:$G$15</c:f>
              <c:strCache>
                <c:ptCount val="7"/>
                <c:pt idx="0">
                  <c:v>Income from Running Charging Stations</c:v>
                </c:pt>
                <c:pt idx="1">
                  <c:v>Income from Running Charging Stations</c:v>
                </c:pt>
                <c:pt idx="2">
                  <c:v>Income from Running Charging Stations</c:v>
                </c:pt>
                <c:pt idx="3">
                  <c:v>Income from Running Charging Stations</c:v>
                </c:pt>
                <c:pt idx="4">
                  <c:v>Income from Running Charging Stations</c:v>
                </c:pt>
                <c:pt idx="5">
                  <c:v>Income from Running Charging Stations</c:v>
                </c:pt>
                <c:pt idx="6">
                  <c:v>Income from Running Charging Stations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val>
            <c:numRef>
              <c:f>'[Feasibility Study.xlsx]Feasibility Study'!$H$15:$AA$15</c:f>
              <c:numCache>
                <c:formatCode>_("$"* #,##0.00_);_("$"* \(#,##0.00\);_("$"* "-"??_);_(@_)</c:formatCode>
                <c:ptCount val="20"/>
                <c:pt idx="0">
                  <c:v>0</c:v>
                </c:pt>
                <c:pt idx="1">
                  <c:v>7000000</c:v>
                </c:pt>
                <c:pt idx="2" formatCode="&quot;$&quot;#,##0_);[Red]\(&quot;$&quot;#,##0\)">
                  <c:v>7700000</c:v>
                </c:pt>
                <c:pt idx="3" formatCode="&quot;$&quot;#,##0_);[Red]\(&quot;$&quot;#,##0\)">
                  <c:v>8470000</c:v>
                </c:pt>
                <c:pt idx="4" formatCode="&quot;$&quot;#,##0_);[Red]\(&quot;$&quot;#,##0\)">
                  <c:v>9317000</c:v>
                </c:pt>
                <c:pt idx="5" formatCode="&quot;$&quot;#,##0_);[Red]\(&quot;$&quot;#,##0\)">
                  <c:v>10248700</c:v>
                </c:pt>
                <c:pt idx="6" formatCode="&quot;$&quot;#,##0_);[Red]\(&quot;$&quot;#,##0\)">
                  <c:v>11273570</c:v>
                </c:pt>
                <c:pt idx="7" formatCode="&quot;$&quot;#,##0_);[Red]\(&quot;$&quot;#,##0\)">
                  <c:v>12400927</c:v>
                </c:pt>
                <c:pt idx="8" formatCode="&quot;$&quot;#,##0_);[Red]\(&quot;$&quot;#,##0\)">
                  <c:v>13641019.699999999</c:v>
                </c:pt>
                <c:pt idx="9" formatCode="&quot;$&quot;#,##0_);[Red]\(&quot;$&quot;#,##0\)">
                  <c:v>15005121.67</c:v>
                </c:pt>
                <c:pt idx="10" formatCode="&quot;$&quot;#,##0_);[Red]\(&quot;$&quot;#,##0\)">
                  <c:v>16505633.836999999</c:v>
                </c:pt>
                <c:pt idx="11" formatCode="&quot;$&quot;#,##0_);[Red]\(&quot;$&quot;#,##0\)">
                  <c:v>18156197.220699999</c:v>
                </c:pt>
                <c:pt idx="12" formatCode="&quot;$&quot;#,##0_);[Red]\(&quot;$&quot;#,##0\)">
                  <c:v>19971816.942770001</c:v>
                </c:pt>
                <c:pt idx="13" formatCode="&quot;$&quot;#,##0_);[Red]\(&quot;$&quot;#,##0\)">
                  <c:v>21968998.637047</c:v>
                </c:pt>
                <c:pt idx="14" formatCode="&quot;$&quot;#,##0_);[Red]\(&quot;$&quot;#,##0\)">
                  <c:v>24165898.5007517</c:v>
                </c:pt>
                <c:pt idx="15" formatCode="&quot;$&quot;#,##0_);[Red]\(&quot;$&quot;#,##0\)">
                  <c:v>26582488.350826871</c:v>
                </c:pt>
                <c:pt idx="16" formatCode="&quot;$&quot;#,##0_);[Red]\(&quot;$&quot;#,##0\)">
                  <c:v>29240737.185909558</c:v>
                </c:pt>
                <c:pt idx="17" formatCode="&quot;$&quot;#,##0_);[Red]\(&quot;$&quot;#,##0\)">
                  <c:v>32164810.904500514</c:v>
                </c:pt>
                <c:pt idx="18" formatCode="&quot;$&quot;#,##0_);[Red]\(&quot;$&quot;#,##0\)">
                  <c:v>35381291.994950563</c:v>
                </c:pt>
                <c:pt idx="19" formatCode="&quot;$&quot;#,##0_);[Red]\(&quot;$&quot;#,##0\)">
                  <c:v>38919421.194445617</c:v>
                </c:pt>
              </c:numCache>
            </c:numRef>
          </c:val>
          <c:extLst>
            <c:ext xmlns:c16="http://schemas.microsoft.com/office/drawing/2014/chart" uri="{C3380CC4-5D6E-409C-BE32-E72D297353CC}">
              <c16:uniqueId val="{00000000-5DEC-49D9-8019-B438B351FD9D}"/>
            </c:ext>
          </c:extLst>
        </c:ser>
        <c:dLbls>
          <c:showLegendKey val="0"/>
          <c:showVal val="0"/>
          <c:showCatName val="0"/>
          <c:showSerName val="0"/>
          <c:showPercent val="0"/>
          <c:showBubbleSize val="0"/>
        </c:dLbls>
        <c:axId val="1452679535"/>
        <c:axId val="1452704975"/>
      </c:areaChart>
      <c:catAx>
        <c:axId val="1452679535"/>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crossAx val="1452704975"/>
        <c:crosses val="autoZero"/>
        <c:auto val="1"/>
        <c:lblAlgn val="ctr"/>
        <c:lblOffset val="100"/>
        <c:noMultiLvlLbl val="0"/>
      </c:catAx>
      <c:valAx>
        <c:axId val="145270497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CA"/>
                  <a:t>Revenue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crossAx val="1452679535"/>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b="1"/>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CA"/>
              <a:t>Revenue From EV Charging Fees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'[Feasibility Study.xlsx]Feasibility Study'!$A$16:$G$16</c:f>
              <c:strCache>
                <c:ptCount val="7"/>
                <c:pt idx="0">
                  <c:v>EV Charging Fees</c:v>
                </c:pt>
              </c:strCache>
            </c:strRef>
          </c:tx>
          <c:spPr>
            <a:ln w="38100" cap="rnd">
              <a:noFill/>
              <a:round/>
            </a:ln>
            <a:effectLst/>
          </c:spPr>
          <c:marker>
            <c:symbol val="circle"/>
            <c:size val="5"/>
            <c:spPr>
              <a:solidFill>
                <a:schemeClr val="accent1"/>
              </a:solidFill>
              <a:ln w="9525">
                <a:solidFill>
                  <a:schemeClr val="accent1"/>
                </a:solidFill>
              </a:ln>
              <a:effectLst/>
            </c:spPr>
          </c:marker>
          <c:xVal>
            <c:strRef>
              <c:f>'[Feasibility Study.xlsx]Feasibility Study'!$H$11:$AA$12</c:f>
              <c:strCache>
                <c:ptCount val="20"/>
                <c:pt idx="0">
                  <c:v>Year 1</c:v>
                </c:pt>
                <c:pt idx="1">
                  <c:v> Year 2 </c:v>
                </c:pt>
                <c:pt idx="2">
                  <c:v>Year 3</c:v>
                </c:pt>
                <c:pt idx="3">
                  <c:v>Year 4</c:v>
                </c:pt>
                <c:pt idx="4">
                  <c:v>Year 5</c:v>
                </c:pt>
                <c:pt idx="5">
                  <c:v>Year 6</c:v>
                </c:pt>
                <c:pt idx="6">
                  <c:v>Year 7</c:v>
                </c:pt>
                <c:pt idx="7">
                  <c:v>Year 8</c:v>
                </c:pt>
                <c:pt idx="8">
                  <c:v>Year 9</c:v>
                </c:pt>
                <c:pt idx="9">
                  <c:v>Year 10</c:v>
                </c:pt>
                <c:pt idx="10">
                  <c:v>Year 11</c:v>
                </c:pt>
                <c:pt idx="11">
                  <c:v>Year 12</c:v>
                </c:pt>
                <c:pt idx="12">
                  <c:v>Year 13</c:v>
                </c:pt>
                <c:pt idx="13">
                  <c:v>Year 14</c:v>
                </c:pt>
                <c:pt idx="14">
                  <c:v>Year 15</c:v>
                </c:pt>
                <c:pt idx="15">
                  <c:v>Year 16</c:v>
                </c:pt>
                <c:pt idx="16">
                  <c:v>Year 17</c:v>
                </c:pt>
                <c:pt idx="17">
                  <c:v>Year 18</c:v>
                </c:pt>
                <c:pt idx="18">
                  <c:v>Year 19</c:v>
                </c:pt>
                <c:pt idx="19">
                  <c:v>Year 20</c:v>
                </c:pt>
              </c:strCache>
            </c:strRef>
          </c:xVal>
          <c:yVal>
            <c:numRef>
              <c:f>'[Feasibility Study.xlsx]Feasibility Study'!$H$16:$AA$16</c:f>
              <c:numCache>
                <c:formatCode>_("$"* #,##0.00_);_("$"* \(#,##0.00\);_("$"* "-"??_);_(@_)</c:formatCode>
                <c:ptCount val="20"/>
                <c:pt idx="0">
                  <c:v>0</c:v>
                </c:pt>
                <c:pt idx="1">
                  <c:v>0</c:v>
                </c:pt>
                <c:pt idx="2">
                  <c:v>11000000</c:v>
                </c:pt>
                <c:pt idx="3">
                  <c:v>11550000</c:v>
                </c:pt>
                <c:pt idx="4">
                  <c:v>12127500</c:v>
                </c:pt>
                <c:pt idx="5">
                  <c:v>12733875</c:v>
                </c:pt>
                <c:pt idx="6">
                  <c:v>13370568.75</c:v>
                </c:pt>
                <c:pt idx="7">
                  <c:v>14039097.1875</c:v>
                </c:pt>
                <c:pt idx="8">
                  <c:v>14741052.046875</c:v>
                </c:pt>
                <c:pt idx="9">
                  <c:v>15478104.649218749</c:v>
                </c:pt>
                <c:pt idx="10">
                  <c:v>16252009.881679688</c:v>
                </c:pt>
                <c:pt idx="11">
                  <c:v>17064610.375763673</c:v>
                </c:pt>
                <c:pt idx="12">
                  <c:v>17917840.894551858</c:v>
                </c:pt>
                <c:pt idx="13">
                  <c:v>18813732.939279452</c:v>
                </c:pt>
                <c:pt idx="14">
                  <c:v>19754419.586243425</c:v>
                </c:pt>
                <c:pt idx="15">
                  <c:v>20742140.565555595</c:v>
                </c:pt>
                <c:pt idx="16">
                  <c:v>21779247.593833376</c:v>
                </c:pt>
                <c:pt idx="17">
                  <c:v>22868209.973525044</c:v>
                </c:pt>
                <c:pt idx="18">
                  <c:v>24011620.472201295</c:v>
                </c:pt>
                <c:pt idx="19">
                  <c:v>25212201.495811358</c:v>
                </c:pt>
              </c:numCache>
            </c:numRef>
          </c:yVal>
          <c:smooth val="0"/>
          <c:extLst>
            <c:ext xmlns:c16="http://schemas.microsoft.com/office/drawing/2014/chart" uri="{C3380CC4-5D6E-409C-BE32-E72D297353CC}">
              <c16:uniqueId val="{00000000-D4CD-4FA8-AC53-FFFD11636200}"/>
            </c:ext>
          </c:extLst>
        </c:ser>
        <c:dLbls>
          <c:showLegendKey val="0"/>
          <c:showVal val="0"/>
          <c:showCatName val="0"/>
          <c:showSerName val="0"/>
          <c:showPercent val="0"/>
          <c:showBubbleSize val="0"/>
        </c:dLbls>
        <c:axId val="429885423"/>
        <c:axId val="429884463"/>
      </c:scatterChart>
      <c:valAx>
        <c:axId val="4298854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CA"/>
                  <a:t>Year</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29884463"/>
        <c:crosses val="autoZero"/>
        <c:crossBetween val="midCat"/>
      </c:valAx>
      <c:valAx>
        <c:axId val="42988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CA"/>
                  <a:t>Revenue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29885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CA"/>
              <a:t>Revenue From Government Subsidies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solidFill>
              <a:schemeClr val="accent1"/>
            </a:solidFill>
            <a:ln>
              <a:noFill/>
            </a:ln>
            <a:effectLst/>
            <a:sp3d/>
          </c:spPr>
          <c:invertIfNegative val="0"/>
          <c:val>
            <c:numRef>
              <c:f>'[Feasibility Study.xlsx]Feasibility Study'!$H$18:$AA$18</c:f>
              <c:numCache>
                <c:formatCode>_("$"* #,##0.00_);_("$"* \(#,##0.00\);_("$"* "-"??_);_(@_)</c:formatCode>
                <c:ptCount val="20"/>
                <c:pt idx="0">
                  <c:v>10000000</c:v>
                </c:pt>
                <c:pt idx="1">
                  <c:v>10000000</c:v>
                </c:pt>
                <c:pt idx="2" formatCode="&quot;$&quot;#,##0_);[Red]\(&quot;$&quot;#,##0\)">
                  <c:v>0</c:v>
                </c:pt>
                <c:pt idx="3" formatCode="&quot;$&quot;#,##0_);[Red]\(&quot;$&quot;#,##0\)">
                  <c:v>0</c:v>
                </c:pt>
                <c:pt idx="4" formatCode="&quot;$&quot;#,##0_);[Red]\(&quot;$&quot;#,##0\)">
                  <c:v>0</c:v>
                </c:pt>
                <c:pt idx="5" formatCode="&quot;$&quot;#,##0_);[Red]\(&quot;$&quot;#,##0\)">
                  <c:v>0</c:v>
                </c:pt>
                <c:pt idx="6" formatCode="&quot;$&quot;#,##0_);[Red]\(&quot;$&quot;#,##0\)">
                  <c:v>0</c:v>
                </c:pt>
                <c:pt idx="7" formatCode="&quot;$&quot;#,##0_);[Red]\(&quot;$&quot;#,##0\)">
                  <c:v>0</c:v>
                </c:pt>
                <c:pt idx="8" formatCode="&quot;$&quot;#,##0_);[Red]\(&quot;$&quot;#,##0\)">
                  <c:v>0</c:v>
                </c:pt>
                <c:pt idx="9" formatCode="&quot;$&quot;#,##0_);[Red]\(&quot;$&quot;#,##0\)">
                  <c:v>0</c:v>
                </c:pt>
                <c:pt idx="10" formatCode="&quot;$&quot;#,##0_);[Red]\(&quot;$&quot;#,##0\)">
                  <c:v>0</c:v>
                </c:pt>
                <c:pt idx="11" formatCode="&quot;$&quot;#,##0_);[Red]\(&quot;$&quot;#,##0\)">
                  <c:v>0</c:v>
                </c:pt>
                <c:pt idx="12" formatCode="&quot;$&quot;#,##0_);[Red]\(&quot;$&quot;#,##0\)">
                  <c:v>0</c:v>
                </c:pt>
                <c:pt idx="13" formatCode="&quot;$&quot;#,##0_);[Red]\(&quot;$&quot;#,##0\)">
                  <c:v>0</c:v>
                </c:pt>
                <c:pt idx="14" formatCode="&quot;$&quot;#,##0_);[Red]\(&quot;$&quot;#,##0\)">
                  <c:v>0</c:v>
                </c:pt>
                <c:pt idx="15" formatCode="&quot;$&quot;#,##0_);[Red]\(&quot;$&quot;#,##0\)">
                  <c:v>0</c:v>
                </c:pt>
                <c:pt idx="16" formatCode="&quot;$&quot;#,##0_);[Red]\(&quot;$&quot;#,##0\)">
                  <c:v>0</c:v>
                </c:pt>
                <c:pt idx="17" formatCode="&quot;$&quot;#,##0_);[Red]\(&quot;$&quot;#,##0\)">
                  <c:v>0</c:v>
                </c:pt>
                <c:pt idx="18" formatCode="&quot;$&quot;#,##0_);[Red]\(&quot;$&quot;#,##0\)">
                  <c:v>0</c:v>
                </c:pt>
                <c:pt idx="19" formatCode="&quot;$&quot;#,##0_);[Red]\(&quot;$&quot;#,##0\)">
                  <c:v>0</c:v>
                </c:pt>
              </c:numCache>
            </c:numRef>
          </c:val>
          <c:extLst>
            <c:ext xmlns:c16="http://schemas.microsoft.com/office/drawing/2014/chart" uri="{C3380CC4-5D6E-409C-BE32-E72D297353CC}">
              <c16:uniqueId val="{00000000-35B3-44F4-A165-62791BD72B63}"/>
            </c:ext>
          </c:extLst>
        </c:ser>
        <c:dLbls>
          <c:showLegendKey val="0"/>
          <c:showVal val="0"/>
          <c:showCatName val="0"/>
          <c:showSerName val="0"/>
          <c:showPercent val="0"/>
          <c:showBubbleSize val="0"/>
        </c:dLbls>
        <c:gapWidth val="150"/>
        <c:shape val="box"/>
        <c:axId val="1454752287"/>
        <c:axId val="1454767167"/>
        <c:axId val="0"/>
      </c:bar3DChart>
      <c:catAx>
        <c:axId val="1454752287"/>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CA"/>
                  <a:t>Year</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54767167"/>
        <c:crosses val="autoZero"/>
        <c:auto val="1"/>
        <c:lblAlgn val="ctr"/>
        <c:lblOffset val="100"/>
        <c:noMultiLvlLbl val="0"/>
      </c:catAx>
      <c:valAx>
        <c:axId val="1454767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CA"/>
                  <a:t>Revenue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547522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200" b="1" i="0" u="none" strike="noStrike" kern="1200" baseline="0">
                <a:solidFill>
                  <a:schemeClr val="tx1"/>
                </a:solidFill>
                <a:latin typeface="+mn-lt"/>
                <a:ea typeface="+mn-ea"/>
                <a:cs typeface="+mn-cs"/>
              </a:defRPr>
            </a:pPr>
            <a:r>
              <a:rPr lang="en-CA"/>
              <a:t>Contribution From Revenue Sources</a:t>
            </a:r>
          </a:p>
        </c:rich>
      </c:tx>
      <c:overlay val="0"/>
      <c:spPr>
        <a:noFill/>
        <a:ln>
          <a:noFill/>
        </a:ln>
        <a:effectLst/>
      </c:spPr>
      <c:txPr>
        <a:bodyPr rot="0" spcFirstLastPara="1" vertOverflow="ellipsis" vert="horz" wrap="square" anchor="ctr" anchorCtr="1"/>
        <a:lstStyle/>
        <a:p>
          <a:pPr>
            <a:defRPr lang="en-US" sz="1200" b="1" i="0" u="none" strike="noStrike" kern="1200" baseline="0">
              <a:solidFill>
                <a:schemeClr val="tx1"/>
              </a:solidFill>
              <a:latin typeface="+mn-lt"/>
              <a:ea typeface="+mn-ea"/>
              <a:cs typeface="+mn-cs"/>
            </a:defRPr>
          </a:pPr>
          <a:endParaRPr lang="en-US"/>
        </a:p>
      </c:txPr>
    </c:title>
    <c:autoTitleDeleted val="0"/>
    <c:plotArea>
      <c:layout>
        <c:manualLayout>
          <c:layoutTarget val="inner"/>
          <c:xMode val="edge"/>
          <c:yMode val="edge"/>
          <c:x val="0.11254483814523185"/>
          <c:y val="0.16218832020997373"/>
          <c:w val="0.47213254593175852"/>
          <c:h val="0.78688757655293085"/>
        </c:manualLayout>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ABB3-4A0B-8349-9E8FDE7975E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ABB3-4A0B-8349-9E8FDE7975E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ABB3-4A0B-8349-9E8FDE7975E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ABB3-4A0B-8349-9E8FDE7975E3}"/>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9-ABB3-4A0B-8349-9E8FDE7975E3}"/>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B-ABB3-4A0B-8349-9E8FDE7975E3}"/>
              </c:ext>
            </c:extLst>
          </c:dPt>
          <c:dLbls>
            <c:spPr>
              <a:noFill/>
              <a:ln>
                <a:noFill/>
              </a:ln>
              <a:effectLst/>
            </c:spPr>
            <c:txPr>
              <a:bodyPr rot="0" spcFirstLastPara="1" vertOverflow="ellipsis" vert="horz" wrap="square" anchor="ctr" anchorCtr="1"/>
              <a:lstStyle/>
              <a:p>
                <a:pPr>
                  <a:defRPr lang="en-US" sz="1000" b="1"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'[Feasibility Study.xlsx]Charts'!$A$42:$G$47</c:f>
              <c:strCache>
                <c:ptCount val="6"/>
                <c:pt idx="0">
                  <c:v>Charging Equipment Sales</c:v>
                </c:pt>
                <c:pt idx="1">
                  <c:v>Advertising and Sponsorship</c:v>
                </c:pt>
                <c:pt idx="2">
                  <c:v>Income from Running Charging Stations</c:v>
                </c:pt>
                <c:pt idx="3">
                  <c:v>EV Charging Fees</c:v>
                </c:pt>
                <c:pt idx="4">
                  <c:v>Third-Party Contracts</c:v>
                </c:pt>
                <c:pt idx="5">
                  <c:v>Government Subsidies</c:v>
                </c:pt>
              </c:strCache>
              <c:extLst/>
            </c:strRef>
          </c:cat>
          <c:val>
            <c:numRef>
              <c:f>'[Feasibility Study.xlsx]Charts'!$H$42:$H$47</c:f>
              <c:numCache>
                <c:formatCode>_("$"* #,##0.00_);_("$"* \(#,##0.00\);_("$"* "-"??_);_(@_)</c:formatCode>
                <c:ptCount val="6"/>
                <c:pt idx="0">
                  <c:v>794014101.60000002</c:v>
                </c:pt>
                <c:pt idx="1">
                  <c:v>330659541.02999997</c:v>
                </c:pt>
                <c:pt idx="2">
                  <c:v>358113633.13999999</c:v>
                </c:pt>
                <c:pt idx="3">
                  <c:v>309456231.41000003</c:v>
                </c:pt>
                <c:pt idx="4">
                  <c:v>859124992.39999998</c:v>
                </c:pt>
                <c:pt idx="5">
                  <c:v>20000000</c:v>
                </c:pt>
              </c:numCache>
            </c:numRef>
          </c:val>
          <c:extLst>
            <c:ext xmlns:c16="http://schemas.microsoft.com/office/drawing/2014/chart" uri="{C3380CC4-5D6E-409C-BE32-E72D297353CC}">
              <c16:uniqueId val="{0000000C-ABB3-4A0B-8349-9E8FDE7975E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lang="en-US" sz="1000" b="1"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en-US" sz="1000" b="1" i="0" u="none" strike="noStrike" kern="1200" baseline="0">
          <a:solidFill>
            <a:schemeClr val="tx1"/>
          </a:solidFill>
          <a:latin typeface="+mn-lt"/>
          <a:ea typeface="+mn-ea"/>
          <a:cs typeface="+mn-cs"/>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'[Feasibility Study.xlsx]Charts'!$J$58</c:f>
              <c:strCache>
                <c:ptCount val="1"/>
                <c:pt idx="0">
                  <c:v>ROI %</c:v>
                </c:pt>
              </c:strCache>
            </c:strRef>
          </c:tx>
          <c:spPr>
            <a:ln w="28575" cap="rnd">
              <a:solidFill>
                <a:schemeClr val="accent1"/>
              </a:solidFill>
              <a:round/>
            </a:ln>
            <a:effectLst/>
          </c:spPr>
          <c:marker>
            <c:symbol val="none"/>
          </c:marker>
          <c:cat>
            <c:strRef>
              <c:f>'[Feasibility Study.xlsx]Charts'!$I$59:$I$78</c:f>
              <c:strCache>
                <c:ptCount val="20"/>
                <c:pt idx="0">
                  <c:v>Year 1</c:v>
                </c:pt>
                <c:pt idx="1">
                  <c:v>Year 2</c:v>
                </c:pt>
                <c:pt idx="2">
                  <c:v>Year 3</c:v>
                </c:pt>
                <c:pt idx="3">
                  <c:v>Year 4</c:v>
                </c:pt>
                <c:pt idx="4">
                  <c:v>Year 5</c:v>
                </c:pt>
                <c:pt idx="5">
                  <c:v>Year 6</c:v>
                </c:pt>
                <c:pt idx="6">
                  <c:v>Year 7</c:v>
                </c:pt>
                <c:pt idx="7">
                  <c:v>Year 8</c:v>
                </c:pt>
                <c:pt idx="8">
                  <c:v>Year 9</c:v>
                </c:pt>
                <c:pt idx="9">
                  <c:v>Year 10</c:v>
                </c:pt>
                <c:pt idx="10">
                  <c:v>Year 11</c:v>
                </c:pt>
                <c:pt idx="11">
                  <c:v>Year 12</c:v>
                </c:pt>
                <c:pt idx="12">
                  <c:v>Year 13</c:v>
                </c:pt>
                <c:pt idx="13">
                  <c:v>Year 14</c:v>
                </c:pt>
                <c:pt idx="14">
                  <c:v>Year 15</c:v>
                </c:pt>
                <c:pt idx="15">
                  <c:v>Year 16</c:v>
                </c:pt>
                <c:pt idx="16">
                  <c:v>Year 17</c:v>
                </c:pt>
                <c:pt idx="17">
                  <c:v>Year 18</c:v>
                </c:pt>
                <c:pt idx="18">
                  <c:v>Year 19</c:v>
                </c:pt>
                <c:pt idx="19">
                  <c:v>Year 20</c:v>
                </c:pt>
              </c:strCache>
            </c:strRef>
          </c:cat>
          <c:val>
            <c:numRef>
              <c:f>'[Feasibility Study.xlsx]Charts'!$J$59:$J$78</c:f>
              <c:numCache>
                <c:formatCode>0.00%</c:formatCode>
                <c:ptCount val="20"/>
                <c:pt idx="0">
                  <c:v>-0.92949999999999999</c:v>
                </c:pt>
                <c:pt idx="1">
                  <c:v>-0.18890000000000001</c:v>
                </c:pt>
                <c:pt idx="2">
                  <c:v>-0.13869999999999999</c:v>
                </c:pt>
                <c:pt idx="3">
                  <c:v>-0.1065</c:v>
                </c:pt>
                <c:pt idx="4">
                  <c:v>-7.2800000000000004E-2</c:v>
                </c:pt>
                <c:pt idx="5">
                  <c:v>-3.5099999999999999E-2</c:v>
                </c:pt>
                <c:pt idx="6">
                  <c:v>1.4E-3</c:v>
                </c:pt>
                <c:pt idx="7">
                  <c:v>3.6700000000000003E-2</c:v>
                </c:pt>
                <c:pt idx="8">
                  <c:v>7.1800000000000003E-2</c:v>
                </c:pt>
                <c:pt idx="9">
                  <c:v>7.3400000000000007E-2</c:v>
                </c:pt>
                <c:pt idx="10">
                  <c:v>0.24049999999999999</c:v>
                </c:pt>
                <c:pt idx="11">
                  <c:v>0.26079999999999998</c:v>
                </c:pt>
                <c:pt idx="12">
                  <c:v>0.3327</c:v>
                </c:pt>
                <c:pt idx="13">
                  <c:v>0.35460000000000003</c:v>
                </c:pt>
                <c:pt idx="14">
                  <c:v>0.435</c:v>
                </c:pt>
                <c:pt idx="15">
                  <c:v>0.45660000000000001</c:v>
                </c:pt>
                <c:pt idx="16">
                  <c:v>0.54349999999999998</c:v>
                </c:pt>
                <c:pt idx="17">
                  <c:v>0.56920000000000004</c:v>
                </c:pt>
                <c:pt idx="18">
                  <c:v>0.65839999999999999</c:v>
                </c:pt>
                <c:pt idx="19">
                  <c:v>0.69140000000000001</c:v>
                </c:pt>
              </c:numCache>
            </c:numRef>
          </c:val>
          <c:smooth val="0"/>
          <c:extLst>
            <c:ext xmlns:c16="http://schemas.microsoft.com/office/drawing/2014/chart" uri="{C3380CC4-5D6E-409C-BE32-E72D297353CC}">
              <c16:uniqueId val="{00000000-F2B1-45DA-9498-FDCBA8CE584B}"/>
            </c:ext>
          </c:extLst>
        </c:ser>
        <c:dLbls>
          <c:showLegendKey val="0"/>
          <c:showVal val="0"/>
          <c:showCatName val="0"/>
          <c:showSerName val="0"/>
          <c:showPercent val="0"/>
          <c:showBubbleSize val="0"/>
        </c:dLbls>
        <c:smooth val="0"/>
        <c:axId val="992417504"/>
        <c:axId val="992415584"/>
      </c:lineChart>
      <c:catAx>
        <c:axId val="99241750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CA"/>
                  <a:t>Year</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992415584"/>
        <c:crosses val="autoZero"/>
        <c:auto val="1"/>
        <c:lblAlgn val="ctr"/>
        <c:lblOffset val="100"/>
        <c:noMultiLvlLbl val="0"/>
      </c:catAx>
      <c:valAx>
        <c:axId val="99241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CA"/>
                  <a:t>Growth Percentage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992417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8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spPr>
      <a:ln w="9525" cap="flat" cmpd="sng" algn="ctr">
        <a:solidFill>
          <a:schemeClr val="tx2">
            <a:lumMod val="40000"/>
            <a:lumOff val="60000"/>
          </a:schemeClr>
        </a:solidFill>
        <a:round/>
      </a:ln>
    </cs:spPr>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D770A-F5A6-41B9-8246-ADF6A0C70A63}">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22</TotalTime>
  <Pages>62</Pages>
  <Words>17963</Words>
  <Characters>102393</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120116</CharactersWithSpaces>
  <SharedDoc>false</SharedDoc>
  <HLinks>
    <vt:vector size="216" baseType="variant">
      <vt:variant>
        <vt:i4>2097213</vt:i4>
      </vt:variant>
      <vt:variant>
        <vt:i4>189</vt:i4>
      </vt:variant>
      <vt:variant>
        <vt:i4>0</vt:i4>
      </vt:variant>
      <vt:variant>
        <vt:i4>5</vt:i4>
      </vt:variant>
      <vt:variant>
        <vt:lpwstr>https://bedrockrealty.ca/real-estate-resources/real-estate-articles/what-are-building-operating-costs/</vt:lpwstr>
      </vt:variant>
      <vt:variant>
        <vt:lpwstr/>
      </vt:variant>
      <vt:variant>
        <vt:i4>1245200</vt:i4>
      </vt:variant>
      <vt:variant>
        <vt:i4>186</vt:i4>
      </vt:variant>
      <vt:variant>
        <vt:i4>0</vt:i4>
      </vt:variant>
      <vt:variant>
        <vt:i4>5</vt:i4>
      </vt:variant>
      <vt:variant>
        <vt:lpwstr>https://stories.td.com/ca/en/news/2024-11-07-td-asset-management-inc.-recognized-in-six-categories-at-the</vt:lpwstr>
      </vt:variant>
      <vt:variant>
        <vt:lpwstr/>
      </vt:variant>
      <vt:variant>
        <vt:i4>5767247</vt:i4>
      </vt:variant>
      <vt:variant>
        <vt:i4>183</vt:i4>
      </vt:variant>
      <vt:variant>
        <vt:i4>0</vt:i4>
      </vt:variant>
      <vt:variant>
        <vt:i4>5</vt:i4>
      </vt:variant>
      <vt:variant>
        <vt:lpwstr>https://www.td.com/document/PDF/ar2021/ar2021-Complete-Report.pdf</vt:lpwstr>
      </vt:variant>
      <vt:variant>
        <vt:lpwstr/>
      </vt:variant>
      <vt:variant>
        <vt:i4>5963852</vt:i4>
      </vt:variant>
      <vt:variant>
        <vt:i4>180</vt:i4>
      </vt:variant>
      <vt:variant>
        <vt:i4>0</vt:i4>
      </vt:variant>
      <vt:variant>
        <vt:i4>5</vt:i4>
      </vt:variant>
      <vt:variant>
        <vt:lpwstr>https://www.td.com/document/PDF/ar2022/ar2022-Complete-Report.pdf</vt:lpwstr>
      </vt:variant>
      <vt:variant>
        <vt:lpwstr/>
      </vt:variant>
      <vt:variant>
        <vt:i4>5242951</vt:i4>
      </vt:variant>
      <vt:variant>
        <vt:i4>177</vt:i4>
      </vt:variant>
      <vt:variant>
        <vt:i4>0</vt:i4>
      </vt:variant>
      <vt:variant>
        <vt:i4>5</vt:i4>
      </vt:variant>
      <vt:variant>
        <vt:lpwstr>https://www.td.com/content/dam/tdcom/canada/about-td/pdf/quarterly-results/2023/2023-annual-report-e.pdf</vt:lpwstr>
      </vt:variant>
      <vt:variant>
        <vt:lpwstr/>
      </vt:variant>
      <vt:variant>
        <vt:i4>3801129</vt:i4>
      </vt:variant>
      <vt:variant>
        <vt:i4>174</vt:i4>
      </vt:variant>
      <vt:variant>
        <vt:i4>0</vt:i4>
      </vt:variant>
      <vt:variant>
        <vt:i4>5</vt:i4>
      </vt:variant>
      <vt:variant>
        <vt:lpwstr>https://www.linkedin.com/company/witricity-corporation/</vt:lpwstr>
      </vt:variant>
      <vt:variant>
        <vt:lpwstr/>
      </vt:variant>
      <vt:variant>
        <vt:i4>1114194</vt:i4>
      </vt:variant>
      <vt:variant>
        <vt:i4>171</vt:i4>
      </vt:variant>
      <vt:variant>
        <vt:i4>0</vt:i4>
      </vt:variant>
      <vt:variant>
        <vt:i4>5</vt:i4>
      </vt:variant>
      <vt:variant>
        <vt:lpwstr>https://advertisers.mediaradar.com/td-bank-advertising-profile</vt:lpwstr>
      </vt:variant>
      <vt:variant>
        <vt:lpwstr>MediaSpend</vt:lpwstr>
      </vt:variant>
      <vt:variant>
        <vt:i4>4325488</vt:i4>
      </vt:variant>
      <vt:variant>
        <vt:i4>168</vt:i4>
      </vt:variant>
      <vt:variant>
        <vt:i4>0</vt:i4>
      </vt:variant>
      <vt:variant>
        <vt:i4>5</vt:i4>
      </vt:variant>
      <vt:variant>
        <vt:lpwstr>https://www.glassdoor.com/Salary/WiTricity-Engineering-Salaries-EI_E719306.0,9_DEPT1007_IP2.htm</vt:lpwstr>
      </vt:variant>
      <vt:variant>
        <vt:lpwstr/>
      </vt:variant>
      <vt:variant>
        <vt:i4>2359394</vt:i4>
      </vt:variant>
      <vt:variant>
        <vt:i4>165</vt:i4>
      </vt:variant>
      <vt:variant>
        <vt:i4>0</vt:i4>
      </vt:variant>
      <vt:variant>
        <vt:i4>5</vt:i4>
      </vt:variant>
      <vt:variant>
        <vt:lpwstr>https://www.canada.ca/en/revenue-agency/services/tax/businesses/topics/sole-proprietorships-partnerships/report-business-income-expenses/claiming-capital-cost-allowance/classes-depreciable-property.html</vt:lpwstr>
      </vt:variant>
      <vt:variant>
        <vt:lpwstr/>
      </vt:variant>
      <vt:variant>
        <vt:i4>1572921</vt:i4>
      </vt:variant>
      <vt:variant>
        <vt:i4>158</vt:i4>
      </vt:variant>
      <vt:variant>
        <vt:i4>0</vt:i4>
      </vt:variant>
      <vt:variant>
        <vt:i4>5</vt:i4>
      </vt:variant>
      <vt:variant>
        <vt:lpwstr/>
      </vt:variant>
      <vt:variant>
        <vt:lpwstr>_Toc181997090</vt:lpwstr>
      </vt:variant>
      <vt:variant>
        <vt:i4>1638457</vt:i4>
      </vt:variant>
      <vt:variant>
        <vt:i4>152</vt:i4>
      </vt:variant>
      <vt:variant>
        <vt:i4>0</vt:i4>
      </vt:variant>
      <vt:variant>
        <vt:i4>5</vt:i4>
      </vt:variant>
      <vt:variant>
        <vt:lpwstr/>
      </vt:variant>
      <vt:variant>
        <vt:lpwstr>_Toc181997089</vt:lpwstr>
      </vt:variant>
      <vt:variant>
        <vt:i4>1638457</vt:i4>
      </vt:variant>
      <vt:variant>
        <vt:i4>146</vt:i4>
      </vt:variant>
      <vt:variant>
        <vt:i4>0</vt:i4>
      </vt:variant>
      <vt:variant>
        <vt:i4>5</vt:i4>
      </vt:variant>
      <vt:variant>
        <vt:lpwstr/>
      </vt:variant>
      <vt:variant>
        <vt:lpwstr>_Toc181997088</vt:lpwstr>
      </vt:variant>
      <vt:variant>
        <vt:i4>1638457</vt:i4>
      </vt:variant>
      <vt:variant>
        <vt:i4>140</vt:i4>
      </vt:variant>
      <vt:variant>
        <vt:i4>0</vt:i4>
      </vt:variant>
      <vt:variant>
        <vt:i4>5</vt:i4>
      </vt:variant>
      <vt:variant>
        <vt:lpwstr/>
      </vt:variant>
      <vt:variant>
        <vt:lpwstr>_Toc181997087</vt:lpwstr>
      </vt:variant>
      <vt:variant>
        <vt:i4>1638457</vt:i4>
      </vt:variant>
      <vt:variant>
        <vt:i4>134</vt:i4>
      </vt:variant>
      <vt:variant>
        <vt:i4>0</vt:i4>
      </vt:variant>
      <vt:variant>
        <vt:i4>5</vt:i4>
      </vt:variant>
      <vt:variant>
        <vt:lpwstr/>
      </vt:variant>
      <vt:variant>
        <vt:lpwstr>_Toc181997086</vt:lpwstr>
      </vt:variant>
      <vt:variant>
        <vt:i4>1638457</vt:i4>
      </vt:variant>
      <vt:variant>
        <vt:i4>128</vt:i4>
      </vt:variant>
      <vt:variant>
        <vt:i4>0</vt:i4>
      </vt:variant>
      <vt:variant>
        <vt:i4>5</vt:i4>
      </vt:variant>
      <vt:variant>
        <vt:lpwstr/>
      </vt:variant>
      <vt:variant>
        <vt:lpwstr>_Toc181997085</vt:lpwstr>
      </vt:variant>
      <vt:variant>
        <vt:i4>1638457</vt:i4>
      </vt:variant>
      <vt:variant>
        <vt:i4>122</vt:i4>
      </vt:variant>
      <vt:variant>
        <vt:i4>0</vt:i4>
      </vt:variant>
      <vt:variant>
        <vt:i4>5</vt:i4>
      </vt:variant>
      <vt:variant>
        <vt:lpwstr/>
      </vt:variant>
      <vt:variant>
        <vt:lpwstr>_Toc181997084</vt:lpwstr>
      </vt:variant>
      <vt:variant>
        <vt:i4>1638457</vt:i4>
      </vt:variant>
      <vt:variant>
        <vt:i4>116</vt:i4>
      </vt:variant>
      <vt:variant>
        <vt:i4>0</vt:i4>
      </vt:variant>
      <vt:variant>
        <vt:i4>5</vt:i4>
      </vt:variant>
      <vt:variant>
        <vt:lpwstr/>
      </vt:variant>
      <vt:variant>
        <vt:lpwstr>_Toc181997083</vt:lpwstr>
      </vt:variant>
      <vt:variant>
        <vt:i4>1638457</vt:i4>
      </vt:variant>
      <vt:variant>
        <vt:i4>110</vt:i4>
      </vt:variant>
      <vt:variant>
        <vt:i4>0</vt:i4>
      </vt:variant>
      <vt:variant>
        <vt:i4>5</vt:i4>
      </vt:variant>
      <vt:variant>
        <vt:lpwstr/>
      </vt:variant>
      <vt:variant>
        <vt:lpwstr>_Toc181997082</vt:lpwstr>
      </vt:variant>
      <vt:variant>
        <vt:i4>1638457</vt:i4>
      </vt:variant>
      <vt:variant>
        <vt:i4>104</vt:i4>
      </vt:variant>
      <vt:variant>
        <vt:i4>0</vt:i4>
      </vt:variant>
      <vt:variant>
        <vt:i4>5</vt:i4>
      </vt:variant>
      <vt:variant>
        <vt:lpwstr/>
      </vt:variant>
      <vt:variant>
        <vt:lpwstr>_Toc181997081</vt:lpwstr>
      </vt:variant>
      <vt:variant>
        <vt:i4>1638457</vt:i4>
      </vt:variant>
      <vt:variant>
        <vt:i4>98</vt:i4>
      </vt:variant>
      <vt:variant>
        <vt:i4>0</vt:i4>
      </vt:variant>
      <vt:variant>
        <vt:i4>5</vt:i4>
      </vt:variant>
      <vt:variant>
        <vt:lpwstr/>
      </vt:variant>
      <vt:variant>
        <vt:lpwstr>_Toc181997080</vt:lpwstr>
      </vt:variant>
      <vt:variant>
        <vt:i4>1441849</vt:i4>
      </vt:variant>
      <vt:variant>
        <vt:i4>92</vt:i4>
      </vt:variant>
      <vt:variant>
        <vt:i4>0</vt:i4>
      </vt:variant>
      <vt:variant>
        <vt:i4>5</vt:i4>
      </vt:variant>
      <vt:variant>
        <vt:lpwstr/>
      </vt:variant>
      <vt:variant>
        <vt:lpwstr>_Toc181997079</vt:lpwstr>
      </vt:variant>
      <vt:variant>
        <vt:i4>1441849</vt:i4>
      </vt:variant>
      <vt:variant>
        <vt:i4>86</vt:i4>
      </vt:variant>
      <vt:variant>
        <vt:i4>0</vt:i4>
      </vt:variant>
      <vt:variant>
        <vt:i4>5</vt:i4>
      </vt:variant>
      <vt:variant>
        <vt:lpwstr/>
      </vt:variant>
      <vt:variant>
        <vt:lpwstr>_Toc181997078</vt:lpwstr>
      </vt:variant>
      <vt:variant>
        <vt:i4>1441849</vt:i4>
      </vt:variant>
      <vt:variant>
        <vt:i4>80</vt:i4>
      </vt:variant>
      <vt:variant>
        <vt:i4>0</vt:i4>
      </vt:variant>
      <vt:variant>
        <vt:i4>5</vt:i4>
      </vt:variant>
      <vt:variant>
        <vt:lpwstr/>
      </vt:variant>
      <vt:variant>
        <vt:lpwstr>_Toc181997077</vt:lpwstr>
      </vt:variant>
      <vt:variant>
        <vt:i4>1441849</vt:i4>
      </vt:variant>
      <vt:variant>
        <vt:i4>74</vt:i4>
      </vt:variant>
      <vt:variant>
        <vt:i4>0</vt:i4>
      </vt:variant>
      <vt:variant>
        <vt:i4>5</vt:i4>
      </vt:variant>
      <vt:variant>
        <vt:lpwstr/>
      </vt:variant>
      <vt:variant>
        <vt:lpwstr>_Toc181997076</vt:lpwstr>
      </vt:variant>
      <vt:variant>
        <vt:i4>1441849</vt:i4>
      </vt:variant>
      <vt:variant>
        <vt:i4>68</vt:i4>
      </vt:variant>
      <vt:variant>
        <vt:i4>0</vt:i4>
      </vt:variant>
      <vt:variant>
        <vt:i4>5</vt:i4>
      </vt:variant>
      <vt:variant>
        <vt:lpwstr/>
      </vt:variant>
      <vt:variant>
        <vt:lpwstr>_Toc181997075</vt:lpwstr>
      </vt:variant>
      <vt:variant>
        <vt:i4>1441849</vt:i4>
      </vt:variant>
      <vt:variant>
        <vt:i4>62</vt:i4>
      </vt:variant>
      <vt:variant>
        <vt:i4>0</vt:i4>
      </vt:variant>
      <vt:variant>
        <vt:i4>5</vt:i4>
      </vt:variant>
      <vt:variant>
        <vt:lpwstr/>
      </vt:variant>
      <vt:variant>
        <vt:lpwstr>_Toc181997074</vt:lpwstr>
      </vt:variant>
      <vt:variant>
        <vt:i4>1441849</vt:i4>
      </vt:variant>
      <vt:variant>
        <vt:i4>56</vt:i4>
      </vt:variant>
      <vt:variant>
        <vt:i4>0</vt:i4>
      </vt:variant>
      <vt:variant>
        <vt:i4>5</vt:i4>
      </vt:variant>
      <vt:variant>
        <vt:lpwstr/>
      </vt:variant>
      <vt:variant>
        <vt:lpwstr>_Toc181997073</vt:lpwstr>
      </vt:variant>
      <vt:variant>
        <vt:i4>1441849</vt:i4>
      </vt:variant>
      <vt:variant>
        <vt:i4>50</vt:i4>
      </vt:variant>
      <vt:variant>
        <vt:i4>0</vt:i4>
      </vt:variant>
      <vt:variant>
        <vt:i4>5</vt:i4>
      </vt:variant>
      <vt:variant>
        <vt:lpwstr/>
      </vt:variant>
      <vt:variant>
        <vt:lpwstr>_Toc181997072</vt:lpwstr>
      </vt:variant>
      <vt:variant>
        <vt:i4>1441849</vt:i4>
      </vt:variant>
      <vt:variant>
        <vt:i4>44</vt:i4>
      </vt:variant>
      <vt:variant>
        <vt:i4>0</vt:i4>
      </vt:variant>
      <vt:variant>
        <vt:i4>5</vt:i4>
      </vt:variant>
      <vt:variant>
        <vt:lpwstr/>
      </vt:variant>
      <vt:variant>
        <vt:lpwstr>_Toc181997071</vt:lpwstr>
      </vt:variant>
      <vt:variant>
        <vt:i4>1441849</vt:i4>
      </vt:variant>
      <vt:variant>
        <vt:i4>38</vt:i4>
      </vt:variant>
      <vt:variant>
        <vt:i4>0</vt:i4>
      </vt:variant>
      <vt:variant>
        <vt:i4>5</vt:i4>
      </vt:variant>
      <vt:variant>
        <vt:lpwstr/>
      </vt:variant>
      <vt:variant>
        <vt:lpwstr>_Toc181997070</vt:lpwstr>
      </vt:variant>
      <vt:variant>
        <vt:i4>1507385</vt:i4>
      </vt:variant>
      <vt:variant>
        <vt:i4>32</vt:i4>
      </vt:variant>
      <vt:variant>
        <vt:i4>0</vt:i4>
      </vt:variant>
      <vt:variant>
        <vt:i4>5</vt:i4>
      </vt:variant>
      <vt:variant>
        <vt:lpwstr/>
      </vt:variant>
      <vt:variant>
        <vt:lpwstr>_Toc181997069</vt:lpwstr>
      </vt:variant>
      <vt:variant>
        <vt:i4>1507385</vt:i4>
      </vt:variant>
      <vt:variant>
        <vt:i4>26</vt:i4>
      </vt:variant>
      <vt:variant>
        <vt:i4>0</vt:i4>
      </vt:variant>
      <vt:variant>
        <vt:i4>5</vt:i4>
      </vt:variant>
      <vt:variant>
        <vt:lpwstr/>
      </vt:variant>
      <vt:variant>
        <vt:lpwstr>_Toc181997068</vt:lpwstr>
      </vt:variant>
      <vt:variant>
        <vt:i4>1507385</vt:i4>
      </vt:variant>
      <vt:variant>
        <vt:i4>20</vt:i4>
      </vt:variant>
      <vt:variant>
        <vt:i4>0</vt:i4>
      </vt:variant>
      <vt:variant>
        <vt:i4>5</vt:i4>
      </vt:variant>
      <vt:variant>
        <vt:lpwstr/>
      </vt:variant>
      <vt:variant>
        <vt:lpwstr>_Toc181997067</vt:lpwstr>
      </vt:variant>
      <vt:variant>
        <vt:i4>1507385</vt:i4>
      </vt:variant>
      <vt:variant>
        <vt:i4>14</vt:i4>
      </vt:variant>
      <vt:variant>
        <vt:i4>0</vt:i4>
      </vt:variant>
      <vt:variant>
        <vt:i4>5</vt:i4>
      </vt:variant>
      <vt:variant>
        <vt:lpwstr/>
      </vt:variant>
      <vt:variant>
        <vt:lpwstr>_Toc181997066</vt:lpwstr>
      </vt:variant>
      <vt:variant>
        <vt:i4>1507385</vt:i4>
      </vt:variant>
      <vt:variant>
        <vt:i4>8</vt:i4>
      </vt:variant>
      <vt:variant>
        <vt:i4>0</vt:i4>
      </vt:variant>
      <vt:variant>
        <vt:i4>5</vt:i4>
      </vt:variant>
      <vt:variant>
        <vt:lpwstr/>
      </vt:variant>
      <vt:variant>
        <vt:lpwstr>_Toc181997065</vt:lpwstr>
      </vt:variant>
      <vt:variant>
        <vt:i4>1507385</vt:i4>
      </vt:variant>
      <vt:variant>
        <vt:i4>2</vt:i4>
      </vt:variant>
      <vt:variant>
        <vt:i4>0</vt:i4>
      </vt:variant>
      <vt:variant>
        <vt:i4>5</vt:i4>
      </vt:variant>
      <vt:variant>
        <vt:lpwstr/>
      </vt:variant>
      <vt:variant>
        <vt:lpwstr>_Toc181997064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 Patel</dc:creator>
  <cp:keywords/>
  <dc:description/>
  <cp:lastModifiedBy>Sandra Marya</cp:lastModifiedBy>
  <cp:revision>5</cp:revision>
  <dcterms:created xsi:type="dcterms:W3CDTF">2024-11-09T04:04:00Z</dcterms:created>
  <dcterms:modified xsi:type="dcterms:W3CDTF">2024-11-09T04:27:00Z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7a34b057-0f89-4977-96e8-4fadbea43c6c</vt:lpwstr>
  </property>
</Properties>
</file>