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6A86" w14:textId="6FBF95BD" w:rsidR="00BE1377" w:rsidRPr="005616AE" w:rsidRDefault="00BE1377" w:rsidP="00BE1377">
      <w:pPr>
        <w:spacing w:line="278" w:lineRule="auto"/>
        <w:rPr>
          <w:rFonts w:cs="Calibri"/>
        </w:rPr>
      </w:pPr>
    </w:p>
    <w:p w14:paraId="615E4B6D" w14:textId="51E3F74A" w:rsidR="00BE1377" w:rsidRPr="005616AE" w:rsidRDefault="00BE1377" w:rsidP="00BE1377">
      <w:pPr>
        <w:spacing w:line="278" w:lineRule="auto"/>
        <w:rPr>
          <w:rFonts w:cs="Calibri"/>
        </w:rPr>
      </w:pPr>
    </w:p>
    <w:p w14:paraId="79809000" w14:textId="3192B71D" w:rsidR="00BE1377" w:rsidRPr="005616AE" w:rsidRDefault="00CF5280" w:rsidP="00BE1377">
      <w:pPr>
        <w:rPr>
          <w:rFonts w:cs="Calibri"/>
        </w:rPr>
      </w:pPr>
      <w:r w:rsidRPr="005616AE">
        <w:rPr>
          <w:rFonts w:cs="Calibri"/>
        </w:rPr>
        <w:drawing>
          <wp:anchor distT="0" distB="0" distL="114300" distR="114300" simplePos="0" relativeHeight="251659264" behindDoc="1" locked="0" layoutInCell="1" allowOverlap="1" wp14:anchorId="20A81636" wp14:editId="409AD582">
            <wp:simplePos x="0" y="0"/>
            <wp:positionH relativeFrom="margin">
              <wp:posOffset>738505</wp:posOffset>
            </wp:positionH>
            <wp:positionV relativeFrom="page">
              <wp:posOffset>1528445</wp:posOffset>
            </wp:positionV>
            <wp:extent cx="1049655" cy="1076325"/>
            <wp:effectExtent l="0" t="0" r="0" b="9525"/>
            <wp:wrapThrough wrapText="bothSides">
              <wp:wrapPolygon edited="0">
                <wp:start x="0" y="0"/>
                <wp:lineTo x="0" y="21409"/>
                <wp:lineTo x="21169" y="21409"/>
                <wp:lineTo x="21169" y="0"/>
                <wp:lineTo x="0" y="0"/>
              </wp:wrapPolygon>
            </wp:wrapThrough>
            <wp:docPr id="81052409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64" t="15948" r="16496" b="15944"/>
                    <a:stretch/>
                  </pic:blipFill>
                  <pic:spPr bwMode="auto">
                    <a:xfrm>
                      <a:off x="0" y="0"/>
                      <a:ext cx="104965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377" w:rsidRPr="005616AE">
        <w:rPr>
          <w:rFonts w:cs="Calibri"/>
        </w:rPr>
        <mc:AlternateContent>
          <mc:Choice Requires="wps">
            <w:drawing>
              <wp:anchor distT="45720" distB="45720" distL="114300" distR="114300" simplePos="0" relativeHeight="251662336" behindDoc="0" locked="0" layoutInCell="1" allowOverlap="1" wp14:anchorId="2F8CBD28" wp14:editId="45417B60">
                <wp:simplePos x="0" y="0"/>
                <wp:positionH relativeFrom="margin">
                  <wp:posOffset>1872615</wp:posOffset>
                </wp:positionH>
                <wp:positionV relativeFrom="paragraph">
                  <wp:posOffset>265430</wp:posOffset>
                </wp:positionV>
                <wp:extent cx="4133850" cy="1404620"/>
                <wp:effectExtent l="0" t="0" r="0" b="0"/>
                <wp:wrapSquare wrapText="bothSides"/>
                <wp:docPr id="1693928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1C9455A8" w14:textId="77777777" w:rsidR="00BE1377" w:rsidRPr="005616AE" w:rsidRDefault="00BE1377" w:rsidP="00BE1377">
                            <w:pPr>
                              <w:rPr>
                                <w:b/>
                                <w:bCs/>
                                <w:sz w:val="56"/>
                                <w:szCs w:val="56"/>
                              </w:rPr>
                            </w:pPr>
                            <w:bookmarkStart w:id="0" w:name="_Hlk179478817"/>
                            <w:bookmarkEnd w:id="0"/>
                            <w:r w:rsidRPr="005616AE">
                              <w:rPr>
                                <w:b/>
                                <w:bCs/>
                                <w:sz w:val="56"/>
                                <w:szCs w:val="56"/>
                              </w:rPr>
                              <w:t>ProcessPro Partners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CBD28" id="_x0000_t202" coordsize="21600,21600" o:spt="202" path="m,l,21600r21600,l21600,xe">
                <v:stroke joinstyle="miter"/>
                <v:path gradientshapeok="t" o:connecttype="rect"/>
              </v:shapetype>
              <v:shape id="Text Box 2" o:spid="_x0000_s1026" type="#_x0000_t202" style="position:absolute;left:0;text-align:left;margin-left:147.45pt;margin-top:20.9pt;width:325.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" stroked="f">
                <v:textbox style="mso-fit-shape-to-text:t">
                  <w:txbxContent>
                    <w:p w14:paraId="1C9455A8" w14:textId="77777777" w:rsidR="00BE1377" w:rsidRPr="005616AE" w:rsidRDefault="00BE1377" w:rsidP="00BE1377">
                      <w:pPr>
                        <w:rPr>
                          <w:b/>
                          <w:bCs/>
                          <w:sz w:val="56"/>
                          <w:szCs w:val="56"/>
                        </w:rPr>
                      </w:pPr>
                      <w:bookmarkStart w:id="1" w:name="_Hlk179478817"/>
                      <w:bookmarkEnd w:id="1"/>
                      <w:r w:rsidRPr="005616AE">
                        <w:rPr>
                          <w:b/>
                          <w:bCs/>
                          <w:sz w:val="56"/>
                          <w:szCs w:val="56"/>
                        </w:rPr>
                        <w:t>ProcessPro Partners</w:t>
                      </w:r>
                    </w:p>
                  </w:txbxContent>
                </v:textbox>
                <w10:wrap type="square" anchorx="margin"/>
              </v:shape>
            </w:pict>
          </mc:Fallback>
        </mc:AlternateContent>
      </w:r>
    </w:p>
    <w:p w14:paraId="5421566C" w14:textId="77777777" w:rsidR="00BE1377" w:rsidRPr="005616AE" w:rsidRDefault="00BE1377" w:rsidP="00BE1377">
      <w:pPr>
        <w:rPr>
          <w:rFonts w:cs="Calibri"/>
        </w:rPr>
      </w:pPr>
    </w:p>
    <w:p w14:paraId="1DFD41FB" w14:textId="77777777" w:rsidR="00BE1377" w:rsidRPr="005616AE" w:rsidRDefault="00BE1377" w:rsidP="00BE1377">
      <w:pPr>
        <w:rPr>
          <w:rFonts w:cs="Calibri"/>
        </w:rPr>
      </w:pPr>
    </w:p>
    <w:p w14:paraId="17D8FE5F" w14:textId="77777777" w:rsidR="00BE1377" w:rsidRPr="005616AE" w:rsidRDefault="00BE1377" w:rsidP="00BE1377">
      <w:pPr>
        <w:rPr>
          <w:rFonts w:cs="Calibri"/>
        </w:rPr>
      </w:pPr>
    </w:p>
    <w:p w14:paraId="7AA34139" w14:textId="77777777" w:rsidR="00BE1377" w:rsidRPr="005616AE" w:rsidRDefault="00BE1377" w:rsidP="00BE1377">
      <w:pPr>
        <w:rPr>
          <w:rFonts w:cs="Calibri"/>
        </w:rPr>
      </w:pPr>
    </w:p>
    <w:p w14:paraId="640A292E" w14:textId="5A3DD8E9" w:rsidR="00BE1377" w:rsidRPr="005616AE" w:rsidRDefault="00CF5280" w:rsidP="00BE1377">
      <w:pPr>
        <w:rPr>
          <w:rFonts w:cs="Calibri"/>
        </w:rPr>
      </w:pPr>
      <w:r w:rsidRPr="005616AE">
        <w:rPr>
          <w:rFonts w:cs="Calibri"/>
        </w:rPr>
        <w:drawing>
          <wp:anchor distT="0" distB="0" distL="114300" distR="114300" simplePos="0" relativeHeight="251660288" behindDoc="0" locked="0" layoutInCell="1" allowOverlap="1" wp14:anchorId="7C26F587" wp14:editId="5C418E7B">
            <wp:simplePos x="0" y="0"/>
            <wp:positionH relativeFrom="column">
              <wp:posOffset>1315720</wp:posOffset>
            </wp:positionH>
            <wp:positionV relativeFrom="page">
              <wp:posOffset>3226435</wp:posOffset>
            </wp:positionV>
            <wp:extent cx="551180" cy="492760"/>
            <wp:effectExtent l="0" t="0" r="1270" b="2540"/>
            <wp:wrapSquare wrapText="bothSides"/>
            <wp:docPr id="1942646568" name="Picture 4"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46568" name="Picture 4" descr="A green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180" cy="49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AC51D" w14:textId="5FE11DB7" w:rsidR="00BE1377" w:rsidRPr="005616AE" w:rsidRDefault="00BE1377" w:rsidP="00BE1377">
      <w:pPr>
        <w:rPr>
          <w:rFonts w:cs="Calibri"/>
        </w:rPr>
      </w:pPr>
      <w:r w:rsidRPr="005616AE">
        <w:rPr>
          <w:rFonts w:cs="Calibri"/>
        </w:rPr>
        <mc:AlternateContent>
          <mc:Choice Requires="wps">
            <w:drawing>
              <wp:anchor distT="45720" distB="45720" distL="114300" distR="114300" simplePos="0" relativeHeight="251661312" behindDoc="0" locked="0" layoutInCell="1" allowOverlap="1" wp14:anchorId="6AFAEA4F" wp14:editId="13B10D2C">
                <wp:simplePos x="0" y="0"/>
                <wp:positionH relativeFrom="margin">
                  <wp:posOffset>1920240</wp:posOffset>
                </wp:positionH>
                <wp:positionV relativeFrom="paragraph">
                  <wp:posOffset>17780</wp:posOffset>
                </wp:positionV>
                <wp:extent cx="3741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noFill/>
                          <a:miter lim="800000"/>
                          <a:headEnd/>
                          <a:tailEnd/>
                        </a:ln>
                      </wps:spPr>
                      <wps:txbx>
                        <w:txbxContent>
                          <w:p w14:paraId="79345D89" w14:textId="77777777" w:rsidR="00BE1377" w:rsidRPr="005616AE" w:rsidRDefault="00BE1377" w:rsidP="00BE1377">
                            <w:pPr>
                              <w:rPr>
                                <w:rFonts w:cs="Calibri"/>
                                <w:b/>
                                <w:sz w:val="44"/>
                                <w:szCs w:val="44"/>
                              </w:rPr>
                            </w:pPr>
                            <w:r w:rsidRPr="005616AE">
                              <w:rPr>
                                <w:rFonts w:cs="Calibri"/>
                                <w:b/>
                                <w:sz w:val="44"/>
                                <w:szCs w:val="44"/>
                              </w:rPr>
                              <w:t>Toronto Dominion Bank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AEA4F" id="_x0000_s1027" type="#_x0000_t202" style="position:absolute;left:0;text-align:left;margin-left:151.2pt;margin-top:1.4pt;width:294.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" stroked="f">
                <v:textbox style="mso-fit-shape-to-text:t">
                  <w:txbxContent>
                    <w:p w14:paraId="79345D89" w14:textId="77777777" w:rsidR="00BE1377" w:rsidRPr="005616AE" w:rsidRDefault="00BE1377" w:rsidP="00BE1377">
                      <w:pPr>
                        <w:rPr>
                          <w:rFonts w:cs="Calibri"/>
                          <w:b/>
                          <w:sz w:val="44"/>
                          <w:szCs w:val="44"/>
                        </w:rPr>
                      </w:pPr>
                      <w:r w:rsidRPr="005616AE">
                        <w:rPr>
                          <w:rFonts w:cs="Calibri"/>
                          <w:b/>
                          <w:sz w:val="44"/>
                          <w:szCs w:val="44"/>
                        </w:rPr>
                        <w:t>Toronto Dominion Bank</w:t>
                      </w:r>
                    </w:p>
                  </w:txbxContent>
                </v:textbox>
                <w10:wrap type="square" anchorx="margin"/>
              </v:shape>
            </w:pict>
          </mc:Fallback>
        </mc:AlternateContent>
      </w:r>
    </w:p>
    <w:p w14:paraId="07C8EFF6" w14:textId="77777777" w:rsidR="00BE1377" w:rsidRPr="005616AE" w:rsidRDefault="00BE1377" w:rsidP="00BE1377">
      <w:pPr>
        <w:rPr>
          <w:rFonts w:cs="Calibri"/>
        </w:rPr>
      </w:pPr>
    </w:p>
    <w:p w14:paraId="42AA5EBF" w14:textId="77777777" w:rsidR="00BE1377" w:rsidRPr="005616AE" w:rsidRDefault="00BE1377" w:rsidP="00BE1377">
      <w:pPr>
        <w:rPr>
          <w:rFonts w:cs="Calibri"/>
        </w:rPr>
      </w:pPr>
    </w:p>
    <w:p w14:paraId="1D01AFF0" w14:textId="77777777" w:rsidR="00BE1377" w:rsidRPr="005616AE" w:rsidRDefault="00BE1377" w:rsidP="00BE1377">
      <w:pPr>
        <w:rPr>
          <w:rFonts w:cs="Calibri"/>
        </w:rPr>
      </w:pPr>
    </w:p>
    <w:p w14:paraId="64C748E7" w14:textId="77777777" w:rsidR="00BE1377" w:rsidRPr="005616AE" w:rsidRDefault="00BE1377" w:rsidP="00BE1377">
      <w:pPr>
        <w:rPr>
          <w:rFonts w:cs="Calibri"/>
        </w:rPr>
      </w:pPr>
      <w:r w:rsidRPr="005616AE">
        <w:rPr>
          <w:rFonts w:cs="Calibri"/>
        </w:rPr>
        <mc:AlternateContent>
          <mc:Choice Requires="wps">
            <w:drawing>
              <wp:anchor distT="45720" distB="45720" distL="114300" distR="114300" simplePos="0" relativeHeight="251664384" behindDoc="0" locked="0" layoutInCell="1" allowOverlap="1" wp14:anchorId="71E8DF46" wp14:editId="693863D0">
                <wp:simplePos x="0" y="0"/>
                <wp:positionH relativeFrom="margin">
                  <wp:posOffset>1074420</wp:posOffset>
                </wp:positionH>
                <wp:positionV relativeFrom="paragraph">
                  <wp:posOffset>12700</wp:posOffset>
                </wp:positionV>
                <wp:extent cx="4640580" cy="1404620"/>
                <wp:effectExtent l="0" t="0" r="7620" b="6350"/>
                <wp:wrapSquare wrapText="bothSides"/>
                <wp:docPr id="46071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1404620"/>
                        </a:xfrm>
                        <a:prstGeom prst="rect">
                          <a:avLst/>
                        </a:prstGeom>
                        <a:solidFill>
                          <a:srgbClr val="FFFFFF"/>
                        </a:solidFill>
                        <a:ln w="9525">
                          <a:noFill/>
                          <a:miter lim="800000"/>
                          <a:headEnd/>
                          <a:tailEnd/>
                        </a:ln>
                      </wps:spPr>
                      <wps:txbx>
                        <w:txbxContent>
                          <w:p w14:paraId="2702143B" w14:textId="23618AA2" w:rsidR="00BE1377" w:rsidRPr="005616AE" w:rsidRDefault="00220636" w:rsidP="00220636">
                            <w:pPr>
                              <w:jc w:val="left"/>
                              <w:rPr>
                                <w:b/>
                                <w:bCs/>
                                <w:sz w:val="48"/>
                                <w:szCs w:val="48"/>
                              </w:rPr>
                            </w:pPr>
                            <w:r w:rsidRPr="005616AE">
                              <w:rPr>
                                <w:b/>
                                <w:bCs/>
                                <w:sz w:val="48"/>
                                <w:szCs w:val="48"/>
                              </w:rPr>
                              <w:t>Solution Requirement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E8DF46" id="_x0000_s1028" type="#_x0000_t202" style="position:absolute;left:0;text-align:left;margin-left:84.6pt;margin-top:1pt;width:365.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" stroked="f">
                <v:textbox style="mso-fit-shape-to-text:t">
                  <w:txbxContent>
                    <w:p w14:paraId="2702143B" w14:textId="23618AA2" w:rsidR="00BE1377" w:rsidRPr="005616AE" w:rsidRDefault="00220636" w:rsidP="00220636">
                      <w:pPr>
                        <w:jc w:val="left"/>
                        <w:rPr>
                          <w:b/>
                          <w:bCs/>
                          <w:sz w:val="48"/>
                          <w:szCs w:val="48"/>
                        </w:rPr>
                      </w:pPr>
                      <w:r w:rsidRPr="005616AE">
                        <w:rPr>
                          <w:b/>
                          <w:bCs/>
                          <w:sz w:val="48"/>
                          <w:szCs w:val="48"/>
                        </w:rPr>
                        <w:t>Solution Requirement Document</w:t>
                      </w:r>
                    </w:p>
                  </w:txbxContent>
                </v:textbox>
                <w10:wrap type="square" anchorx="margin"/>
              </v:shape>
            </w:pict>
          </mc:Fallback>
        </mc:AlternateContent>
      </w:r>
    </w:p>
    <w:p w14:paraId="4C44A108" w14:textId="77777777" w:rsidR="00BE1377" w:rsidRPr="005616AE" w:rsidRDefault="00BE1377" w:rsidP="00BE1377">
      <w:pPr>
        <w:rPr>
          <w:rFonts w:cs="Calibri"/>
        </w:rPr>
      </w:pPr>
    </w:p>
    <w:p w14:paraId="30133E56" w14:textId="77777777" w:rsidR="00BE1377" w:rsidRPr="005616AE" w:rsidRDefault="00BE1377" w:rsidP="00BE1377">
      <w:pPr>
        <w:rPr>
          <w:rFonts w:cs="Calibri"/>
        </w:rPr>
      </w:pPr>
    </w:p>
    <w:p w14:paraId="6D4B3DFC" w14:textId="77777777" w:rsidR="00BE1377" w:rsidRPr="005616AE" w:rsidRDefault="00BE1377" w:rsidP="00BE1377">
      <w:pPr>
        <w:rPr>
          <w:rFonts w:cs="Calibri"/>
        </w:rPr>
      </w:pPr>
    </w:p>
    <w:p w14:paraId="7A95D717" w14:textId="77777777" w:rsidR="00BE1377" w:rsidRPr="005616AE" w:rsidRDefault="00BE1377" w:rsidP="00BE1377">
      <w:pPr>
        <w:rPr>
          <w:rFonts w:cs="Calibri"/>
        </w:rPr>
      </w:pPr>
      <w:r w:rsidRPr="005616AE">
        <w:rPr>
          <w:rFonts w:cs="Calibri"/>
        </w:rPr>
        <mc:AlternateContent>
          <mc:Choice Requires="wps">
            <w:drawing>
              <wp:anchor distT="45720" distB="45720" distL="114300" distR="114300" simplePos="0" relativeHeight="251663360" behindDoc="0" locked="0" layoutInCell="1" allowOverlap="1" wp14:anchorId="2909A2D1" wp14:editId="4A3514A7">
                <wp:simplePos x="0" y="0"/>
                <wp:positionH relativeFrom="margin">
                  <wp:posOffset>1301115</wp:posOffset>
                </wp:positionH>
                <wp:positionV relativeFrom="paragraph">
                  <wp:posOffset>12700</wp:posOffset>
                </wp:positionV>
                <wp:extent cx="3421380" cy="1404620"/>
                <wp:effectExtent l="0" t="0" r="7620" b="0"/>
                <wp:wrapSquare wrapText="bothSides"/>
                <wp:docPr id="1982777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noFill/>
                          <a:miter lim="800000"/>
                          <a:headEnd/>
                          <a:tailEnd/>
                        </a:ln>
                      </wps:spPr>
                      <wps:txbx>
                        <w:txbxContent>
                          <w:p w14:paraId="3A93EA6E" w14:textId="67DC632B" w:rsidR="00BE1377" w:rsidRPr="005616AE" w:rsidRDefault="00185F97" w:rsidP="00BE1377">
                            <w:pPr>
                              <w:jc w:val="center"/>
                              <w:rPr>
                                <w:b/>
                                <w:bCs/>
                                <w:sz w:val="32"/>
                                <w:szCs w:val="32"/>
                              </w:rPr>
                            </w:pPr>
                            <w:r w:rsidRPr="005616AE">
                              <w:rPr>
                                <w:b/>
                                <w:bCs/>
                                <w:sz w:val="32"/>
                                <w:szCs w:val="32"/>
                              </w:rPr>
                              <w:t>22</w:t>
                            </w:r>
                            <w:r w:rsidRPr="005616AE">
                              <w:rPr>
                                <w:b/>
                                <w:bCs/>
                                <w:sz w:val="32"/>
                                <w:szCs w:val="32"/>
                                <w:vertAlign w:val="superscript"/>
                              </w:rPr>
                              <w:t>nd</w:t>
                            </w:r>
                            <w:r w:rsidRPr="005616AE">
                              <w:rPr>
                                <w:b/>
                                <w:bCs/>
                                <w:sz w:val="32"/>
                                <w:szCs w:val="32"/>
                              </w:rPr>
                              <w:t xml:space="preserve"> November</w:t>
                            </w:r>
                            <w:r w:rsidR="00BE1377" w:rsidRPr="005616AE">
                              <w:rPr>
                                <w:b/>
                                <w:bCs/>
                                <w:sz w:val="32"/>
                                <w:szCs w:val="32"/>
                              </w:rPr>
                              <w:t xml:space="preserve">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9A2D1" id="_x0000_s1029" type="#_x0000_t202" style="position:absolute;left:0;text-align:left;margin-left:102.45pt;margin-top:1pt;width:269.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" stroked="f">
                <v:textbox style="mso-fit-shape-to-text:t">
                  <w:txbxContent>
                    <w:p w14:paraId="3A93EA6E" w14:textId="67DC632B" w:rsidR="00BE1377" w:rsidRPr="005616AE" w:rsidRDefault="00185F97" w:rsidP="00BE1377">
                      <w:pPr>
                        <w:jc w:val="center"/>
                        <w:rPr>
                          <w:b/>
                          <w:bCs/>
                          <w:sz w:val="32"/>
                          <w:szCs w:val="32"/>
                        </w:rPr>
                      </w:pPr>
                      <w:r w:rsidRPr="005616AE">
                        <w:rPr>
                          <w:b/>
                          <w:bCs/>
                          <w:sz w:val="32"/>
                          <w:szCs w:val="32"/>
                        </w:rPr>
                        <w:t>22</w:t>
                      </w:r>
                      <w:r w:rsidRPr="005616AE">
                        <w:rPr>
                          <w:b/>
                          <w:bCs/>
                          <w:sz w:val="32"/>
                          <w:szCs w:val="32"/>
                          <w:vertAlign w:val="superscript"/>
                        </w:rPr>
                        <w:t>nd</w:t>
                      </w:r>
                      <w:r w:rsidRPr="005616AE">
                        <w:rPr>
                          <w:b/>
                          <w:bCs/>
                          <w:sz w:val="32"/>
                          <w:szCs w:val="32"/>
                        </w:rPr>
                        <w:t xml:space="preserve"> November</w:t>
                      </w:r>
                      <w:r w:rsidR="00BE1377" w:rsidRPr="005616AE">
                        <w:rPr>
                          <w:b/>
                          <w:bCs/>
                          <w:sz w:val="32"/>
                          <w:szCs w:val="32"/>
                        </w:rPr>
                        <w:t xml:space="preserve"> 2024</w:t>
                      </w:r>
                    </w:p>
                  </w:txbxContent>
                </v:textbox>
                <w10:wrap type="square" anchorx="margin"/>
              </v:shape>
            </w:pict>
          </mc:Fallback>
        </mc:AlternateContent>
      </w:r>
    </w:p>
    <w:p w14:paraId="616998F2" w14:textId="77777777" w:rsidR="00BE1377" w:rsidRPr="005616AE" w:rsidRDefault="00BE1377" w:rsidP="00BE1377">
      <w:pPr>
        <w:rPr>
          <w:rFonts w:cs="Calibri"/>
        </w:rPr>
      </w:pPr>
    </w:p>
    <w:p w14:paraId="2B1D650A" w14:textId="77777777" w:rsidR="00BE1377" w:rsidRPr="005616AE" w:rsidRDefault="00BE1377" w:rsidP="00BE1377">
      <w:pPr>
        <w:rPr>
          <w:rFonts w:cs="Calibri"/>
        </w:rPr>
      </w:pPr>
    </w:p>
    <w:p w14:paraId="21BA0468" w14:textId="77777777" w:rsidR="00BE1377" w:rsidRPr="005616AE" w:rsidRDefault="00BE1377" w:rsidP="00BE1377">
      <w:pPr>
        <w:spacing w:line="256" w:lineRule="auto"/>
        <w:ind w:left="2880"/>
        <w:rPr>
          <w:rFonts w:eastAsia="Aptos" w:cs="Calibri"/>
          <w:b/>
          <w:color w:val="000000" w:themeColor="dark1"/>
          <w:sz w:val="28"/>
          <w:szCs w:val="28"/>
        </w:rPr>
      </w:pPr>
    </w:p>
    <w:tbl>
      <w:tblPr>
        <w:tblStyle w:val="PlainTable1"/>
        <w:tblW w:w="10360" w:type="dxa"/>
        <w:tblInd w:w="-572" w:type="dxa"/>
        <w:tblLook w:val="04A0" w:firstRow="1" w:lastRow="0" w:firstColumn="1" w:lastColumn="0" w:noHBand="0" w:noVBand="1"/>
      </w:tblPr>
      <w:tblGrid>
        <w:gridCol w:w="4962"/>
        <w:gridCol w:w="5398"/>
      </w:tblGrid>
      <w:tr w:rsidR="00BE1377" w:rsidRPr="005616AE" w14:paraId="1993978B" w14:textId="77777777" w:rsidTr="00E2770D">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7847C01A" w14:textId="77777777" w:rsidR="00BE1377" w:rsidRPr="005616AE" w:rsidRDefault="00BE1377" w:rsidP="00E2770D">
            <w:pPr>
              <w:spacing w:line="256" w:lineRule="auto"/>
              <w:jc w:val="center"/>
              <w:rPr>
                <w:rFonts w:eastAsia="Aptos" w:cs="Calibri"/>
                <w:bCs w:val="0"/>
                <w:color w:val="000000" w:themeColor="dark1"/>
                <w:sz w:val="24"/>
                <w:szCs w:val="24"/>
              </w:rPr>
            </w:pPr>
            <w:r w:rsidRPr="005616AE">
              <w:rPr>
                <w:rFonts w:eastAsia="Aptos" w:cs="Calibri"/>
                <w:bCs w:val="0"/>
                <w:color w:val="000000" w:themeColor="dark1"/>
                <w:sz w:val="24"/>
                <w:szCs w:val="24"/>
              </w:rPr>
              <w:t>Name</w:t>
            </w:r>
          </w:p>
        </w:tc>
        <w:tc>
          <w:tcPr>
            <w:tcW w:w="5398" w:type="dxa"/>
          </w:tcPr>
          <w:p w14:paraId="73A199BB" w14:textId="77777777" w:rsidR="00BE1377" w:rsidRPr="005616AE" w:rsidRDefault="00BE1377" w:rsidP="00E2770D">
            <w:pPr>
              <w:spacing w:line="256" w:lineRule="auto"/>
              <w:jc w:val="center"/>
              <w:cnfStyle w:val="100000000000" w:firstRow="1" w:lastRow="0" w:firstColumn="0" w:lastColumn="0" w:oddVBand="0" w:evenVBand="0" w:oddHBand="0" w:evenHBand="0" w:firstRowFirstColumn="0" w:firstRowLastColumn="0" w:lastRowFirstColumn="0" w:lastRowLastColumn="0"/>
              <w:rPr>
                <w:rFonts w:eastAsia="Aptos" w:cs="Calibri"/>
                <w:bCs w:val="0"/>
                <w:color w:val="000000" w:themeColor="dark1"/>
                <w:sz w:val="24"/>
                <w:szCs w:val="24"/>
              </w:rPr>
            </w:pPr>
            <w:r w:rsidRPr="005616AE">
              <w:rPr>
                <w:rFonts w:eastAsia="Aptos" w:cs="Calibri"/>
                <w:bCs w:val="0"/>
                <w:color w:val="000000" w:themeColor="dark1"/>
                <w:sz w:val="24"/>
                <w:szCs w:val="24"/>
              </w:rPr>
              <w:t>Designation</w:t>
            </w:r>
          </w:p>
        </w:tc>
      </w:tr>
      <w:tr w:rsidR="00BE1377" w:rsidRPr="005616AE" w14:paraId="7912FB70" w14:textId="77777777" w:rsidTr="00E2770D">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4962" w:type="dxa"/>
          </w:tcPr>
          <w:p w14:paraId="4E2965AB" w14:textId="6EBA3ABE" w:rsidR="00BE1377" w:rsidRPr="005616AE" w:rsidRDefault="00B3174B" w:rsidP="00E2770D">
            <w:pPr>
              <w:spacing w:line="256" w:lineRule="auto"/>
              <w:jc w:val="left"/>
              <w:rPr>
                <w:rFonts w:eastAsia="Aptos" w:cs="Calibri"/>
                <w:b w:val="0"/>
                <w:color w:val="000000" w:themeColor="dark1"/>
                <w:sz w:val="24"/>
                <w:szCs w:val="24"/>
              </w:rPr>
            </w:pPr>
            <w:r w:rsidRPr="005616AE">
              <w:rPr>
                <w:rFonts w:eastAsia="Aptos" w:cs="Calibri"/>
                <w:b w:val="0"/>
                <w:color w:val="000000" w:themeColor="dark1"/>
                <w:sz w:val="24"/>
                <w:szCs w:val="24"/>
              </w:rPr>
              <w:t xml:space="preserve">Patel, Rutvi </w:t>
            </w:r>
            <w:proofErr w:type="spellStart"/>
            <w:r w:rsidRPr="005616AE">
              <w:rPr>
                <w:rFonts w:eastAsia="Aptos" w:cs="Calibri"/>
                <w:b w:val="0"/>
                <w:color w:val="000000" w:themeColor="dark1"/>
                <w:sz w:val="24"/>
                <w:szCs w:val="24"/>
              </w:rPr>
              <w:t>Manishbhai</w:t>
            </w:r>
            <w:proofErr w:type="spellEnd"/>
          </w:p>
        </w:tc>
        <w:tc>
          <w:tcPr>
            <w:tcW w:w="5398" w:type="dxa"/>
          </w:tcPr>
          <w:p w14:paraId="252E377A" w14:textId="77777777" w:rsidR="00BE1377" w:rsidRPr="005616AE"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5616AE">
              <w:rPr>
                <w:rFonts w:eastAsia="Aptos" w:cs="Calibri"/>
                <w:bCs/>
                <w:color w:val="000000" w:themeColor="dark1"/>
                <w:sz w:val="24"/>
                <w:szCs w:val="24"/>
              </w:rPr>
              <w:t xml:space="preserve">Project </w:t>
            </w:r>
            <w:r w:rsidRPr="005616AE">
              <w:rPr>
                <w:rFonts w:cs="Calibri"/>
                <w:bCs/>
                <w:color w:val="000000" w:themeColor="dark1"/>
                <w:sz w:val="24"/>
                <w:szCs w:val="24"/>
              </w:rPr>
              <w:t>M</w:t>
            </w:r>
            <w:r w:rsidRPr="005616AE">
              <w:rPr>
                <w:rFonts w:eastAsia="Aptos" w:cs="Calibri"/>
                <w:bCs/>
                <w:color w:val="000000" w:themeColor="dark1"/>
                <w:sz w:val="24"/>
                <w:szCs w:val="24"/>
              </w:rPr>
              <w:t>anager</w:t>
            </w:r>
          </w:p>
        </w:tc>
      </w:tr>
      <w:tr w:rsidR="00BE1377" w:rsidRPr="005616AE" w14:paraId="14900820" w14:textId="77777777" w:rsidTr="00E2770D">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6844F9C3" w14:textId="74E3AB9F" w:rsidR="00BE1377" w:rsidRPr="005616AE" w:rsidRDefault="00E4782B" w:rsidP="00E4782B">
            <w:pPr>
              <w:jc w:val="left"/>
              <w:rPr>
                <w:rFonts w:eastAsia="Aptos" w:cs="Calibri"/>
                <w:b w:val="0"/>
                <w:color w:val="000000" w:themeColor="dark1"/>
                <w:sz w:val="24"/>
                <w:szCs w:val="24"/>
              </w:rPr>
            </w:pPr>
            <w:r w:rsidRPr="005616AE">
              <w:rPr>
                <w:rFonts w:eastAsia="Aptos" w:cs="Calibri"/>
                <w:b w:val="0"/>
                <w:color w:val="000000" w:themeColor="dark1"/>
                <w:sz w:val="24"/>
                <w:szCs w:val="24"/>
              </w:rPr>
              <w:t>Abraham, Sruthi</w:t>
            </w:r>
          </w:p>
          <w:p w14:paraId="392E9444" w14:textId="77777777" w:rsidR="00BE1377" w:rsidRPr="005616AE" w:rsidRDefault="00BE1377" w:rsidP="00E2770D">
            <w:pPr>
              <w:spacing w:line="256" w:lineRule="auto"/>
              <w:jc w:val="left"/>
              <w:rPr>
                <w:rFonts w:eastAsia="Aptos" w:cs="Calibri"/>
                <w:b w:val="0"/>
                <w:color w:val="000000" w:themeColor="dark1"/>
                <w:sz w:val="24"/>
                <w:szCs w:val="24"/>
              </w:rPr>
            </w:pPr>
          </w:p>
        </w:tc>
        <w:tc>
          <w:tcPr>
            <w:tcW w:w="5398" w:type="dxa"/>
          </w:tcPr>
          <w:p w14:paraId="4AFADA28" w14:textId="77777777" w:rsidR="00BE1377" w:rsidRPr="005616AE" w:rsidRDefault="00BE1377" w:rsidP="00E2770D">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5616AE">
              <w:rPr>
                <w:rFonts w:eastAsia="Aptos" w:cs="Calibri"/>
                <w:bCs/>
                <w:color w:val="000000" w:themeColor="dark1"/>
                <w:sz w:val="24"/>
                <w:szCs w:val="24"/>
              </w:rPr>
              <w:t>Team Lead</w:t>
            </w:r>
          </w:p>
        </w:tc>
      </w:tr>
      <w:tr w:rsidR="00BE1377" w:rsidRPr="005616AE" w14:paraId="7AA2A221" w14:textId="77777777" w:rsidTr="00E2770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4962" w:type="dxa"/>
          </w:tcPr>
          <w:p w14:paraId="7494740F" w14:textId="5C46B508" w:rsidR="00BE1377" w:rsidRPr="005616AE" w:rsidRDefault="00E4782B" w:rsidP="00E2770D">
            <w:pPr>
              <w:spacing w:line="256" w:lineRule="auto"/>
              <w:jc w:val="left"/>
              <w:rPr>
                <w:rFonts w:eastAsia="Aptos" w:cs="Calibri"/>
                <w:b w:val="0"/>
                <w:color w:val="000000" w:themeColor="dark1"/>
                <w:sz w:val="24"/>
                <w:szCs w:val="24"/>
              </w:rPr>
            </w:pPr>
            <w:r w:rsidRPr="005616AE">
              <w:rPr>
                <w:rFonts w:eastAsia="Aptos" w:cs="Calibri"/>
                <w:b w:val="0"/>
                <w:color w:val="000000" w:themeColor="dark1"/>
                <w:sz w:val="24"/>
                <w:szCs w:val="24"/>
              </w:rPr>
              <w:t>Prachi Arora</w:t>
            </w:r>
          </w:p>
        </w:tc>
        <w:tc>
          <w:tcPr>
            <w:tcW w:w="5398" w:type="dxa"/>
          </w:tcPr>
          <w:p w14:paraId="7E356BBE" w14:textId="77777777" w:rsidR="00BE1377" w:rsidRPr="005616AE"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5616AE">
              <w:rPr>
                <w:rFonts w:eastAsia="Aptos" w:cs="Calibri"/>
                <w:bCs/>
                <w:color w:val="000000" w:themeColor="dark1"/>
                <w:sz w:val="24"/>
                <w:szCs w:val="24"/>
              </w:rPr>
              <w:t>Business Analyst</w:t>
            </w:r>
          </w:p>
          <w:p w14:paraId="62734172" w14:textId="77777777" w:rsidR="00BE1377" w:rsidRPr="005616AE"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p>
        </w:tc>
      </w:tr>
      <w:tr w:rsidR="00BE1377" w:rsidRPr="005616AE" w14:paraId="5219724B" w14:textId="77777777" w:rsidTr="00E2770D">
        <w:trPr>
          <w:trHeight w:val="364"/>
        </w:trPr>
        <w:tc>
          <w:tcPr>
            <w:cnfStyle w:val="001000000000" w:firstRow="0" w:lastRow="0" w:firstColumn="1" w:lastColumn="0" w:oddVBand="0" w:evenVBand="0" w:oddHBand="0" w:evenHBand="0" w:firstRowFirstColumn="0" w:firstRowLastColumn="0" w:lastRowFirstColumn="0" w:lastRowLastColumn="0"/>
            <w:tcW w:w="4962" w:type="dxa"/>
          </w:tcPr>
          <w:p w14:paraId="61117FE0" w14:textId="77777777" w:rsidR="00BE1377" w:rsidRPr="005616AE" w:rsidRDefault="00E4782B" w:rsidP="00E4782B">
            <w:pPr>
              <w:jc w:val="left"/>
              <w:rPr>
                <w:rFonts w:eastAsia="Aptos" w:cs="Calibri"/>
                <w:bCs w:val="0"/>
                <w:color w:val="000000" w:themeColor="dark1"/>
                <w:sz w:val="24"/>
                <w:szCs w:val="24"/>
              </w:rPr>
            </w:pPr>
            <w:r w:rsidRPr="005616AE">
              <w:rPr>
                <w:rFonts w:eastAsia="Aptos" w:cs="Calibri"/>
                <w:b w:val="0"/>
                <w:color w:val="000000" w:themeColor="dark1"/>
                <w:sz w:val="24"/>
                <w:szCs w:val="24"/>
              </w:rPr>
              <w:t>Sandra Marya</w:t>
            </w:r>
          </w:p>
          <w:p w14:paraId="52D07122" w14:textId="1DFC9AB7" w:rsidR="00E4782B" w:rsidRPr="005616AE" w:rsidRDefault="00E4782B" w:rsidP="00E4782B">
            <w:pPr>
              <w:jc w:val="left"/>
              <w:rPr>
                <w:rFonts w:eastAsia="Aptos" w:cs="Calibri"/>
                <w:b w:val="0"/>
                <w:color w:val="000000" w:themeColor="dark1"/>
                <w:sz w:val="24"/>
                <w:szCs w:val="24"/>
              </w:rPr>
            </w:pPr>
          </w:p>
        </w:tc>
        <w:tc>
          <w:tcPr>
            <w:tcW w:w="5398" w:type="dxa"/>
          </w:tcPr>
          <w:p w14:paraId="2190FBD2" w14:textId="77777777" w:rsidR="00BE1377" w:rsidRPr="005616AE" w:rsidRDefault="00BE1377" w:rsidP="00E2770D">
            <w:pPr>
              <w:spacing w:line="256" w:lineRule="auto"/>
              <w:jc w:val="left"/>
              <w:cnfStyle w:val="000000000000" w:firstRow="0" w:lastRow="0" w:firstColumn="0" w:lastColumn="0" w:oddVBand="0" w:evenVBand="0" w:oddHBand="0" w:evenHBand="0" w:firstRowFirstColumn="0" w:firstRowLastColumn="0" w:lastRowFirstColumn="0" w:lastRowLastColumn="0"/>
              <w:rPr>
                <w:rFonts w:eastAsia="Aptos" w:cs="Calibri"/>
                <w:bCs/>
                <w:color w:val="000000" w:themeColor="dark1"/>
                <w:sz w:val="24"/>
                <w:szCs w:val="24"/>
              </w:rPr>
            </w:pPr>
            <w:r w:rsidRPr="005616AE">
              <w:rPr>
                <w:rFonts w:eastAsia="Aptos" w:cs="Calibri"/>
                <w:bCs/>
                <w:color w:val="000000" w:themeColor="dark1"/>
                <w:sz w:val="24"/>
                <w:szCs w:val="24"/>
              </w:rPr>
              <w:t>Business Analyst</w:t>
            </w:r>
          </w:p>
        </w:tc>
      </w:tr>
      <w:tr w:rsidR="00BE1377" w:rsidRPr="005616AE" w14:paraId="16546E95" w14:textId="77777777" w:rsidTr="00E2770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962" w:type="dxa"/>
          </w:tcPr>
          <w:p w14:paraId="4314117A" w14:textId="77777777" w:rsidR="00BE1377" w:rsidRPr="005616AE" w:rsidRDefault="00E4782B" w:rsidP="00E2770D">
            <w:pPr>
              <w:jc w:val="left"/>
              <w:rPr>
                <w:rFonts w:eastAsia="Aptos" w:cs="Calibri"/>
                <w:bCs w:val="0"/>
                <w:color w:val="000000" w:themeColor="dark1"/>
                <w:sz w:val="24"/>
                <w:szCs w:val="24"/>
              </w:rPr>
            </w:pPr>
            <w:proofErr w:type="spellStart"/>
            <w:r w:rsidRPr="005616AE">
              <w:rPr>
                <w:rFonts w:eastAsia="Aptos" w:cs="Calibri"/>
                <w:b w:val="0"/>
                <w:color w:val="000000" w:themeColor="dark1"/>
                <w:sz w:val="24"/>
                <w:szCs w:val="24"/>
              </w:rPr>
              <w:t>Varahabhatla</w:t>
            </w:r>
            <w:proofErr w:type="spellEnd"/>
            <w:r w:rsidRPr="005616AE">
              <w:rPr>
                <w:rFonts w:eastAsia="Aptos" w:cs="Calibri"/>
                <w:b w:val="0"/>
                <w:color w:val="000000" w:themeColor="dark1"/>
                <w:sz w:val="24"/>
                <w:szCs w:val="24"/>
              </w:rPr>
              <w:t xml:space="preserve"> Karthik Venkata, Rama Murthy </w:t>
            </w:r>
          </w:p>
          <w:p w14:paraId="5259666F" w14:textId="73AFCBB7" w:rsidR="00E4782B" w:rsidRPr="005616AE" w:rsidRDefault="00E4782B" w:rsidP="00E2770D">
            <w:pPr>
              <w:jc w:val="left"/>
              <w:rPr>
                <w:rFonts w:eastAsia="Aptos" w:cs="Calibri"/>
                <w:b w:val="0"/>
                <w:color w:val="000000" w:themeColor="dark1"/>
                <w:sz w:val="24"/>
                <w:szCs w:val="24"/>
              </w:rPr>
            </w:pPr>
          </w:p>
        </w:tc>
        <w:tc>
          <w:tcPr>
            <w:tcW w:w="5398" w:type="dxa"/>
          </w:tcPr>
          <w:p w14:paraId="4ABB8119" w14:textId="77777777" w:rsidR="00BE1377" w:rsidRPr="005616AE" w:rsidRDefault="00BE1377" w:rsidP="00E2770D">
            <w:pPr>
              <w:spacing w:line="256" w:lineRule="auto"/>
              <w:jc w:val="left"/>
              <w:cnfStyle w:val="000000100000" w:firstRow="0" w:lastRow="0" w:firstColumn="0" w:lastColumn="0" w:oddVBand="0" w:evenVBand="0" w:oddHBand="1" w:evenHBand="0" w:firstRowFirstColumn="0" w:firstRowLastColumn="0" w:lastRowFirstColumn="0" w:lastRowLastColumn="0"/>
              <w:rPr>
                <w:rFonts w:eastAsia="Aptos" w:cs="Calibri"/>
                <w:bCs/>
                <w:color w:val="000000" w:themeColor="dark1"/>
                <w:sz w:val="24"/>
                <w:szCs w:val="24"/>
              </w:rPr>
            </w:pPr>
            <w:r w:rsidRPr="005616AE">
              <w:rPr>
                <w:rFonts w:eastAsia="Aptos" w:cs="Calibri"/>
                <w:bCs/>
                <w:color w:val="000000" w:themeColor="dark1"/>
                <w:sz w:val="24"/>
                <w:szCs w:val="24"/>
              </w:rPr>
              <w:t>Business Analyst</w:t>
            </w:r>
          </w:p>
        </w:tc>
      </w:tr>
    </w:tbl>
    <w:sdt>
      <w:sdtPr>
        <w:rPr>
          <w:rFonts w:ascii="Calibri" w:eastAsiaTheme="minorHAnsi" w:hAnsi="Calibri" w:cs="Calibri"/>
          <w:color w:val="auto"/>
          <w:kern w:val="2"/>
          <w:sz w:val="22"/>
          <w:szCs w:val="22"/>
          <w:lang w:val="en-GB"/>
          <w14:ligatures w14:val="standardContextual"/>
        </w:rPr>
        <w:id w:val="-1268300450"/>
        <w:docPartObj>
          <w:docPartGallery w:val="Table of Contents"/>
          <w:docPartUnique/>
        </w:docPartObj>
      </w:sdtPr>
      <w:sdtEndPr>
        <w:rPr>
          <w:b/>
          <w:bCs/>
        </w:rPr>
      </w:sdtEndPr>
      <w:sdtContent>
        <w:p w14:paraId="6F79D923" w14:textId="06112139" w:rsidR="00BE1377" w:rsidRPr="005616AE" w:rsidRDefault="00BE1377">
          <w:pPr>
            <w:pStyle w:val="TOCHeading"/>
            <w:rPr>
              <w:rFonts w:ascii="Calibri" w:hAnsi="Calibri" w:cs="Calibri"/>
              <w:lang w:val="en-GB"/>
            </w:rPr>
          </w:pPr>
          <w:r w:rsidRPr="005616AE">
            <w:rPr>
              <w:rFonts w:ascii="Calibri" w:hAnsi="Calibri" w:cs="Calibri"/>
              <w:lang w:val="en-GB"/>
            </w:rPr>
            <w:t>Table of Contents</w:t>
          </w:r>
        </w:p>
        <w:p w14:paraId="354AF8EA" w14:textId="611B37D4" w:rsidR="0058659C" w:rsidRPr="005616AE" w:rsidRDefault="00BE1377">
          <w:pPr>
            <w:pStyle w:val="TOC1"/>
            <w:tabs>
              <w:tab w:val="right" w:leader="dot" w:pos="9350"/>
            </w:tabs>
            <w:rPr>
              <w:rFonts w:asciiTheme="minorHAnsi" w:eastAsiaTheme="minorEastAsia" w:hAnsiTheme="minorHAnsi"/>
              <w:sz w:val="24"/>
              <w:szCs w:val="24"/>
              <w:lang w:eastAsia="en-CA"/>
            </w:rPr>
          </w:pPr>
          <w:r w:rsidRPr="005616AE">
            <w:rPr>
              <w:rFonts w:cs="Calibri"/>
            </w:rPr>
            <w:fldChar w:fldCharType="begin"/>
          </w:r>
          <w:r w:rsidRPr="005616AE">
            <w:rPr>
              <w:rFonts w:cs="Calibri"/>
            </w:rPr>
            <w:instrText xml:space="preserve"> TOC \o "1-3" \h \z \u </w:instrText>
          </w:r>
          <w:r w:rsidRPr="005616AE">
            <w:rPr>
              <w:rFonts w:cs="Calibri"/>
            </w:rPr>
            <w:fldChar w:fldCharType="separate"/>
          </w:r>
          <w:hyperlink w:anchor="_Toc183211031" w:history="1">
            <w:r w:rsidR="0058659C" w:rsidRPr="005616AE">
              <w:rPr>
                <w:rStyle w:val="Hyperlink"/>
                <w:rFonts w:cs="Calibri"/>
              </w:rPr>
              <w:t>Introduction</w:t>
            </w:r>
            <w:r w:rsidR="0058659C" w:rsidRPr="005616AE">
              <w:rPr>
                <w:webHidden/>
              </w:rPr>
              <w:tab/>
            </w:r>
            <w:r w:rsidR="0058659C" w:rsidRPr="005616AE">
              <w:rPr>
                <w:webHidden/>
              </w:rPr>
              <w:fldChar w:fldCharType="begin"/>
            </w:r>
            <w:r w:rsidR="0058659C" w:rsidRPr="005616AE">
              <w:rPr>
                <w:webHidden/>
              </w:rPr>
              <w:instrText xml:space="preserve"> PAGEREF _Toc183211031 \h </w:instrText>
            </w:r>
            <w:r w:rsidR="0058659C" w:rsidRPr="005616AE">
              <w:rPr>
                <w:webHidden/>
              </w:rPr>
            </w:r>
            <w:r w:rsidR="0058659C" w:rsidRPr="005616AE">
              <w:rPr>
                <w:webHidden/>
              </w:rPr>
              <w:fldChar w:fldCharType="separate"/>
            </w:r>
            <w:r w:rsidR="0058659C" w:rsidRPr="005616AE">
              <w:rPr>
                <w:webHidden/>
              </w:rPr>
              <w:t>4</w:t>
            </w:r>
            <w:r w:rsidR="0058659C" w:rsidRPr="005616AE">
              <w:rPr>
                <w:webHidden/>
              </w:rPr>
              <w:fldChar w:fldCharType="end"/>
            </w:r>
          </w:hyperlink>
        </w:p>
        <w:p w14:paraId="183C0758" w14:textId="431A682D"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32" w:history="1">
            <w:r w:rsidRPr="005616AE">
              <w:rPr>
                <w:rStyle w:val="Hyperlink"/>
                <w:rFonts w:cs="Calibri"/>
              </w:rPr>
              <w:t>Solution 1: Product Implementation of WiTricity’s Wireless Charging Technology</w:t>
            </w:r>
            <w:r w:rsidRPr="005616AE">
              <w:rPr>
                <w:webHidden/>
              </w:rPr>
              <w:tab/>
            </w:r>
            <w:r w:rsidRPr="005616AE">
              <w:rPr>
                <w:webHidden/>
              </w:rPr>
              <w:fldChar w:fldCharType="begin"/>
            </w:r>
            <w:r w:rsidRPr="005616AE">
              <w:rPr>
                <w:webHidden/>
              </w:rPr>
              <w:instrText xml:space="preserve"> PAGEREF _Toc183211032 \h </w:instrText>
            </w:r>
            <w:r w:rsidRPr="005616AE">
              <w:rPr>
                <w:webHidden/>
              </w:rPr>
            </w:r>
            <w:r w:rsidRPr="005616AE">
              <w:rPr>
                <w:webHidden/>
              </w:rPr>
              <w:fldChar w:fldCharType="separate"/>
            </w:r>
            <w:r w:rsidRPr="005616AE">
              <w:rPr>
                <w:webHidden/>
              </w:rPr>
              <w:t>5</w:t>
            </w:r>
            <w:r w:rsidRPr="005616AE">
              <w:rPr>
                <w:webHidden/>
              </w:rPr>
              <w:fldChar w:fldCharType="end"/>
            </w:r>
          </w:hyperlink>
        </w:p>
        <w:p w14:paraId="51F288BE" w14:textId="10751C22"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33" w:history="1">
            <w:r w:rsidRPr="005616AE">
              <w:rPr>
                <w:rStyle w:val="Hyperlink"/>
                <w:rFonts w:cs="Calibri"/>
              </w:rPr>
              <w:t>High-Level Design</w:t>
            </w:r>
            <w:r w:rsidRPr="005616AE">
              <w:rPr>
                <w:webHidden/>
              </w:rPr>
              <w:tab/>
            </w:r>
            <w:r w:rsidRPr="005616AE">
              <w:rPr>
                <w:webHidden/>
              </w:rPr>
              <w:fldChar w:fldCharType="begin"/>
            </w:r>
            <w:r w:rsidRPr="005616AE">
              <w:rPr>
                <w:webHidden/>
              </w:rPr>
              <w:instrText xml:space="preserve"> PAGEREF _Toc183211033 \h </w:instrText>
            </w:r>
            <w:r w:rsidRPr="005616AE">
              <w:rPr>
                <w:webHidden/>
              </w:rPr>
            </w:r>
            <w:r w:rsidRPr="005616AE">
              <w:rPr>
                <w:webHidden/>
              </w:rPr>
              <w:fldChar w:fldCharType="separate"/>
            </w:r>
            <w:r w:rsidRPr="005616AE">
              <w:rPr>
                <w:webHidden/>
              </w:rPr>
              <w:t>5</w:t>
            </w:r>
            <w:r w:rsidRPr="005616AE">
              <w:rPr>
                <w:webHidden/>
              </w:rPr>
              <w:fldChar w:fldCharType="end"/>
            </w:r>
          </w:hyperlink>
        </w:p>
        <w:p w14:paraId="6074CFB1" w14:textId="51B1C12B"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34" w:history="1">
            <w:r w:rsidRPr="005616AE">
              <w:rPr>
                <w:rStyle w:val="Hyperlink"/>
                <w:rFonts w:cs="Calibri"/>
              </w:rPr>
              <w:t>Low-Level Design</w:t>
            </w:r>
            <w:r w:rsidRPr="005616AE">
              <w:rPr>
                <w:webHidden/>
              </w:rPr>
              <w:tab/>
            </w:r>
            <w:r w:rsidRPr="005616AE">
              <w:rPr>
                <w:webHidden/>
              </w:rPr>
              <w:fldChar w:fldCharType="begin"/>
            </w:r>
            <w:r w:rsidRPr="005616AE">
              <w:rPr>
                <w:webHidden/>
              </w:rPr>
              <w:instrText xml:space="preserve"> PAGEREF _Toc183211034 \h </w:instrText>
            </w:r>
            <w:r w:rsidRPr="005616AE">
              <w:rPr>
                <w:webHidden/>
              </w:rPr>
            </w:r>
            <w:r w:rsidRPr="005616AE">
              <w:rPr>
                <w:webHidden/>
              </w:rPr>
              <w:fldChar w:fldCharType="separate"/>
            </w:r>
            <w:r w:rsidRPr="005616AE">
              <w:rPr>
                <w:webHidden/>
              </w:rPr>
              <w:t>5</w:t>
            </w:r>
            <w:r w:rsidRPr="005616AE">
              <w:rPr>
                <w:webHidden/>
              </w:rPr>
              <w:fldChar w:fldCharType="end"/>
            </w:r>
          </w:hyperlink>
        </w:p>
        <w:p w14:paraId="7C509E00" w14:textId="334D9021"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35" w:history="1">
            <w:r w:rsidRPr="005616AE">
              <w:rPr>
                <w:rStyle w:val="Hyperlink"/>
                <w:rFonts w:cs="Calibri"/>
              </w:rPr>
              <w:t>Impact Analysis</w:t>
            </w:r>
            <w:r w:rsidRPr="005616AE">
              <w:rPr>
                <w:webHidden/>
              </w:rPr>
              <w:tab/>
            </w:r>
            <w:r w:rsidRPr="005616AE">
              <w:rPr>
                <w:webHidden/>
              </w:rPr>
              <w:fldChar w:fldCharType="begin"/>
            </w:r>
            <w:r w:rsidRPr="005616AE">
              <w:rPr>
                <w:webHidden/>
              </w:rPr>
              <w:instrText xml:space="preserve"> PAGEREF _Toc183211035 \h </w:instrText>
            </w:r>
            <w:r w:rsidRPr="005616AE">
              <w:rPr>
                <w:webHidden/>
              </w:rPr>
            </w:r>
            <w:r w:rsidRPr="005616AE">
              <w:rPr>
                <w:webHidden/>
              </w:rPr>
              <w:fldChar w:fldCharType="separate"/>
            </w:r>
            <w:r w:rsidRPr="005616AE">
              <w:rPr>
                <w:webHidden/>
              </w:rPr>
              <w:t>6</w:t>
            </w:r>
            <w:r w:rsidRPr="005616AE">
              <w:rPr>
                <w:webHidden/>
              </w:rPr>
              <w:fldChar w:fldCharType="end"/>
            </w:r>
          </w:hyperlink>
        </w:p>
        <w:p w14:paraId="3BCA6B00" w14:textId="1743F853"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36" w:history="1">
            <w:r w:rsidRPr="005616AE">
              <w:rPr>
                <w:rStyle w:val="Hyperlink"/>
                <w:rFonts w:cs="Calibri"/>
              </w:rPr>
              <w:t>Out of Scope</w:t>
            </w:r>
            <w:r w:rsidRPr="005616AE">
              <w:rPr>
                <w:webHidden/>
              </w:rPr>
              <w:tab/>
            </w:r>
            <w:r w:rsidRPr="005616AE">
              <w:rPr>
                <w:webHidden/>
              </w:rPr>
              <w:fldChar w:fldCharType="begin"/>
            </w:r>
            <w:r w:rsidRPr="005616AE">
              <w:rPr>
                <w:webHidden/>
              </w:rPr>
              <w:instrText xml:space="preserve"> PAGEREF _Toc183211036 \h </w:instrText>
            </w:r>
            <w:r w:rsidRPr="005616AE">
              <w:rPr>
                <w:webHidden/>
              </w:rPr>
            </w:r>
            <w:r w:rsidRPr="005616AE">
              <w:rPr>
                <w:webHidden/>
              </w:rPr>
              <w:fldChar w:fldCharType="separate"/>
            </w:r>
            <w:r w:rsidRPr="005616AE">
              <w:rPr>
                <w:webHidden/>
              </w:rPr>
              <w:t>6</w:t>
            </w:r>
            <w:r w:rsidRPr="005616AE">
              <w:rPr>
                <w:webHidden/>
              </w:rPr>
              <w:fldChar w:fldCharType="end"/>
            </w:r>
          </w:hyperlink>
        </w:p>
        <w:p w14:paraId="5F77A25C" w14:textId="010EF440"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37" w:history="1">
            <w:r w:rsidRPr="005616AE">
              <w:rPr>
                <w:rStyle w:val="Hyperlink"/>
                <w:rFonts w:cs="Calibri"/>
              </w:rPr>
              <w:t>Risk Mitigation</w:t>
            </w:r>
            <w:r w:rsidRPr="005616AE">
              <w:rPr>
                <w:webHidden/>
              </w:rPr>
              <w:tab/>
            </w:r>
            <w:r w:rsidRPr="005616AE">
              <w:rPr>
                <w:webHidden/>
              </w:rPr>
              <w:fldChar w:fldCharType="begin"/>
            </w:r>
            <w:r w:rsidRPr="005616AE">
              <w:rPr>
                <w:webHidden/>
              </w:rPr>
              <w:instrText xml:space="preserve"> PAGEREF _Toc183211037 \h </w:instrText>
            </w:r>
            <w:r w:rsidRPr="005616AE">
              <w:rPr>
                <w:webHidden/>
              </w:rPr>
            </w:r>
            <w:r w:rsidRPr="005616AE">
              <w:rPr>
                <w:webHidden/>
              </w:rPr>
              <w:fldChar w:fldCharType="separate"/>
            </w:r>
            <w:r w:rsidRPr="005616AE">
              <w:rPr>
                <w:webHidden/>
              </w:rPr>
              <w:t>7</w:t>
            </w:r>
            <w:r w:rsidRPr="005616AE">
              <w:rPr>
                <w:webHidden/>
              </w:rPr>
              <w:fldChar w:fldCharType="end"/>
            </w:r>
          </w:hyperlink>
        </w:p>
        <w:p w14:paraId="0B9C8894" w14:textId="1CD74A19"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38" w:history="1">
            <w:r w:rsidRPr="005616AE">
              <w:rPr>
                <w:rStyle w:val="Hyperlink"/>
                <w:rFonts w:cs="Calibri"/>
              </w:rPr>
              <w:t>Solution 2: Space Sector Financial Products</w:t>
            </w:r>
            <w:r w:rsidRPr="005616AE">
              <w:rPr>
                <w:webHidden/>
              </w:rPr>
              <w:tab/>
            </w:r>
            <w:r w:rsidRPr="005616AE">
              <w:rPr>
                <w:webHidden/>
              </w:rPr>
              <w:fldChar w:fldCharType="begin"/>
            </w:r>
            <w:r w:rsidRPr="005616AE">
              <w:rPr>
                <w:webHidden/>
              </w:rPr>
              <w:instrText xml:space="preserve"> PAGEREF _Toc183211038 \h </w:instrText>
            </w:r>
            <w:r w:rsidRPr="005616AE">
              <w:rPr>
                <w:webHidden/>
              </w:rPr>
            </w:r>
            <w:r w:rsidRPr="005616AE">
              <w:rPr>
                <w:webHidden/>
              </w:rPr>
              <w:fldChar w:fldCharType="separate"/>
            </w:r>
            <w:r w:rsidRPr="005616AE">
              <w:rPr>
                <w:webHidden/>
              </w:rPr>
              <w:t>8</w:t>
            </w:r>
            <w:r w:rsidRPr="005616AE">
              <w:rPr>
                <w:webHidden/>
              </w:rPr>
              <w:fldChar w:fldCharType="end"/>
            </w:r>
          </w:hyperlink>
        </w:p>
        <w:p w14:paraId="0F30517D" w14:textId="34089B68"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39" w:history="1">
            <w:r w:rsidRPr="005616AE">
              <w:rPr>
                <w:rStyle w:val="Hyperlink"/>
                <w:rFonts w:cs="Calibri"/>
              </w:rPr>
              <w:t>High-Level Design</w:t>
            </w:r>
            <w:r w:rsidRPr="005616AE">
              <w:rPr>
                <w:webHidden/>
              </w:rPr>
              <w:tab/>
            </w:r>
            <w:r w:rsidRPr="005616AE">
              <w:rPr>
                <w:webHidden/>
              </w:rPr>
              <w:fldChar w:fldCharType="begin"/>
            </w:r>
            <w:r w:rsidRPr="005616AE">
              <w:rPr>
                <w:webHidden/>
              </w:rPr>
              <w:instrText xml:space="preserve"> PAGEREF _Toc183211039 \h </w:instrText>
            </w:r>
            <w:r w:rsidRPr="005616AE">
              <w:rPr>
                <w:webHidden/>
              </w:rPr>
            </w:r>
            <w:r w:rsidRPr="005616AE">
              <w:rPr>
                <w:webHidden/>
              </w:rPr>
              <w:fldChar w:fldCharType="separate"/>
            </w:r>
            <w:r w:rsidRPr="005616AE">
              <w:rPr>
                <w:webHidden/>
              </w:rPr>
              <w:t>8</w:t>
            </w:r>
            <w:r w:rsidRPr="005616AE">
              <w:rPr>
                <w:webHidden/>
              </w:rPr>
              <w:fldChar w:fldCharType="end"/>
            </w:r>
          </w:hyperlink>
        </w:p>
        <w:p w14:paraId="4BB2D2F8" w14:textId="7B0429E7"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0" w:history="1">
            <w:r w:rsidRPr="005616AE">
              <w:rPr>
                <w:rStyle w:val="Hyperlink"/>
                <w:rFonts w:cs="Calibri"/>
              </w:rPr>
              <w:t>Low-level design</w:t>
            </w:r>
            <w:r w:rsidRPr="005616AE">
              <w:rPr>
                <w:webHidden/>
              </w:rPr>
              <w:tab/>
            </w:r>
            <w:r w:rsidRPr="005616AE">
              <w:rPr>
                <w:webHidden/>
              </w:rPr>
              <w:fldChar w:fldCharType="begin"/>
            </w:r>
            <w:r w:rsidRPr="005616AE">
              <w:rPr>
                <w:webHidden/>
              </w:rPr>
              <w:instrText xml:space="preserve"> PAGEREF _Toc183211040 \h </w:instrText>
            </w:r>
            <w:r w:rsidRPr="005616AE">
              <w:rPr>
                <w:webHidden/>
              </w:rPr>
            </w:r>
            <w:r w:rsidRPr="005616AE">
              <w:rPr>
                <w:webHidden/>
              </w:rPr>
              <w:fldChar w:fldCharType="separate"/>
            </w:r>
            <w:r w:rsidRPr="005616AE">
              <w:rPr>
                <w:webHidden/>
              </w:rPr>
              <w:t>9</w:t>
            </w:r>
            <w:r w:rsidRPr="005616AE">
              <w:rPr>
                <w:webHidden/>
              </w:rPr>
              <w:fldChar w:fldCharType="end"/>
            </w:r>
          </w:hyperlink>
        </w:p>
        <w:p w14:paraId="26545487" w14:textId="2CDC4A0E"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1" w:history="1">
            <w:r w:rsidRPr="005616AE">
              <w:rPr>
                <w:rStyle w:val="Hyperlink"/>
                <w:rFonts w:cs="Calibri"/>
              </w:rPr>
              <w:t>Impact Analysis</w:t>
            </w:r>
            <w:r w:rsidRPr="005616AE">
              <w:rPr>
                <w:webHidden/>
              </w:rPr>
              <w:tab/>
            </w:r>
            <w:r w:rsidRPr="005616AE">
              <w:rPr>
                <w:webHidden/>
              </w:rPr>
              <w:fldChar w:fldCharType="begin"/>
            </w:r>
            <w:r w:rsidRPr="005616AE">
              <w:rPr>
                <w:webHidden/>
              </w:rPr>
              <w:instrText xml:space="preserve"> PAGEREF _Toc183211041 \h </w:instrText>
            </w:r>
            <w:r w:rsidRPr="005616AE">
              <w:rPr>
                <w:webHidden/>
              </w:rPr>
            </w:r>
            <w:r w:rsidRPr="005616AE">
              <w:rPr>
                <w:webHidden/>
              </w:rPr>
              <w:fldChar w:fldCharType="separate"/>
            </w:r>
            <w:r w:rsidRPr="005616AE">
              <w:rPr>
                <w:webHidden/>
              </w:rPr>
              <w:t>9</w:t>
            </w:r>
            <w:r w:rsidRPr="005616AE">
              <w:rPr>
                <w:webHidden/>
              </w:rPr>
              <w:fldChar w:fldCharType="end"/>
            </w:r>
          </w:hyperlink>
        </w:p>
        <w:p w14:paraId="0C3B901E" w14:textId="135AF9C6"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2" w:history="1">
            <w:r w:rsidRPr="005616AE">
              <w:rPr>
                <w:rStyle w:val="Hyperlink"/>
                <w:rFonts w:cs="Calibri"/>
              </w:rPr>
              <w:t>Out of Scope</w:t>
            </w:r>
            <w:r w:rsidRPr="005616AE">
              <w:rPr>
                <w:webHidden/>
              </w:rPr>
              <w:tab/>
            </w:r>
            <w:r w:rsidRPr="005616AE">
              <w:rPr>
                <w:webHidden/>
              </w:rPr>
              <w:fldChar w:fldCharType="begin"/>
            </w:r>
            <w:r w:rsidRPr="005616AE">
              <w:rPr>
                <w:webHidden/>
              </w:rPr>
              <w:instrText xml:space="preserve"> PAGEREF _Toc183211042 \h </w:instrText>
            </w:r>
            <w:r w:rsidRPr="005616AE">
              <w:rPr>
                <w:webHidden/>
              </w:rPr>
            </w:r>
            <w:r w:rsidRPr="005616AE">
              <w:rPr>
                <w:webHidden/>
              </w:rPr>
              <w:fldChar w:fldCharType="separate"/>
            </w:r>
            <w:r w:rsidRPr="005616AE">
              <w:rPr>
                <w:webHidden/>
              </w:rPr>
              <w:t>10</w:t>
            </w:r>
            <w:r w:rsidRPr="005616AE">
              <w:rPr>
                <w:webHidden/>
              </w:rPr>
              <w:fldChar w:fldCharType="end"/>
            </w:r>
          </w:hyperlink>
        </w:p>
        <w:p w14:paraId="641496E7" w14:textId="264F5A8C"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3" w:history="1">
            <w:r w:rsidRPr="005616AE">
              <w:rPr>
                <w:rStyle w:val="Hyperlink"/>
                <w:rFonts w:cs="Calibri"/>
              </w:rPr>
              <w:t>Risk and Mitigation</w:t>
            </w:r>
            <w:r w:rsidRPr="005616AE">
              <w:rPr>
                <w:webHidden/>
              </w:rPr>
              <w:tab/>
            </w:r>
            <w:r w:rsidRPr="005616AE">
              <w:rPr>
                <w:webHidden/>
              </w:rPr>
              <w:fldChar w:fldCharType="begin"/>
            </w:r>
            <w:r w:rsidRPr="005616AE">
              <w:rPr>
                <w:webHidden/>
              </w:rPr>
              <w:instrText xml:space="preserve"> PAGEREF _Toc183211043 \h </w:instrText>
            </w:r>
            <w:r w:rsidRPr="005616AE">
              <w:rPr>
                <w:webHidden/>
              </w:rPr>
            </w:r>
            <w:r w:rsidRPr="005616AE">
              <w:rPr>
                <w:webHidden/>
              </w:rPr>
              <w:fldChar w:fldCharType="separate"/>
            </w:r>
            <w:r w:rsidRPr="005616AE">
              <w:rPr>
                <w:webHidden/>
              </w:rPr>
              <w:t>10</w:t>
            </w:r>
            <w:r w:rsidRPr="005616AE">
              <w:rPr>
                <w:webHidden/>
              </w:rPr>
              <w:fldChar w:fldCharType="end"/>
            </w:r>
          </w:hyperlink>
        </w:p>
        <w:p w14:paraId="04EE0B1E" w14:textId="7F90996E"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44" w:history="1">
            <w:r w:rsidRPr="005616AE">
              <w:rPr>
                <w:rStyle w:val="Hyperlink"/>
                <w:rFonts w:cs="Calibri"/>
              </w:rPr>
              <w:t>Solution 3: TD’s Logistics Leap: The TForce Acquisition</w:t>
            </w:r>
            <w:r w:rsidRPr="005616AE">
              <w:rPr>
                <w:webHidden/>
              </w:rPr>
              <w:tab/>
            </w:r>
            <w:r w:rsidRPr="005616AE">
              <w:rPr>
                <w:webHidden/>
              </w:rPr>
              <w:fldChar w:fldCharType="begin"/>
            </w:r>
            <w:r w:rsidRPr="005616AE">
              <w:rPr>
                <w:webHidden/>
              </w:rPr>
              <w:instrText xml:space="preserve"> PAGEREF _Toc183211044 \h </w:instrText>
            </w:r>
            <w:r w:rsidRPr="005616AE">
              <w:rPr>
                <w:webHidden/>
              </w:rPr>
            </w:r>
            <w:r w:rsidRPr="005616AE">
              <w:rPr>
                <w:webHidden/>
              </w:rPr>
              <w:fldChar w:fldCharType="separate"/>
            </w:r>
            <w:r w:rsidRPr="005616AE">
              <w:rPr>
                <w:webHidden/>
              </w:rPr>
              <w:t>10</w:t>
            </w:r>
            <w:r w:rsidRPr="005616AE">
              <w:rPr>
                <w:webHidden/>
              </w:rPr>
              <w:fldChar w:fldCharType="end"/>
            </w:r>
          </w:hyperlink>
        </w:p>
        <w:p w14:paraId="3B2D204B" w14:textId="35AC7AB1"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5" w:history="1">
            <w:r w:rsidRPr="005616AE">
              <w:rPr>
                <w:rStyle w:val="Hyperlink"/>
                <w:rFonts w:cs="Calibri"/>
              </w:rPr>
              <w:t>High-Level Design</w:t>
            </w:r>
            <w:r w:rsidRPr="005616AE">
              <w:rPr>
                <w:webHidden/>
              </w:rPr>
              <w:tab/>
            </w:r>
            <w:r w:rsidRPr="005616AE">
              <w:rPr>
                <w:webHidden/>
              </w:rPr>
              <w:fldChar w:fldCharType="begin"/>
            </w:r>
            <w:r w:rsidRPr="005616AE">
              <w:rPr>
                <w:webHidden/>
              </w:rPr>
              <w:instrText xml:space="preserve"> PAGEREF _Toc183211045 \h </w:instrText>
            </w:r>
            <w:r w:rsidRPr="005616AE">
              <w:rPr>
                <w:webHidden/>
              </w:rPr>
            </w:r>
            <w:r w:rsidRPr="005616AE">
              <w:rPr>
                <w:webHidden/>
              </w:rPr>
              <w:fldChar w:fldCharType="separate"/>
            </w:r>
            <w:r w:rsidRPr="005616AE">
              <w:rPr>
                <w:webHidden/>
              </w:rPr>
              <w:t>10</w:t>
            </w:r>
            <w:r w:rsidRPr="005616AE">
              <w:rPr>
                <w:webHidden/>
              </w:rPr>
              <w:fldChar w:fldCharType="end"/>
            </w:r>
          </w:hyperlink>
        </w:p>
        <w:p w14:paraId="4D3C9F08" w14:textId="7A6A34AB"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6" w:history="1">
            <w:r w:rsidRPr="005616AE">
              <w:rPr>
                <w:rStyle w:val="Hyperlink"/>
                <w:rFonts w:cs="Calibri"/>
              </w:rPr>
              <w:t>Low-Level Design</w:t>
            </w:r>
            <w:r w:rsidRPr="005616AE">
              <w:rPr>
                <w:webHidden/>
              </w:rPr>
              <w:tab/>
            </w:r>
            <w:r w:rsidRPr="005616AE">
              <w:rPr>
                <w:webHidden/>
              </w:rPr>
              <w:fldChar w:fldCharType="begin"/>
            </w:r>
            <w:r w:rsidRPr="005616AE">
              <w:rPr>
                <w:webHidden/>
              </w:rPr>
              <w:instrText xml:space="preserve"> PAGEREF _Toc183211046 \h </w:instrText>
            </w:r>
            <w:r w:rsidRPr="005616AE">
              <w:rPr>
                <w:webHidden/>
              </w:rPr>
            </w:r>
            <w:r w:rsidRPr="005616AE">
              <w:rPr>
                <w:webHidden/>
              </w:rPr>
              <w:fldChar w:fldCharType="separate"/>
            </w:r>
            <w:r w:rsidRPr="005616AE">
              <w:rPr>
                <w:webHidden/>
              </w:rPr>
              <w:t>11</w:t>
            </w:r>
            <w:r w:rsidRPr="005616AE">
              <w:rPr>
                <w:webHidden/>
              </w:rPr>
              <w:fldChar w:fldCharType="end"/>
            </w:r>
          </w:hyperlink>
        </w:p>
        <w:p w14:paraId="29ADE22E" w14:textId="35486763"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7" w:history="1">
            <w:r w:rsidRPr="005616AE">
              <w:rPr>
                <w:rStyle w:val="Hyperlink"/>
                <w:rFonts w:cs="Calibri"/>
              </w:rPr>
              <w:t>Impact Analysis</w:t>
            </w:r>
            <w:r w:rsidRPr="005616AE">
              <w:rPr>
                <w:webHidden/>
              </w:rPr>
              <w:tab/>
            </w:r>
            <w:r w:rsidRPr="005616AE">
              <w:rPr>
                <w:webHidden/>
              </w:rPr>
              <w:fldChar w:fldCharType="begin"/>
            </w:r>
            <w:r w:rsidRPr="005616AE">
              <w:rPr>
                <w:webHidden/>
              </w:rPr>
              <w:instrText xml:space="preserve"> PAGEREF _Toc183211047 \h </w:instrText>
            </w:r>
            <w:r w:rsidRPr="005616AE">
              <w:rPr>
                <w:webHidden/>
              </w:rPr>
            </w:r>
            <w:r w:rsidRPr="005616AE">
              <w:rPr>
                <w:webHidden/>
              </w:rPr>
              <w:fldChar w:fldCharType="separate"/>
            </w:r>
            <w:r w:rsidRPr="005616AE">
              <w:rPr>
                <w:webHidden/>
              </w:rPr>
              <w:t>12</w:t>
            </w:r>
            <w:r w:rsidRPr="005616AE">
              <w:rPr>
                <w:webHidden/>
              </w:rPr>
              <w:fldChar w:fldCharType="end"/>
            </w:r>
          </w:hyperlink>
        </w:p>
        <w:p w14:paraId="0ECAC43F" w14:textId="1AB7C2EF"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8" w:history="1">
            <w:r w:rsidRPr="005616AE">
              <w:rPr>
                <w:rStyle w:val="Hyperlink"/>
                <w:rFonts w:cs="Calibri"/>
              </w:rPr>
              <w:t>Out of Scope</w:t>
            </w:r>
            <w:r w:rsidRPr="005616AE">
              <w:rPr>
                <w:webHidden/>
              </w:rPr>
              <w:tab/>
            </w:r>
            <w:r w:rsidRPr="005616AE">
              <w:rPr>
                <w:webHidden/>
              </w:rPr>
              <w:fldChar w:fldCharType="begin"/>
            </w:r>
            <w:r w:rsidRPr="005616AE">
              <w:rPr>
                <w:webHidden/>
              </w:rPr>
              <w:instrText xml:space="preserve"> PAGEREF _Toc183211048 \h </w:instrText>
            </w:r>
            <w:r w:rsidRPr="005616AE">
              <w:rPr>
                <w:webHidden/>
              </w:rPr>
            </w:r>
            <w:r w:rsidRPr="005616AE">
              <w:rPr>
                <w:webHidden/>
              </w:rPr>
              <w:fldChar w:fldCharType="separate"/>
            </w:r>
            <w:r w:rsidRPr="005616AE">
              <w:rPr>
                <w:webHidden/>
              </w:rPr>
              <w:t>12</w:t>
            </w:r>
            <w:r w:rsidRPr="005616AE">
              <w:rPr>
                <w:webHidden/>
              </w:rPr>
              <w:fldChar w:fldCharType="end"/>
            </w:r>
          </w:hyperlink>
        </w:p>
        <w:p w14:paraId="13D76DF2" w14:textId="128DAC3E"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49" w:history="1">
            <w:r w:rsidRPr="005616AE">
              <w:rPr>
                <w:rStyle w:val="Hyperlink"/>
                <w:rFonts w:cs="Calibri"/>
              </w:rPr>
              <w:t>Risk and Mitigation</w:t>
            </w:r>
            <w:r w:rsidRPr="005616AE">
              <w:rPr>
                <w:webHidden/>
              </w:rPr>
              <w:tab/>
            </w:r>
            <w:r w:rsidRPr="005616AE">
              <w:rPr>
                <w:webHidden/>
              </w:rPr>
              <w:fldChar w:fldCharType="begin"/>
            </w:r>
            <w:r w:rsidRPr="005616AE">
              <w:rPr>
                <w:webHidden/>
              </w:rPr>
              <w:instrText xml:space="preserve"> PAGEREF _Toc183211049 \h </w:instrText>
            </w:r>
            <w:r w:rsidRPr="005616AE">
              <w:rPr>
                <w:webHidden/>
              </w:rPr>
            </w:r>
            <w:r w:rsidRPr="005616AE">
              <w:rPr>
                <w:webHidden/>
              </w:rPr>
              <w:fldChar w:fldCharType="separate"/>
            </w:r>
            <w:r w:rsidRPr="005616AE">
              <w:rPr>
                <w:webHidden/>
              </w:rPr>
              <w:t>12</w:t>
            </w:r>
            <w:r w:rsidRPr="005616AE">
              <w:rPr>
                <w:webHidden/>
              </w:rPr>
              <w:fldChar w:fldCharType="end"/>
            </w:r>
          </w:hyperlink>
        </w:p>
        <w:p w14:paraId="4AA19436" w14:textId="44E6455E"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50" w:history="1">
            <w:r w:rsidRPr="005616AE">
              <w:rPr>
                <w:rStyle w:val="Hyperlink"/>
                <w:rFonts w:cs="Calibri"/>
              </w:rPr>
              <w:t>Solution 4: Do-Nothing Solution: Assessing the Risks and Opportunity Costs of Inaction</w:t>
            </w:r>
            <w:r w:rsidRPr="005616AE">
              <w:rPr>
                <w:webHidden/>
              </w:rPr>
              <w:tab/>
            </w:r>
            <w:r w:rsidRPr="005616AE">
              <w:rPr>
                <w:webHidden/>
              </w:rPr>
              <w:fldChar w:fldCharType="begin"/>
            </w:r>
            <w:r w:rsidRPr="005616AE">
              <w:rPr>
                <w:webHidden/>
              </w:rPr>
              <w:instrText xml:space="preserve"> PAGEREF _Toc183211050 \h </w:instrText>
            </w:r>
            <w:r w:rsidRPr="005616AE">
              <w:rPr>
                <w:webHidden/>
              </w:rPr>
            </w:r>
            <w:r w:rsidRPr="005616AE">
              <w:rPr>
                <w:webHidden/>
              </w:rPr>
              <w:fldChar w:fldCharType="separate"/>
            </w:r>
            <w:r w:rsidRPr="005616AE">
              <w:rPr>
                <w:webHidden/>
              </w:rPr>
              <w:t>13</w:t>
            </w:r>
            <w:r w:rsidRPr="005616AE">
              <w:rPr>
                <w:webHidden/>
              </w:rPr>
              <w:fldChar w:fldCharType="end"/>
            </w:r>
          </w:hyperlink>
        </w:p>
        <w:p w14:paraId="33BFB768" w14:textId="50B817E4"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51" w:history="1">
            <w:r w:rsidRPr="005616AE">
              <w:rPr>
                <w:rStyle w:val="Hyperlink"/>
                <w:rFonts w:cs="Calibri"/>
              </w:rPr>
              <w:t>High Level Design</w:t>
            </w:r>
            <w:r w:rsidRPr="005616AE">
              <w:rPr>
                <w:webHidden/>
              </w:rPr>
              <w:tab/>
            </w:r>
            <w:r w:rsidRPr="005616AE">
              <w:rPr>
                <w:webHidden/>
              </w:rPr>
              <w:fldChar w:fldCharType="begin"/>
            </w:r>
            <w:r w:rsidRPr="005616AE">
              <w:rPr>
                <w:webHidden/>
              </w:rPr>
              <w:instrText xml:space="preserve"> PAGEREF _Toc183211051 \h </w:instrText>
            </w:r>
            <w:r w:rsidRPr="005616AE">
              <w:rPr>
                <w:webHidden/>
              </w:rPr>
            </w:r>
            <w:r w:rsidRPr="005616AE">
              <w:rPr>
                <w:webHidden/>
              </w:rPr>
              <w:fldChar w:fldCharType="separate"/>
            </w:r>
            <w:r w:rsidRPr="005616AE">
              <w:rPr>
                <w:webHidden/>
              </w:rPr>
              <w:t>13</w:t>
            </w:r>
            <w:r w:rsidRPr="005616AE">
              <w:rPr>
                <w:webHidden/>
              </w:rPr>
              <w:fldChar w:fldCharType="end"/>
            </w:r>
          </w:hyperlink>
        </w:p>
        <w:p w14:paraId="5CEBD7D0" w14:textId="5A817CF5"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52" w:history="1">
            <w:r w:rsidRPr="005616AE">
              <w:rPr>
                <w:rStyle w:val="Hyperlink"/>
                <w:rFonts w:cs="Calibri"/>
              </w:rPr>
              <w:t>Low-Level Design</w:t>
            </w:r>
            <w:r w:rsidRPr="005616AE">
              <w:rPr>
                <w:webHidden/>
              </w:rPr>
              <w:tab/>
            </w:r>
            <w:r w:rsidRPr="005616AE">
              <w:rPr>
                <w:webHidden/>
              </w:rPr>
              <w:fldChar w:fldCharType="begin"/>
            </w:r>
            <w:r w:rsidRPr="005616AE">
              <w:rPr>
                <w:webHidden/>
              </w:rPr>
              <w:instrText xml:space="preserve"> PAGEREF _Toc183211052 \h </w:instrText>
            </w:r>
            <w:r w:rsidRPr="005616AE">
              <w:rPr>
                <w:webHidden/>
              </w:rPr>
            </w:r>
            <w:r w:rsidRPr="005616AE">
              <w:rPr>
                <w:webHidden/>
              </w:rPr>
              <w:fldChar w:fldCharType="separate"/>
            </w:r>
            <w:r w:rsidRPr="005616AE">
              <w:rPr>
                <w:webHidden/>
              </w:rPr>
              <w:t>13</w:t>
            </w:r>
            <w:r w:rsidRPr="005616AE">
              <w:rPr>
                <w:webHidden/>
              </w:rPr>
              <w:fldChar w:fldCharType="end"/>
            </w:r>
          </w:hyperlink>
        </w:p>
        <w:p w14:paraId="5EC327E5" w14:textId="7518808F"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53" w:history="1">
            <w:r w:rsidRPr="005616AE">
              <w:rPr>
                <w:rStyle w:val="Hyperlink"/>
                <w:rFonts w:cs="Calibri"/>
              </w:rPr>
              <w:t>Ideas Proposed by Consultancies</w:t>
            </w:r>
            <w:r w:rsidRPr="005616AE">
              <w:rPr>
                <w:webHidden/>
              </w:rPr>
              <w:tab/>
            </w:r>
            <w:r w:rsidRPr="005616AE">
              <w:rPr>
                <w:webHidden/>
              </w:rPr>
              <w:fldChar w:fldCharType="begin"/>
            </w:r>
            <w:r w:rsidRPr="005616AE">
              <w:rPr>
                <w:webHidden/>
              </w:rPr>
              <w:instrText xml:space="preserve"> PAGEREF _Toc183211053 \h </w:instrText>
            </w:r>
            <w:r w:rsidRPr="005616AE">
              <w:rPr>
                <w:webHidden/>
              </w:rPr>
            </w:r>
            <w:r w:rsidRPr="005616AE">
              <w:rPr>
                <w:webHidden/>
              </w:rPr>
              <w:fldChar w:fldCharType="separate"/>
            </w:r>
            <w:r w:rsidRPr="005616AE">
              <w:rPr>
                <w:webHidden/>
              </w:rPr>
              <w:t>14</w:t>
            </w:r>
            <w:r w:rsidRPr="005616AE">
              <w:rPr>
                <w:webHidden/>
              </w:rPr>
              <w:fldChar w:fldCharType="end"/>
            </w:r>
          </w:hyperlink>
        </w:p>
        <w:p w14:paraId="7FDE5427" w14:textId="786AA5A9"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54" w:history="1">
            <w:r w:rsidRPr="005616AE">
              <w:rPr>
                <w:rStyle w:val="Hyperlink"/>
                <w:rFonts w:cs="Calibri"/>
              </w:rPr>
              <w:t>Impact Analysis</w:t>
            </w:r>
            <w:r w:rsidRPr="005616AE">
              <w:rPr>
                <w:webHidden/>
              </w:rPr>
              <w:tab/>
            </w:r>
            <w:r w:rsidRPr="005616AE">
              <w:rPr>
                <w:webHidden/>
              </w:rPr>
              <w:fldChar w:fldCharType="begin"/>
            </w:r>
            <w:r w:rsidRPr="005616AE">
              <w:rPr>
                <w:webHidden/>
              </w:rPr>
              <w:instrText xml:space="preserve"> PAGEREF _Toc183211054 \h </w:instrText>
            </w:r>
            <w:r w:rsidRPr="005616AE">
              <w:rPr>
                <w:webHidden/>
              </w:rPr>
            </w:r>
            <w:r w:rsidRPr="005616AE">
              <w:rPr>
                <w:webHidden/>
              </w:rPr>
              <w:fldChar w:fldCharType="separate"/>
            </w:r>
            <w:r w:rsidRPr="005616AE">
              <w:rPr>
                <w:webHidden/>
              </w:rPr>
              <w:t>16</w:t>
            </w:r>
            <w:r w:rsidRPr="005616AE">
              <w:rPr>
                <w:webHidden/>
              </w:rPr>
              <w:fldChar w:fldCharType="end"/>
            </w:r>
          </w:hyperlink>
        </w:p>
        <w:p w14:paraId="0F4F65D1" w14:textId="753BAFF5"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55" w:history="1">
            <w:r w:rsidRPr="005616AE">
              <w:rPr>
                <w:rStyle w:val="Hyperlink"/>
                <w:rFonts w:cs="Calibri"/>
              </w:rPr>
              <w:t>Out of Scope</w:t>
            </w:r>
            <w:r w:rsidRPr="005616AE">
              <w:rPr>
                <w:webHidden/>
              </w:rPr>
              <w:tab/>
            </w:r>
            <w:r w:rsidRPr="005616AE">
              <w:rPr>
                <w:webHidden/>
              </w:rPr>
              <w:fldChar w:fldCharType="begin"/>
            </w:r>
            <w:r w:rsidRPr="005616AE">
              <w:rPr>
                <w:webHidden/>
              </w:rPr>
              <w:instrText xml:space="preserve"> PAGEREF _Toc183211055 \h </w:instrText>
            </w:r>
            <w:r w:rsidRPr="005616AE">
              <w:rPr>
                <w:webHidden/>
              </w:rPr>
            </w:r>
            <w:r w:rsidRPr="005616AE">
              <w:rPr>
                <w:webHidden/>
              </w:rPr>
              <w:fldChar w:fldCharType="separate"/>
            </w:r>
            <w:r w:rsidRPr="005616AE">
              <w:rPr>
                <w:webHidden/>
              </w:rPr>
              <w:t>16</w:t>
            </w:r>
            <w:r w:rsidRPr="005616AE">
              <w:rPr>
                <w:webHidden/>
              </w:rPr>
              <w:fldChar w:fldCharType="end"/>
            </w:r>
          </w:hyperlink>
        </w:p>
        <w:p w14:paraId="7401A9F6" w14:textId="57A6BEC9"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56" w:history="1">
            <w:r w:rsidRPr="005616AE">
              <w:rPr>
                <w:rStyle w:val="Hyperlink"/>
                <w:rFonts w:cs="Calibri"/>
              </w:rPr>
              <w:t>Risk and Mitigation</w:t>
            </w:r>
            <w:r w:rsidRPr="005616AE">
              <w:rPr>
                <w:webHidden/>
              </w:rPr>
              <w:tab/>
            </w:r>
            <w:r w:rsidRPr="005616AE">
              <w:rPr>
                <w:webHidden/>
              </w:rPr>
              <w:fldChar w:fldCharType="begin"/>
            </w:r>
            <w:r w:rsidRPr="005616AE">
              <w:rPr>
                <w:webHidden/>
              </w:rPr>
              <w:instrText xml:space="preserve"> PAGEREF _Toc183211056 \h </w:instrText>
            </w:r>
            <w:r w:rsidRPr="005616AE">
              <w:rPr>
                <w:webHidden/>
              </w:rPr>
            </w:r>
            <w:r w:rsidRPr="005616AE">
              <w:rPr>
                <w:webHidden/>
              </w:rPr>
              <w:fldChar w:fldCharType="separate"/>
            </w:r>
            <w:r w:rsidRPr="005616AE">
              <w:rPr>
                <w:webHidden/>
              </w:rPr>
              <w:t>16</w:t>
            </w:r>
            <w:r w:rsidRPr="005616AE">
              <w:rPr>
                <w:webHidden/>
              </w:rPr>
              <w:fldChar w:fldCharType="end"/>
            </w:r>
          </w:hyperlink>
        </w:p>
        <w:p w14:paraId="7EE2348E" w14:textId="7C4D31C6"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57" w:history="1">
            <w:r w:rsidRPr="005616AE">
              <w:rPr>
                <w:rStyle w:val="Hyperlink"/>
                <w:rFonts w:cs="Calibri"/>
              </w:rPr>
              <w:t>Evaluation Criteria</w:t>
            </w:r>
            <w:r w:rsidRPr="005616AE">
              <w:rPr>
                <w:webHidden/>
              </w:rPr>
              <w:tab/>
            </w:r>
            <w:r w:rsidRPr="005616AE">
              <w:rPr>
                <w:webHidden/>
              </w:rPr>
              <w:fldChar w:fldCharType="begin"/>
            </w:r>
            <w:r w:rsidRPr="005616AE">
              <w:rPr>
                <w:webHidden/>
              </w:rPr>
              <w:instrText xml:space="preserve"> PAGEREF _Toc183211057 \h </w:instrText>
            </w:r>
            <w:r w:rsidRPr="005616AE">
              <w:rPr>
                <w:webHidden/>
              </w:rPr>
            </w:r>
            <w:r w:rsidRPr="005616AE">
              <w:rPr>
                <w:webHidden/>
              </w:rPr>
              <w:fldChar w:fldCharType="separate"/>
            </w:r>
            <w:r w:rsidRPr="005616AE">
              <w:rPr>
                <w:webHidden/>
              </w:rPr>
              <w:t>17</w:t>
            </w:r>
            <w:r w:rsidRPr="005616AE">
              <w:rPr>
                <w:webHidden/>
              </w:rPr>
              <w:fldChar w:fldCharType="end"/>
            </w:r>
          </w:hyperlink>
        </w:p>
        <w:p w14:paraId="470724E5" w14:textId="2E52A40C"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58" w:history="1">
            <w:r w:rsidRPr="005616AE">
              <w:rPr>
                <w:rStyle w:val="Hyperlink"/>
              </w:rPr>
              <w:t>ROI% for Solution 1: Product Implementation of WiTricity’s Wireless Charging Technology</w:t>
            </w:r>
            <w:r w:rsidRPr="005616AE">
              <w:rPr>
                <w:webHidden/>
              </w:rPr>
              <w:tab/>
            </w:r>
            <w:r w:rsidRPr="005616AE">
              <w:rPr>
                <w:webHidden/>
              </w:rPr>
              <w:fldChar w:fldCharType="begin"/>
            </w:r>
            <w:r w:rsidRPr="005616AE">
              <w:rPr>
                <w:webHidden/>
              </w:rPr>
              <w:instrText xml:space="preserve"> PAGEREF _Toc183211058 \h </w:instrText>
            </w:r>
            <w:r w:rsidRPr="005616AE">
              <w:rPr>
                <w:webHidden/>
              </w:rPr>
            </w:r>
            <w:r w:rsidRPr="005616AE">
              <w:rPr>
                <w:webHidden/>
              </w:rPr>
              <w:fldChar w:fldCharType="separate"/>
            </w:r>
            <w:r w:rsidRPr="005616AE">
              <w:rPr>
                <w:webHidden/>
              </w:rPr>
              <w:t>22</w:t>
            </w:r>
            <w:r w:rsidRPr="005616AE">
              <w:rPr>
                <w:webHidden/>
              </w:rPr>
              <w:fldChar w:fldCharType="end"/>
            </w:r>
          </w:hyperlink>
        </w:p>
        <w:p w14:paraId="781F4206" w14:textId="3D1EC55A"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59" w:history="1">
            <w:r w:rsidRPr="005616AE">
              <w:rPr>
                <w:rStyle w:val="Hyperlink"/>
              </w:rPr>
              <w:t>ROI Calculation</w:t>
            </w:r>
            <w:r w:rsidRPr="005616AE">
              <w:rPr>
                <w:webHidden/>
              </w:rPr>
              <w:tab/>
            </w:r>
            <w:r w:rsidRPr="005616AE">
              <w:rPr>
                <w:webHidden/>
              </w:rPr>
              <w:fldChar w:fldCharType="begin"/>
            </w:r>
            <w:r w:rsidRPr="005616AE">
              <w:rPr>
                <w:webHidden/>
              </w:rPr>
              <w:instrText xml:space="preserve"> PAGEREF _Toc183211059 \h </w:instrText>
            </w:r>
            <w:r w:rsidRPr="005616AE">
              <w:rPr>
                <w:webHidden/>
              </w:rPr>
            </w:r>
            <w:r w:rsidRPr="005616AE">
              <w:rPr>
                <w:webHidden/>
              </w:rPr>
              <w:fldChar w:fldCharType="separate"/>
            </w:r>
            <w:r w:rsidRPr="005616AE">
              <w:rPr>
                <w:webHidden/>
              </w:rPr>
              <w:t>22</w:t>
            </w:r>
            <w:r w:rsidRPr="005616AE">
              <w:rPr>
                <w:webHidden/>
              </w:rPr>
              <w:fldChar w:fldCharType="end"/>
            </w:r>
          </w:hyperlink>
        </w:p>
        <w:p w14:paraId="6234E267" w14:textId="39CB8495"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60" w:history="1">
            <w:r w:rsidRPr="005616AE">
              <w:rPr>
                <w:rStyle w:val="Hyperlink"/>
              </w:rPr>
              <w:t>ROI Overview of WiTricity’s Wireless Charging Technology</w:t>
            </w:r>
            <w:r w:rsidRPr="005616AE">
              <w:rPr>
                <w:webHidden/>
              </w:rPr>
              <w:tab/>
            </w:r>
            <w:r w:rsidRPr="005616AE">
              <w:rPr>
                <w:webHidden/>
              </w:rPr>
              <w:fldChar w:fldCharType="begin"/>
            </w:r>
            <w:r w:rsidRPr="005616AE">
              <w:rPr>
                <w:webHidden/>
              </w:rPr>
              <w:instrText xml:space="preserve"> PAGEREF _Toc183211060 \h </w:instrText>
            </w:r>
            <w:r w:rsidRPr="005616AE">
              <w:rPr>
                <w:webHidden/>
              </w:rPr>
            </w:r>
            <w:r w:rsidRPr="005616AE">
              <w:rPr>
                <w:webHidden/>
              </w:rPr>
              <w:fldChar w:fldCharType="separate"/>
            </w:r>
            <w:r w:rsidRPr="005616AE">
              <w:rPr>
                <w:webHidden/>
              </w:rPr>
              <w:t>22</w:t>
            </w:r>
            <w:r w:rsidRPr="005616AE">
              <w:rPr>
                <w:webHidden/>
              </w:rPr>
              <w:fldChar w:fldCharType="end"/>
            </w:r>
          </w:hyperlink>
        </w:p>
        <w:p w14:paraId="21DE7DEF" w14:textId="06445C40"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61" w:history="1">
            <w:r w:rsidRPr="005616AE">
              <w:rPr>
                <w:rStyle w:val="Hyperlink"/>
              </w:rPr>
              <w:t>Revenue Streams</w:t>
            </w:r>
            <w:r w:rsidRPr="005616AE">
              <w:rPr>
                <w:webHidden/>
              </w:rPr>
              <w:tab/>
            </w:r>
            <w:r w:rsidRPr="005616AE">
              <w:rPr>
                <w:webHidden/>
              </w:rPr>
              <w:fldChar w:fldCharType="begin"/>
            </w:r>
            <w:r w:rsidRPr="005616AE">
              <w:rPr>
                <w:webHidden/>
              </w:rPr>
              <w:instrText xml:space="preserve"> PAGEREF _Toc183211061 \h </w:instrText>
            </w:r>
            <w:r w:rsidRPr="005616AE">
              <w:rPr>
                <w:webHidden/>
              </w:rPr>
            </w:r>
            <w:r w:rsidRPr="005616AE">
              <w:rPr>
                <w:webHidden/>
              </w:rPr>
              <w:fldChar w:fldCharType="separate"/>
            </w:r>
            <w:r w:rsidRPr="005616AE">
              <w:rPr>
                <w:webHidden/>
              </w:rPr>
              <w:t>23</w:t>
            </w:r>
            <w:r w:rsidRPr="005616AE">
              <w:rPr>
                <w:webHidden/>
              </w:rPr>
              <w:fldChar w:fldCharType="end"/>
            </w:r>
          </w:hyperlink>
        </w:p>
        <w:p w14:paraId="6F91FE9B" w14:textId="51693C26"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62" w:history="1">
            <w:r w:rsidRPr="005616AE">
              <w:rPr>
                <w:rStyle w:val="Hyperlink"/>
              </w:rPr>
              <w:t>Total Expenses</w:t>
            </w:r>
            <w:r w:rsidRPr="005616AE">
              <w:rPr>
                <w:webHidden/>
              </w:rPr>
              <w:tab/>
            </w:r>
            <w:r w:rsidRPr="005616AE">
              <w:rPr>
                <w:webHidden/>
              </w:rPr>
              <w:fldChar w:fldCharType="begin"/>
            </w:r>
            <w:r w:rsidRPr="005616AE">
              <w:rPr>
                <w:webHidden/>
              </w:rPr>
              <w:instrText xml:space="preserve"> PAGEREF _Toc183211062 \h </w:instrText>
            </w:r>
            <w:r w:rsidRPr="005616AE">
              <w:rPr>
                <w:webHidden/>
              </w:rPr>
            </w:r>
            <w:r w:rsidRPr="005616AE">
              <w:rPr>
                <w:webHidden/>
              </w:rPr>
              <w:fldChar w:fldCharType="separate"/>
            </w:r>
            <w:r w:rsidRPr="005616AE">
              <w:rPr>
                <w:webHidden/>
              </w:rPr>
              <w:t>23</w:t>
            </w:r>
            <w:r w:rsidRPr="005616AE">
              <w:rPr>
                <w:webHidden/>
              </w:rPr>
              <w:fldChar w:fldCharType="end"/>
            </w:r>
          </w:hyperlink>
        </w:p>
        <w:p w14:paraId="4EE176C5" w14:textId="42848B8C"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63" w:history="1">
            <w:r w:rsidRPr="005616AE">
              <w:rPr>
                <w:rStyle w:val="Hyperlink"/>
              </w:rPr>
              <w:t>ROI Overview of Space Economy Financing</w:t>
            </w:r>
            <w:r w:rsidRPr="005616AE">
              <w:rPr>
                <w:webHidden/>
              </w:rPr>
              <w:tab/>
            </w:r>
            <w:r w:rsidRPr="005616AE">
              <w:rPr>
                <w:webHidden/>
              </w:rPr>
              <w:fldChar w:fldCharType="begin"/>
            </w:r>
            <w:r w:rsidRPr="005616AE">
              <w:rPr>
                <w:webHidden/>
              </w:rPr>
              <w:instrText xml:space="preserve"> PAGEREF _Toc183211063 \h </w:instrText>
            </w:r>
            <w:r w:rsidRPr="005616AE">
              <w:rPr>
                <w:webHidden/>
              </w:rPr>
            </w:r>
            <w:r w:rsidRPr="005616AE">
              <w:rPr>
                <w:webHidden/>
              </w:rPr>
              <w:fldChar w:fldCharType="separate"/>
            </w:r>
            <w:r w:rsidRPr="005616AE">
              <w:rPr>
                <w:webHidden/>
              </w:rPr>
              <w:t>33</w:t>
            </w:r>
            <w:r w:rsidRPr="005616AE">
              <w:rPr>
                <w:webHidden/>
              </w:rPr>
              <w:fldChar w:fldCharType="end"/>
            </w:r>
          </w:hyperlink>
        </w:p>
        <w:p w14:paraId="3A964426" w14:textId="0B51E810"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64" w:history="1">
            <w:r w:rsidRPr="005616AE">
              <w:rPr>
                <w:rStyle w:val="Hyperlink"/>
              </w:rPr>
              <w:t>Comparison Between WiTricity’s ROI% and Space Economy Financing ROI%</w:t>
            </w:r>
            <w:r w:rsidRPr="005616AE">
              <w:rPr>
                <w:webHidden/>
              </w:rPr>
              <w:tab/>
            </w:r>
            <w:r w:rsidRPr="005616AE">
              <w:rPr>
                <w:webHidden/>
              </w:rPr>
              <w:fldChar w:fldCharType="begin"/>
            </w:r>
            <w:r w:rsidRPr="005616AE">
              <w:rPr>
                <w:webHidden/>
              </w:rPr>
              <w:instrText xml:space="preserve"> PAGEREF _Toc183211064 \h </w:instrText>
            </w:r>
            <w:r w:rsidRPr="005616AE">
              <w:rPr>
                <w:webHidden/>
              </w:rPr>
            </w:r>
            <w:r w:rsidRPr="005616AE">
              <w:rPr>
                <w:webHidden/>
              </w:rPr>
              <w:fldChar w:fldCharType="separate"/>
            </w:r>
            <w:r w:rsidRPr="005616AE">
              <w:rPr>
                <w:webHidden/>
              </w:rPr>
              <w:t>34</w:t>
            </w:r>
            <w:r w:rsidRPr="005616AE">
              <w:rPr>
                <w:webHidden/>
              </w:rPr>
              <w:fldChar w:fldCharType="end"/>
            </w:r>
          </w:hyperlink>
        </w:p>
        <w:p w14:paraId="31C144D1" w14:textId="09A7B3A9"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65" w:history="1">
            <w:r w:rsidRPr="005616AE">
              <w:rPr>
                <w:rStyle w:val="Hyperlink"/>
              </w:rPr>
              <w:t>Comparison Between WiTricity’s ROI% and TForce Logistics ROI%</w:t>
            </w:r>
            <w:r w:rsidRPr="005616AE">
              <w:rPr>
                <w:webHidden/>
              </w:rPr>
              <w:tab/>
            </w:r>
            <w:r w:rsidRPr="005616AE">
              <w:rPr>
                <w:webHidden/>
              </w:rPr>
              <w:fldChar w:fldCharType="begin"/>
            </w:r>
            <w:r w:rsidRPr="005616AE">
              <w:rPr>
                <w:webHidden/>
              </w:rPr>
              <w:instrText xml:space="preserve"> PAGEREF _Toc183211065 \h </w:instrText>
            </w:r>
            <w:r w:rsidRPr="005616AE">
              <w:rPr>
                <w:webHidden/>
              </w:rPr>
            </w:r>
            <w:r w:rsidRPr="005616AE">
              <w:rPr>
                <w:webHidden/>
              </w:rPr>
              <w:fldChar w:fldCharType="separate"/>
            </w:r>
            <w:r w:rsidRPr="005616AE">
              <w:rPr>
                <w:webHidden/>
              </w:rPr>
              <w:t>35</w:t>
            </w:r>
            <w:r w:rsidRPr="005616AE">
              <w:rPr>
                <w:webHidden/>
              </w:rPr>
              <w:fldChar w:fldCharType="end"/>
            </w:r>
          </w:hyperlink>
        </w:p>
        <w:p w14:paraId="5E79C5B0" w14:textId="6A2A0F48"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66" w:history="1">
            <w:r w:rsidRPr="005616AE">
              <w:rPr>
                <w:rStyle w:val="Hyperlink"/>
              </w:rPr>
              <w:t>Strategic Recommendations</w:t>
            </w:r>
            <w:r w:rsidRPr="005616AE">
              <w:rPr>
                <w:webHidden/>
              </w:rPr>
              <w:tab/>
            </w:r>
            <w:r w:rsidRPr="005616AE">
              <w:rPr>
                <w:webHidden/>
              </w:rPr>
              <w:fldChar w:fldCharType="begin"/>
            </w:r>
            <w:r w:rsidRPr="005616AE">
              <w:rPr>
                <w:webHidden/>
              </w:rPr>
              <w:instrText xml:space="preserve"> PAGEREF _Toc183211066 \h </w:instrText>
            </w:r>
            <w:r w:rsidRPr="005616AE">
              <w:rPr>
                <w:webHidden/>
              </w:rPr>
            </w:r>
            <w:r w:rsidRPr="005616AE">
              <w:rPr>
                <w:webHidden/>
              </w:rPr>
              <w:fldChar w:fldCharType="separate"/>
            </w:r>
            <w:r w:rsidRPr="005616AE">
              <w:rPr>
                <w:webHidden/>
              </w:rPr>
              <w:t>35</w:t>
            </w:r>
            <w:r w:rsidRPr="005616AE">
              <w:rPr>
                <w:webHidden/>
              </w:rPr>
              <w:fldChar w:fldCharType="end"/>
            </w:r>
          </w:hyperlink>
        </w:p>
        <w:p w14:paraId="00A1E0E2" w14:textId="568BEFE2"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67" w:history="1">
            <w:r w:rsidRPr="005616AE">
              <w:rPr>
                <w:rStyle w:val="Hyperlink"/>
                <w:rFonts w:cs="Calibri"/>
              </w:rPr>
              <w:t>Risk Log</w:t>
            </w:r>
            <w:r w:rsidRPr="005616AE">
              <w:rPr>
                <w:webHidden/>
              </w:rPr>
              <w:tab/>
            </w:r>
            <w:r w:rsidRPr="005616AE">
              <w:rPr>
                <w:webHidden/>
              </w:rPr>
              <w:fldChar w:fldCharType="begin"/>
            </w:r>
            <w:r w:rsidRPr="005616AE">
              <w:rPr>
                <w:webHidden/>
              </w:rPr>
              <w:instrText xml:space="preserve"> PAGEREF _Toc183211067 \h </w:instrText>
            </w:r>
            <w:r w:rsidRPr="005616AE">
              <w:rPr>
                <w:webHidden/>
              </w:rPr>
            </w:r>
            <w:r w:rsidRPr="005616AE">
              <w:rPr>
                <w:webHidden/>
              </w:rPr>
              <w:fldChar w:fldCharType="separate"/>
            </w:r>
            <w:r w:rsidRPr="005616AE">
              <w:rPr>
                <w:webHidden/>
              </w:rPr>
              <w:t>37</w:t>
            </w:r>
            <w:r w:rsidRPr="005616AE">
              <w:rPr>
                <w:webHidden/>
              </w:rPr>
              <w:fldChar w:fldCharType="end"/>
            </w:r>
          </w:hyperlink>
        </w:p>
        <w:p w14:paraId="5D3CFFD0" w14:textId="258B78AD"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68" w:history="1">
            <w:r w:rsidRPr="005616AE">
              <w:rPr>
                <w:rStyle w:val="Hyperlink"/>
                <w:rFonts w:cs="Calibri"/>
              </w:rPr>
              <w:t>Technological</w:t>
            </w:r>
            <w:r w:rsidRPr="005616AE">
              <w:rPr>
                <w:webHidden/>
              </w:rPr>
              <w:tab/>
            </w:r>
            <w:r w:rsidRPr="005616AE">
              <w:rPr>
                <w:webHidden/>
              </w:rPr>
              <w:fldChar w:fldCharType="begin"/>
            </w:r>
            <w:r w:rsidRPr="005616AE">
              <w:rPr>
                <w:webHidden/>
              </w:rPr>
              <w:instrText xml:space="preserve"> PAGEREF _Toc183211068 \h </w:instrText>
            </w:r>
            <w:r w:rsidRPr="005616AE">
              <w:rPr>
                <w:webHidden/>
              </w:rPr>
            </w:r>
            <w:r w:rsidRPr="005616AE">
              <w:rPr>
                <w:webHidden/>
              </w:rPr>
              <w:fldChar w:fldCharType="separate"/>
            </w:r>
            <w:r w:rsidRPr="005616AE">
              <w:rPr>
                <w:webHidden/>
              </w:rPr>
              <w:t>37</w:t>
            </w:r>
            <w:r w:rsidRPr="005616AE">
              <w:rPr>
                <w:webHidden/>
              </w:rPr>
              <w:fldChar w:fldCharType="end"/>
            </w:r>
          </w:hyperlink>
        </w:p>
        <w:p w14:paraId="082EB3DF" w14:textId="4E8711D2"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69" w:history="1">
            <w:r w:rsidRPr="005616AE">
              <w:rPr>
                <w:rStyle w:val="Hyperlink"/>
                <w:rFonts w:cs="Calibri"/>
              </w:rPr>
              <w:t>Operational</w:t>
            </w:r>
            <w:r w:rsidRPr="005616AE">
              <w:rPr>
                <w:webHidden/>
              </w:rPr>
              <w:tab/>
            </w:r>
            <w:r w:rsidRPr="005616AE">
              <w:rPr>
                <w:webHidden/>
              </w:rPr>
              <w:fldChar w:fldCharType="begin"/>
            </w:r>
            <w:r w:rsidRPr="005616AE">
              <w:rPr>
                <w:webHidden/>
              </w:rPr>
              <w:instrText xml:space="preserve"> PAGEREF _Toc183211069 \h </w:instrText>
            </w:r>
            <w:r w:rsidRPr="005616AE">
              <w:rPr>
                <w:webHidden/>
              </w:rPr>
            </w:r>
            <w:r w:rsidRPr="005616AE">
              <w:rPr>
                <w:webHidden/>
              </w:rPr>
              <w:fldChar w:fldCharType="separate"/>
            </w:r>
            <w:r w:rsidRPr="005616AE">
              <w:rPr>
                <w:webHidden/>
              </w:rPr>
              <w:t>38</w:t>
            </w:r>
            <w:r w:rsidRPr="005616AE">
              <w:rPr>
                <w:webHidden/>
              </w:rPr>
              <w:fldChar w:fldCharType="end"/>
            </w:r>
          </w:hyperlink>
        </w:p>
        <w:p w14:paraId="02B720C5" w14:textId="2D87DC85"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70" w:history="1">
            <w:r w:rsidRPr="005616AE">
              <w:rPr>
                <w:rStyle w:val="Hyperlink"/>
                <w:rFonts w:cs="Calibri"/>
              </w:rPr>
              <w:t>Regulatory and Compliance</w:t>
            </w:r>
            <w:r w:rsidRPr="005616AE">
              <w:rPr>
                <w:webHidden/>
              </w:rPr>
              <w:tab/>
            </w:r>
            <w:r w:rsidRPr="005616AE">
              <w:rPr>
                <w:webHidden/>
              </w:rPr>
              <w:fldChar w:fldCharType="begin"/>
            </w:r>
            <w:r w:rsidRPr="005616AE">
              <w:rPr>
                <w:webHidden/>
              </w:rPr>
              <w:instrText xml:space="preserve"> PAGEREF _Toc183211070 \h </w:instrText>
            </w:r>
            <w:r w:rsidRPr="005616AE">
              <w:rPr>
                <w:webHidden/>
              </w:rPr>
            </w:r>
            <w:r w:rsidRPr="005616AE">
              <w:rPr>
                <w:webHidden/>
              </w:rPr>
              <w:fldChar w:fldCharType="separate"/>
            </w:r>
            <w:r w:rsidRPr="005616AE">
              <w:rPr>
                <w:webHidden/>
              </w:rPr>
              <w:t>39</w:t>
            </w:r>
            <w:r w:rsidRPr="005616AE">
              <w:rPr>
                <w:webHidden/>
              </w:rPr>
              <w:fldChar w:fldCharType="end"/>
            </w:r>
          </w:hyperlink>
        </w:p>
        <w:p w14:paraId="4670E63B" w14:textId="0AB713E9"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71" w:history="1">
            <w:r w:rsidRPr="005616AE">
              <w:rPr>
                <w:rStyle w:val="Hyperlink"/>
                <w:rFonts w:cs="Calibri"/>
              </w:rPr>
              <w:t>Market</w:t>
            </w:r>
            <w:r w:rsidRPr="005616AE">
              <w:rPr>
                <w:webHidden/>
              </w:rPr>
              <w:tab/>
            </w:r>
            <w:r w:rsidRPr="005616AE">
              <w:rPr>
                <w:webHidden/>
              </w:rPr>
              <w:fldChar w:fldCharType="begin"/>
            </w:r>
            <w:r w:rsidRPr="005616AE">
              <w:rPr>
                <w:webHidden/>
              </w:rPr>
              <w:instrText xml:space="preserve"> PAGEREF _Toc183211071 \h </w:instrText>
            </w:r>
            <w:r w:rsidRPr="005616AE">
              <w:rPr>
                <w:webHidden/>
              </w:rPr>
            </w:r>
            <w:r w:rsidRPr="005616AE">
              <w:rPr>
                <w:webHidden/>
              </w:rPr>
              <w:fldChar w:fldCharType="separate"/>
            </w:r>
            <w:r w:rsidRPr="005616AE">
              <w:rPr>
                <w:webHidden/>
              </w:rPr>
              <w:t>40</w:t>
            </w:r>
            <w:r w:rsidRPr="005616AE">
              <w:rPr>
                <w:webHidden/>
              </w:rPr>
              <w:fldChar w:fldCharType="end"/>
            </w:r>
          </w:hyperlink>
        </w:p>
        <w:p w14:paraId="743D35E8" w14:textId="31E1924B"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72" w:history="1">
            <w:r w:rsidRPr="005616AE">
              <w:rPr>
                <w:rStyle w:val="Hyperlink"/>
                <w:rFonts w:cs="Calibri"/>
              </w:rPr>
              <w:t>Financial</w:t>
            </w:r>
            <w:r w:rsidRPr="005616AE">
              <w:rPr>
                <w:webHidden/>
              </w:rPr>
              <w:tab/>
            </w:r>
            <w:r w:rsidRPr="005616AE">
              <w:rPr>
                <w:webHidden/>
              </w:rPr>
              <w:fldChar w:fldCharType="begin"/>
            </w:r>
            <w:r w:rsidRPr="005616AE">
              <w:rPr>
                <w:webHidden/>
              </w:rPr>
              <w:instrText xml:space="preserve"> PAGEREF _Toc183211072 \h </w:instrText>
            </w:r>
            <w:r w:rsidRPr="005616AE">
              <w:rPr>
                <w:webHidden/>
              </w:rPr>
            </w:r>
            <w:r w:rsidRPr="005616AE">
              <w:rPr>
                <w:webHidden/>
              </w:rPr>
              <w:fldChar w:fldCharType="separate"/>
            </w:r>
            <w:r w:rsidRPr="005616AE">
              <w:rPr>
                <w:webHidden/>
              </w:rPr>
              <w:t>41</w:t>
            </w:r>
            <w:r w:rsidRPr="005616AE">
              <w:rPr>
                <w:webHidden/>
              </w:rPr>
              <w:fldChar w:fldCharType="end"/>
            </w:r>
          </w:hyperlink>
        </w:p>
        <w:p w14:paraId="6B49F945" w14:textId="3CECB97F"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73" w:history="1">
            <w:r w:rsidRPr="005616AE">
              <w:rPr>
                <w:rStyle w:val="Hyperlink"/>
                <w:rFonts w:cs="Calibri"/>
              </w:rPr>
              <w:t>Reputational</w:t>
            </w:r>
            <w:r w:rsidRPr="005616AE">
              <w:rPr>
                <w:webHidden/>
              </w:rPr>
              <w:tab/>
            </w:r>
            <w:r w:rsidRPr="005616AE">
              <w:rPr>
                <w:webHidden/>
              </w:rPr>
              <w:fldChar w:fldCharType="begin"/>
            </w:r>
            <w:r w:rsidRPr="005616AE">
              <w:rPr>
                <w:webHidden/>
              </w:rPr>
              <w:instrText xml:space="preserve"> PAGEREF _Toc183211073 \h </w:instrText>
            </w:r>
            <w:r w:rsidRPr="005616AE">
              <w:rPr>
                <w:webHidden/>
              </w:rPr>
            </w:r>
            <w:r w:rsidRPr="005616AE">
              <w:rPr>
                <w:webHidden/>
              </w:rPr>
              <w:fldChar w:fldCharType="separate"/>
            </w:r>
            <w:r w:rsidRPr="005616AE">
              <w:rPr>
                <w:webHidden/>
              </w:rPr>
              <w:t>42</w:t>
            </w:r>
            <w:r w:rsidRPr="005616AE">
              <w:rPr>
                <w:webHidden/>
              </w:rPr>
              <w:fldChar w:fldCharType="end"/>
            </w:r>
          </w:hyperlink>
        </w:p>
        <w:p w14:paraId="0FECACCD" w14:textId="362F09D3"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74" w:history="1">
            <w:r w:rsidRPr="005616AE">
              <w:rPr>
                <w:rStyle w:val="Hyperlink"/>
                <w:rFonts w:cs="Calibri"/>
              </w:rPr>
              <w:t>Cybersecurity</w:t>
            </w:r>
            <w:r w:rsidRPr="005616AE">
              <w:rPr>
                <w:webHidden/>
              </w:rPr>
              <w:tab/>
            </w:r>
            <w:r w:rsidRPr="005616AE">
              <w:rPr>
                <w:webHidden/>
              </w:rPr>
              <w:fldChar w:fldCharType="begin"/>
            </w:r>
            <w:r w:rsidRPr="005616AE">
              <w:rPr>
                <w:webHidden/>
              </w:rPr>
              <w:instrText xml:space="preserve"> PAGEREF _Toc183211074 \h </w:instrText>
            </w:r>
            <w:r w:rsidRPr="005616AE">
              <w:rPr>
                <w:webHidden/>
              </w:rPr>
            </w:r>
            <w:r w:rsidRPr="005616AE">
              <w:rPr>
                <w:webHidden/>
              </w:rPr>
              <w:fldChar w:fldCharType="separate"/>
            </w:r>
            <w:r w:rsidRPr="005616AE">
              <w:rPr>
                <w:webHidden/>
              </w:rPr>
              <w:t>43</w:t>
            </w:r>
            <w:r w:rsidRPr="005616AE">
              <w:rPr>
                <w:webHidden/>
              </w:rPr>
              <w:fldChar w:fldCharType="end"/>
            </w:r>
          </w:hyperlink>
        </w:p>
        <w:p w14:paraId="05ADFB22" w14:textId="358CF91C"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75" w:history="1">
            <w:r w:rsidRPr="005616AE">
              <w:rPr>
                <w:rStyle w:val="Hyperlink"/>
                <w:rFonts w:cs="Calibri"/>
              </w:rPr>
              <w:t>Implementation Strategy</w:t>
            </w:r>
            <w:r w:rsidRPr="005616AE">
              <w:rPr>
                <w:webHidden/>
              </w:rPr>
              <w:tab/>
            </w:r>
            <w:r w:rsidRPr="005616AE">
              <w:rPr>
                <w:webHidden/>
              </w:rPr>
              <w:fldChar w:fldCharType="begin"/>
            </w:r>
            <w:r w:rsidRPr="005616AE">
              <w:rPr>
                <w:webHidden/>
              </w:rPr>
              <w:instrText xml:space="preserve"> PAGEREF _Toc183211075 \h </w:instrText>
            </w:r>
            <w:r w:rsidRPr="005616AE">
              <w:rPr>
                <w:webHidden/>
              </w:rPr>
            </w:r>
            <w:r w:rsidRPr="005616AE">
              <w:rPr>
                <w:webHidden/>
              </w:rPr>
              <w:fldChar w:fldCharType="separate"/>
            </w:r>
            <w:r w:rsidRPr="005616AE">
              <w:rPr>
                <w:webHidden/>
              </w:rPr>
              <w:t>45</w:t>
            </w:r>
            <w:r w:rsidRPr="005616AE">
              <w:rPr>
                <w:webHidden/>
              </w:rPr>
              <w:fldChar w:fldCharType="end"/>
            </w:r>
          </w:hyperlink>
        </w:p>
        <w:p w14:paraId="7E8805D7" w14:textId="0F1299D1"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76" w:history="1">
            <w:r w:rsidRPr="005616AE">
              <w:rPr>
                <w:rStyle w:val="Hyperlink"/>
                <w:rFonts w:cs="Calibri"/>
              </w:rPr>
              <w:t>Pre-Acquisition Phase (0-3 Months)</w:t>
            </w:r>
            <w:r w:rsidRPr="005616AE">
              <w:rPr>
                <w:webHidden/>
              </w:rPr>
              <w:tab/>
            </w:r>
            <w:r w:rsidRPr="005616AE">
              <w:rPr>
                <w:webHidden/>
              </w:rPr>
              <w:fldChar w:fldCharType="begin"/>
            </w:r>
            <w:r w:rsidRPr="005616AE">
              <w:rPr>
                <w:webHidden/>
              </w:rPr>
              <w:instrText xml:space="preserve"> PAGEREF _Toc183211076 \h </w:instrText>
            </w:r>
            <w:r w:rsidRPr="005616AE">
              <w:rPr>
                <w:webHidden/>
              </w:rPr>
            </w:r>
            <w:r w:rsidRPr="005616AE">
              <w:rPr>
                <w:webHidden/>
              </w:rPr>
              <w:fldChar w:fldCharType="separate"/>
            </w:r>
            <w:r w:rsidRPr="005616AE">
              <w:rPr>
                <w:webHidden/>
              </w:rPr>
              <w:t>45</w:t>
            </w:r>
            <w:r w:rsidRPr="005616AE">
              <w:rPr>
                <w:webHidden/>
              </w:rPr>
              <w:fldChar w:fldCharType="end"/>
            </w:r>
          </w:hyperlink>
        </w:p>
        <w:p w14:paraId="4354F5AD" w14:textId="4F0F721D"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77" w:history="1">
            <w:r w:rsidRPr="005616AE">
              <w:rPr>
                <w:rStyle w:val="Hyperlink"/>
                <w:rFonts w:cs="Calibri"/>
              </w:rPr>
              <w:t>Acquisition Planning Phase (3-6 Months)</w:t>
            </w:r>
            <w:r w:rsidRPr="005616AE">
              <w:rPr>
                <w:webHidden/>
              </w:rPr>
              <w:tab/>
            </w:r>
            <w:r w:rsidRPr="005616AE">
              <w:rPr>
                <w:webHidden/>
              </w:rPr>
              <w:fldChar w:fldCharType="begin"/>
            </w:r>
            <w:r w:rsidRPr="005616AE">
              <w:rPr>
                <w:webHidden/>
              </w:rPr>
              <w:instrText xml:space="preserve"> PAGEREF _Toc183211077 \h </w:instrText>
            </w:r>
            <w:r w:rsidRPr="005616AE">
              <w:rPr>
                <w:webHidden/>
              </w:rPr>
            </w:r>
            <w:r w:rsidRPr="005616AE">
              <w:rPr>
                <w:webHidden/>
              </w:rPr>
              <w:fldChar w:fldCharType="separate"/>
            </w:r>
            <w:r w:rsidRPr="005616AE">
              <w:rPr>
                <w:webHidden/>
              </w:rPr>
              <w:t>47</w:t>
            </w:r>
            <w:r w:rsidRPr="005616AE">
              <w:rPr>
                <w:webHidden/>
              </w:rPr>
              <w:fldChar w:fldCharType="end"/>
            </w:r>
          </w:hyperlink>
        </w:p>
        <w:p w14:paraId="2D61CF55" w14:textId="48E7A3FE"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78" w:history="1">
            <w:r w:rsidRPr="005616AE">
              <w:rPr>
                <w:rStyle w:val="Hyperlink"/>
                <w:rFonts w:cs="Calibri"/>
              </w:rPr>
              <w:t>Integration Phase (6-12 Months)</w:t>
            </w:r>
            <w:r w:rsidRPr="005616AE">
              <w:rPr>
                <w:webHidden/>
              </w:rPr>
              <w:tab/>
            </w:r>
            <w:r w:rsidRPr="005616AE">
              <w:rPr>
                <w:webHidden/>
              </w:rPr>
              <w:fldChar w:fldCharType="begin"/>
            </w:r>
            <w:r w:rsidRPr="005616AE">
              <w:rPr>
                <w:webHidden/>
              </w:rPr>
              <w:instrText xml:space="preserve"> PAGEREF _Toc183211078 \h </w:instrText>
            </w:r>
            <w:r w:rsidRPr="005616AE">
              <w:rPr>
                <w:webHidden/>
              </w:rPr>
            </w:r>
            <w:r w:rsidRPr="005616AE">
              <w:rPr>
                <w:webHidden/>
              </w:rPr>
              <w:fldChar w:fldCharType="separate"/>
            </w:r>
            <w:r w:rsidRPr="005616AE">
              <w:rPr>
                <w:webHidden/>
              </w:rPr>
              <w:t>50</w:t>
            </w:r>
            <w:r w:rsidRPr="005616AE">
              <w:rPr>
                <w:webHidden/>
              </w:rPr>
              <w:fldChar w:fldCharType="end"/>
            </w:r>
          </w:hyperlink>
        </w:p>
        <w:p w14:paraId="1C5BAF6C" w14:textId="7022976D"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79" w:history="1">
            <w:r w:rsidRPr="005616AE">
              <w:rPr>
                <w:rStyle w:val="Hyperlink"/>
                <w:rFonts w:cs="Calibri"/>
              </w:rPr>
              <w:t>Post-Integration Phase (12-18 Months)</w:t>
            </w:r>
            <w:r w:rsidRPr="005616AE">
              <w:rPr>
                <w:webHidden/>
              </w:rPr>
              <w:tab/>
            </w:r>
            <w:r w:rsidRPr="005616AE">
              <w:rPr>
                <w:webHidden/>
              </w:rPr>
              <w:fldChar w:fldCharType="begin"/>
            </w:r>
            <w:r w:rsidRPr="005616AE">
              <w:rPr>
                <w:webHidden/>
              </w:rPr>
              <w:instrText xml:space="preserve"> PAGEREF _Toc183211079 \h </w:instrText>
            </w:r>
            <w:r w:rsidRPr="005616AE">
              <w:rPr>
                <w:webHidden/>
              </w:rPr>
            </w:r>
            <w:r w:rsidRPr="005616AE">
              <w:rPr>
                <w:webHidden/>
              </w:rPr>
              <w:fldChar w:fldCharType="separate"/>
            </w:r>
            <w:r w:rsidRPr="005616AE">
              <w:rPr>
                <w:webHidden/>
              </w:rPr>
              <w:t>52</w:t>
            </w:r>
            <w:r w:rsidRPr="005616AE">
              <w:rPr>
                <w:webHidden/>
              </w:rPr>
              <w:fldChar w:fldCharType="end"/>
            </w:r>
          </w:hyperlink>
        </w:p>
        <w:p w14:paraId="046576EA" w14:textId="034B73F4"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80" w:history="1">
            <w:r w:rsidRPr="005616AE">
              <w:rPr>
                <w:rStyle w:val="Hyperlink"/>
                <w:rFonts w:cs="Calibri"/>
              </w:rPr>
              <w:t>Optimisation &amp; Innovation Phase (18-24 Months)</w:t>
            </w:r>
            <w:r w:rsidRPr="005616AE">
              <w:rPr>
                <w:webHidden/>
              </w:rPr>
              <w:tab/>
            </w:r>
            <w:r w:rsidRPr="005616AE">
              <w:rPr>
                <w:webHidden/>
              </w:rPr>
              <w:fldChar w:fldCharType="begin"/>
            </w:r>
            <w:r w:rsidRPr="005616AE">
              <w:rPr>
                <w:webHidden/>
              </w:rPr>
              <w:instrText xml:space="preserve"> PAGEREF _Toc183211080 \h </w:instrText>
            </w:r>
            <w:r w:rsidRPr="005616AE">
              <w:rPr>
                <w:webHidden/>
              </w:rPr>
            </w:r>
            <w:r w:rsidRPr="005616AE">
              <w:rPr>
                <w:webHidden/>
              </w:rPr>
              <w:fldChar w:fldCharType="separate"/>
            </w:r>
            <w:r w:rsidRPr="005616AE">
              <w:rPr>
                <w:webHidden/>
              </w:rPr>
              <w:t>54</w:t>
            </w:r>
            <w:r w:rsidRPr="005616AE">
              <w:rPr>
                <w:webHidden/>
              </w:rPr>
              <w:fldChar w:fldCharType="end"/>
            </w:r>
          </w:hyperlink>
        </w:p>
        <w:p w14:paraId="438F96B8" w14:textId="440A112B"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81" w:history="1">
            <w:r w:rsidRPr="005616AE">
              <w:rPr>
                <w:rStyle w:val="Hyperlink"/>
                <w:rFonts w:cs="Calibri"/>
              </w:rPr>
              <w:t>Test Strategy</w:t>
            </w:r>
            <w:r w:rsidRPr="005616AE">
              <w:rPr>
                <w:webHidden/>
              </w:rPr>
              <w:tab/>
            </w:r>
            <w:r w:rsidRPr="005616AE">
              <w:rPr>
                <w:webHidden/>
              </w:rPr>
              <w:fldChar w:fldCharType="begin"/>
            </w:r>
            <w:r w:rsidRPr="005616AE">
              <w:rPr>
                <w:webHidden/>
              </w:rPr>
              <w:instrText xml:space="preserve"> PAGEREF _Toc183211081 \h </w:instrText>
            </w:r>
            <w:r w:rsidRPr="005616AE">
              <w:rPr>
                <w:webHidden/>
              </w:rPr>
            </w:r>
            <w:r w:rsidRPr="005616AE">
              <w:rPr>
                <w:webHidden/>
              </w:rPr>
              <w:fldChar w:fldCharType="separate"/>
            </w:r>
            <w:r w:rsidRPr="005616AE">
              <w:rPr>
                <w:webHidden/>
              </w:rPr>
              <w:t>58</w:t>
            </w:r>
            <w:r w:rsidRPr="005616AE">
              <w:rPr>
                <w:webHidden/>
              </w:rPr>
              <w:fldChar w:fldCharType="end"/>
            </w:r>
          </w:hyperlink>
        </w:p>
        <w:p w14:paraId="7695F505" w14:textId="65039346"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82" w:history="1">
            <w:r w:rsidRPr="005616AE">
              <w:rPr>
                <w:rStyle w:val="Hyperlink"/>
                <w:rFonts w:cs="Calibri"/>
              </w:rPr>
              <w:t>Scope and Overview</w:t>
            </w:r>
            <w:r w:rsidRPr="005616AE">
              <w:rPr>
                <w:webHidden/>
              </w:rPr>
              <w:tab/>
            </w:r>
            <w:r w:rsidRPr="005616AE">
              <w:rPr>
                <w:webHidden/>
              </w:rPr>
              <w:fldChar w:fldCharType="begin"/>
            </w:r>
            <w:r w:rsidRPr="005616AE">
              <w:rPr>
                <w:webHidden/>
              </w:rPr>
              <w:instrText xml:space="preserve"> PAGEREF _Toc183211082 \h </w:instrText>
            </w:r>
            <w:r w:rsidRPr="005616AE">
              <w:rPr>
                <w:webHidden/>
              </w:rPr>
            </w:r>
            <w:r w:rsidRPr="005616AE">
              <w:rPr>
                <w:webHidden/>
              </w:rPr>
              <w:fldChar w:fldCharType="separate"/>
            </w:r>
            <w:r w:rsidRPr="005616AE">
              <w:rPr>
                <w:webHidden/>
              </w:rPr>
              <w:t>58</w:t>
            </w:r>
            <w:r w:rsidRPr="005616AE">
              <w:rPr>
                <w:webHidden/>
              </w:rPr>
              <w:fldChar w:fldCharType="end"/>
            </w:r>
          </w:hyperlink>
        </w:p>
        <w:p w14:paraId="71E5BB65" w14:textId="2E6067C5"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83" w:history="1">
            <w:r w:rsidRPr="005616AE">
              <w:rPr>
                <w:rStyle w:val="Hyperlink"/>
                <w:rFonts w:cs="Calibri"/>
              </w:rPr>
              <w:t>Testing Methodology</w:t>
            </w:r>
            <w:r w:rsidRPr="005616AE">
              <w:rPr>
                <w:webHidden/>
              </w:rPr>
              <w:tab/>
            </w:r>
            <w:r w:rsidRPr="005616AE">
              <w:rPr>
                <w:webHidden/>
              </w:rPr>
              <w:fldChar w:fldCharType="begin"/>
            </w:r>
            <w:r w:rsidRPr="005616AE">
              <w:rPr>
                <w:webHidden/>
              </w:rPr>
              <w:instrText xml:space="preserve"> PAGEREF _Toc183211083 \h </w:instrText>
            </w:r>
            <w:r w:rsidRPr="005616AE">
              <w:rPr>
                <w:webHidden/>
              </w:rPr>
            </w:r>
            <w:r w:rsidRPr="005616AE">
              <w:rPr>
                <w:webHidden/>
              </w:rPr>
              <w:fldChar w:fldCharType="separate"/>
            </w:r>
            <w:r w:rsidRPr="005616AE">
              <w:rPr>
                <w:webHidden/>
              </w:rPr>
              <w:t>60</w:t>
            </w:r>
            <w:r w:rsidRPr="005616AE">
              <w:rPr>
                <w:webHidden/>
              </w:rPr>
              <w:fldChar w:fldCharType="end"/>
            </w:r>
          </w:hyperlink>
        </w:p>
        <w:p w14:paraId="15531831" w14:textId="19859FFF"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84" w:history="1">
            <w:r w:rsidRPr="005616AE">
              <w:rPr>
                <w:rStyle w:val="Hyperlink"/>
                <w:rFonts w:cs="Calibri"/>
              </w:rPr>
              <w:t>Functional Testing</w:t>
            </w:r>
            <w:r w:rsidRPr="005616AE">
              <w:rPr>
                <w:webHidden/>
              </w:rPr>
              <w:tab/>
            </w:r>
            <w:r w:rsidRPr="005616AE">
              <w:rPr>
                <w:webHidden/>
              </w:rPr>
              <w:fldChar w:fldCharType="begin"/>
            </w:r>
            <w:r w:rsidRPr="005616AE">
              <w:rPr>
                <w:webHidden/>
              </w:rPr>
              <w:instrText xml:space="preserve"> PAGEREF _Toc183211084 \h </w:instrText>
            </w:r>
            <w:r w:rsidRPr="005616AE">
              <w:rPr>
                <w:webHidden/>
              </w:rPr>
            </w:r>
            <w:r w:rsidRPr="005616AE">
              <w:rPr>
                <w:webHidden/>
              </w:rPr>
              <w:fldChar w:fldCharType="separate"/>
            </w:r>
            <w:r w:rsidRPr="005616AE">
              <w:rPr>
                <w:webHidden/>
              </w:rPr>
              <w:t>60</w:t>
            </w:r>
            <w:r w:rsidRPr="005616AE">
              <w:rPr>
                <w:webHidden/>
              </w:rPr>
              <w:fldChar w:fldCharType="end"/>
            </w:r>
          </w:hyperlink>
        </w:p>
        <w:p w14:paraId="2FD3C513" w14:textId="695631F0" w:rsidR="0058659C" w:rsidRPr="005616AE" w:rsidRDefault="0058659C">
          <w:pPr>
            <w:pStyle w:val="TOC3"/>
            <w:tabs>
              <w:tab w:val="right" w:leader="dot" w:pos="9350"/>
            </w:tabs>
            <w:rPr>
              <w:rFonts w:asciiTheme="minorHAnsi" w:eastAsiaTheme="minorEastAsia" w:hAnsiTheme="minorHAnsi"/>
              <w:sz w:val="24"/>
              <w:szCs w:val="24"/>
              <w:lang w:eastAsia="en-CA"/>
            </w:rPr>
          </w:pPr>
          <w:hyperlink w:anchor="_Toc183211085" w:history="1">
            <w:r w:rsidRPr="005616AE">
              <w:rPr>
                <w:rStyle w:val="Hyperlink"/>
                <w:rFonts w:cs="Calibri"/>
              </w:rPr>
              <w:t>Non-Functional Testing</w:t>
            </w:r>
            <w:r w:rsidRPr="005616AE">
              <w:rPr>
                <w:webHidden/>
              </w:rPr>
              <w:tab/>
            </w:r>
            <w:r w:rsidRPr="005616AE">
              <w:rPr>
                <w:webHidden/>
              </w:rPr>
              <w:fldChar w:fldCharType="begin"/>
            </w:r>
            <w:r w:rsidRPr="005616AE">
              <w:rPr>
                <w:webHidden/>
              </w:rPr>
              <w:instrText xml:space="preserve"> PAGEREF _Toc183211085 \h </w:instrText>
            </w:r>
            <w:r w:rsidRPr="005616AE">
              <w:rPr>
                <w:webHidden/>
              </w:rPr>
            </w:r>
            <w:r w:rsidRPr="005616AE">
              <w:rPr>
                <w:webHidden/>
              </w:rPr>
              <w:fldChar w:fldCharType="separate"/>
            </w:r>
            <w:r w:rsidRPr="005616AE">
              <w:rPr>
                <w:webHidden/>
              </w:rPr>
              <w:t>60</w:t>
            </w:r>
            <w:r w:rsidRPr="005616AE">
              <w:rPr>
                <w:webHidden/>
              </w:rPr>
              <w:fldChar w:fldCharType="end"/>
            </w:r>
          </w:hyperlink>
        </w:p>
        <w:p w14:paraId="6A3C495C" w14:textId="25FB07D2"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86" w:history="1">
            <w:r w:rsidRPr="005616AE">
              <w:rPr>
                <w:rStyle w:val="Hyperlink"/>
                <w:rFonts w:cs="Calibri"/>
              </w:rPr>
              <w:t>Testing Environment Specifications</w:t>
            </w:r>
            <w:r w:rsidRPr="005616AE">
              <w:rPr>
                <w:webHidden/>
              </w:rPr>
              <w:tab/>
            </w:r>
            <w:r w:rsidRPr="005616AE">
              <w:rPr>
                <w:webHidden/>
              </w:rPr>
              <w:fldChar w:fldCharType="begin"/>
            </w:r>
            <w:r w:rsidRPr="005616AE">
              <w:rPr>
                <w:webHidden/>
              </w:rPr>
              <w:instrText xml:space="preserve"> PAGEREF _Toc183211086 \h </w:instrText>
            </w:r>
            <w:r w:rsidRPr="005616AE">
              <w:rPr>
                <w:webHidden/>
              </w:rPr>
            </w:r>
            <w:r w:rsidRPr="005616AE">
              <w:rPr>
                <w:webHidden/>
              </w:rPr>
              <w:fldChar w:fldCharType="separate"/>
            </w:r>
            <w:r w:rsidRPr="005616AE">
              <w:rPr>
                <w:webHidden/>
              </w:rPr>
              <w:t>62</w:t>
            </w:r>
            <w:r w:rsidRPr="005616AE">
              <w:rPr>
                <w:webHidden/>
              </w:rPr>
              <w:fldChar w:fldCharType="end"/>
            </w:r>
          </w:hyperlink>
        </w:p>
        <w:p w14:paraId="25D737FF" w14:textId="47B541E8"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87" w:history="1">
            <w:r w:rsidRPr="005616AE">
              <w:rPr>
                <w:rStyle w:val="Hyperlink"/>
                <w:rFonts w:cs="Calibri"/>
              </w:rPr>
              <w:t>Testing Tools</w:t>
            </w:r>
            <w:r w:rsidRPr="005616AE">
              <w:rPr>
                <w:webHidden/>
              </w:rPr>
              <w:tab/>
            </w:r>
            <w:r w:rsidRPr="005616AE">
              <w:rPr>
                <w:webHidden/>
              </w:rPr>
              <w:fldChar w:fldCharType="begin"/>
            </w:r>
            <w:r w:rsidRPr="005616AE">
              <w:rPr>
                <w:webHidden/>
              </w:rPr>
              <w:instrText xml:space="preserve"> PAGEREF _Toc183211087 \h </w:instrText>
            </w:r>
            <w:r w:rsidRPr="005616AE">
              <w:rPr>
                <w:webHidden/>
              </w:rPr>
            </w:r>
            <w:r w:rsidRPr="005616AE">
              <w:rPr>
                <w:webHidden/>
              </w:rPr>
              <w:fldChar w:fldCharType="separate"/>
            </w:r>
            <w:r w:rsidRPr="005616AE">
              <w:rPr>
                <w:webHidden/>
              </w:rPr>
              <w:t>62</w:t>
            </w:r>
            <w:r w:rsidRPr="005616AE">
              <w:rPr>
                <w:webHidden/>
              </w:rPr>
              <w:fldChar w:fldCharType="end"/>
            </w:r>
          </w:hyperlink>
        </w:p>
        <w:p w14:paraId="4C8C08DA" w14:textId="2F2B43E1"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88" w:history="1">
            <w:r w:rsidRPr="005616AE">
              <w:rPr>
                <w:rStyle w:val="Hyperlink"/>
                <w:rFonts w:cs="Calibri"/>
              </w:rPr>
              <w:t>Release Controls</w:t>
            </w:r>
            <w:r w:rsidRPr="005616AE">
              <w:rPr>
                <w:webHidden/>
              </w:rPr>
              <w:tab/>
            </w:r>
            <w:r w:rsidRPr="005616AE">
              <w:rPr>
                <w:webHidden/>
              </w:rPr>
              <w:fldChar w:fldCharType="begin"/>
            </w:r>
            <w:r w:rsidRPr="005616AE">
              <w:rPr>
                <w:webHidden/>
              </w:rPr>
              <w:instrText xml:space="preserve"> PAGEREF _Toc183211088 \h </w:instrText>
            </w:r>
            <w:r w:rsidRPr="005616AE">
              <w:rPr>
                <w:webHidden/>
              </w:rPr>
            </w:r>
            <w:r w:rsidRPr="005616AE">
              <w:rPr>
                <w:webHidden/>
              </w:rPr>
              <w:fldChar w:fldCharType="separate"/>
            </w:r>
            <w:r w:rsidRPr="005616AE">
              <w:rPr>
                <w:webHidden/>
              </w:rPr>
              <w:t>62</w:t>
            </w:r>
            <w:r w:rsidRPr="005616AE">
              <w:rPr>
                <w:webHidden/>
              </w:rPr>
              <w:fldChar w:fldCharType="end"/>
            </w:r>
          </w:hyperlink>
        </w:p>
        <w:p w14:paraId="333C7D85" w14:textId="1702CB51"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89" w:history="1">
            <w:r w:rsidRPr="005616AE">
              <w:rPr>
                <w:rStyle w:val="Hyperlink"/>
                <w:rFonts w:cs="Calibri"/>
              </w:rPr>
              <w:t>Risk Analysis</w:t>
            </w:r>
            <w:r w:rsidRPr="005616AE">
              <w:rPr>
                <w:webHidden/>
              </w:rPr>
              <w:tab/>
            </w:r>
            <w:r w:rsidRPr="005616AE">
              <w:rPr>
                <w:webHidden/>
              </w:rPr>
              <w:fldChar w:fldCharType="begin"/>
            </w:r>
            <w:r w:rsidRPr="005616AE">
              <w:rPr>
                <w:webHidden/>
              </w:rPr>
              <w:instrText xml:space="preserve"> PAGEREF _Toc183211089 \h </w:instrText>
            </w:r>
            <w:r w:rsidRPr="005616AE">
              <w:rPr>
                <w:webHidden/>
              </w:rPr>
            </w:r>
            <w:r w:rsidRPr="005616AE">
              <w:rPr>
                <w:webHidden/>
              </w:rPr>
              <w:fldChar w:fldCharType="separate"/>
            </w:r>
            <w:r w:rsidRPr="005616AE">
              <w:rPr>
                <w:webHidden/>
              </w:rPr>
              <w:t>64</w:t>
            </w:r>
            <w:r w:rsidRPr="005616AE">
              <w:rPr>
                <w:webHidden/>
              </w:rPr>
              <w:fldChar w:fldCharType="end"/>
            </w:r>
          </w:hyperlink>
        </w:p>
        <w:p w14:paraId="32A8277E" w14:textId="65FF8460" w:rsidR="0058659C" w:rsidRPr="005616AE" w:rsidRDefault="0058659C">
          <w:pPr>
            <w:pStyle w:val="TOC2"/>
            <w:tabs>
              <w:tab w:val="right" w:leader="dot" w:pos="9350"/>
            </w:tabs>
            <w:rPr>
              <w:rFonts w:asciiTheme="minorHAnsi" w:eastAsiaTheme="minorEastAsia" w:hAnsiTheme="minorHAnsi"/>
              <w:sz w:val="24"/>
              <w:szCs w:val="24"/>
              <w:lang w:eastAsia="en-CA"/>
            </w:rPr>
          </w:pPr>
          <w:hyperlink w:anchor="_Toc183211090" w:history="1">
            <w:r w:rsidRPr="005616AE">
              <w:rPr>
                <w:rStyle w:val="Hyperlink"/>
                <w:rFonts w:cs="Calibri"/>
              </w:rPr>
              <w:t>Review and Approvals</w:t>
            </w:r>
            <w:r w:rsidRPr="005616AE">
              <w:rPr>
                <w:webHidden/>
              </w:rPr>
              <w:tab/>
            </w:r>
            <w:r w:rsidRPr="005616AE">
              <w:rPr>
                <w:webHidden/>
              </w:rPr>
              <w:fldChar w:fldCharType="begin"/>
            </w:r>
            <w:r w:rsidRPr="005616AE">
              <w:rPr>
                <w:webHidden/>
              </w:rPr>
              <w:instrText xml:space="preserve"> PAGEREF _Toc183211090 \h </w:instrText>
            </w:r>
            <w:r w:rsidRPr="005616AE">
              <w:rPr>
                <w:webHidden/>
              </w:rPr>
            </w:r>
            <w:r w:rsidRPr="005616AE">
              <w:rPr>
                <w:webHidden/>
              </w:rPr>
              <w:fldChar w:fldCharType="separate"/>
            </w:r>
            <w:r w:rsidRPr="005616AE">
              <w:rPr>
                <w:webHidden/>
              </w:rPr>
              <w:t>64</w:t>
            </w:r>
            <w:r w:rsidRPr="005616AE">
              <w:rPr>
                <w:webHidden/>
              </w:rPr>
              <w:fldChar w:fldCharType="end"/>
            </w:r>
          </w:hyperlink>
        </w:p>
        <w:p w14:paraId="77FFCDE2" w14:textId="7448A525"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91" w:history="1">
            <w:r w:rsidRPr="005616AE">
              <w:rPr>
                <w:rStyle w:val="Hyperlink"/>
                <w:rFonts w:cs="Calibri"/>
              </w:rPr>
              <w:t>News Board</w:t>
            </w:r>
            <w:r w:rsidRPr="005616AE">
              <w:rPr>
                <w:webHidden/>
              </w:rPr>
              <w:tab/>
            </w:r>
            <w:r w:rsidRPr="005616AE">
              <w:rPr>
                <w:webHidden/>
              </w:rPr>
              <w:fldChar w:fldCharType="begin"/>
            </w:r>
            <w:r w:rsidRPr="005616AE">
              <w:rPr>
                <w:webHidden/>
              </w:rPr>
              <w:instrText xml:space="preserve"> PAGEREF _Toc183211091 \h </w:instrText>
            </w:r>
            <w:r w:rsidRPr="005616AE">
              <w:rPr>
                <w:webHidden/>
              </w:rPr>
            </w:r>
            <w:r w:rsidRPr="005616AE">
              <w:rPr>
                <w:webHidden/>
              </w:rPr>
              <w:fldChar w:fldCharType="separate"/>
            </w:r>
            <w:r w:rsidRPr="005616AE">
              <w:rPr>
                <w:webHidden/>
              </w:rPr>
              <w:t>65</w:t>
            </w:r>
            <w:r w:rsidRPr="005616AE">
              <w:rPr>
                <w:webHidden/>
              </w:rPr>
              <w:fldChar w:fldCharType="end"/>
            </w:r>
          </w:hyperlink>
        </w:p>
        <w:p w14:paraId="2B8A5163" w14:textId="03C75A24"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92" w:history="1">
            <w:r w:rsidRPr="005616AE">
              <w:rPr>
                <w:rStyle w:val="Hyperlink"/>
                <w:rFonts w:cs="Calibri"/>
              </w:rPr>
              <w:t>Conclusion</w:t>
            </w:r>
            <w:r w:rsidRPr="005616AE">
              <w:rPr>
                <w:webHidden/>
              </w:rPr>
              <w:tab/>
            </w:r>
            <w:r w:rsidRPr="005616AE">
              <w:rPr>
                <w:webHidden/>
              </w:rPr>
              <w:fldChar w:fldCharType="begin"/>
            </w:r>
            <w:r w:rsidRPr="005616AE">
              <w:rPr>
                <w:webHidden/>
              </w:rPr>
              <w:instrText xml:space="preserve"> PAGEREF _Toc183211092 \h </w:instrText>
            </w:r>
            <w:r w:rsidRPr="005616AE">
              <w:rPr>
                <w:webHidden/>
              </w:rPr>
            </w:r>
            <w:r w:rsidRPr="005616AE">
              <w:rPr>
                <w:webHidden/>
              </w:rPr>
              <w:fldChar w:fldCharType="separate"/>
            </w:r>
            <w:r w:rsidRPr="005616AE">
              <w:rPr>
                <w:webHidden/>
              </w:rPr>
              <w:t>68</w:t>
            </w:r>
            <w:r w:rsidRPr="005616AE">
              <w:rPr>
                <w:webHidden/>
              </w:rPr>
              <w:fldChar w:fldCharType="end"/>
            </w:r>
          </w:hyperlink>
        </w:p>
        <w:p w14:paraId="74610739" w14:textId="21A09190"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93" w:history="1">
            <w:r w:rsidRPr="005616AE">
              <w:rPr>
                <w:rStyle w:val="Hyperlink"/>
                <w:rFonts w:cs="Calibri"/>
              </w:rPr>
              <w:t>Call of Action</w:t>
            </w:r>
            <w:r w:rsidRPr="005616AE">
              <w:rPr>
                <w:webHidden/>
              </w:rPr>
              <w:tab/>
            </w:r>
            <w:r w:rsidRPr="005616AE">
              <w:rPr>
                <w:webHidden/>
              </w:rPr>
              <w:fldChar w:fldCharType="begin"/>
            </w:r>
            <w:r w:rsidRPr="005616AE">
              <w:rPr>
                <w:webHidden/>
              </w:rPr>
              <w:instrText xml:space="preserve"> PAGEREF _Toc183211093 \h </w:instrText>
            </w:r>
            <w:r w:rsidRPr="005616AE">
              <w:rPr>
                <w:webHidden/>
              </w:rPr>
            </w:r>
            <w:r w:rsidRPr="005616AE">
              <w:rPr>
                <w:webHidden/>
              </w:rPr>
              <w:fldChar w:fldCharType="separate"/>
            </w:r>
            <w:r w:rsidRPr="005616AE">
              <w:rPr>
                <w:webHidden/>
              </w:rPr>
              <w:t>69</w:t>
            </w:r>
            <w:r w:rsidRPr="005616AE">
              <w:rPr>
                <w:webHidden/>
              </w:rPr>
              <w:fldChar w:fldCharType="end"/>
            </w:r>
          </w:hyperlink>
        </w:p>
        <w:p w14:paraId="495F01C1" w14:textId="223C2044" w:rsidR="0058659C" w:rsidRPr="005616AE" w:rsidRDefault="0058659C">
          <w:pPr>
            <w:pStyle w:val="TOC1"/>
            <w:tabs>
              <w:tab w:val="right" w:leader="dot" w:pos="9350"/>
            </w:tabs>
            <w:rPr>
              <w:rFonts w:asciiTheme="minorHAnsi" w:eastAsiaTheme="minorEastAsia" w:hAnsiTheme="minorHAnsi"/>
              <w:sz w:val="24"/>
              <w:szCs w:val="24"/>
              <w:lang w:eastAsia="en-CA"/>
            </w:rPr>
          </w:pPr>
          <w:hyperlink w:anchor="_Toc183211094" w:history="1">
            <w:r w:rsidRPr="005616AE">
              <w:rPr>
                <w:rStyle w:val="Hyperlink"/>
                <w:rFonts w:cs="Calibri"/>
              </w:rPr>
              <w:t>References</w:t>
            </w:r>
            <w:r w:rsidRPr="005616AE">
              <w:rPr>
                <w:webHidden/>
              </w:rPr>
              <w:tab/>
            </w:r>
            <w:r w:rsidRPr="005616AE">
              <w:rPr>
                <w:webHidden/>
              </w:rPr>
              <w:fldChar w:fldCharType="begin"/>
            </w:r>
            <w:r w:rsidRPr="005616AE">
              <w:rPr>
                <w:webHidden/>
              </w:rPr>
              <w:instrText xml:space="preserve"> PAGEREF _Toc183211094 \h </w:instrText>
            </w:r>
            <w:r w:rsidRPr="005616AE">
              <w:rPr>
                <w:webHidden/>
              </w:rPr>
            </w:r>
            <w:r w:rsidRPr="005616AE">
              <w:rPr>
                <w:webHidden/>
              </w:rPr>
              <w:fldChar w:fldCharType="separate"/>
            </w:r>
            <w:r w:rsidRPr="005616AE">
              <w:rPr>
                <w:webHidden/>
              </w:rPr>
              <w:t>71</w:t>
            </w:r>
            <w:r w:rsidRPr="005616AE">
              <w:rPr>
                <w:webHidden/>
              </w:rPr>
              <w:fldChar w:fldCharType="end"/>
            </w:r>
          </w:hyperlink>
        </w:p>
        <w:p w14:paraId="308C162B" w14:textId="5CD32041" w:rsidR="00BE1377" w:rsidRPr="005616AE" w:rsidRDefault="00BE1377">
          <w:pPr>
            <w:rPr>
              <w:rFonts w:cs="Calibri"/>
            </w:rPr>
          </w:pPr>
          <w:r w:rsidRPr="005616AE">
            <w:rPr>
              <w:rFonts w:cs="Calibri"/>
              <w:b/>
              <w:bCs/>
            </w:rPr>
            <w:fldChar w:fldCharType="end"/>
          </w:r>
        </w:p>
      </w:sdtContent>
    </w:sdt>
    <w:p w14:paraId="6C685B67" w14:textId="2AEA1DE3" w:rsidR="00BE1377" w:rsidRPr="005616AE" w:rsidRDefault="00BE1377" w:rsidP="00B52941">
      <w:pPr>
        <w:pStyle w:val="Heading1"/>
        <w:tabs>
          <w:tab w:val="left" w:pos="8339"/>
        </w:tabs>
        <w:rPr>
          <w:rFonts w:ascii="Calibri" w:hAnsi="Calibri" w:cs="Calibri"/>
        </w:rPr>
      </w:pPr>
      <w:bookmarkStart w:id="2" w:name="_Toc183211031"/>
      <w:r w:rsidRPr="005616AE">
        <w:rPr>
          <w:rFonts w:ascii="Calibri" w:hAnsi="Calibri" w:cs="Calibri"/>
        </w:rPr>
        <w:lastRenderedPageBreak/>
        <w:t>Introduction</w:t>
      </w:r>
      <w:bookmarkEnd w:id="2"/>
      <w:r w:rsidR="00B52941" w:rsidRPr="005616AE">
        <w:rPr>
          <w:rFonts w:ascii="Calibri" w:hAnsi="Calibri" w:cs="Calibri"/>
        </w:rPr>
        <w:tab/>
      </w:r>
    </w:p>
    <w:p w14:paraId="6E64031D" w14:textId="7EFA60B1" w:rsidR="006D77B2" w:rsidRPr="005616AE" w:rsidRDefault="006D77B2" w:rsidP="006D77B2">
      <w:pPr>
        <w:spacing w:after="0"/>
        <w:rPr>
          <w:rFonts w:cs="Calibri"/>
        </w:rPr>
      </w:pPr>
      <w:r w:rsidRPr="005616AE">
        <w:rPr>
          <w:rFonts w:cs="Calibri"/>
        </w:rPr>
        <w:t xml:space="preserve">In the fast-evolving financial landscape, Toronto Dominion Bank (TD Bank) must adopt innovative strategies to maintain its competitive edge </w:t>
      </w:r>
      <w:r w:rsidR="00912E89" w:rsidRPr="005616AE">
        <w:rPr>
          <w:rFonts w:cs="Calibri"/>
        </w:rPr>
        <w:t>to</w:t>
      </w:r>
      <w:r w:rsidRPr="005616AE">
        <w:rPr>
          <w:rFonts w:cs="Calibri"/>
        </w:rPr>
        <w:t xml:space="preserve"> align with environmental, social and governance (ESG) commitments. This report explores opportunities that blend sustainability and technological advancements to enhance TD Bank’s position as a leader in the industry. The integration of WiTricity’s wireless EV charging technology presents a significant opportunity to revolutioni</w:t>
      </w:r>
      <w:r w:rsidR="00B37AFD" w:rsidRPr="005616AE">
        <w:rPr>
          <w:rFonts w:cs="Calibri"/>
        </w:rPr>
        <w:t>s</w:t>
      </w:r>
      <w:r w:rsidRPr="005616AE">
        <w:rPr>
          <w:rFonts w:cs="Calibri"/>
        </w:rPr>
        <w:t>e TD Bank’s offerings and support its dedication to green initiatives.</w:t>
      </w:r>
    </w:p>
    <w:p w14:paraId="0DD86028" w14:textId="77777777" w:rsidR="006D77B2" w:rsidRPr="005616AE" w:rsidRDefault="006D77B2" w:rsidP="006D77B2">
      <w:pPr>
        <w:spacing w:after="0"/>
        <w:rPr>
          <w:rFonts w:cs="Calibri"/>
        </w:rPr>
      </w:pPr>
    </w:p>
    <w:p w14:paraId="40ED924F" w14:textId="2ACA7B92" w:rsidR="006D77B2" w:rsidRPr="005616AE" w:rsidRDefault="006D77B2" w:rsidP="006D77B2">
      <w:pPr>
        <w:spacing w:after="0"/>
        <w:rPr>
          <w:rFonts w:cs="Calibri"/>
        </w:rPr>
      </w:pPr>
      <w:r w:rsidRPr="005616AE">
        <w:rPr>
          <w:rFonts w:cs="Calibri"/>
        </w:rPr>
        <w:t>Wireless EV charging can elevate TD Bank’s customer experience by introducing seamless and innovative services. This initiative supports TD’s goal of aligning with global decarboni</w:t>
      </w:r>
      <w:r w:rsidR="00B37AFD" w:rsidRPr="005616AE">
        <w:rPr>
          <w:rFonts w:cs="Calibri"/>
        </w:rPr>
        <w:t>s</w:t>
      </w:r>
      <w:r w:rsidRPr="005616AE">
        <w:rPr>
          <w:rFonts w:cs="Calibri"/>
        </w:rPr>
        <w:t>ation efforts and enhances its brand reputation as an environmentally conscious organi</w:t>
      </w:r>
      <w:r w:rsidR="00B37AFD" w:rsidRPr="005616AE">
        <w:rPr>
          <w:rFonts w:cs="Calibri"/>
        </w:rPr>
        <w:t>s</w:t>
      </w:r>
      <w:r w:rsidRPr="005616AE">
        <w:rPr>
          <w:rFonts w:cs="Calibri"/>
        </w:rPr>
        <w:t xml:space="preserve">ation. The document also examines the potential of space economy financing and </w:t>
      </w:r>
      <w:proofErr w:type="spellStart"/>
      <w:r w:rsidRPr="005616AE">
        <w:rPr>
          <w:rFonts w:cs="Calibri"/>
        </w:rPr>
        <w:t>TForce</w:t>
      </w:r>
      <w:proofErr w:type="spellEnd"/>
      <w:r w:rsidRPr="005616AE">
        <w:rPr>
          <w:rFonts w:cs="Calibri"/>
        </w:rPr>
        <w:t xml:space="preserve"> Logistics acquisition which provide pathways to diversify revenue streams a</w:t>
      </w:r>
      <w:r w:rsidR="001E7AF6" w:rsidRPr="005616AE">
        <w:rPr>
          <w:rFonts w:cs="Calibri"/>
        </w:rPr>
        <w:t>long with</w:t>
      </w:r>
      <w:r w:rsidRPr="005616AE">
        <w:rPr>
          <w:rFonts w:cs="Calibri"/>
        </w:rPr>
        <w:t xml:space="preserve"> strengthen TD’s market influence. Space economy financing opens doors to high-growth partnerships with the Canadian Space Agency, while the </w:t>
      </w:r>
      <w:proofErr w:type="spellStart"/>
      <w:r w:rsidRPr="005616AE">
        <w:rPr>
          <w:rFonts w:cs="Calibri"/>
        </w:rPr>
        <w:t>TForce</w:t>
      </w:r>
      <w:proofErr w:type="spellEnd"/>
      <w:r w:rsidRPr="005616AE">
        <w:rPr>
          <w:rFonts w:cs="Calibri"/>
        </w:rPr>
        <w:t xml:space="preserve"> Logistics acquisition integrates operational efficiency with financial services in the expanding e-commerce market.</w:t>
      </w:r>
    </w:p>
    <w:p w14:paraId="7512A7E1" w14:textId="77777777" w:rsidR="006D77B2" w:rsidRPr="005616AE" w:rsidRDefault="006D77B2" w:rsidP="006D77B2">
      <w:pPr>
        <w:spacing w:after="0"/>
        <w:rPr>
          <w:rFonts w:cs="Calibri"/>
        </w:rPr>
      </w:pPr>
    </w:p>
    <w:p w14:paraId="20EBE887" w14:textId="10233037" w:rsidR="00C74133" w:rsidRPr="005616AE" w:rsidRDefault="006D77B2" w:rsidP="006D77B2">
      <w:pPr>
        <w:spacing w:after="0"/>
        <w:rPr>
          <w:rFonts w:cs="Calibri"/>
        </w:rPr>
      </w:pPr>
      <w:r w:rsidRPr="005616AE">
        <w:rPr>
          <w:rFonts w:cs="Calibri"/>
        </w:rPr>
        <w:t xml:space="preserve">Each proposed solution has </w:t>
      </w:r>
      <w:proofErr w:type="gramStart"/>
      <w:r w:rsidRPr="005616AE">
        <w:rPr>
          <w:rFonts w:cs="Calibri"/>
        </w:rPr>
        <w:t>been carefully analy</w:t>
      </w:r>
      <w:r w:rsidR="00B37AFD" w:rsidRPr="005616AE">
        <w:rPr>
          <w:rFonts w:cs="Calibri"/>
        </w:rPr>
        <w:t>s</w:t>
      </w:r>
      <w:r w:rsidRPr="005616AE">
        <w:rPr>
          <w:rFonts w:cs="Calibri"/>
        </w:rPr>
        <w:t>ed</w:t>
      </w:r>
      <w:proofErr w:type="gramEnd"/>
      <w:r w:rsidRPr="005616AE">
        <w:rPr>
          <w:rFonts w:cs="Calibri"/>
        </w:rPr>
        <w:t xml:space="preserve"> to address potential risks such as regulatory hurdles, market volatility and technological complexities. The recommendations aim to provide TD Bank with a roadmap for sustainable innovation while balancing profitability and strategic growth. With the insights of </w:t>
      </w:r>
      <w:proofErr w:type="spellStart"/>
      <w:r w:rsidRPr="005616AE">
        <w:rPr>
          <w:rFonts w:cs="Calibri"/>
        </w:rPr>
        <w:t>ProcessPro</w:t>
      </w:r>
      <w:proofErr w:type="spellEnd"/>
      <w:r w:rsidRPr="005616AE">
        <w:rPr>
          <w:rFonts w:cs="Calibri"/>
        </w:rPr>
        <w:t xml:space="preserve"> Partners</w:t>
      </w:r>
      <w:r w:rsidR="0020330E" w:rsidRPr="005616AE">
        <w:rPr>
          <w:rFonts w:cs="Calibri"/>
        </w:rPr>
        <w:t>.</w:t>
      </w:r>
      <w:r w:rsidRPr="005616AE">
        <w:rPr>
          <w:rFonts w:cs="Calibri"/>
        </w:rPr>
        <w:t xml:space="preserve"> TD Bank can </w:t>
      </w:r>
      <w:r w:rsidR="00B37AFD" w:rsidRPr="005616AE">
        <w:rPr>
          <w:rFonts w:cs="Calibri"/>
        </w:rPr>
        <w:t>seize</w:t>
      </w:r>
      <w:r w:rsidRPr="005616AE">
        <w:rPr>
          <w:rFonts w:cs="Calibri"/>
        </w:rPr>
        <w:t xml:space="preserve"> emerging opportunities and establish itself as a trailblazer in environmentally friendly financial practices.</w:t>
      </w:r>
    </w:p>
    <w:p w14:paraId="74C13FED" w14:textId="77777777" w:rsidR="00C74133" w:rsidRPr="005616AE" w:rsidRDefault="00C74133" w:rsidP="006507C7">
      <w:pPr>
        <w:spacing w:after="0"/>
        <w:rPr>
          <w:rFonts w:cs="Calibri"/>
        </w:rPr>
      </w:pPr>
    </w:p>
    <w:p w14:paraId="0540814F" w14:textId="77777777" w:rsidR="00C74133" w:rsidRPr="005616AE" w:rsidRDefault="00C74133" w:rsidP="006507C7">
      <w:pPr>
        <w:spacing w:after="0"/>
        <w:rPr>
          <w:rFonts w:cs="Calibri"/>
        </w:rPr>
      </w:pPr>
    </w:p>
    <w:p w14:paraId="17810252" w14:textId="77777777" w:rsidR="00C74133" w:rsidRPr="005616AE" w:rsidRDefault="00C74133" w:rsidP="006507C7">
      <w:pPr>
        <w:spacing w:after="0"/>
        <w:rPr>
          <w:rFonts w:cs="Calibri"/>
        </w:rPr>
      </w:pPr>
    </w:p>
    <w:p w14:paraId="5C323E35" w14:textId="77777777" w:rsidR="00C74133" w:rsidRPr="005616AE" w:rsidRDefault="00C74133" w:rsidP="006507C7">
      <w:pPr>
        <w:spacing w:after="0"/>
        <w:rPr>
          <w:rFonts w:cs="Calibri"/>
        </w:rPr>
      </w:pPr>
    </w:p>
    <w:p w14:paraId="458B70CC" w14:textId="77777777" w:rsidR="00C74133" w:rsidRPr="005616AE" w:rsidRDefault="00C74133" w:rsidP="006507C7">
      <w:pPr>
        <w:spacing w:after="0"/>
        <w:rPr>
          <w:rFonts w:cs="Calibri"/>
        </w:rPr>
      </w:pPr>
    </w:p>
    <w:p w14:paraId="05328B6A" w14:textId="77777777" w:rsidR="00C74133" w:rsidRPr="005616AE" w:rsidRDefault="00C74133" w:rsidP="006507C7">
      <w:pPr>
        <w:spacing w:after="0"/>
        <w:rPr>
          <w:rFonts w:cs="Calibri"/>
        </w:rPr>
      </w:pPr>
    </w:p>
    <w:p w14:paraId="4CB8FC74" w14:textId="77777777" w:rsidR="00C74133" w:rsidRPr="005616AE" w:rsidRDefault="00C74133" w:rsidP="006507C7">
      <w:pPr>
        <w:spacing w:after="0"/>
        <w:rPr>
          <w:rFonts w:cs="Calibri"/>
        </w:rPr>
      </w:pPr>
    </w:p>
    <w:p w14:paraId="435C8F53" w14:textId="77777777" w:rsidR="00C74133" w:rsidRPr="005616AE" w:rsidRDefault="00C74133" w:rsidP="006507C7">
      <w:pPr>
        <w:spacing w:after="0"/>
        <w:rPr>
          <w:rFonts w:cs="Calibri"/>
        </w:rPr>
      </w:pPr>
    </w:p>
    <w:p w14:paraId="1D6F39D8" w14:textId="77777777" w:rsidR="00C74133" w:rsidRPr="005616AE" w:rsidRDefault="00C74133" w:rsidP="006507C7">
      <w:pPr>
        <w:spacing w:after="0"/>
        <w:rPr>
          <w:rFonts w:cs="Calibri"/>
        </w:rPr>
      </w:pPr>
    </w:p>
    <w:p w14:paraId="708109E7" w14:textId="77777777" w:rsidR="00C74133" w:rsidRPr="005616AE" w:rsidRDefault="00C74133" w:rsidP="006507C7">
      <w:pPr>
        <w:spacing w:after="0"/>
        <w:rPr>
          <w:rFonts w:cs="Calibri"/>
        </w:rPr>
      </w:pPr>
    </w:p>
    <w:p w14:paraId="5D39E8D6" w14:textId="77777777" w:rsidR="00C74133" w:rsidRPr="005616AE" w:rsidRDefault="00C74133" w:rsidP="006507C7">
      <w:pPr>
        <w:spacing w:after="0"/>
        <w:rPr>
          <w:rFonts w:cs="Calibri"/>
        </w:rPr>
      </w:pPr>
    </w:p>
    <w:p w14:paraId="2F5AD535" w14:textId="77777777" w:rsidR="00C74133" w:rsidRPr="005616AE" w:rsidRDefault="00C74133" w:rsidP="006507C7">
      <w:pPr>
        <w:spacing w:after="0"/>
        <w:rPr>
          <w:rFonts w:cs="Calibri"/>
        </w:rPr>
      </w:pPr>
    </w:p>
    <w:p w14:paraId="30274855" w14:textId="77777777" w:rsidR="00C74133" w:rsidRPr="005616AE" w:rsidRDefault="00C74133" w:rsidP="006507C7">
      <w:pPr>
        <w:spacing w:after="0"/>
        <w:rPr>
          <w:rFonts w:cs="Calibri"/>
        </w:rPr>
      </w:pPr>
    </w:p>
    <w:p w14:paraId="446A2507" w14:textId="77777777" w:rsidR="00C74133" w:rsidRPr="005616AE" w:rsidRDefault="00C74133" w:rsidP="006507C7">
      <w:pPr>
        <w:spacing w:after="0"/>
        <w:rPr>
          <w:rFonts w:cs="Calibri"/>
        </w:rPr>
      </w:pPr>
    </w:p>
    <w:p w14:paraId="2F055B80" w14:textId="77777777" w:rsidR="00C74133" w:rsidRPr="005616AE" w:rsidRDefault="00C74133" w:rsidP="006507C7">
      <w:pPr>
        <w:spacing w:after="0"/>
        <w:rPr>
          <w:rFonts w:cs="Calibri"/>
        </w:rPr>
      </w:pPr>
    </w:p>
    <w:p w14:paraId="778A61BA" w14:textId="77777777" w:rsidR="00C74133" w:rsidRPr="005616AE" w:rsidRDefault="00C74133" w:rsidP="006507C7">
      <w:pPr>
        <w:spacing w:after="0"/>
        <w:rPr>
          <w:rFonts w:cs="Calibri"/>
        </w:rPr>
      </w:pPr>
    </w:p>
    <w:p w14:paraId="2D79E9FB" w14:textId="77777777" w:rsidR="00400DA8" w:rsidRPr="005616AE" w:rsidRDefault="00400DA8" w:rsidP="00400DA8">
      <w:pPr>
        <w:pStyle w:val="Heading1"/>
        <w:rPr>
          <w:rFonts w:ascii="Calibri" w:hAnsi="Calibri" w:cs="Calibri"/>
        </w:rPr>
      </w:pPr>
      <w:bookmarkStart w:id="3" w:name="_Toc182000873"/>
      <w:bookmarkStart w:id="4" w:name="_Toc183211032"/>
      <w:r w:rsidRPr="005616AE">
        <w:rPr>
          <w:rFonts w:ascii="Calibri" w:hAnsi="Calibri" w:cs="Calibri"/>
        </w:rPr>
        <w:lastRenderedPageBreak/>
        <w:t>Solution 1: Product Implementation of WiTricity’s Wireless Charging Technology</w:t>
      </w:r>
      <w:bookmarkEnd w:id="3"/>
      <w:bookmarkEnd w:id="4"/>
    </w:p>
    <w:p w14:paraId="39121953" w14:textId="77777777" w:rsidR="00400DA8" w:rsidRPr="005616AE" w:rsidRDefault="00400DA8" w:rsidP="00400DA8">
      <w:pPr>
        <w:pStyle w:val="Heading2"/>
        <w:rPr>
          <w:rStyle w:val="Emphasis"/>
          <w:rFonts w:ascii="Calibri" w:hAnsi="Calibri" w:cs="Calibri"/>
          <w:i w:val="0"/>
          <w:iCs w:val="0"/>
        </w:rPr>
      </w:pPr>
      <w:bookmarkStart w:id="5" w:name="_Toc182000874"/>
      <w:bookmarkStart w:id="6" w:name="_Toc183211033"/>
      <w:r w:rsidRPr="005616AE">
        <w:rPr>
          <w:rStyle w:val="Emphasis"/>
          <w:rFonts w:ascii="Calibri" w:hAnsi="Calibri" w:cs="Calibri"/>
          <w:i w:val="0"/>
          <w:iCs w:val="0"/>
        </w:rPr>
        <w:t>High-Level Design</w:t>
      </w:r>
      <w:bookmarkEnd w:id="5"/>
      <w:bookmarkEnd w:id="6"/>
      <w:r w:rsidRPr="005616AE">
        <w:rPr>
          <w:rStyle w:val="Emphasis"/>
          <w:rFonts w:ascii="Calibri" w:hAnsi="Calibri" w:cs="Calibri"/>
          <w:i w:val="0"/>
          <w:iCs w:val="0"/>
        </w:rPr>
        <w:t xml:space="preserve"> </w:t>
      </w:r>
    </w:p>
    <w:p w14:paraId="06626883" w14:textId="4D5522D9" w:rsidR="00400DA8" w:rsidRPr="005616AE" w:rsidRDefault="00400DA8" w:rsidP="000E7DD8">
      <w:pPr>
        <w:spacing w:after="0"/>
        <w:rPr>
          <w:rFonts w:cs="Calibri"/>
        </w:rPr>
      </w:pPr>
      <w:r w:rsidRPr="005616AE">
        <w:rPr>
          <w:rFonts w:cs="Calibri"/>
        </w:rPr>
        <w:t xml:space="preserve">WiTricity's wireless electric vehicle (EV) charging technology will </w:t>
      </w:r>
      <w:proofErr w:type="gramStart"/>
      <w:r w:rsidRPr="005616AE">
        <w:rPr>
          <w:rFonts w:cs="Calibri"/>
        </w:rPr>
        <w:t>be integrated</w:t>
      </w:r>
      <w:proofErr w:type="gramEnd"/>
      <w:r w:rsidRPr="005616AE">
        <w:rPr>
          <w:rFonts w:cs="Calibri"/>
        </w:rPr>
        <w:t xml:space="preserve"> in a few TD Bank branches and busy partner locations as part of this solution. The strategy is to position TD Bank as a leader in the financial industry by providing a sustainable and client-focused EV charging solution. This is strengthening TD's adherence to ESG values and fostering brand loyalty which results in customer engagement.</w:t>
      </w:r>
    </w:p>
    <w:p w14:paraId="08501786" w14:textId="77777777" w:rsidR="00400DA8" w:rsidRPr="005616AE" w:rsidRDefault="00400DA8" w:rsidP="000E7DD8">
      <w:pPr>
        <w:spacing w:after="0"/>
        <w:rPr>
          <w:rFonts w:cs="Calibri"/>
        </w:rPr>
      </w:pPr>
      <w:r w:rsidRPr="005616AE">
        <w:rPr>
          <w:rFonts w:cs="Calibri"/>
          <w:b/>
          <w:bCs/>
        </w:rPr>
        <w:t>Objective:</w:t>
      </w:r>
      <w:r w:rsidRPr="005616AE">
        <w:rPr>
          <w:rFonts w:cs="Calibri"/>
        </w:rPr>
        <w:t xml:space="preserve"> TD hopes to establish itself as a pioneer in sustainable banking, improving customer convenience and bolstering its dedication to ESG objectives by providing an innovative EV charging service.</w:t>
      </w:r>
    </w:p>
    <w:p w14:paraId="03A3306C" w14:textId="3C833038" w:rsidR="00400DA8" w:rsidRPr="005616AE" w:rsidRDefault="00400DA8" w:rsidP="000E7DD8">
      <w:pPr>
        <w:spacing w:after="0"/>
        <w:rPr>
          <w:rFonts w:cs="Calibri"/>
        </w:rPr>
      </w:pPr>
      <w:r w:rsidRPr="005616AE">
        <w:rPr>
          <w:rFonts w:cs="Calibri"/>
        </w:rPr>
        <w:t>Components</w:t>
      </w:r>
    </w:p>
    <w:p w14:paraId="26855050" w14:textId="77777777" w:rsidR="00400DA8" w:rsidRPr="005616AE" w:rsidRDefault="00400DA8" w:rsidP="00052D97">
      <w:pPr>
        <w:numPr>
          <w:ilvl w:val="0"/>
          <w:numId w:val="1"/>
        </w:numPr>
        <w:spacing w:after="0"/>
        <w:rPr>
          <w:rFonts w:cs="Calibri"/>
        </w:rPr>
      </w:pPr>
      <w:r w:rsidRPr="005616AE">
        <w:rPr>
          <w:rFonts w:cs="Calibri"/>
          <w:b/>
          <w:bCs/>
        </w:rPr>
        <w:t>Hardware:</w:t>
      </w:r>
      <w:r w:rsidRPr="005616AE">
        <w:rPr>
          <w:rFonts w:cs="Calibri"/>
        </w:rPr>
        <w:t xml:space="preserve"> Piloting the installation of WiTricity's innovative wireless charging pads in TD Bank branches with </w:t>
      </w:r>
      <w:proofErr w:type="gramStart"/>
      <w:r w:rsidRPr="005616AE">
        <w:rPr>
          <w:rFonts w:cs="Calibri"/>
        </w:rPr>
        <w:t>plenty of</w:t>
      </w:r>
      <w:proofErr w:type="gramEnd"/>
      <w:r w:rsidRPr="005616AE">
        <w:rPr>
          <w:rFonts w:cs="Calibri"/>
        </w:rPr>
        <w:t xml:space="preserve"> foot activity as well as parking spaces. These pads support TD's customer-focused approach by providing users with a smooth and contactless charging experience.</w:t>
      </w:r>
    </w:p>
    <w:p w14:paraId="6366E5ED" w14:textId="77777777" w:rsidR="00400DA8" w:rsidRPr="005616AE" w:rsidRDefault="00400DA8" w:rsidP="00052D97">
      <w:pPr>
        <w:numPr>
          <w:ilvl w:val="0"/>
          <w:numId w:val="1"/>
        </w:numPr>
        <w:spacing w:after="0"/>
        <w:rPr>
          <w:rFonts w:cs="Calibri"/>
        </w:rPr>
      </w:pPr>
      <w:r w:rsidRPr="005616AE">
        <w:rPr>
          <w:rFonts w:cs="Calibri"/>
          <w:b/>
          <w:bCs/>
        </w:rPr>
        <w:t>Software:</w:t>
      </w:r>
      <w:r w:rsidRPr="005616AE">
        <w:rPr>
          <w:rFonts w:cs="Calibri"/>
        </w:rPr>
        <w:t xml:space="preserve"> Adding a new function to the TD mobile app that helps user to locate charging stations. It will also help user to start wireless charging sessions and keep a track of charging. It will also allow user to make payments using credit cards or TD accounts that </w:t>
      </w:r>
      <w:proofErr w:type="gramStart"/>
      <w:r w:rsidRPr="005616AE">
        <w:rPr>
          <w:rFonts w:cs="Calibri"/>
        </w:rPr>
        <w:t>are linked</w:t>
      </w:r>
      <w:proofErr w:type="gramEnd"/>
      <w:r w:rsidRPr="005616AE">
        <w:rPr>
          <w:rFonts w:cs="Calibri"/>
        </w:rPr>
        <w:t>. This improves user experience by establishing a single platform for banking and EV-related services.</w:t>
      </w:r>
    </w:p>
    <w:p w14:paraId="7D8F9F45" w14:textId="77777777" w:rsidR="00400DA8" w:rsidRPr="005616AE" w:rsidRDefault="00400DA8" w:rsidP="00052D97">
      <w:pPr>
        <w:numPr>
          <w:ilvl w:val="0"/>
          <w:numId w:val="1"/>
        </w:numPr>
        <w:spacing w:after="0"/>
        <w:rPr>
          <w:rFonts w:cs="Calibri"/>
        </w:rPr>
      </w:pPr>
      <w:r w:rsidRPr="005616AE">
        <w:rPr>
          <w:rFonts w:cs="Calibri"/>
          <w:b/>
          <w:bCs/>
        </w:rPr>
        <w:t>Infrastructure:</w:t>
      </w:r>
      <w:r w:rsidRPr="005616AE">
        <w:rPr>
          <w:rFonts w:cs="Calibri"/>
        </w:rPr>
        <w:t xml:space="preserve"> Setting up the required equipment at each charging station which includes improved power supplies and internet access for data transfer. It also includes real-time monitoring systems. WiTricity's technical staff would work with TD's IT and facilities departments to ensure compatibility as well as its functionality.</w:t>
      </w:r>
    </w:p>
    <w:p w14:paraId="09DE02AC" w14:textId="77777777" w:rsidR="00400DA8" w:rsidRPr="005616AE" w:rsidRDefault="00400DA8" w:rsidP="00052D97">
      <w:pPr>
        <w:numPr>
          <w:ilvl w:val="0"/>
          <w:numId w:val="1"/>
        </w:numPr>
        <w:spacing w:after="0"/>
        <w:rPr>
          <w:rFonts w:cs="Calibri"/>
        </w:rPr>
      </w:pPr>
      <w:r w:rsidRPr="005616AE">
        <w:rPr>
          <w:rFonts w:cs="Calibri"/>
          <w:b/>
          <w:bCs/>
        </w:rPr>
        <w:t>Customer Engagement:</w:t>
      </w:r>
      <w:r w:rsidRPr="005616AE">
        <w:rPr>
          <w:rFonts w:cs="Calibri"/>
        </w:rPr>
        <w:t xml:space="preserve"> Include the EV charging service in TD's current rewards program so that users can accrue points or receive savings for </w:t>
      </w:r>
      <w:proofErr w:type="gramStart"/>
      <w:r w:rsidRPr="005616AE">
        <w:rPr>
          <w:rFonts w:cs="Calibri"/>
        </w:rPr>
        <w:t>utilising</w:t>
      </w:r>
      <w:proofErr w:type="gramEnd"/>
      <w:r w:rsidRPr="005616AE">
        <w:rPr>
          <w:rFonts w:cs="Calibri"/>
        </w:rPr>
        <w:t xml:space="preserve"> the wireless charging stations. Targeted advertising efforts would also </w:t>
      </w:r>
      <w:proofErr w:type="gramStart"/>
      <w:r w:rsidRPr="005616AE">
        <w:rPr>
          <w:rFonts w:cs="Calibri"/>
        </w:rPr>
        <w:t>be implemented</w:t>
      </w:r>
      <w:proofErr w:type="gramEnd"/>
      <w:r w:rsidRPr="005616AE">
        <w:rPr>
          <w:rFonts w:cs="Calibri"/>
        </w:rPr>
        <w:t xml:space="preserve"> on TD's digital platforms to raise awareness and encourage users. </w:t>
      </w:r>
    </w:p>
    <w:p w14:paraId="2519237A" w14:textId="77777777" w:rsidR="00400DA8" w:rsidRPr="005616AE" w:rsidRDefault="00400DA8" w:rsidP="00400DA8">
      <w:pPr>
        <w:pStyle w:val="Heading2"/>
        <w:rPr>
          <w:rFonts w:ascii="Calibri" w:hAnsi="Calibri" w:cs="Calibri"/>
        </w:rPr>
      </w:pPr>
      <w:bookmarkStart w:id="7" w:name="_Toc182000875"/>
      <w:bookmarkStart w:id="8" w:name="_Toc183211034"/>
      <w:r w:rsidRPr="005616AE">
        <w:rPr>
          <w:rFonts w:ascii="Calibri" w:hAnsi="Calibri" w:cs="Calibri"/>
        </w:rPr>
        <w:t>Low-Level Design</w:t>
      </w:r>
      <w:bookmarkEnd w:id="7"/>
      <w:bookmarkEnd w:id="8"/>
    </w:p>
    <w:p w14:paraId="5072D27D" w14:textId="77777777" w:rsidR="00400DA8" w:rsidRPr="005616AE" w:rsidRDefault="00400DA8" w:rsidP="00C56678">
      <w:pPr>
        <w:spacing w:after="0"/>
        <w:rPr>
          <w:rFonts w:cs="Calibri"/>
        </w:rPr>
      </w:pPr>
      <w:r w:rsidRPr="005616AE">
        <w:rPr>
          <w:rFonts w:cs="Calibri"/>
        </w:rPr>
        <w:t>This section describes the operational and technical procedures for putting the wireless charging service into place. It includes data administration, mobile app integration and hardware setup.</w:t>
      </w:r>
    </w:p>
    <w:p w14:paraId="6001F713" w14:textId="54708E5A" w:rsidR="00400DA8" w:rsidRPr="005616AE" w:rsidRDefault="00400DA8" w:rsidP="00C56678">
      <w:pPr>
        <w:spacing w:after="0"/>
        <w:rPr>
          <w:rFonts w:cs="Calibri"/>
          <w:b/>
          <w:bCs/>
        </w:rPr>
      </w:pPr>
      <w:r w:rsidRPr="005616AE">
        <w:rPr>
          <w:rFonts w:cs="Calibri"/>
          <w:b/>
          <w:bCs/>
        </w:rPr>
        <w:t>Hardware Installation</w:t>
      </w:r>
    </w:p>
    <w:p w14:paraId="467082CC" w14:textId="77777777" w:rsidR="00400DA8" w:rsidRPr="005616AE" w:rsidRDefault="00400DA8" w:rsidP="00052D97">
      <w:pPr>
        <w:numPr>
          <w:ilvl w:val="0"/>
          <w:numId w:val="2"/>
        </w:numPr>
        <w:spacing w:after="0"/>
        <w:rPr>
          <w:rFonts w:cs="Calibri"/>
        </w:rPr>
      </w:pPr>
      <w:r w:rsidRPr="005616AE">
        <w:rPr>
          <w:rFonts w:cs="Calibri"/>
          <w:b/>
          <w:bCs/>
        </w:rPr>
        <w:t>Deployment of charging pads:</w:t>
      </w:r>
      <w:r w:rsidRPr="005616AE">
        <w:rPr>
          <w:rFonts w:cs="Calibri"/>
        </w:rPr>
        <w:t xml:space="preserve"> Set up WiTricity's wireless charging pads in specific parking spaces within TD Bank branches. Major EV models will be compatible with these pads that ensures widespread accessibility.</w:t>
      </w:r>
    </w:p>
    <w:p w14:paraId="65569F5A" w14:textId="77777777" w:rsidR="00400DA8" w:rsidRPr="005616AE" w:rsidRDefault="00400DA8" w:rsidP="00052D97">
      <w:pPr>
        <w:numPr>
          <w:ilvl w:val="0"/>
          <w:numId w:val="2"/>
        </w:numPr>
        <w:spacing w:after="0"/>
        <w:rPr>
          <w:rFonts w:cs="Calibri"/>
        </w:rPr>
      </w:pPr>
      <w:r w:rsidRPr="005616AE">
        <w:rPr>
          <w:rFonts w:cs="Calibri"/>
          <w:b/>
          <w:bCs/>
        </w:rPr>
        <w:t>Power Supply and Connectivity:</w:t>
      </w:r>
      <w:r w:rsidRPr="005616AE">
        <w:rPr>
          <w:rFonts w:cs="Calibri"/>
        </w:rPr>
        <w:t xml:space="preserve"> The electrical grid needs to </w:t>
      </w:r>
      <w:proofErr w:type="gramStart"/>
      <w:r w:rsidRPr="005616AE">
        <w:rPr>
          <w:rFonts w:cs="Calibri"/>
        </w:rPr>
        <w:t>be upgraded</w:t>
      </w:r>
      <w:proofErr w:type="gramEnd"/>
      <w:r w:rsidRPr="005616AE">
        <w:rPr>
          <w:rFonts w:cs="Calibri"/>
        </w:rPr>
        <w:t xml:space="preserve"> at each location to provide sufficient power flow for charging without interfering with branch operations. Real-time data transfer made possible by internet connectivity will let TD track usage trends as well as remotely troubleshoot problems and collecting analytics.</w:t>
      </w:r>
    </w:p>
    <w:p w14:paraId="472C3854" w14:textId="77777777" w:rsidR="00400DA8" w:rsidRPr="005616AE" w:rsidRDefault="00400DA8" w:rsidP="00052D97">
      <w:pPr>
        <w:numPr>
          <w:ilvl w:val="0"/>
          <w:numId w:val="2"/>
        </w:numPr>
        <w:spacing w:after="0"/>
        <w:rPr>
          <w:rFonts w:cs="Calibri"/>
        </w:rPr>
      </w:pPr>
      <w:r w:rsidRPr="005616AE">
        <w:rPr>
          <w:rFonts w:cs="Calibri"/>
          <w:b/>
          <w:bCs/>
        </w:rPr>
        <w:t>Instructions and signage:</w:t>
      </w:r>
      <w:r w:rsidRPr="005616AE">
        <w:rPr>
          <w:rFonts w:cs="Calibri"/>
        </w:rPr>
        <w:t xml:space="preserve"> Install prominent signage and charging instructions at each place. It should include explanation of the usage procedure as well as costs. There should be proper instructions to make sure that customers get required support.</w:t>
      </w:r>
    </w:p>
    <w:p w14:paraId="0679D94B" w14:textId="7C0B3155" w:rsidR="00400DA8" w:rsidRPr="005616AE" w:rsidRDefault="00400DA8" w:rsidP="00C56678">
      <w:pPr>
        <w:spacing w:after="0"/>
        <w:rPr>
          <w:rFonts w:cs="Calibri"/>
          <w:b/>
          <w:bCs/>
        </w:rPr>
      </w:pPr>
      <w:r w:rsidRPr="005616AE">
        <w:rPr>
          <w:rFonts w:cs="Calibri"/>
          <w:b/>
          <w:bCs/>
        </w:rPr>
        <w:t>Mobile Application Integration</w:t>
      </w:r>
    </w:p>
    <w:p w14:paraId="0B91BF82" w14:textId="77777777" w:rsidR="00400DA8" w:rsidRPr="005616AE" w:rsidRDefault="00400DA8" w:rsidP="00052D97">
      <w:pPr>
        <w:numPr>
          <w:ilvl w:val="0"/>
          <w:numId w:val="3"/>
        </w:numPr>
        <w:spacing w:after="0"/>
        <w:rPr>
          <w:rFonts w:cs="Calibri"/>
        </w:rPr>
      </w:pPr>
      <w:r w:rsidRPr="005616AE">
        <w:rPr>
          <w:rFonts w:cs="Calibri"/>
          <w:b/>
          <w:bCs/>
        </w:rPr>
        <w:lastRenderedPageBreak/>
        <w:t>Location and Availability:</w:t>
      </w:r>
      <w:r w:rsidRPr="005616AE">
        <w:rPr>
          <w:rFonts w:cs="Calibri"/>
        </w:rPr>
        <w:t xml:space="preserve"> Include an option in the TD mobile app that lets consumers see which local branches have wireless charging stations and receive real-time updates on each charging pad's availability.</w:t>
      </w:r>
    </w:p>
    <w:p w14:paraId="716C869C" w14:textId="77777777" w:rsidR="00400DA8" w:rsidRPr="005616AE" w:rsidRDefault="00400DA8" w:rsidP="00052D97">
      <w:pPr>
        <w:numPr>
          <w:ilvl w:val="0"/>
          <w:numId w:val="3"/>
        </w:numPr>
        <w:spacing w:after="0"/>
        <w:rPr>
          <w:rFonts w:cs="Calibri"/>
        </w:rPr>
      </w:pPr>
      <w:r w:rsidRPr="005616AE">
        <w:rPr>
          <w:rFonts w:cs="Calibri"/>
          <w:b/>
          <w:bCs/>
        </w:rPr>
        <w:t>Session Management:</w:t>
      </w:r>
      <w:r w:rsidRPr="005616AE">
        <w:rPr>
          <w:rFonts w:cs="Calibri"/>
        </w:rPr>
        <w:t xml:space="preserve"> Customers should be able to start, track and terminate charging sessions from within the app. They can also examine the estimated time to completion of the charging. They should also </w:t>
      </w:r>
      <w:proofErr w:type="gramStart"/>
      <w:r w:rsidRPr="005616AE">
        <w:rPr>
          <w:rFonts w:cs="Calibri"/>
        </w:rPr>
        <w:t>be notified</w:t>
      </w:r>
      <w:proofErr w:type="gramEnd"/>
      <w:r w:rsidRPr="005616AE">
        <w:rPr>
          <w:rFonts w:cs="Calibri"/>
        </w:rPr>
        <w:t xml:space="preserve"> when the charging process is finished.</w:t>
      </w:r>
    </w:p>
    <w:p w14:paraId="6B750B33" w14:textId="77777777" w:rsidR="00400DA8" w:rsidRPr="005616AE" w:rsidRDefault="00400DA8" w:rsidP="00052D97">
      <w:pPr>
        <w:numPr>
          <w:ilvl w:val="0"/>
          <w:numId w:val="3"/>
        </w:numPr>
        <w:spacing w:after="0"/>
        <w:rPr>
          <w:rFonts w:cs="Calibri"/>
        </w:rPr>
      </w:pPr>
      <w:r w:rsidRPr="005616AE">
        <w:rPr>
          <w:rFonts w:cs="Calibri"/>
          <w:b/>
          <w:bCs/>
        </w:rPr>
        <w:t>Payment Gateway:</w:t>
      </w:r>
      <w:r w:rsidRPr="005616AE">
        <w:rPr>
          <w:rFonts w:cs="Calibri"/>
        </w:rPr>
        <w:t xml:space="preserve"> Customers will find it simple to pay for charges straight through their TD app by using their credit or debit cards. This gives the transaction data as well as the information about charge frequency and customer preferences to the TD.</w:t>
      </w:r>
    </w:p>
    <w:p w14:paraId="043B9F8A" w14:textId="347B0C22" w:rsidR="00400DA8" w:rsidRPr="005616AE" w:rsidRDefault="00400DA8" w:rsidP="00C56678">
      <w:pPr>
        <w:spacing w:after="0"/>
        <w:rPr>
          <w:rFonts w:cs="Calibri"/>
          <w:b/>
          <w:bCs/>
        </w:rPr>
      </w:pPr>
      <w:r w:rsidRPr="005616AE">
        <w:rPr>
          <w:rFonts w:cs="Calibri"/>
          <w:b/>
          <w:bCs/>
        </w:rPr>
        <w:t>Data Collection and Analytics</w:t>
      </w:r>
    </w:p>
    <w:p w14:paraId="7E6415EB" w14:textId="77777777" w:rsidR="00400DA8" w:rsidRPr="005616AE" w:rsidRDefault="00400DA8" w:rsidP="00052D97">
      <w:pPr>
        <w:numPr>
          <w:ilvl w:val="0"/>
          <w:numId w:val="4"/>
        </w:numPr>
        <w:spacing w:after="0"/>
        <w:rPr>
          <w:rFonts w:cs="Calibri"/>
        </w:rPr>
      </w:pPr>
      <w:r w:rsidRPr="005616AE">
        <w:rPr>
          <w:rFonts w:cs="Calibri"/>
          <w:b/>
          <w:bCs/>
        </w:rPr>
        <w:t>Usage and Trend Analysis:</w:t>
      </w:r>
      <w:r w:rsidRPr="005616AE">
        <w:rPr>
          <w:rFonts w:cs="Calibri"/>
        </w:rPr>
        <w:t xml:space="preserve"> Data analytics systems of TD will receive data from the wireless charging pads that provides information on geographical trends, peak usage periods and consumer behaviour. The data team at TD can use this information to gradually enhance the charging experience and optimise placement.</w:t>
      </w:r>
    </w:p>
    <w:p w14:paraId="60A9DFB1" w14:textId="77777777" w:rsidR="00400DA8" w:rsidRPr="005616AE" w:rsidRDefault="00400DA8" w:rsidP="00052D97">
      <w:pPr>
        <w:numPr>
          <w:ilvl w:val="0"/>
          <w:numId w:val="4"/>
        </w:numPr>
        <w:spacing w:after="0"/>
        <w:rPr>
          <w:rFonts w:cs="Calibri"/>
        </w:rPr>
      </w:pPr>
      <w:r w:rsidRPr="005616AE">
        <w:rPr>
          <w:rFonts w:cs="Calibri"/>
          <w:b/>
          <w:bCs/>
        </w:rPr>
        <w:t>Feedback Mechanism:</w:t>
      </w:r>
      <w:r w:rsidRPr="005616AE">
        <w:rPr>
          <w:rFonts w:cs="Calibri"/>
        </w:rPr>
        <w:t xml:space="preserve"> Include a feedback function in the app to collect user input in real time. It will assist TD in improving its service portfolio and anticipating problems before they arise.</w:t>
      </w:r>
    </w:p>
    <w:p w14:paraId="6FF764EF" w14:textId="77777777" w:rsidR="00400DA8" w:rsidRPr="005616AE" w:rsidRDefault="00400DA8" w:rsidP="00052D97">
      <w:pPr>
        <w:numPr>
          <w:ilvl w:val="0"/>
          <w:numId w:val="4"/>
        </w:numPr>
        <w:spacing w:after="0"/>
        <w:rPr>
          <w:rFonts w:cs="Calibri"/>
        </w:rPr>
      </w:pPr>
      <w:r w:rsidRPr="005616AE">
        <w:rPr>
          <w:rFonts w:cs="Calibri"/>
          <w:b/>
          <w:bCs/>
        </w:rPr>
        <w:t>Security Protocols:</w:t>
      </w:r>
      <w:r w:rsidRPr="005616AE">
        <w:rPr>
          <w:rFonts w:cs="Calibri"/>
        </w:rPr>
        <w:t xml:space="preserve"> Verify that all information gathering complies with TD's security guidelines. It includes end-to-end encryption and multi-factor authentication for app access. It should also include adherence to data privacy laws.</w:t>
      </w:r>
    </w:p>
    <w:p w14:paraId="00E82AA6" w14:textId="77777777" w:rsidR="00400DA8" w:rsidRPr="005616AE" w:rsidRDefault="00400DA8" w:rsidP="00400DA8">
      <w:pPr>
        <w:pStyle w:val="Heading2"/>
        <w:rPr>
          <w:rFonts w:ascii="Calibri" w:hAnsi="Calibri" w:cs="Calibri"/>
        </w:rPr>
      </w:pPr>
      <w:bookmarkStart w:id="9" w:name="_Toc182000876"/>
      <w:bookmarkStart w:id="10" w:name="_Toc183211035"/>
      <w:r w:rsidRPr="005616AE">
        <w:rPr>
          <w:rFonts w:ascii="Calibri" w:hAnsi="Calibri" w:cs="Calibri"/>
        </w:rPr>
        <w:t>Impact Analysis</w:t>
      </w:r>
      <w:bookmarkEnd w:id="9"/>
      <w:bookmarkEnd w:id="10"/>
    </w:p>
    <w:p w14:paraId="65B8E5AA" w14:textId="5769317F" w:rsidR="00400DA8" w:rsidRPr="005616AE" w:rsidRDefault="00400DA8" w:rsidP="00C56678">
      <w:pPr>
        <w:spacing w:after="0"/>
        <w:rPr>
          <w:rFonts w:cs="Calibri"/>
          <w:b/>
          <w:bCs/>
        </w:rPr>
      </w:pPr>
      <w:r w:rsidRPr="005616AE">
        <w:rPr>
          <w:rFonts w:cs="Calibri"/>
          <w:b/>
          <w:bCs/>
        </w:rPr>
        <w:t xml:space="preserve">The solution is expected to deliver significant positive impact on following </w:t>
      </w:r>
      <w:proofErr w:type="gramStart"/>
      <w:r w:rsidRPr="005616AE">
        <w:rPr>
          <w:rFonts w:cs="Calibri"/>
          <w:b/>
          <w:bCs/>
        </w:rPr>
        <w:t>areas</w:t>
      </w:r>
      <w:proofErr w:type="gramEnd"/>
    </w:p>
    <w:p w14:paraId="014F8FEB" w14:textId="77777777" w:rsidR="00400DA8" w:rsidRPr="005616AE" w:rsidRDefault="00400DA8" w:rsidP="00052D97">
      <w:pPr>
        <w:numPr>
          <w:ilvl w:val="0"/>
          <w:numId w:val="5"/>
        </w:numPr>
        <w:spacing w:after="0"/>
        <w:rPr>
          <w:rFonts w:cs="Calibri"/>
        </w:rPr>
      </w:pPr>
      <w:r w:rsidRPr="005616AE">
        <w:rPr>
          <w:rFonts w:cs="Calibri"/>
          <w:b/>
          <w:bCs/>
        </w:rPr>
        <w:t>Customer Experience:</w:t>
      </w:r>
      <w:r w:rsidRPr="005616AE">
        <w:rPr>
          <w:rFonts w:cs="Calibri"/>
        </w:rPr>
        <w:t xml:space="preserve"> Providing wireless charging at TD locations improves the bank's value proposition. Customer loyalty and convenience </w:t>
      </w:r>
      <w:proofErr w:type="gramStart"/>
      <w:r w:rsidRPr="005616AE">
        <w:rPr>
          <w:rFonts w:cs="Calibri"/>
        </w:rPr>
        <w:t>is promoted</w:t>
      </w:r>
      <w:proofErr w:type="gramEnd"/>
      <w:r w:rsidRPr="005616AE">
        <w:rPr>
          <w:rFonts w:cs="Calibri"/>
        </w:rPr>
        <w:t xml:space="preserve"> by meeting the needs of EV owners and environmentally conscious consumers. The seamless integration with TD’s app makes it easier to locate and </w:t>
      </w:r>
      <w:proofErr w:type="gramStart"/>
      <w:r w:rsidRPr="005616AE">
        <w:rPr>
          <w:rFonts w:cs="Calibri"/>
        </w:rPr>
        <w:t>utilise</w:t>
      </w:r>
      <w:proofErr w:type="gramEnd"/>
      <w:r w:rsidRPr="005616AE">
        <w:rPr>
          <w:rFonts w:cs="Calibri"/>
        </w:rPr>
        <w:t xml:space="preserve"> charging stations that overall results in increase in customer satisfaction.</w:t>
      </w:r>
    </w:p>
    <w:p w14:paraId="6450CB30" w14:textId="77777777" w:rsidR="00400DA8" w:rsidRPr="005616AE" w:rsidRDefault="00400DA8" w:rsidP="00052D97">
      <w:pPr>
        <w:numPr>
          <w:ilvl w:val="0"/>
          <w:numId w:val="5"/>
        </w:numPr>
        <w:spacing w:after="0"/>
        <w:rPr>
          <w:rFonts w:cs="Calibri"/>
        </w:rPr>
      </w:pPr>
      <w:r w:rsidRPr="005616AE">
        <w:rPr>
          <w:rFonts w:cs="Calibri"/>
          <w:b/>
          <w:bCs/>
        </w:rPr>
        <w:t>Sustainability and ESG Compliance:</w:t>
      </w:r>
      <w:r w:rsidRPr="005616AE">
        <w:rPr>
          <w:rFonts w:cs="Calibri"/>
        </w:rPr>
        <w:t xml:space="preserve"> The wireless charging project is in perfect harmony with TD's ESG strategy as it demonstrates bank’s dedication to lowering carbon emissions and promoting environmental-friendly technology. TD contributes to a reduced carbon footprint and establishes the bank as a pioneer in sustainable practices by facilitating wireless EV charging which lessens dependency on fossil fuels.</w:t>
      </w:r>
    </w:p>
    <w:p w14:paraId="0A8FDFB6" w14:textId="77777777" w:rsidR="00400DA8" w:rsidRPr="005616AE" w:rsidRDefault="00400DA8" w:rsidP="00052D97">
      <w:pPr>
        <w:numPr>
          <w:ilvl w:val="0"/>
          <w:numId w:val="5"/>
        </w:numPr>
        <w:spacing w:after="0"/>
        <w:rPr>
          <w:rFonts w:cs="Calibri"/>
        </w:rPr>
      </w:pPr>
      <w:r w:rsidRPr="005616AE">
        <w:rPr>
          <w:rFonts w:cs="Calibri"/>
          <w:b/>
          <w:bCs/>
        </w:rPr>
        <w:t>Revenue Growth:</w:t>
      </w:r>
      <w:r w:rsidRPr="005616AE">
        <w:rPr>
          <w:rFonts w:cs="Calibri"/>
        </w:rPr>
        <w:t xml:space="preserve"> TD </w:t>
      </w:r>
      <w:proofErr w:type="gramStart"/>
      <w:r w:rsidRPr="005616AE">
        <w:rPr>
          <w:rFonts w:cs="Calibri"/>
        </w:rPr>
        <w:t>is expected</w:t>
      </w:r>
      <w:proofErr w:type="gramEnd"/>
      <w:r w:rsidRPr="005616AE">
        <w:rPr>
          <w:rFonts w:cs="Calibri"/>
        </w:rPr>
        <w:t xml:space="preserve"> to make money from wireless EV charging by charging usage fees and extending the service to partner locations. It is anticipated that this service will generate $500–</w:t>
      </w:r>
      <w:proofErr w:type="gramStart"/>
      <w:r w:rsidRPr="005616AE">
        <w:rPr>
          <w:rFonts w:cs="Calibri"/>
        </w:rPr>
        <w:t>700</w:t>
      </w:r>
      <w:proofErr w:type="gramEnd"/>
      <w:r w:rsidRPr="005616AE">
        <w:rPr>
          <w:rFonts w:cs="Calibri"/>
        </w:rPr>
        <w:t xml:space="preserve"> million in income year by 2030 that will greatly enhance TD's long-term financial performance and bolstering its diversification plan.</w:t>
      </w:r>
    </w:p>
    <w:p w14:paraId="4C85FDF1" w14:textId="77777777" w:rsidR="00400DA8" w:rsidRPr="005616AE" w:rsidRDefault="00400DA8" w:rsidP="00052D97">
      <w:pPr>
        <w:numPr>
          <w:ilvl w:val="0"/>
          <w:numId w:val="5"/>
        </w:numPr>
        <w:spacing w:after="0"/>
        <w:rPr>
          <w:rFonts w:cs="Calibri"/>
        </w:rPr>
      </w:pPr>
      <w:r w:rsidRPr="005616AE">
        <w:rPr>
          <w:rFonts w:cs="Calibri"/>
          <w:b/>
          <w:bCs/>
        </w:rPr>
        <w:t>Brand Differentiation:</w:t>
      </w:r>
      <w:r w:rsidRPr="005616AE">
        <w:rPr>
          <w:rFonts w:cs="Calibri"/>
        </w:rPr>
        <w:t xml:space="preserve"> TD obtains a competitive advantage by putting this solution into practice. It can be one of the first financial institutions to include sustainable technology into its offerings. This creative initiative appeals to eco-sensitive investors and consumers by enhancing TD's brand reputation as a technologically advanced as well as ecologically conscientious organisation.</w:t>
      </w:r>
    </w:p>
    <w:p w14:paraId="4B6BE290" w14:textId="77777777" w:rsidR="00400DA8" w:rsidRPr="005616AE" w:rsidRDefault="00400DA8" w:rsidP="00400DA8">
      <w:pPr>
        <w:pStyle w:val="Heading2"/>
        <w:rPr>
          <w:rFonts w:ascii="Calibri" w:hAnsi="Calibri" w:cs="Calibri"/>
        </w:rPr>
      </w:pPr>
      <w:bookmarkStart w:id="11" w:name="_Toc182000877"/>
      <w:bookmarkStart w:id="12" w:name="_Toc183211036"/>
      <w:r w:rsidRPr="005616AE">
        <w:rPr>
          <w:rFonts w:ascii="Calibri" w:hAnsi="Calibri" w:cs="Calibri"/>
        </w:rPr>
        <w:t>Out of Scope</w:t>
      </w:r>
      <w:bookmarkEnd w:id="11"/>
      <w:bookmarkEnd w:id="12"/>
    </w:p>
    <w:p w14:paraId="04DF8A41" w14:textId="06055DEB" w:rsidR="00400DA8" w:rsidRPr="005616AE" w:rsidRDefault="00400DA8" w:rsidP="00C56678">
      <w:pPr>
        <w:spacing w:after="0"/>
        <w:rPr>
          <w:rFonts w:cs="Calibri"/>
        </w:rPr>
      </w:pPr>
      <w:r w:rsidRPr="005616AE">
        <w:rPr>
          <w:rFonts w:cs="Calibri"/>
        </w:rPr>
        <w:t xml:space="preserve">Certain elements that are excluded from this solution are as </w:t>
      </w:r>
      <w:proofErr w:type="gramStart"/>
      <w:r w:rsidRPr="005616AE">
        <w:rPr>
          <w:rFonts w:cs="Calibri"/>
        </w:rPr>
        <w:t>follows</w:t>
      </w:r>
      <w:proofErr w:type="gramEnd"/>
    </w:p>
    <w:p w14:paraId="0EC78E39" w14:textId="77777777" w:rsidR="00400DA8" w:rsidRPr="005616AE" w:rsidRDefault="00400DA8" w:rsidP="00052D97">
      <w:pPr>
        <w:numPr>
          <w:ilvl w:val="0"/>
          <w:numId w:val="6"/>
        </w:numPr>
        <w:spacing w:after="0"/>
        <w:rPr>
          <w:rFonts w:cs="Calibri"/>
        </w:rPr>
      </w:pPr>
      <w:r w:rsidRPr="005616AE">
        <w:rPr>
          <w:rFonts w:cs="Calibri"/>
          <w:b/>
          <w:bCs/>
        </w:rPr>
        <w:lastRenderedPageBreak/>
        <w:t>Non-TD Locations:</w:t>
      </w:r>
      <w:r w:rsidRPr="005616AE">
        <w:rPr>
          <w:rFonts w:cs="Calibri"/>
        </w:rPr>
        <w:t xml:space="preserve"> This first phase of implementation does not cover the extension of wireless charging pads to non-TD-owned sites or retail partnerships. This scope restriction concentrates efforts on TD's own branches to streamline </w:t>
      </w:r>
      <w:proofErr w:type="gramStart"/>
      <w:r w:rsidRPr="005616AE">
        <w:rPr>
          <w:rFonts w:cs="Calibri"/>
        </w:rPr>
        <w:t>logistics</w:t>
      </w:r>
      <w:proofErr w:type="gramEnd"/>
      <w:r w:rsidRPr="005616AE">
        <w:rPr>
          <w:rFonts w:cs="Calibri"/>
        </w:rPr>
        <w:t>, lower short-term expenses and gauge customer reaction prior to thinking about larger rollouts.</w:t>
      </w:r>
    </w:p>
    <w:p w14:paraId="18A7D370" w14:textId="77777777" w:rsidR="00400DA8" w:rsidRPr="005616AE" w:rsidRDefault="00400DA8" w:rsidP="00052D97">
      <w:pPr>
        <w:numPr>
          <w:ilvl w:val="0"/>
          <w:numId w:val="6"/>
        </w:numPr>
        <w:spacing w:after="0"/>
        <w:rPr>
          <w:rFonts w:cs="Calibri"/>
        </w:rPr>
      </w:pPr>
      <w:r w:rsidRPr="005616AE">
        <w:rPr>
          <w:rFonts w:cs="Calibri"/>
          <w:b/>
          <w:bCs/>
        </w:rPr>
        <w:t>Alternative EV charging Technologies:</w:t>
      </w:r>
      <w:r w:rsidRPr="005616AE">
        <w:rPr>
          <w:rFonts w:cs="Calibri"/>
        </w:rPr>
        <w:t xml:space="preserve"> WiTricity's wireless technology is the only one used in this solution. This excludes other EV charging techniques like plug-in chargers. The ease of wireless charging </w:t>
      </w:r>
      <w:proofErr w:type="gramStart"/>
      <w:r w:rsidRPr="005616AE">
        <w:rPr>
          <w:rFonts w:cs="Calibri"/>
        </w:rPr>
        <w:t>is still highlighted</w:t>
      </w:r>
      <w:proofErr w:type="gramEnd"/>
      <w:r w:rsidRPr="005616AE">
        <w:rPr>
          <w:rFonts w:cs="Calibri"/>
        </w:rPr>
        <w:t xml:space="preserve"> as a distinctive feature that sets TD's service apart.</w:t>
      </w:r>
    </w:p>
    <w:p w14:paraId="79672209" w14:textId="77777777" w:rsidR="00400DA8" w:rsidRPr="005616AE" w:rsidRDefault="00400DA8" w:rsidP="00052D97">
      <w:pPr>
        <w:numPr>
          <w:ilvl w:val="0"/>
          <w:numId w:val="6"/>
        </w:numPr>
        <w:spacing w:after="0"/>
        <w:rPr>
          <w:rFonts w:cs="Calibri"/>
        </w:rPr>
      </w:pPr>
      <w:r w:rsidRPr="005616AE">
        <w:rPr>
          <w:rFonts w:cs="Calibri"/>
          <w:b/>
          <w:bCs/>
        </w:rPr>
        <w:t>Third Party App Authenticator:</w:t>
      </w:r>
      <w:r w:rsidRPr="005616AE">
        <w:rPr>
          <w:rFonts w:cs="Calibri"/>
        </w:rPr>
        <w:t xml:space="preserve"> This feature will only </w:t>
      </w:r>
      <w:proofErr w:type="gramStart"/>
      <w:r w:rsidRPr="005616AE">
        <w:rPr>
          <w:rFonts w:cs="Calibri"/>
        </w:rPr>
        <w:t>be supported</w:t>
      </w:r>
      <w:proofErr w:type="gramEnd"/>
      <w:r w:rsidRPr="005616AE">
        <w:rPr>
          <w:rFonts w:cs="Calibri"/>
        </w:rPr>
        <w:t xml:space="preserve"> by TD's mobile app. Integration with third-party apps that assist in finding EV charging stations (like </w:t>
      </w:r>
      <w:proofErr w:type="spellStart"/>
      <w:r w:rsidRPr="005616AE">
        <w:rPr>
          <w:rFonts w:cs="Calibri"/>
        </w:rPr>
        <w:t>PlugShare</w:t>
      </w:r>
      <w:proofErr w:type="spellEnd"/>
      <w:r w:rsidRPr="005616AE">
        <w:rPr>
          <w:rFonts w:cs="Calibri"/>
        </w:rPr>
        <w:t xml:space="preserve"> or ChargePoint) is prohibited to streamline service administration and preserve exclusive engagement through TDs.</w:t>
      </w:r>
    </w:p>
    <w:p w14:paraId="0491B5E0" w14:textId="77777777" w:rsidR="00400DA8" w:rsidRPr="005616AE" w:rsidRDefault="00400DA8" w:rsidP="00400DA8">
      <w:pPr>
        <w:pStyle w:val="Heading2"/>
        <w:rPr>
          <w:rFonts w:ascii="Calibri" w:hAnsi="Calibri" w:cs="Calibri"/>
        </w:rPr>
      </w:pPr>
      <w:bookmarkStart w:id="13" w:name="_Toc182000878"/>
      <w:bookmarkStart w:id="14" w:name="_Toc183211037"/>
      <w:r w:rsidRPr="005616AE">
        <w:rPr>
          <w:rFonts w:ascii="Calibri" w:hAnsi="Calibri" w:cs="Calibri"/>
        </w:rPr>
        <w:t>Risk Mitigation</w:t>
      </w:r>
      <w:bookmarkEnd w:id="13"/>
      <w:bookmarkEnd w:id="14"/>
    </w:p>
    <w:p w14:paraId="64FAF690" w14:textId="16F0AC35" w:rsidR="00400DA8" w:rsidRPr="005616AE" w:rsidRDefault="00400DA8" w:rsidP="0088799E">
      <w:pPr>
        <w:spacing w:after="0"/>
        <w:rPr>
          <w:rFonts w:cs="Calibri"/>
        </w:rPr>
      </w:pPr>
      <w:r w:rsidRPr="005616AE">
        <w:rPr>
          <w:rFonts w:cs="Calibri"/>
        </w:rPr>
        <w:t xml:space="preserve">The primary risk involves in implementation of this solution is as </w:t>
      </w:r>
      <w:proofErr w:type="gramStart"/>
      <w:r w:rsidRPr="005616AE">
        <w:rPr>
          <w:rFonts w:cs="Calibri"/>
        </w:rPr>
        <w:t>follows</w:t>
      </w:r>
      <w:proofErr w:type="gramEnd"/>
    </w:p>
    <w:p w14:paraId="0AD1E841" w14:textId="77777777" w:rsidR="00400DA8" w:rsidRPr="005616AE" w:rsidRDefault="00400DA8" w:rsidP="0088799E">
      <w:pPr>
        <w:spacing w:after="0"/>
        <w:rPr>
          <w:rFonts w:cs="Calibri"/>
          <w:b/>
          <w:bCs/>
        </w:rPr>
      </w:pPr>
      <w:r w:rsidRPr="005616AE">
        <w:rPr>
          <w:rFonts w:cs="Calibri"/>
          <w:b/>
          <w:bCs/>
        </w:rPr>
        <w:t>Risk 1: High initial cost</w:t>
      </w:r>
    </w:p>
    <w:p w14:paraId="31C7B558" w14:textId="77777777" w:rsidR="00400DA8" w:rsidRPr="005616AE" w:rsidRDefault="00400DA8" w:rsidP="00052D97">
      <w:pPr>
        <w:numPr>
          <w:ilvl w:val="0"/>
          <w:numId w:val="7"/>
        </w:numPr>
        <w:spacing w:after="0"/>
        <w:rPr>
          <w:rFonts w:cs="Calibri"/>
        </w:rPr>
      </w:pPr>
      <w:r w:rsidRPr="005616AE">
        <w:rPr>
          <w:rFonts w:cs="Calibri"/>
          <w:b/>
          <w:bCs/>
        </w:rPr>
        <w:t>Analysis:</w:t>
      </w:r>
      <w:r w:rsidRPr="005616AE">
        <w:rPr>
          <w:rFonts w:cs="Calibri"/>
        </w:rPr>
        <w:t xml:space="preserve"> The short-term profitability may </w:t>
      </w:r>
      <w:proofErr w:type="gramStart"/>
      <w:r w:rsidRPr="005616AE">
        <w:rPr>
          <w:rFonts w:cs="Calibri"/>
        </w:rPr>
        <w:t>be impacted</w:t>
      </w:r>
      <w:proofErr w:type="gramEnd"/>
      <w:r w:rsidRPr="005616AE">
        <w:rPr>
          <w:rFonts w:cs="Calibri"/>
        </w:rPr>
        <w:t xml:space="preserve"> by the significant investment needed to set up wireless charging stations. Capital investment </w:t>
      </w:r>
      <w:proofErr w:type="gramStart"/>
      <w:r w:rsidRPr="005616AE">
        <w:rPr>
          <w:rFonts w:cs="Calibri"/>
        </w:rPr>
        <w:t>is also required</w:t>
      </w:r>
      <w:proofErr w:type="gramEnd"/>
      <w:r w:rsidRPr="005616AE">
        <w:rPr>
          <w:rFonts w:cs="Calibri"/>
        </w:rPr>
        <w:t xml:space="preserve"> to purchase equipment and incorporate new functions into the mobile app.</w:t>
      </w:r>
    </w:p>
    <w:p w14:paraId="5584BF7E" w14:textId="77777777" w:rsidR="00400DA8" w:rsidRPr="005616AE" w:rsidRDefault="00400DA8" w:rsidP="00052D97">
      <w:pPr>
        <w:numPr>
          <w:ilvl w:val="0"/>
          <w:numId w:val="7"/>
        </w:numPr>
        <w:spacing w:after="0"/>
        <w:rPr>
          <w:rFonts w:cs="Calibri"/>
        </w:rPr>
      </w:pPr>
      <w:r w:rsidRPr="005616AE">
        <w:rPr>
          <w:rFonts w:cs="Calibri"/>
          <w:b/>
          <w:bCs/>
        </w:rPr>
        <w:t>Mitigation:</w:t>
      </w:r>
      <w:r w:rsidRPr="005616AE">
        <w:rPr>
          <w:rFonts w:cs="Calibri"/>
        </w:rPr>
        <w:t xml:space="preserve"> Start with branches that see a lot of traffic then roll out gradually so that TD can assess consumer adoption and modify resource </w:t>
      </w:r>
      <w:proofErr w:type="gramStart"/>
      <w:r w:rsidRPr="005616AE">
        <w:rPr>
          <w:rFonts w:cs="Calibri"/>
        </w:rPr>
        <w:t>allocation</w:t>
      </w:r>
      <w:proofErr w:type="gramEnd"/>
      <w:r w:rsidRPr="005616AE">
        <w:rPr>
          <w:rFonts w:cs="Calibri"/>
        </w:rPr>
        <w:t xml:space="preserve"> as necessary. Cost benefit analysis should </w:t>
      </w:r>
      <w:proofErr w:type="gramStart"/>
      <w:r w:rsidRPr="005616AE">
        <w:rPr>
          <w:rFonts w:cs="Calibri"/>
        </w:rPr>
        <w:t>be done</w:t>
      </w:r>
      <w:proofErr w:type="gramEnd"/>
      <w:r w:rsidRPr="005616AE">
        <w:rPr>
          <w:rFonts w:cs="Calibri"/>
        </w:rPr>
        <w:t xml:space="preserve"> after the pilot phase to improve the expansion strategy as well as to fine-tune financial estimates.</w:t>
      </w:r>
    </w:p>
    <w:p w14:paraId="60B32C66" w14:textId="77777777" w:rsidR="00400DA8" w:rsidRPr="005616AE" w:rsidRDefault="00400DA8" w:rsidP="0088799E">
      <w:pPr>
        <w:spacing w:after="0"/>
        <w:rPr>
          <w:rFonts w:cs="Calibri"/>
          <w:b/>
          <w:bCs/>
        </w:rPr>
      </w:pPr>
      <w:r w:rsidRPr="005616AE">
        <w:rPr>
          <w:rFonts w:cs="Calibri"/>
          <w:b/>
          <w:bCs/>
        </w:rPr>
        <w:t>Risk 2: Technology adoption risk</w:t>
      </w:r>
    </w:p>
    <w:p w14:paraId="54BB26E9" w14:textId="77777777" w:rsidR="00400DA8" w:rsidRPr="005616AE" w:rsidRDefault="00400DA8" w:rsidP="00052D97">
      <w:pPr>
        <w:numPr>
          <w:ilvl w:val="0"/>
          <w:numId w:val="8"/>
        </w:numPr>
        <w:spacing w:after="0"/>
        <w:rPr>
          <w:rFonts w:cs="Calibri"/>
        </w:rPr>
      </w:pPr>
      <w:r w:rsidRPr="005616AE">
        <w:rPr>
          <w:rFonts w:cs="Calibri"/>
          <w:b/>
          <w:bCs/>
        </w:rPr>
        <w:t>Analysis:</w:t>
      </w:r>
      <w:r w:rsidRPr="005616AE">
        <w:rPr>
          <w:rFonts w:cs="Calibri"/>
        </w:rPr>
        <w:t xml:space="preserve"> </w:t>
      </w:r>
      <w:proofErr w:type="gramStart"/>
      <w:r w:rsidRPr="005616AE">
        <w:rPr>
          <w:rFonts w:cs="Calibri"/>
        </w:rPr>
        <w:t>Some</w:t>
      </w:r>
      <w:proofErr w:type="gramEnd"/>
      <w:r w:rsidRPr="005616AE">
        <w:rPr>
          <w:rFonts w:cs="Calibri"/>
        </w:rPr>
        <w:t xml:space="preserve"> consumers might not be aware of the wireless charging technology as it is in its infancy. Consumers might not be aware of this or be dubious of its advantages.</w:t>
      </w:r>
    </w:p>
    <w:p w14:paraId="2AD09B07" w14:textId="77777777" w:rsidR="00400DA8" w:rsidRPr="005616AE" w:rsidRDefault="00400DA8" w:rsidP="00052D97">
      <w:pPr>
        <w:numPr>
          <w:ilvl w:val="0"/>
          <w:numId w:val="8"/>
        </w:numPr>
        <w:spacing w:after="0"/>
        <w:rPr>
          <w:rFonts w:cs="Calibri"/>
        </w:rPr>
      </w:pPr>
      <w:r w:rsidRPr="005616AE">
        <w:rPr>
          <w:rFonts w:cs="Calibri"/>
          <w:b/>
          <w:bCs/>
        </w:rPr>
        <w:t>Mitigation:</w:t>
      </w:r>
      <w:r w:rsidRPr="005616AE">
        <w:rPr>
          <w:rFonts w:cs="Calibri"/>
        </w:rPr>
        <w:t xml:space="preserve"> Start focused customer education initiatives on TD's social media, mobile </w:t>
      </w:r>
      <w:proofErr w:type="gramStart"/>
      <w:r w:rsidRPr="005616AE">
        <w:rPr>
          <w:rFonts w:cs="Calibri"/>
        </w:rPr>
        <w:t>app</w:t>
      </w:r>
      <w:proofErr w:type="gramEnd"/>
      <w:r w:rsidRPr="005616AE">
        <w:rPr>
          <w:rFonts w:cs="Calibri"/>
        </w:rPr>
        <w:t xml:space="preserve"> and website. These advertisements would promote acceptance as well as familiarity by highlighting the advantages of wireless charging in terms of convenience and safety. </w:t>
      </w:r>
    </w:p>
    <w:p w14:paraId="1FD821FA" w14:textId="77777777" w:rsidR="00400DA8" w:rsidRPr="005616AE" w:rsidRDefault="00400DA8" w:rsidP="0088799E">
      <w:pPr>
        <w:spacing w:after="0"/>
        <w:rPr>
          <w:rFonts w:cs="Calibri"/>
          <w:b/>
          <w:bCs/>
        </w:rPr>
      </w:pPr>
      <w:r w:rsidRPr="005616AE">
        <w:rPr>
          <w:rFonts w:cs="Calibri"/>
          <w:b/>
          <w:bCs/>
        </w:rPr>
        <w:t>Risk 3: Security and Privacy</w:t>
      </w:r>
    </w:p>
    <w:p w14:paraId="419C43C5" w14:textId="77777777" w:rsidR="00400DA8" w:rsidRPr="005616AE" w:rsidRDefault="00400DA8" w:rsidP="00052D97">
      <w:pPr>
        <w:numPr>
          <w:ilvl w:val="0"/>
          <w:numId w:val="9"/>
        </w:numPr>
        <w:spacing w:after="0"/>
        <w:rPr>
          <w:rFonts w:cs="Calibri"/>
        </w:rPr>
      </w:pPr>
      <w:r w:rsidRPr="005616AE">
        <w:rPr>
          <w:rFonts w:cs="Calibri"/>
          <w:b/>
          <w:bCs/>
        </w:rPr>
        <w:t>Analysis:</w:t>
      </w:r>
      <w:r w:rsidRPr="005616AE">
        <w:rPr>
          <w:rFonts w:cs="Calibri"/>
        </w:rPr>
        <w:t xml:space="preserve"> Adding new payment methods and technology to TD's app may put user data at risk for security breaches.</w:t>
      </w:r>
    </w:p>
    <w:p w14:paraId="22E0AF24" w14:textId="77777777" w:rsidR="00400DA8" w:rsidRPr="005616AE" w:rsidRDefault="00400DA8" w:rsidP="00052D97">
      <w:pPr>
        <w:numPr>
          <w:ilvl w:val="0"/>
          <w:numId w:val="9"/>
        </w:numPr>
        <w:spacing w:after="0"/>
        <w:rPr>
          <w:rFonts w:cs="Calibri"/>
        </w:rPr>
      </w:pPr>
      <w:r w:rsidRPr="005616AE">
        <w:rPr>
          <w:rFonts w:cs="Calibri"/>
          <w:b/>
          <w:bCs/>
        </w:rPr>
        <w:t>Mitigation:</w:t>
      </w:r>
      <w:r w:rsidRPr="005616AE">
        <w:rPr>
          <w:rFonts w:cs="Calibri"/>
        </w:rPr>
        <w:t xml:space="preserve"> Perform periodic audits to ensure WiTricity complies with TD's cybersecurity standards. Protecting consumer information and transaction data will require security features. This should include data encryption, access controls and recurring vulnerability assessments.</w:t>
      </w:r>
    </w:p>
    <w:p w14:paraId="20ABB200" w14:textId="77777777" w:rsidR="00400DA8" w:rsidRPr="005616AE" w:rsidRDefault="00400DA8" w:rsidP="0088799E">
      <w:pPr>
        <w:spacing w:after="0"/>
        <w:rPr>
          <w:rFonts w:cs="Calibri"/>
          <w:b/>
          <w:bCs/>
        </w:rPr>
      </w:pPr>
      <w:r w:rsidRPr="005616AE">
        <w:rPr>
          <w:rFonts w:cs="Calibri"/>
          <w:b/>
          <w:bCs/>
        </w:rPr>
        <w:t>Risk 4: Regulatory Compliance</w:t>
      </w:r>
    </w:p>
    <w:p w14:paraId="75D86D22" w14:textId="77777777" w:rsidR="00400DA8" w:rsidRPr="005616AE" w:rsidRDefault="00400DA8" w:rsidP="00052D97">
      <w:pPr>
        <w:numPr>
          <w:ilvl w:val="0"/>
          <w:numId w:val="10"/>
        </w:numPr>
        <w:spacing w:after="0"/>
        <w:rPr>
          <w:rFonts w:cs="Calibri"/>
        </w:rPr>
      </w:pPr>
      <w:r w:rsidRPr="005616AE">
        <w:rPr>
          <w:rFonts w:cs="Calibri"/>
          <w:b/>
          <w:bCs/>
        </w:rPr>
        <w:t>Analysis:</w:t>
      </w:r>
      <w:r w:rsidRPr="005616AE">
        <w:rPr>
          <w:rFonts w:cs="Calibri"/>
        </w:rPr>
        <w:t xml:space="preserve"> Adherence to local laws pertaining to environmental standards and EV charging infrastructure is crucial. It may cause delays in implementation.</w:t>
      </w:r>
    </w:p>
    <w:p w14:paraId="0ADFA7F7" w14:textId="77777777" w:rsidR="00400DA8" w:rsidRPr="005616AE" w:rsidRDefault="00400DA8" w:rsidP="00052D97">
      <w:pPr>
        <w:numPr>
          <w:ilvl w:val="0"/>
          <w:numId w:val="10"/>
        </w:numPr>
        <w:spacing w:after="0"/>
        <w:rPr>
          <w:rFonts w:cs="Calibri"/>
        </w:rPr>
      </w:pPr>
      <w:r w:rsidRPr="005616AE">
        <w:rPr>
          <w:rFonts w:cs="Calibri"/>
          <w:b/>
          <w:bCs/>
        </w:rPr>
        <w:t>Mitigation:</w:t>
      </w:r>
      <w:r w:rsidRPr="005616AE">
        <w:rPr>
          <w:rFonts w:cs="Calibri"/>
        </w:rPr>
        <w:t xml:space="preserve"> Cooperate with local government agencies at the beginning of the planning stage to comprehend legal requirements and obtain required licenses. Uniform regulatory checklist should </w:t>
      </w:r>
      <w:proofErr w:type="gramStart"/>
      <w:r w:rsidRPr="005616AE">
        <w:rPr>
          <w:rFonts w:cs="Calibri"/>
        </w:rPr>
        <w:t>be created</w:t>
      </w:r>
      <w:proofErr w:type="gramEnd"/>
      <w:r w:rsidRPr="005616AE">
        <w:rPr>
          <w:rFonts w:cs="Calibri"/>
        </w:rPr>
        <w:t xml:space="preserve"> to make sure TD’s installations meets environmental and municipal requirements that will facilitate future expansions.</w:t>
      </w:r>
    </w:p>
    <w:p w14:paraId="413B76E3" w14:textId="77777777" w:rsidR="00400DA8" w:rsidRPr="005616AE" w:rsidRDefault="00400DA8" w:rsidP="00400DA8">
      <w:pPr>
        <w:pStyle w:val="Heading1"/>
        <w:rPr>
          <w:rFonts w:ascii="Calibri" w:hAnsi="Calibri" w:cs="Calibri"/>
        </w:rPr>
      </w:pPr>
      <w:bookmarkStart w:id="15" w:name="_Toc182000879"/>
      <w:bookmarkStart w:id="16" w:name="_Toc183211038"/>
      <w:r w:rsidRPr="005616AE">
        <w:rPr>
          <w:rFonts w:ascii="Calibri" w:hAnsi="Calibri" w:cs="Calibri"/>
        </w:rPr>
        <w:lastRenderedPageBreak/>
        <w:t>Solution 2: Space Sector Financial Products</w:t>
      </w:r>
      <w:bookmarkEnd w:id="15"/>
      <w:bookmarkEnd w:id="16"/>
    </w:p>
    <w:p w14:paraId="214CB93C" w14:textId="77777777" w:rsidR="00400DA8" w:rsidRPr="005616AE" w:rsidRDefault="00400DA8" w:rsidP="00FD33C3">
      <w:pPr>
        <w:spacing w:after="0"/>
        <w:rPr>
          <w:rFonts w:cs="Calibri"/>
        </w:rPr>
      </w:pPr>
      <w:r w:rsidRPr="005616AE">
        <w:rPr>
          <w:rFonts w:cs="Calibri"/>
        </w:rPr>
        <w:t xml:space="preserve">The proposed solution analyses TD Bank's entry into the Canadian space economy through strategic relationships with the Canadian Space Agency (CSA). This strategy seeks to capitalise on projected development in the space sector which </w:t>
      </w:r>
      <w:proofErr w:type="gramStart"/>
      <w:r w:rsidRPr="005616AE">
        <w:rPr>
          <w:rFonts w:cs="Calibri"/>
        </w:rPr>
        <w:t>is expected</w:t>
      </w:r>
      <w:proofErr w:type="gramEnd"/>
      <w:r w:rsidRPr="005616AE">
        <w:rPr>
          <w:rFonts w:cs="Calibri"/>
        </w:rPr>
        <w:t xml:space="preserve"> to reach $1 trillion in 2040 by investing in aerospace businesses producing specialised financial products and co-creating fintech breakthroughs that leverage satellite technologies. This partnership backs TD's commitment to sustainable finance, technological innovation and ESG principles.</w:t>
      </w:r>
    </w:p>
    <w:p w14:paraId="176AF350" w14:textId="77777777" w:rsidR="00400DA8" w:rsidRPr="005616AE" w:rsidRDefault="00400DA8" w:rsidP="00FD33C3">
      <w:pPr>
        <w:spacing w:after="0"/>
        <w:rPr>
          <w:rFonts w:cs="Calibri"/>
        </w:rPr>
      </w:pPr>
      <w:r w:rsidRPr="005616AE">
        <w:rPr>
          <w:rFonts w:cs="Calibri"/>
        </w:rPr>
        <w:t xml:space="preserve">TD Bank's present operations </w:t>
      </w:r>
      <w:proofErr w:type="gramStart"/>
      <w:r w:rsidRPr="005616AE">
        <w:rPr>
          <w:rFonts w:cs="Calibri"/>
        </w:rPr>
        <w:t>are focused</w:t>
      </w:r>
      <w:proofErr w:type="gramEnd"/>
      <w:r w:rsidRPr="005616AE">
        <w:rPr>
          <w:rFonts w:cs="Calibri"/>
        </w:rPr>
        <w:t xml:space="preserve"> on sustainable financing, technology innovation and community involvement. The bank has a solid financial base with assets exceeding $1.9 trillion and a stable annual earnings growth rate of 7-10%. TD Bank's current revenue streams include traditional banking products, sustainable financing choices and community-focused projects.</w:t>
      </w:r>
    </w:p>
    <w:p w14:paraId="7D050698" w14:textId="77777777" w:rsidR="00400DA8" w:rsidRPr="005616AE" w:rsidRDefault="00400DA8" w:rsidP="00FD33C3">
      <w:pPr>
        <w:spacing w:after="0"/>
        <w:rPr>
          <w:rFonts w:cs="Calibri"/>
          <w:b/>
          <w:bCs/>
        </w:rPr>
      </w:pPr>
      <w:r w:rsidRPr="005616AE">
        <w:rPr>
          <w:rFonts w:cs="Calibri"/>
          <w:b/>
          <w:bCs/>
        </w:rPr>
        <w:t>Requirements Details</w:t>
      </w:r>
    </w:p>
    <w:p w14:paraId="44DB00CF" w14:textId="77777777" w:rsidR="00400DA8" w:rsidRPr="005616AE" w:rsidRDefault="00400DA8" w:rsidP="00052D97">
      <w:pPr>
        <w:numPr>
          <w:ilvl w:val="0"/>
          <w:numId w:val="11"/>
        </w:numPr>
        <w:spacing w:after="0"/>
        <w:rPr>
          <w:rFonts w:cs="Calibri"/>
        </w:rPr>
      </w:pPr>
      <w:r w:rsidRPr="005616AE">
        <w:rPr>
          <w:rFonts w:cs="Calibri"/>
        </w:rPr>
        <w:t>Create customised financial products for the aircraft sector.</w:t>
      </w:r>
    </w:p>
    <w:p w14:paraId="20BAEE53" w14:textId="77777777" w:rsidR="00400DA8" w:rsidRPr="005616AE" w:rsidRDefault="00400DA8" w:rsidP="00052D97">
      <w:pPr>
        <w:numPr>
          <w:ilvl w:val="0"/>
          <w:numId w:val="11"/>
        </w:numPr>
        <w:spacing w:after="0"/>
        <w:rPr>
          <w:rFonts w:cs="Calibri"/>
        </w:rPr>
      </w:pPr>
      <w:r w:rsidRPr="005616AE">
        <w:rPr>
          <w:rFonts w:cs="Calibri"/>
        </w:rPr>
        <w:t>Create a venture capital fund exclusively for aerospace entrepreneurs.</w:t>
      </w:r>
    </w:p>
    <w:p w14:paraId="3E55B9EC" w14:textId="77777777" w:rsidR="00400DA8" w:rsidRPr="005616AE" w:rsidRDefault="00400DA8" w:rsidP="00052D97">
      <w:pPr>
        <w:numPr>
          <w:ilvl w:val="0"/>
          <w:numId w:val="11"/>
        </w:numPr>
        <w:spacing w:after="0"/>
        <w:rPr>
          <w:rFonts w:cs="Calibri"/>
        </w:rPr>
      </w:pPr>
      <w:r w:rsidRPr="005616AE">
        <w:rPr>
          <w:rFonts w:cs="Calibri"/>
        </w:rPr>
        <w:t>Collaborate on finance solutions that use space technology.</w:t>
      </w:r>
    </w:p>
    <w:p w14:paraId="79CA6F6B" w14:textId="77777777" w:rsidR="00400DA8" w:rsidRPr="005616AE" w:rsidRDefault="00400DA8" w:rsidP="00052D97">
      <w:pPr>
        <w:numPr>
          <w:ilvl w:val="0"/>
          <w:numId w:val="11"/>
        </w:numPr>
        <w:spacing w:after="0"/>
        <w:rPr>
          <w:rFonts w:cs="Calibri"/>
        </w:rPr>
      </w:pPr>
      <w:r w:rsidRPr="005616AE">
        <w:rPr>
          <w:rFonts w:cs="Calibri"/>
        </w:rPr>
        <w:t>Improve brand reputation among environmentally sensitive customers.</w:t>
      </w:r>
    </w:p>
    <w:p w14:paraId="66215028" w14:textId="77777777" w:rsidR="00400DA8" w:rsidRPr="005616AE" w:rsidRDefault="00400DA8" w:rsidP="00052D97">
      <w:pPr>
        <w:numPr>
          <w:ilvl w:val="0"/>
          <w:numId w:val="11"/>
        </w:numPr>
        <w:spacing w:after="0"/>
        <w:rPr>
          <w:rFonts w:cs="Calibri"/>
        </w:rPr>
      </w:pPr>
      <w:r w:rsidRPr="005616AE">
        <w:rPr>
          <w:rFonts w:cs="Calibri"/>
        </w:rPr>
        <w:t>Aligning with CSA objectives to promote technology-driven revenue development.</w:t>
      </w:r>
    </w:p>
    <w:p w14:paraId="270D0B24" w14:textId="77777777" w:rsidR="00400DA8" w:rsidRPr="005616AE" w:rsidRDefault="00400DA8" w:rsidP="00FD33C3">
      <w:pPr>
        <w:spacing w:after="0"/>
        <w:rPr>
          <w:rFonts w:cs="Calibri"/>
          <w:b/>
          <w:bCs/>
        </w:rPr>
      </w:pPr>
      <w:r w:rsidRPr="005616AE">
        <w:rPr>
          <w:rFonts w:cs="Calibri"/>
          <w:b/>
          <w:bCs/>
        </w:rPr>
        <w:t>Assumptions and prerequisites</w:t>
      </w:r>
    </w:p>
    <w:p w14:paraId="3A711A2D" w14:textId="77777777" w:rsidR="00400DA8" w:rsidRPr="005616AE" w:rsidRDefault="00400DA8" w:rsidP="00052D97">
      <w:pPr>
        <w:numPr>
          <w:ilvl w:val="0"/>
          <w:numId w:val="12"/>
        </w:numPr>
        <w:spacing w:after="0"/>
        <w:rPr>
          <w:rFonts w:cs="Calibri"/>
        </w:rPr>
      </w:pPr>
      <w:r w:rsidRPr="005616AE">
        <w:rPr>
          <w:rFonts w:cs="Calibri"/>
        </w:rPr>
        <w:t>TD Bank will invest 1% of its capital (</w:t>
      </w:r>
      <w:proofErr w:type="gramStart"/>
      <w:r w:rsidRPr="005616AE">
        <w:rPr>
          <w:rFonts w:cs="Calibri"/>
        </w:rPr>
        <w:t>roughly $1 billion</w:t>
      </w:r>
      <w:proofErr w:type="gramEnd"/>
      <w:r w:rsidRPr="005616AE">
        <w:rPr>
          <w:rFonts w:cs="Calibri"/>
        </w:rPr>
        <w:t>) in space-related projects.</w:t>
      </w:r>
    </w:p>
    <w:p w14:paraId="20060FBC" w14:textId="77777777" w:rsidR="00400DA8" w:rsidRPr="005616AE" w:rsidRDefault="00400DA8" w:rsidP="00052D97">
      <w:pPr>
        <w:numPr>
          <w:ilvl w:val="0"/>
          <w:numId w:val="12"/>
        </w:numPr>
        <w:spacing w:after="0"/>
        <w:rPr>
          <w:rFonts w:cs="Calibri"/>
        </w:rPr>
      </w:pPr>
      <w:r w:rsidRPr="005616AE">
        <w:rPr>
          <w:rFonts w:cs="Calibri"/>
        </w:rPr>
        <w:t>The expected annual return on investment (ROI) ranges between 10-15%.</w:t>
      </w:r>
    </w:p>
    <w:p w14:paraId="23965B8B" w14:textId="77777777" w:rsidR="00400DA8" w:rsidRPr="005616AE" w:rsidRDefault="00400DA8" w:rsidP="00052D97">
      <w:pPr>
        <w:numPr>
          <w:ilvl w:val="0"/>
          <w:numId w:val="12"/>
        </w:numPr>
        <w:spacing w:after="0"/>
        <w:rPr>
          <w:rFonts w:cs="Calibri"/>
        </w:rPr>
      </w:pPr>
      <w:r w:rsidRPr="005616AE">
        <w:rPr>
          <w:rFonts w:cs="Calibri"/>
        </w:rPr>
        <w:t>CSA and TD Bank can collaborate to develop fintech solutions focusing on secure transactions.</w:t>
      </w:r>
    </w:p>
    <w:p w14:paraId="5A429878" w14:textId="77777777" w:rsidR="00400DA8" w:rsidRPr="005616AE" w:rsidRDefault="00400DA8" w:rsidP="00052D97">
      <w:pPr>
        <w:numPr>
          <w:ilvl w:val="0"/>
          <w:numId w:val="12"/>
        </w:numPr>
        <w:spacing w:after="0"/>
        <w:rPr>
          <w:rFonts w:cs="Calibri"/>
        </w:rPr>
      </w:pPr>
      <w:r w:rsidRPr="005616AE">
        <w:rPr>
          <w:rFonts w:cs="Calibri"/>
        </w:rPr>
        <w:t>Community participation through CSA-supported STEM outreach activities can help TD Bank's brand reputation.</w:t>
      </w:r>
    </w:p>
    <w:p w14:paraId="47E01D8B" w14:textId="77777777" w:rsidR="00400DA8" w:rsidRPr="005616AE" w:rsidRDefault="00400DA8" w:rsidP="00052D97">
      <w:pPr>
        <w:numPr>
          <w:ilvl w:val="0"/>
          <w:numId w:val="12"/>
        </w:numPr>
        <w:spacing w:after="0"/>
        <w:rPr>
          <w:rFonts w:cs="Calibri"/>
        </w:rPr>
      </w:pPr>
      <w:r w:rsidRPr="005616AE">
        <w:rPr>
          <w:rFonts w:cs="Calibri"/>
        </w:rPr>
        <w:t xml:space="preserve">All financial and legal compliance requirements under the CSA agreement will </w:t>
      </w:r>
      <w:proofErr w:type="gramStart"/>
      <w:r w:rsidRPr="005616AE">
        <w:rPr>
          <w:rFonts w:cs="Calibri"/>
        </w:rPr>
        <w:t>be met</w:t>
      </w:r>
      <w:proofErr w:type="gramEnd"/>
      <w:r w:rsidRPr="005616AE">
        <w:rPr>
          <w:rFonts w:cs="Calibri"/>
        </w:rPr>
        <w:t>.</w:t>
      </w:r>
    </w:p>
    <w:p w14:paraId="7BDA3130" w14:textId="77777777" w:rsidR="00400DA8" w:rsidRPr="005616AE" w:rsidRDefault="00400DA8" w:rsidP="00FD33C3">
      <w:pPr>
        <w:spacing w:after="0"/>
        <w:rPr>
          <w:rFonts w:cs="Calibri"/>
          <w:b/>
          <w:bCs/>
        </w:rPr>
      </w:pPr>
      <w:r w:rsidRPr="005616AE">
        <w:rPr>
          <w:rFonts w:cs="Calibri"/>
          <w:b/>
          <w:bCs/>
        </w:rPr>
        <w:t>Possible Solution – Space-Related Financial Products</w:t>
      </w:r>
    </w:p>
    <w:p w14:paraId="7C9DFA84" w14:textId="77777777" w:rsidR="00400DA8" w:rsidRPr="005616AE" w:rsidRDefault="00400DA8" w:rsidP="00400DA8">
      <w:pPr>
        <w:pStyle w:val="Heading2"/>
        <w:rPr>
          <w:rFonts w:ascii="Calibri" w:hAnsi="Calibri" w:cs="Calibri"/>
        </w:rPr>
      </w:pPr>
      <w:bookmarkStart w:id="17" w:name="_Toc182000880"/>
      <w:bookmarkStart w:id="18" w:name="_Toc183211039"/>
      <w:r w:rsidRPr="005616AE">
        <w:rPr>
          <w:rFonts w:ascii="Calibri" w:hAnsi="Calibri" w:cs="Calibri"/>
        </w:rPr>
        <w:t>High-Level Design</w:t>
      </w:r>
      <w:bookmarkEnd w:id="17"/>
      <w:bookmarkEnd w:id="18"/>
    </w:p>
    <w:p w14:paraId="53A0925D" w14:textId="77777777" w:rsidR="00400DA8" w:rsidRPr="005616AE" w:rsidRDefault="00400DA8" w:rsidP="005E5A8C">
      <w:pPr>
        <w:spacing w:after="0"/>
        <w:rPr>
          <w:rFonts w:cs="Calibri"/>
        </w:rPr>
      </w:pPr>
      <w:r w:rsidRPr="005616AE">
        <w:rPr>
          <w:rFonts w:cs="Calibri"/>
          <w:b/>
          <w:bCs/>
        </w:rPr>
        <w:t xml:space="preserve">Objective: </w:t>
      </w:r>
      <w:r w:rsidRPr="005616AE">
        <w:rPr>
          <w:rFonts w:cs="Calibri"/>
        </w:rPr>
        <w:t xml:space="preserve">Create financial products tailored to the needs of aerospace and space businesses especially those with CSA cooperation. </w:t>
      </w:r>
    </w:p>
    <w:p w14:paraId="521BCFBA" w14:textId="77777777" w:rsidR="00400DA8" w:rsidRPr="005616AE" w:rsidRDefault="00400DA8" w:rsidP="00FD33C3">
      <w:pPr>
        <w:spacing w:after="0"/>
        <w:rPr>
          <w:rFonts w:cs="Calibri"/>
        </w:rPr>
      </w:pPr>
      <w:r w:rsidRPr="005616AE">
        <w:rPr>
          <w:rFonts w:cs="Calibri"/>
        </w:rPr>
        <w:t>These items should contain:</w:t>
      </w:r>
    </w:p>
    <w:p w14:paraId="0FFCF986" w14:textId="77777777" w:rsidR="00400DA8" w:rsidRPr="005616AE" w:rsidRDefault="00400DA8" w:rsidP="00384F0C">
      <w:pPr>
        <w:pStyle w:val="ListParagraph"/>
        <w:numPr>
          <w:ilvl w:val="0"/>
          <w:numId w:val="76"/>
        </w:numPr>
        <w:spacing w:after="0"/>
        <w:rPr>
          <w:rFonts w:cs="Calibri"/>
          <w:b/>
          <w:bCs/>
        </w:rPr>
      </w:pPr>
      <w:r w:rsidRPr="005616AE">
        <w:rPr>
          <w:rFonts w:cs="Calibri"/>
          <w:b/>
          <w:bCs/>
        </w:rPr>
        <w:t xml:space="preserve">Loans: </w:t>
      </w:r>
      <w:r w:rsidRPr="005616AE">
        <w:rPr>
          <w:rFonts w:cs="Calibri"/>
        </w:rPr>
        <w:t>Loans with flexible repayment options tailored to the project lifecycles common in the space sector where returns may be longer-term.</w:t>
      </w:r>
    </w:p>
    <w:p w14:paraId="76FD532E" w14:textId="77777777" w:rsidR="00400DA8" w:rsidRPr="005616AE" w:rsidRDefault="00400DA8" w:rsidP="00384F0C">
      <w:pPr>
        <w:pStyle w:val="ListParagraph"/>
        <w:numPr>
          <w:ilvl w:val="0"/>
          <w:numId w:val="76"/>
        </w:numPr>
        <w:spacing w:after="0"/>
        <w:rPr>
          <w:rFonts w:cs="Calibri"/>
        </w:rPr>
      </w:pPr>
      <w:r w:rsidRPr="005616AE">
        <w:rPr>
          <w:rFonts w:cs="Calibri"/>
          <w:b/>
          <w:bCs/>
        </w:rPr>
        <w:t xml:space="preserve">Credit lines: </w:t>
      </w:r>
      <w:r w:rsidRPr="005616AE">
        <w:rPr>
          <w:rFonts w:cs="Calibri"/>
        </w:rPr>
        <w:t>Working capital solutions to support daily operations and growing initiatives allowing firms to borrow money as needed and repay it when cash flow allows.</w:t>
      </w:r>
    </w:p>
    <w:p w14:paraId="6F6D132E" w14:textId="77777777" w:rsidR="00400DA8" w:rsidRPr="005616AE" w:rsidRDefault="00400DA8" w:rsidP="00384F0C">
      <w:pPr>
        <w:pStyle w:val="ListParagraph"/>
        <w:numPr>
          <w:ilvl w:val="0"/>
          <w:numId w:val="76"/>
        </w:numPr>
        <w:spacing w:after="0"/>
        <w:rPr>
          <w:rFonts w:cs="Calibri"/>
        </w:rPr>
      </w:pPr>
      <w:r w:rsidRPr="005616AE">
        <w:rPr>
          <w:rFonts w:cs="Calibri"/>
          <w:b/>
          <w:bCs/>
        </w:rPr>
        <w:t xml:space="preserve">Asset-Backed Securities (ABS): </w:t>
      </w:r>
      <w:r w:rsidRPr="005616AE">
        <w:rPr>
          <w:rFonts w:cs="Calibri"/>
        </w:rPr>
        <w:t>A type of financing in which space sector enterprises can use their assets (such as intellectual property, contracts with CSA or satellite technology) to raise finance allowing them to access funds without reducing stock.</w:t>
      </w:r>
    </w:p>
    <w:p w14:paraId="4685B523" w14:textId="77777777" w:rsidR="00400DA8" w:rsidRPr="005616AE" w:rsidRDefault="00400DA8" w:rsidP="00FD33C3">
      <w:pPr>
        <w:spacing w:after="0"/>
        <w:rPr>
          <w:rFonts w:cs="Calibri"/>
        </w:rPr>
      </w:pPr>
      <w:r w:rsidRPr="005616AE">
        <w:rPr>
          <w:rFonts w:cs="Calibri"/>
        </w:rPr>
        <w:t xml:space="preserve">By developing these services TD Bank can position itself as a vital financial partner to the Canadian aerospace industry providing critical support that </w:t>
      </w:r>
      <w:proofErr w:type="gramStart"/>
      <w:r w:rsidRPr="005616AE">
        <w:rPr>
          <w:rFonts w:cs="Calibri"/>
        </w:rPr>
        <w:t>is tailored</w:t>
      </w:r>
      <w:proofErr w:type="gramEnd"/>
      <w:r w:rsidRPr="005616AE">
        <w:rPr>
          <w:rFonts w:cs="Calibri"/>
        </w:rPr>
        <w:t xml:space="preserve"> to the space sector's particular growth trajectory and capital requirements.</w:t>
      </w:r>
    </w:p>
    <w:p w14:paraId="1282C913" w14:textId="77777777" w:rsidR="00400DA8" w:rsidRPr="005616AE" w:rsidRDefault="00400DA8" w:rsidP="00400DA8">
      <w:pPr>
        <w:pStyle w:val="Heading2"/>
        <w:rPr>
          <w:rFonts w:ascii="Calibri" w:hAnsi="Calibri" w:cs="Calibri"/>
        </w:rPr>
      </w:pPr>
      <w:bookmarkStart w:id="19" w:name="_Toc182000881"/>
      <w:bookmarkStart w:id="20" w:name="_Toc183211040"/>
      <w:r w:rsidRPr="005616AE">
        <w:rPr>
          <w:rFonts w:ascii="Calibri" w:hAnsi="Calibri" w:cs="Calibri"/>
        </w:rPr>
        <w:lastRenderedPageBreak/>
        <w:t>Low-level design</w:t>
      </w:r>
      <w:bookmarkEnd w:id="19"/>
      <w:bookmarkEnd w:id="20"/>
      <w:r w:rsidRPr="005616AE">
        <w:rPr>
          <w:rFonts w:ascii="Calibri" w:hAnsi="Calibri" w:cs="Calibri"/>
        </w:rPr>
        <w:t> </w:t>
      </w:r>
    </w:p>
    <w:p w14:paraId="3E688AB6" w14:textId="62D5A7C9" w:rsidR="00400DA8" w:rsidRPr="005616AE" w:rsidRDefault="00400DA8" w:rsidP="00C70A29">
      <w:pPr>
        <w:spacing w:after="0"/>
        <w:rPr>
          <w:rFonts w:cs="Calibri"/>
          <w:b/>
          <w:bCs/>
        </w:rPr>
      </w:pPr>
      <w:r w:rsidRPr="005616AE">
        <w:rPr>
          <w:rFonts w:cs="Calibri"/>
          <w:b/>
          <w:bCs/>
        </w:rPr>
        <w:t>Product offering structure and lending parameters</w:t>
      </w:r>
    </w:p>
    <w:p w14:paraId="4B9E336B" w14:textId="77777777" w:rsidR="00400DA8" w:rsidRPr="005616AE" w:rsidRDefault="00400DA8" w:rsidP="00052D97">
      <w:pPr>
        <w:pStyle w:val="ListParagraph"/>
        <w:numPr>
          <w:ilvl w:val="0"/>
          <w:numId w:val="13"/>
        </w:numPr>
        <w:spacing w:after="0"/>
        <w:rPr>
          <w:rFonts w:cs="Calibri"/>
        </w:rPr>
      </w:pPr>
      <w:r w:rsidRPr="005616AE">
        <w:rPr>
          <w:rFonts w:cs="Calibri"/>
          <w:b/>
          <w:bCs/>
        </w:rPr>
        <w:t>Customised Loan Terms:</w:t>
      </w:r>
      <w:r w:rsidRPr="005616AE">
        <w:rPr>
          <w:rFonts w:cs="Calibri"/>
        </w:rPr>
        <w:t xml:space="preserve"> Loans will </w:t>
      </w:r>
      <w:proofErr w:type="gramStart"/>
      <w:r w:rsidRPr="005616AE">
        <w:rPr>
          <w:rFonts w:cs="Calibri"/>
        </w:rPr>
        <w:t>be structured</w:t>
      </w:r>
      <w:proofErr w:type="gramEnd"/>
      <w:r w:rsidRPr="005616AE">
        <w:rPr>
          <w:rFonts w:cs="Calibri"/>
        </w:rPr>
        <w:t xml:space="preserve"> around space sector enterprises' specific milestones and revenue predictions which frequently require lengthy development periods before generating regular revenue. Terms may include:</w:t>
      </w:r>
    </w:p>
    <w:p w14:paraId="0F277EC5" w14:textId="77777777" w:rsidR="00400DA8" w:rsidRPr="005616AE" w:rsidRDefault="00400DA8" w:rsidP="00052D97">
      <w:pPr>
        <w:pStyle w:val="ListParagraph"/>
        <w:numPr>
          <w:ilvl w:val="0"/>
          <w:numId w:val="13"/>
        </w:numPr>
        <w:spacing w:after="0"/>
        <w:rPr>
          <w:rFonts w:cs="Calibri"/>
        </w:rPr>
      </w:pPr>
      <w:r w:rsidRPr="005616AE">
        <w:rPr>
          <w:rFonts w:cs="Calibri"/>
          <w:b/>
          <w:bCs/>
        </w:rPr>
        <w:t>Deferred Payment Options:</w:t>
      </w:r>
      <w:r w:rsidRPr="005616AE">
        <w:rPr>
          <w:rFonts w:cs="Calibri"/>
        </w:rPr>
        <w:t xml:space="preserve"> Grant exceptions until projects reach major milestones or generate income.</w:t>
      </w:r>
    </w:p>
    <w:p w14:paraId="7936F872" w14:textId="77777777" w:rsidR="00400DA8" w:rsidRPr="005616AE" w:rsidRDefault="00400DA8" w:rsidP="00052D97">
      <w:pPr>
        <w:pStyle w:val="ListParagraph"/>
        <w:numPr>
          <w:ilvl w:val="0"/>
          <w:numId w:val="13"/>
        </w:numPr>
        <w:spacing w:after="0"/>
        <w:rPr>
          <w:rFonts w:cs="Calibri"/>
        </w:rPr>
      </w:pPr>
      <w:r w:rsidRPr="005616AE">
        <w:rPr>
          <w:rFonts w:cs="Calibri"/>
          <w:b/>
          <w:bCs/>
        </w:rPr>
        <w:t>Extended Loan Terms</w:t>
      </w:r>
      <w:r w:rsidRPr="005616AE">
        <w:rPr>
          <w:rFonts w:cs="Calibri"/>
        </w:rPr>
        <w:t>: To account for the extended timescales needed for aerospace breakthroughs to mature.</w:t>
      </w:r>
    </w:p>
    <w:p w14:paraId="4CE6260C" w14:textId="77777777" w:rsidR="00400DA8" w:rsidRPr="005616AE" w:rsidRDefault="00400DA8" w:rsidP="00052D97">
      <w:pPr>
        <w:pStyle w:val="ListParagraph"/>
        <w:numPr>
          <w:ilvl w:val="0"/>
          <w:numId w:val="13"/>
        </w:numPr>
        <w:spacing w:after="0"/>
        <w:rPr>
          <w:rFonts w:cs="Calibri"/>
        </w:rPr>
      </w:pPr>
      <w:r w:rsidRPr="005616AE">
        <w:rPr>
          <w:rFonts w:cs="Calibri"/>
          <w:b/>
          <w:bCs/>
        </w:rPr>
        <w:t>Competitive Interest Rates:</w:t>
      </w:r>
      <w:r w:rsidRPr="005616AE">
        <w:rPr>
          <w:rFonts w:cs="Calibri"/>
        </w:rPr>
        <w:t xml:space="preserve"> Rates are set to match the </w:t>
      </w:r>
      <w:proofErr w:type="gramStart"/>
      <w:r w:rsidRPr="005616AE">
        <w:rPr>
          <w:rFonts w:cs="Calibri"/>
        </w:rPr>
        <w:t>strong growth</w:t>
      </w:r>
      <w:proofErr w:type="gramEnd"/>
      <w:r w:rsidRPr="005616AE">
        <w:rPr>
          <w:rFonts w:cs="Calibri"/>
        </w:rPr>
        <w:t xml:space="preserve"> potential of space entrepreneurs with TD Bank's risk exposure.</w:t>
      </w:r>
    </w:p>
    <w:p w14:paraId="344E8548" w14:textId="77777777" w:rsidR="00400DA8" w:rsidRPr="005616AE" w:rsidRDefault="00400DA8" w:rsidP="00C70A29">
      <w:pPr>
        <w:spacing w:after="0"/>
        <w:rPr>
          <w:rFonts w:cs="Calibri"/>
          <w:b/>
          <w:bCs/>
        </w:rPr>
      </w:pPr>
      <w:r w:rsidRPr="005616AE">
        <w:rPr>
          <w:rFonts w:cs="Calibri"/>
          <w:b/>
          <w:bCs/>
        </w:rPr>
        <w:t>Flexible Credit Lines</w:t>
      </w:r>
    </w:p>
    <w:p w14:paraId="435BFCB7" w14:textId="77777777" w:rsidR="00400DA8" w:rsidRPr="005616AE" w:rsidRDefault="00400DA8" w:rsidP="00C70A29">
      <w:pPr>
        <w:spacing w:after="0"/>
        <w:rPr>
          <w:rFonts w:cs="Calibri"/>
        </w:rPr>
      </w:pPr>
      <w:r w:rsidRPr="005616AE">
        <w:rPr>
          <w:rFonts w:cs="Calibri"/>
        </w:rPr>
        <w:t xml:space="preserve">Space enterprises particularly those in early development may require revolving credit payroll and operations expenses. </w:t>
      </w:r>
    </w:p>
    <w:p w14:paraId="3AFABEFD" w14:textId="743C7257" w:rsidR="00400DA8" w:rsidRPr="005616AE" w:rsidRDefault="00400DA8" w:rsidP="00C70A29">
      <w:pPr>
        <w:spacing w:after="0"/>
        <w:rPr>
          <w:rFonts w:cs="Calibri"/>
        </w:rPr>
      </w:pPr>
      <w:r w:rsidRPr="005616AE">
        <w:rPr>
          <w:rFonts w:cs="Calibri"/>
        </w:rPr>
        <w:t>The credit lines will</w:t>
      </w:r>
    </w:p>
    <w:p w14:paraId="407DC6D4" w14:textId="77777777" w:rsidR="00400DA8" w:rsidRPr="005616AE" w:rsidRDefault="00400DA8" w:rsidP="00384F0C">
      <w:pPr>
        <w:pStyle w:val="ListParagraph"/>
        <w:numPr>
          <w:ilvl w:val="0"/>
          <w:numId w:val="69"/>
        </w:numPr>
        <w:spacing w:after="0"/>
        <w:rPr>
          <w:rFonts w:cs="Calibri"/>
        </w:rPr>
      </w:pPr>
      <w:r w:rsidRPr="005616AE">
        <w:rPr>
          <w:rFonts w:cs="Calibri"/>
        </w:rPr>
        <w:t>Allow entrepreneurs to access funds as needed with flexible repayment periods.</w:t>
      </w:r>
    </w:p>
    <w:p w14:paraId="34418177" w14:textId="77777777" w:rsidR="00400DA8" w:rsidRPr="005616AE" w:rsidRDefault="00400DA8" w:rsidP="00384F0C">
      <w:pPr>
        <w:pStyle w:val="ListParagraph"/>
        <w:numPr>
          <w:ilvl w:val="0"/>
          <w:numId w:val="69"/>
        </w:numPr>
        <w:spacing w:after="0"/>
        <w:rPr>
          <w:rFonts w:cs="Calibri"/>
        </w:rPr>
      </w:pPr>
      <w:r w:rsidRPr="005616AE">
        <w:rPr>
          <w:rFonts w:cs="Calibri"/>
        </w:rPr>
        <w:t>Scalability is a feature that allows credit limitations to alter as businesses expand and secure contracts particularly those sponsored by the CSA.</w:t>
      </w:r>
    </w:p>
    <w:p w14:paraId="501092E3" w14:textId="77777777" w:rsidR="00400DA8" w:rsidRPr="005616AE" w:rsidRDefault="00400DA8" w:rsidP="00F3048B">
      <w:pPr>
        <w:spacing w:after="0"/>
        <w:rPr>
          <w:rFonts w:cs="Calibri"/>
        </w:rPr>
      </w:pPr>
      <w:r w:rsidRPr="005616AE">
        <w:rPr>
          <w:rFonts w:cs="Calibri"/>
          <w:b/>
          <w:bCs/>
        </w:rPr>
        <w:t>Asset-Backed Securities (ABS):</w:t>
      </w:r>
      <w:r w:rsidRPr="005616AE">
        <w:rPr>
          <w:rFonts w:cs="Calibri"/>
        </w:rPr>
        <w:t xml:space="preserve"> ABS offerings may enable enterprises with established tangible assets or contractual commitments with the CSA to leverage these for funding. </w:t>
      </w:r>
    </w:p>
    <w:p w14:paraId="26DFF472" w14:textId="77777777" w:rsidR="00400DA8" w:rsidRPr="005616AE" w:rsidRDefault="00400DA8" w:rsidP="00C70A29">
      <w:pPr>
        <w:spacing w:after="0"/>
        <w:rPr>
          <w:rFonts w:cs="Calibri"/>
        </w:rPr>
      </w:pPr>
      <w:r w:rsidRPr="005616AE">
        <w:rPr>
          <w:rFonts w:cs="Calibri"/>
        </w:rPr>
        <w:t>This may include:</w:t>
      </w:r>
    </w:p>
    <w:p w14:paraId="78B1750E" w14:textId="77777777" w:rsidR="00400DA8" w:rsidRPr="005616AE" w:rsidRDefault="00400DA8" w:rsidP="00384F0C">
      <w:pPr>
        <w:pStyle w:val="ListParagraph"/>
        <w:numPr>
          <w:ilvl w:val="0"/>
          <w:numId w:val="70"/>
        </w:numPr>
        <w:spacing w:after="0"/>
        <w:rPr>
          <w:rFonts w:cs="Calibri"/>
        </w:rPr>
      </w:pPr>
      <w:r w:rsidRPr="005616AE">
        <w:rPr>
          <w:rFonts w:cs="Calibri"/>
        </w:rPr>
        <w:t>Loans backed by certain high-value assets such as satellite technology or intellectual property (IP).</w:t>
      </w:r>
    </w:p>
    <w:p w14:paraId="4AE48A67" w14:textId="77777777" w:rsidR="00400DA8" w:rsidRPr="005616AE" w:rsidRDefault="00400DA8" w:rsidP="00384F0C">
      <w:pPr>
        <w:pStyle w:val="ListParagraph"/>
        <w:numPr>
          <w:ilvl w:val="0"/>
          <w:numId w:val="70"/>
        </w:numPr>
        <w:spacing w:after="0"/>
        <w:rPr>
          <w:rFonts w:cs="Calibri"/>
        </w:rPr>
      </w:pPr>
      <w:r w:rsidRPr="005616AE">
        <w:rPr>
          <w:rFonts w:cs="Calibri"/>
        </w:rPr>
        <w:t>CSA-backed contracts as collateral Using CSA partnership agreements as a form of security companies can obtain finance at cheaper interest rates.</w:t>
      </w:r>
    </w:p>
    <w:p w14:paraId="26238207" w14:textId="00BEB18A" w:rsidR="00400DA8" w:rsidRPr="005616AE" w:rsidRDefault="00400DA8" w:rsidP="00F3048B">
      <w:pPr>
        <w:spacing w:after="0"/>
        <w:rPr>
          <w:rFonts w:cs="Calibri"/>
        </w:rPr>
      </w:pPr>
      <w:r w:rsidRPr="005616AE">
        <w:rPr>
          <w:rFonts w:cs="Calibri"/>
          <w:b/>
          <w:bCs/>
        </w:rPr>
        <w:t>Operational Scalability:</w:t>
      </w:r>
      <w:r w:rsidRPr="005616AE">
        <w:rPr>
          <w:rFonts w:cs="Calibri"/>
        </w:rPr>
        <w:t xml:space="preserve"> As space sector enterprises grow TD Bank can design products that grow in lockstep with the company's trajectory allowing TD to capture a larger share of financing needs over time.</w:t>
      </w:r>
    </w:p>
    <w:p w14:paraId="3B400DF3" w14:textId="77777777" w:rsidR="00400DA8" w:rsidRPr="005616AE" w:rsidRDefault="00400DA8" w:rsidP="00400DA8">
      <w:pPr>
        <w:pStyle w:val="Heading2"/>
        <w:rPr>
          <w:rFonts w:ascii="Calibri" w:hAnsi="Calibri" w:cs="Calibri"/>
        </w:rPr>
      </w:pPr>
      <w:bookmarkStart w:id="21" w:name="_Toc182000882"/>
      <w:bookmarkStart w:id="22" w:name="_Toc183211041"/>
      <w:r w:rsidRPr="005616AE">
        <w:rPr>
          <w:rFonts w:ascii="Calibri" w:hAnsi="Calibri" w:cs="Calibri"/>
        </w:rPr>
        <w:t>Impact Analysis</w:t>
      </w:r>
      <w:bookmarkEnd w:id="21"/>
      <w:bookmarkEnd w:id="22"/>
    </w:p>
    <w:p w14:paraId="23640117" w14:textId="0A526C51" w:rsidR="00400DA8" w:rsidRPr="005616AE" w:rsidRDefault="00400DA8" w:rsidP="001B309A">
      <w:pPr>
        <w:spacing w:after="0"/>
        <w:rPr>
          <w:rFonts w:cs="Calibri"/>
          <w:b/>
          <w:bCs/>
        </w:rPr>
      </w:pPr>
      <w:r w:rsidRPr="005616AE">
        <w:rPr>
          <w:rFonts w:cs="Calibri"/>
          <w:b/>
          <w:bCs/>
        </w:rPr>
        <w:t>Market Differentiation and Brand Positioning</w:t>
      </w:r>
    </w:p>
    <w:p w14:paraId="4E8A92B7" w14:textId="77777777" w:rsidR="00400DA8" w:rsidRPr="005616AE" w:rsidRDefault="00400DA8" w:rsidP="00384F0C">
      <w:pPr>
        <w:numPr>
          <w:ilvl w:val="0"/>
          <w:numId w:val="15"/>
        </w:numPr>
        <w:spacing w:after="0"/>
        <w:rPr>
          <w:rFonts w:cs="Calibri"/>
        </w:rPr>
      </w:pPr>
      <w:r w:rsidRPr="005616AE">
        <w:rPr>
          <w:rFonts w:cs="Calibri"/>
          <w:b/>
          <w:bCs/>
        </w:rPr>
        <w:t xml:space="preserve">Special Financing Leader: </w:t>
      </w:r>
      <w:r w:rsidRPr="005616AE">
        <w:rPr>
          <w:rFonts w:cs="Calibri"/>
        </w:rPr>
        <w:t>By producing these space-specific financial solutions TD Bank may position itself as the leading financial institution in Canada's space sector distinguishing itself from competitors.</w:t>
      </w:r>
    </w:p>
    <w:p w14:paraId="352B5BA2" w14:textId="77777777" w:rsidR="00400DA8" w:rsidRPr="005616AE" w:rsidRDefault="00400DA8" w:rsidP="00384F0C">
      <w:pPr>
        <w:numPr>
          <w:ilvl w:val="0"/>
          <w:numId w:val="15"/>
        </w:numPr>
        <w:spacing w:after="0"/>
        <w:rPr>
          <w:rFonts w:cs="Calibri"/>
          <w:b/>
          <w:bCs/>
        </w:rPr>
      </w:pPr>
      <w:r w:rsidRPr="005616AE">
        <w:rPr>
          <w:rFonts w:cs="Calibri"/>
          <w:b/>
          <w:bCs/>
        </w:rPr>
        <w:t xml:space="preserve">Long-Term Customer Commitment: </w:t>
      </w:r>
      <w:r w:rsidRPr="005616AE">
        <w:rPr>
          <w:rFonts w:cs="Calibri"/>
        </w:rPr>
        <w:t>Building ties with high-potential aerospace startups will help ensure long-term commitment as these companies grow potentially making TD their primary banking partner.</w:t>
      </w:r>
    </w:p>
    <w:p w14:paraId="5B6737EE" w14:textId="77777777" w:rsidR="00400DA8" w:rsidRPr="005616AE" w:rsidRDefault="00400DA8" w:rsidP="00384F0C">
      <w:pPr>
        <w:numPr>
          <w:ilvl w:val="0"/>
          <w:numId w:val="15"/>
        </w:numPr>
        <w:spacing w:after="0"/>
        <w:rPr>
          <w:rFonts w:cs="Calibri"/>
          <w:b/>
          <w:bCs/>
        </w:rPr>
      </w:pPr>
      <w:r w:rsidRPr="005616AE">
        <w:rPr>
          <w:rFonts w:cs="Calibri"/>
          <w:b/>
          <w:bCs/>
        </w:rPr>
        <w:t xml:space="preserve">New Customer Segments: </w:t>
      </w:r>
      <w:r w:rsidRPr="005616AE">
        <w:rPr>
          <w:rFonts w:cs="Calibri"/>
        </w:rPr>
        <w:t>This focus creates a currently untapped market sector in aerospace finance attracting technology-driven and environmentally concerned customers interested in space-related enterprises which is consistent with TD's commitment to innovation and sustainability.</w:t>
      </w:r>
    </w:p>
    <w:p w14:paraId="21D99CC0" w14:textId="77777777" w:rsidR="00400DA8" w:rsidRPr="005616AE" w:rsidRDefault="00400DA8" w:rsidP="00384F0C">
      <w:pPr>
        <w:numPr>
          <w:ilvl w:val="0"/>
          <w:numId w:val="15"/>
        </w:numPr>
        <w:spacing w:after="0"/>
        <w:rPr>
          <w:rFonts w:cs="Calibri"/>
        </w:rPr>
      </w:pPr>
      <w:r w:rsidRPr="005616AE">
        <w:rPr>
          <w:rFonts w:cs="Calibri"/>
          <w:b/>
          <w:bCs/>
        </w:rPr>
        <w:t xml:space="preserve">Increased Market Share: </w:t>
      </w:r>
      <w:r w:rsidRPr="005616AE">
        <w:rPr>
          <w:rFonts w:cs="Calibri"/>
        </w:rPr>
        <w:t>By establishing TD Bank as a helpful and forward-thinking financier in the space sector this strategy may result in a considerable increase in TD's market share among tech-driven entrepreneurs.</w:t>
      </w:r>
    </w:p>
    <w:p w14:paraId="345F2BD2" w14:textId="77777777" w:rsidR="00400DA8" w:rsidRPr="005616AE" w:rsidRDefault="00400DA8" w:rsidP="00384F0C">
      <w:pPr>
        <w:numPr>
          <w:ilvl w:val="0"/>
          <w:numId w:val="15"/>
        </w:numPr>
        <w:spacing w:after="0"/>
        <w:rPr>
          <w:rFonts w:cs="Calibri"/>
        </w:rPr>
      </w:pPr>
      <w:r w:rsidRPr="005616AE">
        <w:rPr>
          <w:rFonts w:cs="Calibri"/>
          <w:b/>
          <w:bCs/>
        </w:rPr>
        <w:lastRenderedPageBreak/>
        <w:t xml:space="preserve">Revenue Potential: </w:t>
      </w:r>
      <w:r w:rsidRPr="005616AE">
        <w:rPr>
          <w:rFonts w:cs="Calibri"/>
        </w:rPr>
        <w:t>As the space economy evolves the projected returns on these financial products might significantly increase TD's total profitability. The bank can capitalise on the space sector's predicted annual growth rate of 6-8% per year resulting in a consistent increase in returns from this specialist industry.</w:t>
      </w:r>
    </w:p>
    <w:p w14:paraId="4220E85D" w14:textId="77777777" w:rsidR="00400DA8" w:rsidRPr="005616AE" w:rsidRDefault="00400DA8" w:rsidP="00400DA8">
      <w:pPr>
        <w:pStyle w:val="Heading2"/>
        <w:rPr>
          <w:rFonts w:ascii="Calibri" w:hAnsi="Calibri" w:cs="Calibri"/>
        </w:rPr>
      </w:pPr>
      <w:bookmarkStart w:id="23" w:name="_Toc182000883"/>
      <w:bookmarkStart w:id="24" w:name="_Toc183211042"/>
      <w:r w:rsidRPr="005616AE">
        <w:rPr>
          <w:rFonts w:ascii="Calibri" w:hAnsi="Calibri" w:cs="Calibri"/>
        </w:rPr>
        <w:t>Out of Scope</w:t>
      </w:r>
      <w:bookmarkEnd w:id="23"/>
      <w:bookmarkEnd w:id="24"/>
    </w:p>
    <w:p w14:paraId="037EFFCC" w14:textId="77777777" w:rsidR="00400DA8" w:rsidRPr="005616AE" w:rsidRDefault="00400DA8" w:rsidP="001B309A">
      <w:pPr>
        <w:spacing w:after="0"/>
        <w:rPr>
          <w:rFonts w:cs="Calibri"/>
        </w:rPr>
      </w:pPr>
      <w:r w:rsidRPr="005616AE">
        <w:rPr>
          <w:rFonts w:cs="Calibri"/>
          <w:b/>
          <w:bCs/>
        </w:rPr>
        <w:t>Non-CSA-Endorsed Ventures:</w:t>
      </w:r>
      <w:r w:rsidRPr="005616AE">
        <w:rPr>
          <w:rFonts w:cs="Calibri"/>
        </w:rPr>
        <w:t xml:space="preserve"> The financial solutions offered by this effort will specifically target enterprises with CSA partnerships or contracts to reduce risk and increase trust.</w:t>
      </w:r>
    </w:p>
    <w:p w14:paraId="3A27D794" w14:textId="77777777" w:rsidR="00400DA8" w:rsidRPr="005616AE" w:rsidRDefault="00400DA8" w:rsidP="001B309A">
      <w:pPr>
        <w:spacing w:after="0"/>
        <w:rPr>
          <w:rFonts w:cs="Calibri"/>
        </w:rPr>
      </w:pPr>
      <w:r w:rsidRPr="005616AE">
        <w:rPr>
          <w:rFonts w:cs="Calibri"/>
        </w:rPr>
        <w:t xml:space="preserve">High-risk ventures. </w:t>
      </w:r>
    </w:p>
    <w:p w14:paraId="25861186" w14:textId="77777777" w:rsidR="00400DA8" w:rsidRPr="005616AE" w:rsidRDefault="00400DA8" w:rsidP="001B309A">
      <w:pPr>
        <w:spacing w:after="0"/>
        <w:rPr>
          <w:rFonts w:cs="Calibri"/>
        </w:rPr>
      </w:pPr>
      <w:r w:rsidRPr="005616AE">
        <w:rPr>
          <w:rFonts w:cs="Calibri"/>
          <w:b/>
          <w:bCs/>
        </w:rPr>
        <w:t>Outside of the CSA Collaboration:</w:t>
      </w:r>
      <w:r w:rsidRPr="005616AE">
        <w:rPr>
          <w:rFonts w:cs="Calibri"/>
        </w:rPr>
        <w:t xml:space="preserve"> Space projects or startups that </w:t>
      </w:r>
      <w:proofErr w:type="gramStart"/>
      <w:r w:rsidRPr="005616AE">
        <w:rPr>
          <w:rFonts w:cs="Calibri"/>
        </w:rPr>
        <w:t>are not CSA-backed</w:t>
      </w:r>
      <w:proofErr w:type="gramEnd"/>
      <w:r w:rsidRPr="005616AE">
        <w:rPr>
          <w:rFonts w:cs="Calibri"/>
        </w:rPr>
        <w:t xml:space="preserve"> are excluded from this financing model to reduce risk exposure.</w:t>
      </w:r>
    </w:p>
    <w:p w14:paraId="235B0378" w14:textId="77777777" w:rsidR="00400DA8" w:rsidRPr="005616AE" w:rsidRDefault="00400DA8" w:rsidP="001B309A">
      <w:pPr>
        <w:spacing w:after="0"/>
        <w:rPr>
          <w:rFonts w:cs="Calibri"/>
        </w:rPr>
      </w:pPr>
      <w:r w:rsidRPr="005616AE">
        <w:rPr>
          <w:rFonts w:cs="Calibri"/>
          <w:b/>
          <w:bCs/>
        </w:rPr>
        <w:t>Direct Investment in Space Technological Development:</w:t>
      </w:r>
      <w:r w:rsidRPr="005616AE">
        <w:rPr>
          <w:rFonts w:cs="Calibri"/>
        </w:rPr>
        <w:t xml:space="preserve"> TD will not participate directly in technological R&amp;D or development but will instead finance and support those who collaborate with CSA.</w:t>
      </w:r>
    </w:p>
    <w:p w14:paraId="75A0D880" w14:textId="77777777" w:rsidR="00400DA8" w:rsidRPr="005616AE" w:rsidRDefault="00400DA8" w:rsidP="00400DA8">
      <w:pPr>
        <w:pStyle w:val="Heading2"/>
        <w:rPr>
          <w:rFonts w:ascii="Calibri" w:hAnsi="Calibri" w:cs="Calibri"/>
        </w:rPr>
      </w:pPr>
      <w:bookmarkStart w:id="25" w:name="_Toc182000884"/>
      <w:bookmarkStart w:id="26" w:name="_Toc183211043"/>
      <w:r w:rsidRPr="005616AE">
        <w:rPr>
          <w:rFonts w:ascii="Calibri" w:hAnsi="Calibri" w:cs="Calibri"/>
        </w:rPr>
        <w:t>Risk and Mitigation</w:t>
      </w:r>
      <w:bookmarkEnd w:id="25"/>
      <w:bookmarkEnd w:id="26"/>
    </w:p>
    <w:p w14:paraId="369E9266" w14:textId="77777777" w:rsidR="00400DA8" w:rsidRPr="005616AE" w:rsidRDefault="00400DA8" w:rsidP="005E0F44">
      <w:pPr>
        <w:spacing w:after="0"/>
        <w:rPr>
          <w:rFonts w:cs="Calibri"/>
        </w:rPr>
      </w:pPr>
      <w:r w:rsidRPr="005616AE">
        <w:rPr>
          <w:rFonts w:cs="Calibri"/>
          <w:b/>
          <w:bCs/>
        </w:rPr>
        <w:t>Default Risk from Startups:</w:t>
      </w:r>
      <w:r w:rsidRPr="005616AE">
        <w:rPr>
          <w:rFonts w:cs="Calibri"/>
        </w:rPr>
        <w:t xml:space="preserve"> The space industry is inherently high-risk with long lead periods and considerable capital requirements before profitability. This raises the risk of loan default particularly among early-stage enterprises that are still developing technologies or scaling operations.</w:t>
      </w:r>
    </w:p>
    <w:p w14:paraId="7C631C1B" w14:textId="54C7F250" w:rsidR="00400DA8" w:rsidRPr="005616AE" w:rsidRDefault="00400DA8" w:rsidP="005E0F44">
      <w:pPr>
        <w:spacing w:after="0"/>
        <w:rPr>
          <w:rFonts w:cs="Calibri"/>
          <w:b/>
          <w:bCs/>
        </w:rPr>
      </w:pPr>
      <w:r w:rsidRPr="005616AE">
        <w:rPr>
          <w:rFonts w:cs="Calibri"/>
          <w:b/>
          <w:bCs/>
        </w:rPr>
        <w:t>Mitigation Strategies</w:t>
      </w:r>
    </w:p>
    <w:p w14:paraId="013A3BD6" w14:textId="77777777" w:rsidR="00400DA8" w:rsidRPr="005616AE" w:rsidRDefault="00400DA8" w:rsidP="00384F0C">
      <w:pPr>
        <w:numPr>
          <w:ilvl w:val="0"/>
          <w:numId w:val="14"/>
        </w:numPr>
        <w:spacing w:after="0"/>
        <w:rPr>
          <w:rFonts w:cs="Calibri"/>
        </w:rPr>
      </w:pPr>
      <w:r w:rsidRPr="005616AE">
        <w:rPr>
          <w:rFonts w:cs="Calibri"/>
          <w:b/>
          <w:bCs/>
        </w:rPr>
        <w:t>Collaborative Testing with CSA:</w:t>
      </w:r>
      <w:r w:rsidRPr="005616AE">
        <w:rPr>
          <w:rFonts w:cs="Calibri"/>
        </w:rPr>
        <w:t xml:space="preserve"> To reduce risk TD Bank would collaborate closely with the CSA to discover and evaluate businesses with strong potential for stability and growth. Using CSA's insights and help TD can better examine the sustainability of each company's business strategy and technological improvements.</w:t>
      </w:r>
    </w:p>
    <w:p w14:paraId="32163651" w14:textId="77777777" w:rsidR="00400DA8" w:rsidRPr="005616AE" w:rsidRDefault="00400DA8" w:rsidP="00384F0C">
      <w:pPr>
        <w:numPr>
          <w:ilvl w:val="0"/>
          <w:numId w:val="14"/>
        </w:numPr>
        <w:spacing w:after="0"/>
        <w:rPr>
          <w:rFonts w:cs="Calibri"/>
        </w:rPr>
      </w:pPr>
      <w:r w:rsidRPr="005616AE">
        <w:rPr>
          <w:rFonts w:cs="Calibri"/>
          <w:b/>
          <w:bCs/>
        </w:rPr>
        <w:t>Collateral Requirements:</w:t>
      </w:r>
      <w:r w:rsidRPr="005616AE">
        <w:rPr>
          <w:rFonts w:cs="Calibri"/>
        </w:rPr>
        <w:t xml:space="preserve"> To reduce liability in the event of default on loans involving asset-backed securities. TD Bank may request collateral in the form of intellectual property, </w:t>
      </w:r>
      <w:proofErr w:type="gramStart"/>
      <w:r w:rsidRPr="005616AE">
        <w:rPr>
          <w:rFonts w:cs="Calibri"/>
        </w:rPr>
        <w:t>equipment</w:t>
      </w:r>
      <w:proofErr w:type="gramEnd"/>
      <w:r w:rsidRPr="005616AE">
        <w:rPr>
          <w:rFonts w:cs="Calibri"/>
        </w:rPr>
        <w:t> or contracts. The bank may also structure loan agreements to include exclusive rights to specific technology or intellectual property as collateral so preserving its investment.</w:t>
      </w:r>
    </w:p>
    <w:p w14:paraId="192E9666" w14:textId="77777777" w:rsidR="00400DA8" w:rsidRPr="005616AE" w:rsidRDefault="00400DA8" w:rsidP="00384F0C">
      <w:pPr>
        <w:numPr>
          <w:ilvl w:val="0"/>
          <w:numId w:val="14"/>
        </w:numPr>
        <w:spacing w:after="0"/>
        <w:rPr>
          <w:rFonts w:cs="Calibri"/>
        </w:rPr>
      </w:pPr>
      <w:r w:rsidRPr="005616AE">
        <w:rPr>
          <w:rFonts w:cs="Calibri"/>
          <w:b/>
          <w:bCs/>
        </w:rPr>
        <w:t>Gradual Capital Allocation:</w:t>
      </w:r>
      <w:r w:rsidRPr="005616AE">
        <w:rPr>
          <w:rFonts w:cs="Calibri"/>
        </w:rPr>
        <w:t xml:space="preserve"> Start with cautious credit limits and gradually increase financing as firms meet verifiable milestones.</w:t>
      </w:r>
    </w:p>
    <w:p w14:paraId="2F4784F7" w14:textId="09B21811" w:rsidR="00400DA8" w:rsidRPr="005616AE" w:rsidRDefault="00400DA8" w:rsidP="00384F0C">
      <w:pPr>
        <w:numPr>
          <w:ilvl w:val="0"/>
          <w:numId w:val="14"/>
        </w:numPr>
        <w:spacing w:after="0"/>
        <w:rPr>
          <w:rFonts w:cs="Calibri"/>
        </w:rPr>
      </w:pPr>
      <w:r w:rsidRPr="005616AE">
        <w:rPr>
          <w:rFonts w:cs="Calibri"/>
          <w:b/>
          <w:bCs/>
        </w:rPr>
        <w:t>Adjustable Interest Rates Based on Performance:</w:t>
      </w:r>
      <w:r w:rsidRPr="005616AE">
        <w:rPr>
          <w:rFonts w:cs="Calibri"/>
        </w:rPr>
        <w:t xml:space="preserve"> By modifying interest rates to reflect each startup's development and risk profile TD Bank can better manage its profitability. Companies with a higher risk profile may face </w:t>
      </w:r>
      <w:proofErr w:type="gramStart"/>
      <w:r w:rsidRPr="005616AE">
        <w:rPr>
          <w:rFonts w:cs="Calibri"/>
        </w:rPr>
        <w:t>somewhat higher</w:t>
      </w:r>
      <w:proofErr w:type="gramEnd"/>
      <w:r w:rsidRPr="005616AE">
        <w:rPr>
          <w:rFonts w:cs="Calibri"/>
        </w:rPr>
        <w:t xml:space="preserve"> rates unless they demonstrate steady growth or acquire new capital.</w:t>
      </w:r>
    </w:p>
    <w:p w14:paraId="65C4D55A" w14:textId="77777777" w:rsidR="00400DA8" w:rsidRPr="005616AE" w:rsidRDefault="00400DA8" w:rsidP="00400DA8">
      <w:pPr>
        <w:pStyle w:val="Heading1"/>
        <w:rPr>
          <w:rFonts w:ascii="Calibri" w:hAnsi="Calibri" w:cs="Calibri"/>
        </w:rPr>
      </w:pPr>
      <w:bookmarkStart w:id="27" w:name="_Toc183211044"/>
      <w:r w:rsidRPr="005616AE">
        <w:rPr>
          <w:rFonts w:ascii="Calibri" w:hAnsi="Calibri" w:cs="Calibri"/>
        </w:rPr>
        <w:t xml:space="preserve">Solution 3: TD’s Logistics Leap: The </w:t>
      </w:r>
      <w:proofErr w:type="spellStart"/>
      <w:r w:rsidRPr="005616AE">
        <w:rPr>
          <w:rFonts w:ascii="Calibri" w:hAnsi="Calibri" w:cs="Calibri"/>
        </w:rPr>
        <w:t>TForce</w:t>
      </w:r>
      <w:proofErr w:type="spellEnd"/>
      <w:r w:rsidRPr="005616AE">
        <w:rPr>
          <w:rFonts w:ascii="Calibri" w:hAnsi="Calibri" w:cs="Calibri"/>
        </w:rPr>
        <w:t xml:space="preserve"> Acquisition</w:t>
      </w:r>
      <w:bookmarkEnd w:id="27"/>
      <w:r w:rsidRPr="005616AE">
        <w:rPr>
          <w:rFonts w:ascii="Calibri" w:hAnsi="Calibri" w:cs="Calibri"/>
        </w:rPr>
        <w:t xml:space="preserve"> </w:t>
      </w:r>
    </w:p>
    <w:p w14:paraId="4B39C92E" w14:textId="77777777" w:rsidR="00400DA8" w:rsidRPr="005616AE" w:rsidRDefault="00400DA8" w:rsidP="00400DA8">
      <w:pPr>
        <w:pStyle w:val="Heading2"/>
        <w:rPr>
          <w:rFonts w:ascii="Calibri" w:hAnsi="Calibri" w:cs="Calibri"/>
        </w:rPr>
      </w:pPr>
      <w:bookmarkStart w:id="28" w:name="_Toc183211045"/>
      <w:r w:rsidRPr="005616AE">
        <w:rPr>
          <w:rFonts w:ascii="Calibri" w:hAnsi="Calibri" w:cs="Calibri"/>
        </w:rPr>
        <w:t>High-Level Design</w:t>
      </w:r>
      <w:bookmarkEnd w:id="28"/>
    </w:p>
    <w:p w14:paraId="02E7C607" w14:textId="77777777" w:rsidR="00400DA8" w:rsidRPr="005616AE" w:rsidRDefault="00400DA8" w:rsidP="005E0F44">
      <w:pPr>
        <w:spacing w:after="0"/>
        <w:rPr>
          <w:rFonts w:cs="Calibri"/>
        </w:rPr>
      </w:pPr>
      <w:proofErr w:type="spellStart"/>
      <w:r w:rsidRPr="005616AE">
        <w:rPr>
          <w:rFonts w:cs="Calibri"/>
        </w:rPr>
        <w:t>TForce</w:t>
      </w:r>
      <w:proofErr w:type="spellEnd"/>
      <w:r w:rsidRPr="005616AE">
        <w:rPr>
          <w:rFonts w:cs="Calibri"/>
        </w:rPr>
        <w:t xml:space="preserve"> Logistics is a top last-mile delivery company. It is acquired by TD Bank to take advantage of synergies between financial services and </w:t>
      </w:r>
      <w:proofErr w:type="gramStart"/>
      <w:r w:rsidRPr="005616AE">
        <w:rPr>
          <w:rFonts w:cs="Calibri"/>
        </w:rPr>
        <w:t>logistics</w:t>
      </w:r>
      <w:proofErr w:type="gramEnd"/>
      <w:r w:rsidRPr="005616AE">
        <w:rPr>
          <w:rFonts w:cs="Calibri"/>
        </w:rPr>
        <w:t xml:space="preserve">. TD’s proficiency in banking and financial solutions </w:t>
      </w:r>
      <w:proofErr w:type="gramStart"/>
      <w:r w:rsidRPr="005616AE">
        <w:rPr>
          <w:rFonts w:cs="Calibri"/>
        </w:rPr>
        <w:t>is enhanced</w:t>
      </w:r>
      <w:proofErr w:type="gramEnd"/>
      <w:r w:rsidRPr="005616AE">
        <w:rPr>
          <w:rFonts w:cs="Calibri"/>
        </w:rPr>
        <w:t xml:space="preserve"> by </w:t>
      </w:r>
      <w:proofErr w:type="spellStart"/>
      <w:r w:rsidRPr="005616AE">
        <w:rPr>
          <w:rFonts w:cs="Calibri"/>
        </w:rPr>
        <w:t>TForce's</w:t>
      </w:r>
      <w:proofErr w:type="spellEnd"/>
      <w:r w:rsidRPr="005616AE">
        <w:rPr>
          <w:rFonts w:cs="Calibri"/>
        </w:rPr>
        <w:t xml:space="preserve"> core skills. Its core skills are in e-commerce </w:t>
      </w:r>
      <w:proofErr w:type="gramStart"/>
      <w:r w:rsidRPr="005616AE">
        <w:rPr>
          <w:rFonts w:cs="Calibri"/>
        </w:rPr>
        <w:t>logistics</w:t>
      </w:r>
      <w:proofErr w:type="gramEnd"/>
      <w:r w:rsidRPr="005616AE">
        <w:rPr>
          <w:rFonts w:cs="Calibri"/>
        </w:rPr>
        <w:t>, warehousing and transportation that results in a comprehensive business portfolio that capitalises on the expanding logistics market.</w:t>
      </w:r>
    </w:p>
    <w:p w14:paraId="10A4A5A1" w14:textId="549A12D8" w:rsidR="00400DA8" w:rsidRPr="005616AE" w:rsidRDefault="00400DA8" w:rsidP="005E0F44">
      <w:pPr>
        <w:spacing w:after="0"/>
        <w:rPr>
          <w:rFonts w:cs="Calibri"/>
          <w:b/>
          <w:bCs/>
        </w:rPr>
      </w:pPr>
      <w:r w:rsidRPr="005616AE">
        <w:rPr>
          <w:rFonts w:cs="Calibri"/>
          <w:b/>
          <w:bCs/>
        </w:rPr>
        <w:t>Key Components</w:t>
      </w:r>
    </w:p>
    <w:p w14:paraId="1772D5FA" w14:textId="77777777" w:rsidR="00400DA8" w:rsidRPr="005616AE" w:rsidRDefault="00400DA8" w:rsidP="00384F0C">
      <w:pPr>
        <w:pStyle w:val="ListParagraph"/>
        <w:numPr>
          <w:ilvl w:val="0"/>
          <w:numId w:val="20"/>
        </w:numPr>
        <w:spacing w:after="0"/>
        <w:rPr>
          <w:rFonts w:cs="Calibri"/>
        </w:rPr>
      </w:pPr>
      <w:r w:rsidRPr="005616AE">
        <w:rPr>
          <w:rFonts w:cs="Calibri"/>
        </w:rPr>
        <w:lastRenderedPageBreak/>
        <w:t xml:space="preserve">E-Commerce Expansion: TD's financial products such as supply chain financing, payment solutions and insurance that can be integrated with </w:t>
      </w:r>
      <w:proofErr w:type="spellStart"/>
      <w:r w:rsidRPr="005616AE">
        <w:rPr>
          <w:rFonts w:cs="Calibri"/>
        </w:rPr>
        <w:t>TForce's</w:t>
      </w:r>
      <w:proofErr w:type="spellEnd"/>
      <w:r w:rsidRPr="005616AE">
        <w:rPr>
          <w:rFonts w:cs="Calibri"/>
        </w:rPr>
        <w:t xml:space="preserve"> </w:t>
      </w:r>
      <w:proofErr w:type="gramStart"/>
      <w:r w:rsidRPr="005616AE">
        <w:rPr>
          <w:rFonts w:cs="Calibri"/>
        </w:rPr>
        <w:t>logistics</w:t>
      </w:r>
      <w:proofErr w:type="gramEnd"/>
      <w:r w:rsidRPr="005616AE">
        <w:rPr>
          <w:rFonts w:cs="Calibri"/>
        </w:rPr>
        <w:t xml:space="preserve"> operations to take advantage of the rapidly growing e-commerce market.</w:t>
      </w:r>
    </w:p>
    <w:p w14:paraId="2B87A30D" w14:textId="77777777" w:rsidR="00400DA8" w:rsidRPr="005616AE" w:rsidRDefault="00400DA8" w:rsidP="00384F0C">
      <w:pPr>
        <w:pStyle w:val="ListParagraph"/>
        <w:numPr>
          <w:ilvl w:val="0"/>
          <w:numId w:val="20"/>
        </w:numPr>
        <w:spacing w:after="0"/>
        <w:rPr>
          <w:rFonts w:cs="Calibri"/>
        </w:rPr>
      </w:pPr>
      <w:r w:rsidRPr="005616AE">
        <w:rPr>
          <w:rFonts w:cs="Calibri"/>
        </w:rPr>
        <w:t xml:space="preserve">Operational Synergies: Enhancing </w:t>
      </w:r>
      <w:proofErr w:type="spellStart"/>
      <w:r w:rsidRPr="005616AE">
        <w:rPr>
          <w:rFonts w:cs="Calibri"/>
        </w:rPr>
        <w:t>TForce's</w:t>
      </w:r>
      <w:proofErr w:type="spellEnd"/>
      <w:r w:rsidRPr="005616AE">
        <w:rPr>
          <w:rFonts w:cs="Calibri"/>
        </w:rPr>
        <w:t xml:space="preserve"> operational efficacy as well as cost-efficiency by leveraging TD's technology, </w:t>
      </w:r>
      <w:proofErr w:type="gramStart"/>
      <w:r w:rsidRPr="005616AE">
        <w:rPr>
          <w:rFonts w:cs="Calibri"/>
        </w:rPr>
        <w:t>infrastructure</w:t>
      </w:r>
      <w:proofErr w:type="gramEnd"/>
      <w:r w:rsidRPr="005616AE">
        <w:rPr>
          <w:rFonts w:cs="Calibri"/>
        </w:rPr>
        <w:t xml:space="preserve"> and analytics.</w:t>
      </w:r>
    </w:p>
    <w:p w14:paraId="0D86EB4A" w14:textId="77777777" w:rsidR="00400DA8" w:rsidRPr="005616AE" w:rsidRDefault="00400DA8" w:rsidP="00384F0C">
      <w:pPr>
        <w:pStyle w:val="ListParagraph"/>
        <w:numPr>
          <w:ilvl w:val="0"/>
          <w:numId w:val="20"/>
        </w:numPr>
        <w:spacing w:after="0"/>
        <w:rPr>
          <w:rFonts w:cs="Calibri"/>
        </w:rPr>
      </w:pPr>
      <w:r w:rsidRPr="005616AE">
        <w:rPr>
          <w:rFonts w:cs="Calibri"/>
        </w:rPr>
        <w:t xml:space="preserve">Green Logistics: It is the process of utilising </w:t>
      </w:r>
      <w:proofErr w:type="spellStart"/>
      <w:r w:rsidRPr="005616AE">
        <w:rPr>
          <w:rFonts w:cs="Calibri"/>
        </w:rPr>
        <w:t>TForce's</w:t>
      </w:r>
      <w:proofErr w:type="spellEnd"/>
      <w:r w:rsidRPr="005616AE">
        <w:rPr>
          <w:rFonts w:cs="Calibri"/>
        </w:rPr>
        <w:t xml:space="preserve"> </w:t>
      </w:r>
      <w:proofErr w:type="gramStart"/>
      <w:r w:rsidRPr="005616AE">
        <w:rPr>
          <w:rFonts w:cs="Calibri"/>
        </w:rPr>
        <w:t>logistics</w:t>
      </w:r>
      <w:proofErr w:type="gramEnd"/>
      <w:r w:rsidRPr="005616AE">
        <w:rPr>
          <w:rFonts w:cs="Calibri"/>
        </w:rPr>
        <w:t xml:space="preserve"> network to include eco-friendly options like fleet optimisation and electric delivery trucks.</w:t>
      </w:r>
    </w:p>
    <w:p w14:paraId="0BFD26E4" w14:textId="77777777" w:rsidR="00400DA8" w:rsidRPr="005616AE" w:rsidRDefault="00400DA8" w:rsidP="00384F0C">
      <w:pPr>
        <w:pStyle w:val="ListParagraph"/>
        <w:numPr>
          <w:ilvl w:val="0"/>
          <w:numId w:val="20"/>
        </w:numPr>
        <w:spacing w:after="0"/>
        <w:rPr>
          <w:rFonts w:cs="Calibri"/>
        </w:rPr>
      </w:pPr>
      <w:r w:rsidRPr="005616AE">
        <w:rPr>
          <w:rFonts w:cs="Calibri"/>
        </w:rPr>
        <w:t xml:space="preserve">Market Expansion: Growing </w:t>
      </w:r>
      <w:proofErr w:type="spellStart"/>
      <w:r w:rsidRPr="005616AE">
        <w:rPr>
          <w:rFonts w:cs="Calibri"/>
        </w:rPr>
        <w:t>TForce's</w:t>
      </w:r>
      <w:proofErr w:type="spellEnd"/>
      <w:r w:rsidRPr="005616AE">
        <w:rPr>
          <w:rFonts w:cs="Calibri"/>
        </w:rPr>
        <w:t xml:space="preserve"> business to raise TD's profile in the North American market especially by entering the US market internationally.</w:t>
      </w:r>
    </w:p>
    <w:p w14:paraId="09C9A45D" w14:textId="77777777" w:rsidR="00400DA8" w:rsidRPr="005616AE" w:rsidRDefault="00400DA8" w:rsidP="00384F0C">
      <w:pPr>
        <w:pStyle w:val="ListParagraph"/>
        <w:numPr>
          <w:ilvl w:val="0"/>
          <w:numId w:val="20"/>
        </w:numPr>
        <w:spacing w:after="0"/>
        <w:rPr>
          <w:rFonts w:cs="Calibri"/>
        </w:rPr>
      </w:pPr>
      <w:r w:rsidRPr="005616AE">
        <w:rPr>
          <w:rFonts w:cs="Calibri"/>
        </w:rPr>
        <w:t xml:space="preserve">Data Monetisation: It is the process generating new revenue streams by applying </w:t>
      </w:r>
      <w:proofErr w:type="spellStart"/>
      <w:r w:rsidRPr="005616AE">
        <w:rPr>
          <w:rFonts w:cs="Calibri"/>
        </w:rPr>
        <w:t>TForce's</w:t>
      </w:r>
      <w:proofErr w:type="spellEnd"/>
      <w:r w:rsidRPr="005616AE">
        <w:rPr>
          <w:rFonts w:cs="Calibri"/>
        </w:rPr>
        <w:t xml:space="preserve"> supply chain as well as </w:t>
      </w:r>
      <w:proofErr w:type="gramStart"/>
      <w:r w:rsidRPr="005616AE">
        <w:rPr>
          <w:rFonts w:cs="Calibri"/>
        </w:rPr>
        <w:t>logistics</w:t>
      </w:r>
      <w:proofErr w:type="gramEnd"/>
      <w:r w:rsidRPr="005616AE">
        <w:rPr>
          <w:rFonts w:cs="Calibri"/>
        </w:rPr>
        <w:t xml:space="preserve"> data to value-added services and predictive analytics.</w:t>
      </w:r>
    </w:p>
    <w:p w14:paraId="17B34BB8" w14:textId="4D7C66D3" w:rsidR="00400DA8" w:rsidRPr="005616AE" w:rsidRDefault="00400DA8" w:rsidP="005E0F44">
      <w:pPr>
        <w:spacing w:after="0"/>
        <w:rPr>
          <w:rFonts w:cs="Calibri"/>
          <w:b/>
          <w:bCs/>
        </w:rPr>
      </w:pPr>
      <w:r w:rsidRPr="005616AE">
        <w:rPr>
          <w:rFonts w:cs="Calibri"/>
          <w:b/>
          <w:bCs/>
        </w:rPr>
        <w:t>Strategic Goals</w:t>
      </w:r>
    </w:p>
    <w:p w14:paraId="546C93B4" w14:textId="77777777" w:rsidR="00400DA8" w:rsidRPr="005616AE" w:rsidRDefault="00400DA8" w:rsidP="00384F0C">
      <w:pPr>
        <w:pStyle w:val="ListParagraph"/>
        <w:numPr>
          <w:ilvl w:val="0"/>
          <w:numId w:val="21"/>
        </w:numPr>
        <w:spacing w:after="0"/>
        <w:rPr>
          <w:rFonts w:cs="Calibri"/>
        </w:rPr>
      </w:pPr>
      <w:r w:rsidRPr="005616AE">
        <w:rPr>
          <w:rFonts w:cs="Calibri"/>
        </w:rPr>
        <w:t xml:space="preserve">Revenue Diversification: Lessen reliance on conventional banking services by generating a non-financial revenue stream from the </w:t>
      </w:r>
      <w:proofErr w:type="gramStart"/>
      <w:r w:rsidRPr="005616AE">
        <w:rPr>
          <w:rFonts w:cs="Calibri"/>
        </w:rPr>
        <w:t>logistics</w:t>
      </w:r>
      <w:proofErr w:type="gramEnd"/>
      <w:r w:rsidRPr="005616AE">
        <w:rPr>
          <w:rFonts w:cs="Calibri"/>
        </w:rPr>
        <w:t xml:space="preserve"> industry.</w:t>
      </w:r>
    </w:p>
    <w:p w14:paraId="646B53A1" w14:textId="77777777" w:rsidR="00400DA8" w:rsidRPr="005616AE" w:rsidRDefault="00400DA8" w:rsidP="00384F0C">
      <w:pPr>
        <w:pStyle w:val="ListParagraph"/>
        <w:numPr>
          <w:ilvl w:val="0"/>
          <w:numId w:val="21"/>
        </w:numPr>
        <w:spacing w:after="0"/>
        <w:rPr>
          <w:rFonts w:cs="Calibri"/>
        </w:rPr>
      </w:pPr>
      <w:r w:rsidRPr="005616AE">
        <w:rPr>
          <w:rFonts w:cs="Calibri"/>
        </w:rPr>
        <w:t>Increased Profitability: Increase profit margins by achieving operational efficiency through cost synergies and green initiatives.</w:t>
      </w:r>
    </w:p>
    <w:p w14:paraId="04742F45" w14:textId="77777777" w:rsidR="00400DA8" w:rsidRPr="005616AE" w:rsidRDefault="00400DA8" w:rsidP="00384F0C">
      <w:pPr>
        <w:pStyle w:val="ListParagraph"/>
        <w:numPr>
          <w:ilvl w:val="0"/>
          <w:numId w:val="21"/>
        </w:numPr>
        <w:spacing w:after="0"/>
        <w:rPr>
          <w:rFonts w:cs="Calibri"/>
        </w:rPr>
      </w:pPr>
      <w:r w:rsidRPr="005616AE">
        <w:rPr>
          <w:rFonts w:cs="Calibri"/>
        </w:rPr>
        <w:t xml:space="preserve">Brand Leadership: Establish TD as a market leader at the nexus of </w:t>
      </w:r>
      <w:proofErr w:type="gramStart"/>
      <w:r w:rsidRPr="005616AE">
        <w:rPr>
          <w:rFonts w:cs="Calibri"/>
        </w:rPr>
        <w:t>logistics</w:t>
      </w:r>
      <w:proofErr w:type="gramEnd"/>
      <w:r w:rsidRPr="005616AE">
        <w:rPr>
          <w:rFonts w:cs="Calibri"/>
        </w:rPr>
        <w:t xml:space="preserve"> and financial services.</w:t>
      </w:r>
    </w:p>
    <w:p w14:paraId="78460D21" w14:textId="77777777" w:rsidR="00400DA8" w:rsidRPr="005616AE" w:rsidRDefault="00400DA8" w:rsidP="00400DA8">
      <w:pPr>
        <w:pStyle w:val="Heading2"/>
        <w:rPr>
          <w:rFonts w:ascii="Calibri" w:hAnsi="Calibri" w:cs="Calibri"/>
        </w:rPr>
      </w:pPr>
      <w:bookmarkStart w:id="29" w:name="_Toc183211046"/>
      <w:r w:rsidRPr="005616AE">
        <w:rPr>
          <w:rFonts w:ascii="Calibri" w:hAnsi="Calibri" w:cs="Calibri"/>
        </w:rPr>
        <w:t>Low-Level Design</w:t>
      </w:r>
      <w:bookmarkEnd w:id="29"/>
    </w:p>
    <w:p w14:paraId="3272AB7E" w14:textId="5CAF7A55" w:rsidR="00400DA8" w:rsidRPr="005616AE" w:rsidRDefault="00400DA8" w:rsidP="00853FD7">
      <w:pPr>
        <w:spacing w:after="0"/>
        <w:rPr>
          <w:rFonts w:cs="Calibri"/>
          <w:b/>
          <w:bCs/>
        </w:rPr>
      </w:pPr>
      <w:r w:rsidRPr="005616AE">
        <w:rPr>
          <w:rFonts w:cs="Calibri"/>
          <w:b/>
          <w:bCs/>
        </w:rPr>
        <w:t>Integration Plan</w:t>
      </w:r>
    </w:p>
    <w:p w14:paraId="7429C807" w14:textId="77777777" w:rsidR="00400DA8" w:rsidRPr="005616AE" w:rsidRDefault="00400DA8" w:rsidP="00384F0C">
      <w:pPr>
        <w:pStyle w:val="ListParagraph"/>
        <w:numPr>
          <w:ilvl w:val="0"/>
          <w:numId w:val="22"/>
        </w:numPr>
        <w:spacing w:after="0"/>
        <w:rPr>
          <w:rFonts w:cs="Calibri"/>
        </w:rPr>
      </w:pPr>
      <w:r w:rsidRPr="005616AE">
        <w:rPr>
          <w:rFonts w:cs="Calibri"/>
        </w:rPr>
        <w:t xml:space="preserve">System integration: Integrate </w:t>
      </w:r>
      <w:proofErr w:type="spellStart"/>
      <w:r w:rsidRPr="005616AE">
        <w:rPr>
          <w:rFonts w:cs="Calibri"/>
        </w:rPr>
        <w:t>TForce's</w:t>
      </w:r>
      <w:proofErr w:type="spellEnd"/>
      <w:r w:rsidRPr="005616AE">
        <w:rPr>
          <w:rFonts w:cs="Calibri"/>
        </w:rPr>
        <w:t xml:space="preserve"> IT and logistical infrastructure with TD's current systems which includes data analytics, cybersecurity as well as payment solutions.</w:t>
      </w:r>
    </w:p>
    <w:p w14:paraId="01EBAAC9" w14:textId="77777777" w:rsidR="00400DA8" w:rsidRPr="005616AE" w:rsidRDefault="00400DA8" w:rsidP="00384F0C">
      <w:pPr>
        <w:pStyle w:val="ListParagraph"/>
        <w:numPr>
          <w:ilvl w:val="0"/>
          <w:numId w:val="22"/>
        </w:numPr>
        <w:spacing w:after="0"/>
        <w:rPr>
          <w:rFonts w:cs="Calibri"/>
        </w:rPr>
      </w:pPr>
      <w:r w:rsidRPr="005616AE">
        <w:rPr>
          <w:rFonts w:cs="Calibri"/>
        </w:rPr>
        <w:t>Operational Streamline: Focus on areas like fleet management, payment integration and route optimisation where TD's technology can lower operating expenses.</w:t>
      </w:r>
    </w:p>
    <w:p w14:paraId="49038669" w14:textId="77777777" w:rsidR="00400DA8" w:rsidRPr="005616AE" w:rsidRDefault="00400DA8" w:rsidP="00384F0C">
      <w:pPr>
        <w:pStyle w:val="ListParagraph"/>
        <w:numPr>
          <w:ilvl w:val="0"/>
          <w:numId w:val="22"/>
        </w:numPr>
        <w:spacing w:after="0"/>
        <w:rPr>
          <w:rFonts w:cs="Calibri"/>
        </w:rPr>
      </w:pPr>
      <w:r w:rsidRPr="005616AE">
        <w:rPr>
          <w:rFonts w:cs="Calibri"/>
        </w:rPr>
        <w:t xml:space="preserve">Financial Product Integration: Create cross-selling opportunities by providing </w:t>
      </w:r>
      <w:proofErr w:type="spellStart"/>
      <w:r w:rsidRPr="005616AE">
        <w:rPr>
          <w:rFonts w:cs="Calibri"/>
        </w:rPr>
        <w:t>TForce</w:t>
      </w:r>
      <w:proofErr w:type="spellEnd"/>
      <w:r w:rsidRPr="005616AE">
        <w:rPr>
          <w:rFonts w:cs="Calibri"/>
        </w:rPr>
        <w:t xml:space="preserve"> clients including e-commerce companies as well as </w:t>
      </w:r>
      <w:proofErr w:type="gramStart"/>
      <w:r w:rsidRPr="005616AE">
        <w:rPr>
          <w:rFonts w:cs="Calibri"/>
        </w:rPr>
        <w:t>logistics</w:t>
      </w:r>
      <w:proofErr w:type="gramEnd"/>
      <w:r w:rsidRPr="005616AE">
        <w:rPr>
          <w:rFonts w:cs="Calibri"/>
        </w:rPr>
        <w:t xml:space="preserve"> partners with TD's financial products.</w:t>
      </w:r>
    </w:p>
    <w:p w14:paraId="27483620" w14:textId="77777777" w:rsidR="00400DA8" w:rsidRPr="005616AE" w:rsidRDefault="00400DA8" w:rsidP="00384F0C">
      <w:pPr>
        <w:pStyle w:val="ListParagraph"/>
        <w:numPr>
          <w:ilvl w:val="0"/>
          <w:numId w:val="22"/>
        </w:numPr>
        <w:spacing w:after="0"/>
        <w:rPr>
          <w:rFonts w:cs="Calibri"/>
        </w:rPr>
      </w:pPr>
      <w:r w:rsidRPr="005616AE">
        <w:rPr>
          <w:rFonts w:cs="Calibri"/>
        </w:rPr>
        <w:t xml:space="preserve">Green Fleet Implementation: </w:t>
      </w:r>
      <w:proofErr w:type="spellStart"/>
      <w:r w:rsidRPr="005616AE">
        <w:rPr>
          <w:rFonts w:cs="Calibri"/>
        </w:rPr>
        <w:t>TForce's</w:t>
      </w:r>
      <w:proofErr w:type="spellEnd"/>
      <w:r w:rsidRPr="005616AE">
        <w:rPr>
          <w:rFonts w:cs="Calibri"/>
        </w:rPr>
        <w:t xml:space="preserve"> present fleet will gradually </w:t>
      </w:r>
      <w:proofErr w:type="gramStart"/>
      <w:r w:rsidRPr="005616AE">
        <w:rPr>
          <w:rFonts w:cs="Calibri"/>
        </w:rPr>
        <w:t>be replaced</w:t>
      </w:r>
      <w:proofErr w:type="gramEnd"/>
      <w:r w:rsidRPr="005616AE">
        <w:rPr>
          <w:rFonts w:cs="Calibri"/>
        </w:rPr>
        <w:t xml:space="preserve"> with electric delivery trucks to maximise fuel efficiency and lower carbon emissions.</w:t>
      </w:r>
    </w:p>
    <w:p w14:paraId="18513B26" w14:textId="52F4EBCA" w:rsidR="00400DA8" w:rsidRPr="005616AE" w:rsidRDefault="00400DA8" w:rsidP="00853FD7">
      <w:pPr>
        <w:spacing w:after="0"/>
        <w:rPr>
          <w:rFonts w:cs="Calibri"/>
          <w:b/>
          <w:bCs/>
        </w:rPr>
      </w:pPr>
      <w:r w:rsidRPr="005616AE">
        <w:rPr>
          <w:rFonts w:cs="Calibri"/>
          <w:b/>
          <w:bCs/>
        </w:rPr>
        <w:t xml:space="preserve">Revenue Generation Models </w:t>
      </w:r>
    </w:p>
    <w:p w14:paraId="7F56EC41" w14:textId="77777777" w:rsidR="00400DA8" w:rsidRPr="005616AE" w:rsidRDefault="00400DA8" w:rsidP="00384F0C">
      <w:pPr>
        <w:pStyle w:val="ListParagraph"/>
        <w:numPr>
          <w:ilvl w:val="0"/>
          <w:numId w:val="23"/>
        </w:numPr>
        <w:spacing w:after="0"/>
        <w:rPr>
          <w:rFonts w:cs="Calibri"/>
        </w:rPr>
      </w:pPr>
      <w:r w:rsidRPr="005616AE">
        <w:rPr>
          <w:rFonts w:cs="Calibri"/>
        </w:rPr>
        <w:t xml:space="preserve">E-Commerce Logistics: Increase sales by providing customised </w:t>
      </w:r>
      <w:proofErr w:type="gramStart"/>
      <w:r w:rsidRPr="005616AE">
        <w:rPr>
          <w:rFonts w:cs="Calibri"/>
        </w:rPr>
        <w:t>logistics</w:t>
      </w:r>
      <w:proofErr w:type="gramEnd"/>
      <w:r w:rsidRPr="005616AE">
        <w:rPr>
          <w:rFonts w:cs="Calibri"/>
        </w:rPr>
        <w:t xml:space="preserve"> solutions for e-commerce companies emphasising same-day and last-mile delivery.</w:t>
      </w:r>
    </w:p>
    <w:p w14:paraId="44B27672" w14:textId="77777777" w:rsidR="00400DA8" w:rsidRPr="005616AE" w:rsidRDefault="00400DA8" w:rsidP="00384F0C">
      <w:pPr>
        <w:pStyle w:val="ListParagraph"/>
        <w:numPr>
          <w:ilvl w:val="0"/>
          <w:numId w:val="23"/>
        </w:numPr>
        <w:spacing w:after="0"/>
        <w:rPr>
          <w:rFonts w:cs="Calibri"/>
        </w:rPr>
      </w:pPr>
      <w:r w:rsidRPr="005616AE">
        <w:rPr>
          <w:rFonts w:cs="Calibri"/>
        </w:rPr>
        <w:t xml:space="preserve">Financial Services Cross-Selling: Directly market TD's investment, </w:t>
      </w:r>
      <w:proofErr w:type="gramStart"/>
      <w:r w:rsidRPr="005616AE">
        <w:rPr>
          <w:rFonts w:cs="Calibri"/>
        </w:rPr>
        <w:t>insurance</w:t>
      </w:r>
      <w:proofErr w:type="gramEnd"/>
      <w:r w:rsidRPr="005616AE">
        <w:rPr>
          <w:rFonts w:cs="Calibri"/>
        </w:rPr>
        <w:t xml:space="preserve"> and supply chain financing services to </w:t>
      </w:r>
      <w:proofErr w:type="spellStart"/>
      <w:r w:rsidRPr="005616AE">
        <w:rPr>
          <w:rFonts w:cs="Calibri"/>
        </w:rPr>
        <w:t>TForce's</w:t>
      </w:r>
      <w:proofErr w:type="spellEnd"/>
      <w:r w:rsidRPr="005616AE">
        <w:rPr>
          <w:rFonts w:cs="Calibri"/>
        </w:rPr>
        <w:t xml:space="preserve"> business clients.</w:t>
      </w:r>
    </w:p>
    <w:p w14:paraId="0D76BE92" w14:textId="77777777" w:rsidR="00400DA8" w:rsidRPr="005616AE" w:rsidRDefault="00400DA8" w:rsidP="00384F0C">
      <w:pPr>
        <w:pStyle w:val="ListParagraph"/>
        <w:numPr>
          <w:ilvl w:val="0"/>
          <w:numId w:val="23"/>
        </w:numPr>
        <w:spacing w:after="0"/>
        <w:rPr>
          <w:rFonts w:cs="Calibri"/>
        </w:rPr>
      </w:pPr>
      <w:r w:rsidRPr="005616AE">
        <w:rPr>
          <w:rFonts w:cs="Calibri"/>
        </w:rPr>
        <w:t xml:space="preserve">Data Analytics Services: Generate value-added services for customers in supply chain management retail and transportation by monetising </w:t>
      </w:r>
      <w:proofErr w:type="gramStart"/>
      <w:r w:rsidRPr="005616AE">
        <w:rPr>
          <w:rFonts w:cs="Calibri"/>
        </w:rPr>
        <w:t>logistics</w:t>
      </w:r>
      <w:proofErr w:type="gramEnd"/>
      <w:r w:rsidRPr="005616AE">
        <w:rPr>
          <w:rFonts w:cs="Calibri"/>
        </w:rPr>
        <w:t xml:space="preserve"> data for predictive analytics tools.</w:t>
      </w:r>
    </w:p>
    <w:p w14:paraId="1F79A1A3" w14:textId="19068737" w:rsidR="00400DA8" w:rsidRPr="005616AE" w:rsidRDefault="00400DA8" w:rsidP="00853FD7">
      <w:pPr>
        <w:spacing w:after="0"/>
        <w:rPr>
          <w:rFonts w:cs="Calibri"/>
          <w:b/>
          <w:bCs/>
        </w:rPr>
      </w:pPr>
      <w:r w:rsidRPr="005616AE">
        <w:rPr>
          <w:rFonts w:cs="Calibri"/>
          <w:b/>
          <w:bCs/>
        </w:rPr>
        <w:t>Technology Stack</w:t>
      </w:r>
    </w:p>
    <w:p w14:paraId="183A9F57" w14:textId="77777777" w:rsidR="00400DA8" w:rsidRPr="005616AE" w:rsidRDefault="00400DA8" w:rsidP="00384F0C">
      <w:pPr>
        <w:pStyle w:val="ListParagraph"/>
        <w:numPr>
          <w:ilvl w:val="0"/>
          <w:numId w:val="24"/>
        </w:numPr>
        <w:spacing w:after="0"/>
        <w:rPr>
          <w:rFonts w:cs="Calibri"/>
        </w:rPr>
      </w:pPr>
      <w:proofErr w:type="gramStart"/>
      <w:r w:rsidRPr="005616AE">
        <w:rPr>
          <w:rFonts w:cs="Calibri"/>
        </w:rPr>
        <w:t>Utilise</w:t>
      </w:r>
      <w:proofErr w:type="gramEnd"/>
      <w:r w:rsidRPr="005616AE">
        <w:rPr>
          <w:rFonts w:cs="Calibri"/>
        </w:rPr>
        <w:t xml:space="preserve"> TD's payment systems, AI and advanced analytics to streamline </w:t>
      </w:r>
      <w:proofErr w:type="spellStart"/>
      <w:r w:rsidRPr="005616AE">
        <w:rPr>
          <w:rFonts w:cs="Calibri"/>
        </w:rPr>
        <w:t>TForce's</w:t>
      </w:r>
      <w:proofErr w:type="spellEnd"/>
      <w:r w:rsidRPr="005616AE">
        <w:rPr>
          <w:rFonts w:cs="Calibri"/>
        </w:rPr>
        <w:t xml:space="preserve"> operations.</w:t>
      </w:r>
    </w:p>
    <w:p w14:paraId="1BFF9E21" w14:textId="77777777" w:rsidR="00400DA8" w:rsidRPr="005616AE" w:rsidRDefault="00400DA8" w:rsidP="00384F0C">
      <w:pPr>
        <w:pStyle w:val="ListParagraph"/>
        <w:numPr>
          <w:ilvl w:val="0"/>
          <w:numId w:val="24"/>
        </w:numPr>
        <w:spacing w:after="0"/>
        <w:rPr>
          <w:rFonts w:cs="Calibri"/>
        </w:rPr>
      </w:pPr>
      <w:r w:rsidRPr="005616AE">
        <w:rPr>
          <w:rFonts w:cs="Calibri"/>
        </w:rPr>
        <w:t>Put fleet management, route optimisation and tracking technologies into place.</w:t>
      </w:r>
    </w:p>
    <w:p w14:paraId="38622371" w14:textId="77777777" w:rsidR="00400DA8" w:rsidRPr="005616AE" w:rsidRDefault="00400DA8" w:rsidP="00384F0C">
      <w:pPr>
        <w:pStyle w:val="ListParagraph"/>
        <w:numPr>
          <w:ilvl w:val="0"/>
          <w:numId w:val="24"/>
        </w:numPr>
        <w:spacing w:after="0"/>
        <w:rPr>
          <w:rFonts w:cs="Calibri"/>
        </w:rPr>
      </w:pPr>
      <w:r w:rsidRPr="005616AE">
        <w:rPr>
          <w:rFonts w:cs="Calibri"/>
        </w:rPr>
        <w:t>Provide a single platform that combines logistical as well as financial services to ensure smooth operations and transactions.</w:t>
      </w:r>
    </w:p>
    <w:p w14:paraId="27F67C85" w14:textId="77777777" w:rsidR="00400DA8" w:rsidRPr="005616AE" w:rsidRDefault="00400DA8" w:rsidP="00400DA8">
      <w:pPr>
        <w:rPr>
          <w:rFonts w:cs="Calibri"/>
        </w:rPr>
      </w:pPr>
    </w:p>
    <w:p w14:paraId="3613C552" w14:textId="77777777" w:rsidR="00400DA8" w:rsidRPr="005616AE" w:rsidRDefault="00400DA8" w:rsidP="00400DA8">
      <w:pPr>
        <w:pStyle w:val="Heading2"/>
        <w:rPr>
          <w:rFonts w:ascii="Calibri" w:hAnsi="Calibri" w:cs="Calibri"/>
        </w:rPr>
      </w:pPr>
      <w:bookmarkStart w:id="30" w:name="_Toc183211047"/>
      <w:r w:rsidRPr="005616AE">
        <w:rPr>
          <w:rFonts w:ascii="Calibri" w:hAnsi="Calibri" w:cs="Calibri"/>
        </w:rPr>
        <w:lastRenderedPageBreak/>
        <w:t>Impact Analysis</w:t>
      </w:r>
      <w:bookmarkEnd w:id="30"/>
    </w:p>
    <w:p w14:paraId="2F85ADD0" w14:textId="030EDE7F" w:rsidR="00400DA8" w:rsidRPr="005616AE" w:rsidRDefault="00400DA8" w:rsidP="00AE6C33">
      <w:pPr>
        <w:spacing w:after="0"/>
        <w:rPr>
          <w:rFonts w:cs="Calibri"/>
          <w:b/>
          <w:bCs/>
        </w:rPr>
      </w:pPr>
      <w:r w:rsidRPr="005616AE">
        <w:rPr>
          <w:rFonts w:cs="Calibri"/>
          <w:b/>
          <w:bCs/>
        </w:rPr>
        <w:t>Financial Impact</w:t>
      </w:r>
    </w:p>
    <w:p w14:paraId="3669C1EE" w14:textId="77777777" w:rsidR="00400DA8" w:rsidRPr="005616AE" w:rsidRDefault="00400DA8" w:rsidP="00384F0C">
      <w:pPr>
        <w:pStyle w:val="ListParagraph"/>
        <w:numPr>
          <w:ilvl w:val="0"/>
          <w:numId w:val="25"/>
        </w:numPr>
        <w:spacing w:after="0"/>
        <w:rPr>
          <w:rFonts w:cs="Calibri"/>
        </w:rPr>
      </w:pPr>
      <w:r w:rsidRPr="005616AE">
        <w:rPr>
          <w:rFonts w:cs="Calibri"/>
        </w:rPr>
        <w:t xml:space="preserve">Revenue Growth: It </w:t>
      </w:r>
      <w:proofErr w:type="gramStart"/>
      <w:r w:rsidRPr="005616AE">
        <w:rPr>
          <w:rFonts w:cs="Calibri"/>
        </w:rPr>
        <w:t>is anticipated</w:t>
      </w:r>
      <w:proofErr w:type="gramEnd"/>
      <w:r w:rsidRPr="005616AE">
        <w:rPr>
          <w:rFonts w:cs="Calibri"/>
        </w:rPr>
        <w:t xml:space="preserve"> that </w:t>
      </w:r>
      <w:proofErr w:type="spellStart"/>
      <w:r w:rsidRPr="005616AE">
        <w:rPr>
          <w:rFonts w:cs="Calibri"/>
        </w:rPr>
        <w:t>TForce's</w:t>
      </w:r>
      <w:proofErr w:type="spellEnd"/>
      <w:r w:rsidRPr="005616AE">
        <w:rPr>
          <w:rFonts w:cs="Calibri"/>
        </w:rPr>
        <w:t xml:space="preserve"> foray into the last-mile delivery market. Its integration with TD's financial services will create a substantial new source of income with an annual revenue growth of 8–12%.</w:t>
      </w:r>
    </w:p>
    <w:p w14:paraId="1241983D" w14:textId="77777777" w:rsidR="00400DA8" w:rsidRPr="005616AE" w:rsidRDefault="00400DA8" w:rsidP="00384F0C">
      <w:pPr>
        <w:pStyle w:val="ListParagraph"/>
        <w:numPr>
          <w:ilvl w:val="0"/>
          <w:numId w:val="25"/>
        </w:numPr>
        <w:spacing w:after="0"/>
        <w:rPr>
          <w:rFonts w:cs="Calibri"/>
        </w:rPr>
      </w:pPr>
      <w:r w:rsidRPr="005616AE">
        <w:rPr>
          <w:rFonts w:cs="Calibri"/>
        </w:rPr>
        <w:t xml:space="preserve">Cost Synergies: It is anticipated that operational economies brought about by the combination of </w:t>
      </w:r>
      <w:proofErr w:type="spellStart"/>
      <w:r w:rsidRPr="005616AE">
        <w:rPr>
          <w:rFonts w:cs="Calibri"/>
        </w:rPr>
        <w:t>TForce's</w:t>
      </w:r>
      <w:proofErr w:type="spellEnd"/>
      <w:r w:rsidRPr="005616AE">
        <w:rPr>
          <w:rFonts w:cs="Calibri"/>
        </w:rPr>
        <w:t xml:space="preserve"> </w:t>
      </w:r>
      <w:proofErr w:type="gramStart"/>
      <w:r w:rsidRPr="005616AE">
        <w:rPr>
          <w:rFonts w:cs="Calibri"/>
        </w:rPr>
        <w:t>logistics</w:t>
      </w:r>
      <w:proofErr w:type="gramEnd"/>
      <w:r w:rsidRPr="005616AE">
        <w:rPr>
          <w:rFonts w:cs="Calibri"/>
        </w:rPr>
        <w:t xml:space="preserve"> operations. TD's finance technology will lower operating expenses by 5–10% in a year.</w:t>
      </w:r>
    </w:p>
    <w:p w14:paraId="797A084A" w14:textId="77777777" w:rsidR="00400DA8" w:rsidRPr="005616AE" w:rsidRDefault="00400DA8" w:rsidP="00384F0C">
      <w:pPr>
        <w:pStyle w:val="ListParagraph"/>
        <w:numPr>
          <w:ilvl w:val="0"/>
          <w:numId w:val="25"/>
        </w:numPr>
        <w:spacing w:after="0"/>
        <w:rPr>
          <w:rFonts w:cs="Calibri"/>
        </w:rPr>
      </w:pPr>
      <w:r w:rsidRPr="005616AE">
        <w:rPr>
          <w:rFonts w:cs="Calibri"/>
        </w:rPr>
        <w:t xml:space="preserve">Profit Margins: Profit margins </w:t>
      </w:r>
      <w:proofErr w:type="gramStart"/>
      <w:r w:rsidRPr="005616AE">
        <w:rPr>
          <w:rFonts w:cs="Calibri"/>
        </w:rPr>
        <w:t>are expected</w:t>
      </w:r>
      <w:proofErr w:type="gramEnd"/>
      <w:r w:rsidRPr="005616AE">
        <w:rPr>
          <w:rFonts w:cs="Calibri"/>
        </w:rPr>
        <w:t xml:space="preserve"> to climb from 7% in the first two years to 12% in the third year with additional increases expected as economies of scale and synergies become apparent.</w:t>
      </w:r>
    </w:p>
    <w:p w14:paraId="599CFE8F" w14:textId="77777777" w:rsidR="00400DA8" w:rsidRPr="005616AE" w:rsidRDefault="00400DA8" w:rsidP="00384F0C">
      <w:pPr>
        <w:pStyle w:val="ListParagraph"/>
        <w:numPr>
          <w:ilvl w:val="0"/>
          <w:numId w:val="25"/>
        </w:numPr>
        <w:spacing w:after="0"/>
        <w:rPr>
          <w:rFonts w:cs="Calibri"/>
        </w:rPr>
      </w:pPr>
      <w:r w:rsidRPr="005616AE">
        <w:rPr>
          <w:rFonts w:cs="Calibri"/>
        </w:rPr>
        <w:t>Green Initiatives: Tax credits for green initiatives and sustainable fleet management might save up to 5% a year.</w:t>
      </w:r>
    </w:p>
    <w:p w14:paraId="76DEA191" w14:textId="6C7A5279" w:rsidR="00400DA8" w:rsidRPr="005616AE" w:rsidRDefault="00400DA8" w:rsidP="00AE6C33">
      <w:pPr>
        <w:spacing w:after="0"/>
        <w:rPr>
          <w:rFonts w:cs="Calibri"/>
          <w:b/>
          <w:bCs/>
        </w:rPr>
      </w:pPr>
      <w:r w:rsidRPr="005616AE">
        <w:rPr>
          <w:rFonts w:cs="Calibri"/>
          <w:b/>
          <w:bCs/>
        </w:rPr>
        <w:t>Market impact</w:t>
      </w:r>
    </w:p>
    <w:p w14:paraId="55E92DE9" w14:textId="77777777" w:rsidR="00400DA8" w:rsidRPr="005616AE" w:rsidRDefault="00400DA8" w:rsidP="00384F0C">
      <w:pPr>
        <w:pStyle w:val="ListParagraph"/>
        <w:numPr>
          <w:ilvl w:val="0"/>
          <w:numId w:val="26"/>
        </w:numPr>
        <w:spacing w:after="0"/>
        <w:rPr>
          <w:rFonts w:cs="Calibri"/>
        </w:rPr>
      </w:pPr>
      <w:r w:rsidRPr="005616AE">
        <w:rPr>
          <w:rFonts w:cs="Calibri"/>
        </w:rPr>
        <w:t xml:space="preserve">Increased Valuation: TD's market value may increase because of the purchase because of the company's diversified business strategy and robust growth prospects in e-commerce and </w:t>
      </w:r>
      <w:proofErr w:type="gramStart"/>
      <w:r w:rsidRPr="005616AE">
        <w:rPr>
          <w:rFonts w:cs="Calibri"/>
        </w:rPr>
        <w:t>logistics</w:t>
      </w:r>
      <w:proofErr w:type="gramEnd"/>
      <w:r w:rsidRPr="005616AE">
        <w:rPr>
          <w:rFonts w:cs="Calibri"/>
        </w:rPr>
        <w:t>.</w:t>
      </w:r>
    </w:p>
    <w:p w14:paraId="6D9335C2" w14:textId="77777777" w:rsidR="00400DA8" w:rsidRPr="005616AE" w:rsidRDefault="00400DA8" w:rsidP="00384F0C">
      <w:pPr>
        <w:pStyle w:val="ListParagraph"/>
        <w:numPr>
          <w:ilvl w:val="0"/>
          <w:numId w:val="26"/>
        </w:numPr>
        <w:spacing w:after="0"/>
        <w:rPr>
          <w:rFonts w:cs="Calibri"/>
        </w:rPr>
      </w:pPr>
      <w:r w:rsidRPr="005616AE">
        <w:rPr>
          <w:rFonts w:cs="Calibri"/>
        </w:rPr>
        <w:t xml:space="preserve">Cross-border Expansion: TD now has a lot of options in the US market and other global </w:t>
      </w:r>
      <w:proofErr w:type="gramStart"/>
      <w:r w:rsidRPr="005616AE">
        <w:rPr>
          <w:rFonts w:cs="Calibri"/>
        </w:rPr>
        <w:t>logistics</w:t>
      </w:r>
      <w:proofErr w:type="gramEnd"/>
      <w:r w:rsidRPr="005616AE">
        <w:rPr>
          <w:rFonts w:cs="Calibri"/>
        </w:rPr>
        <w:t xml:space="preserve"> domains thanks to the acquisition.</w:t>
      </w:r>
    </w:p>
    <w:p w14:paraId="438245D1" w14:textId="77777777" w:rsidR="00400DA8" w:rsidRPr="005616AE" w:rsidRDefault="00400DA8" w:rsidP="00400DA8">
      <w:pPr>
        <w:pStyle w:val="Heading2"/>
        <w:rPr>
          <w:rFonts w:ascii="Calibri" w:hAnsi="Calibri" w:cs="Calibri"/>
        </w:rPr>
      </w:pPr>
      <w:bookmarkStart w:id="31" w:name="_Toc183211048"/>
      <w:r w:rsidRPr="005616AE">
        <w:rPr>
          <w:rFonts w:ascii="Calibri" w:hAnsi="Calibri" w:cs="Calibri"/>
        </w:rPr>
        <w:t>Out of Scope</w:t>
      </w:r>
      <w:bookmarkEnd w:id="31"/>
    </w:p>
    <w:p w14:paraId="77BD43F4" w14:textId="77777777" w:rsidR="00400DA8" w:rsidRPr="005616AE" w:rsidRDefault="00400DA8" w:rsidP="00AE6C33">
      <w:pPr>
        <w:spacing w:after="0"/>
        <w:rPr>
          <w:rFonts w:cs="Calibri"/>
        </w:rPr>
      </w:pPr>
      <w:r w:rsidRPr="005616AE">
        <w:rPr>
          <w:rFonts w:cs="Calibri"/>
          <w:b/>
          <w:bCs/>
        </w:rPr>
        <w:t>Non-Logistics Ventures:</w:t>
      </w:r>
      <w:r w:rsidRPr="005616AE">
        <w:rPr>
          <w:rFonts w:cs="Calibri"/>
        </w:rPr>
        <w:t xml:space="preserve"> TD's business expansion into non-logistics industries like manufacturing, healthcare and retail </w:t>
      </w:r>
      <w:proofErr w:type="gramStart"/>
      <w:r w:rsidRPr="005616AE">
        <w:rPr>
          <w:rFonts w:cs="Calibri"/>
        </w:rPr>
        <w:t>is not covered</w:t>
      </w:r>
      <w:proofErr w:type="gramEnd"/>
      <w:r w:rsidRPr="005616AE">
        <w:rPr>
          <w:rFonts w:cs="Calibri"/>
        </w:rPr>
        <w:t xml:space="preserve"> by this transaction.</w:t>
      </w:r>
    </w:p>
    <w:p w14:paraId="32E4F076" w14:textId="77777777" w:rsidR="00400DA8" w:rsidRPr="005616AE" w:rsidRDefault="00400DA8" w:rsidP="00AE6C33">
      <w:pPr>
        <w:spacing w:after="0"/>
        <w:rPr>
          <w:rFonts w:cs="Calibri"/>
        </w:rPr>
      </w:pPr>
      <w:r w:rsidRPr="005616AE">
        <w:rPr>
          <w:rFonts w:cs="Calibri"/>
          <w:b/>
          <w:bCs/>
        </w:rPr>
        <w:t>Non-operational Areas:</w:t>
      </w:r>
      <w:r w:rsidRPr="005616AE">
        <w:rPr>
          <w:rFonts w:cs="Calibri"/>
        </w:rPr>
        <w:t xml:space="preserve"> Unless they are specifically connected to the </w:t>
      </w:r>
      <w:proofErr w:type="gramStart"/>
      <w:r w:rsidRPr="005616AE">
        <w:rPr>
          <w:rFonts w:cs="Calibri"/>
        </w:rPr>
        <w:t>logistics</w:t>
      </w:r>
      <w:proofErr w:type="gramEnd"/>
      <w:r w:rsidRPr="005616AE">
        <w:rPr>
          <w:rFonts w:cs="Calibri"/>
        </w:rPr>
        <w:t xml:space="preserve"> operations all investments made in areas other than marketing or real estate that do not involve operational synergies are deemed out of scope.</w:t>
      </w:r>
    </w:p>
    <w:p w14:paraId="13E9AC6C" w14:textId="77777777" w:rsidR="00400DA8" w:rsidRPr="005616AE" w:rsidRDefault="00400DA8" w:rsidP="00AE6C33">
      <w:pPr>
        <w:spacing w:after="0"/>
        <w:rPr>
          <w:rFonts w:cs="Calibri"/>
        </w:rPr>
      </w:pPr>
      <w:r w:rsidRPr="005616AE">
        <w:rPr>
          <w:rFonts w:cs="Calibri"/>
          <w:b/>
          <w:bCs/>
        </w:rPr>
        <w:t>Geographic Expansion beyond North America:</w:t>
      </w:r>
      <w:r w:rsidRPr="005616AE">
        <w:rPr>
          <w:rFonts w:cs="Calibri"/>
        </w:rPr>
        <w:t xml:space="preserve"> There is now no potential for international logistical activities outside of the US and Canada. This can change in the future.</w:t>
      </w:r>
    </w:p>
    <w:p w14:paraId="06885EA4" w14:textId="77777777" w:rsidR="00400DA8" w:rsidRPr="005616AE" w:rsidRDefault="00400DA8" w:rsidP="00400DA8">
      <w:pPr>
        <w:pStyle w:val="Heading2"/>
        <w:rPr>
          <w:rFonts w:ascii="Calibri" w:hAnsi="Calibri" w:cs="Calibri"/>
        </w:rPr>
      </w:pPr>
      <w:bookmarkStart w:id="32" w:name="_Toc183211049"/>
      <w:r w:rsidRPr="005616AE">
        <w:rPr>
          <w:rFonts w:ascii="Calibri" w:hAnsi="Calibri" w:cs="Calibri"/>
        </w:rPr>
        <w:t>Risk and Mitigation</w:t>
      </w:r>
      <w:bookmarkEnd w:id="32"/>
    </w:p>
    <w:p w14:paraId="38A35DEB" w14:textId="77777777" w:rsidR="00400DA8" w:rsidRPr="005616AE" w:rsidRDefault="00400DA8" w:rsidP="00923D7C">
      <w:pPr>
        <w:spacing w:after="0"/>
        <w:jc w:val="left"/>
        <w:rPr>
          <w:rFonts w:cs="Calibri"/>
          <w:b/>
          <w:bCs/>
        </w:rPr>
      </w:pPr>
      <w:r w:rsidRPr="005616AE">
        <w:rPr>
          <w:rFonts w:cs="Calibri"/>
          <w:b/>
          <w:bCs/>
        </w:rPr>
        <w:t>Integration Complexity</w:t>
      </w:r>
    </w:p>
    <w:p w14:paraId="6E56DDE1" w14:textId="77777777" w:rsidR="00400DA8" w:rsidRPr="005616AE" w:rsidRDefault="00400DA8" w:rsidP="00384F0C">
      <w:pPr>
        <w:pStyle w:val="ListParagraph"/>
        <w:numPr>
          <w:ilvl w:val="0"/>
          <w:numId w:val="77"/>
        </w:numPr>
        <w:spacing w:after="0"/>
        <w:rPr>
          <w:rFonts w:cs="Calibri"/>
        </w:rPr>
      </w:pPr>
      <w:r w:rsidRPr="005616AE">
        <w:rPr>
          <w:rFonts w:cs="Calibri"/>
          <w:b/>
          <w:bCs/>
        </w:rPr>
        <w:t>Risk:</w:t>
      </w:r>
      <w:r w:rsidRPr="005616AE">
        <w:rPr>
          <w:rFonts w:cs="Calibri"/>
        </w:rPr>
        <w:t xml:space="preserve"> Operational disruptions and inefficiencies may arise from the merger of two sizable firms. It includes their systems, procedures as well as cultures.</w:t>
      </w:r>
    </w:p>
    <w:p w14:paraId="158AF4F4" w14:textId="77777777" w:rsidR="00400DA8" w:rsidRPr="005616AE" w:rsidRDefault="00400DA8" w:rsidP="00384F0C">
      <w:pPr>
        <w:pStyle w:val="ListParagraph"/>
        <w:numPr>
          <w:ilvl w:val="0"/>
          <w:numId w:val="77"/>
        </w:numPr>
        <w:spacing w:after="0"/>
        <w:rPr>
          <w:rFonts w:cs="Calibri"/>
        </w:rPr>
      </w:pPr>
      <w:r w:rsidRPr="005616AE">
        <w:rPr>
          <w:rFonts w:cs="Calibri"/>
          <w:b/>
          <w:bCs/>
        </w:rPr>
        <w:t>Mitigation:</w:t>
      </w:r>
      <w:r w:rsidRPr="005616AE">
        <w:rPr>
          <w:rFonts w:cs="Calibri"/>
        </w:rPr>
        <w:t xml:space="preserve"> Create a phased integration strategy with distinct deadlines then designate a specialised integration team. Examine </w:t>
      </w:r>
      <w:proofErr w:type="spellStart"/>
      <w:r w:rsidRPr="005616AE">
        <w:rPr>
          <w:rFonts w:cs="Calibri"/>
        </w:rPr>
        <w:t>TForce's</w:t>
      </w:r>
      <w:proofErr w:type="spellEnd"/>
      <w:r w:rsidRPr="005616AE">
        <w:rPr>
          <w:rFonts w:cs="Calibri"/>
        </w:rPr>
        <w:t xml:space="preserve"> activities in-depth to find any integration issues.</w:t>
      </w:r>
    </w:p>
    <w:p w14:paraId="0EE403FE" w14:textId="77777777" w:rsidR="00400DA8" w:rsidRPr="005616AE" w:rsidRDefault="00400DA8" w:rsidP="00923D7C">
      <w:pPr>
        <w:spacing w:after="0"/>
        <w:jc w:val="left"/>
        <w:rPr>
          <w:rFonts w:cs="Calibri"/>
          <w:b/>
          <w:bCs/>
        </w:rPr>
      </w:pPr>
      <w:r w:rsidRPr="005616AE">
        <w:rPr>
          <w:rFonts w:cs="Calibri"/>
          <w:b/>
          <w:bCs/>
        </w:rPr>
        <w:t>Regulatory and Compliance Issues</w:t>
      </w:r>
    </w:p>
    <w:p w14:paraId="5C79E876" w14:textId="77777777" w:rsidR="00400DA8" w:rsidRPr="005616AE" w:rsidRDefault="00400DA8" w:rsidP="00384F0C">
      <w:pPr>
        <w:pStyle w:val="ListParagraph"/>
        <w:numPr>
          <w:ilvl w:val="0"/>
          <w:numId w:val="78"/>
        </w:numPr>
        <w:spacing w:after="0"/>
        <w:rPr>
          <w:rFonts w:cs="Calibri"/>
        </w:rPr>
      </w:pPr>
      <w:r w:rsidRPr="005616AE">
        <w:rPr>
          <w:rFonts w:cs="Calibri"/>
          <w:b/>
          <w:bCs/>
        </w:rPr>
        <w:t>Risk:</w:t>
      </w:r>
      <w:r w:rsidRPr="005616AE">
        <w:rPr>
          <w:rFonts w:cs="Calibri"/>
        </w:rPr>
        <w:t xml:space="preserve"> TD may be subject to additional compliance risks if it decides to enter the highly regulated financial services and </w:t>
      </w:r>
      <w:proofErr w:type="gramStart"/>
      <w:r w:rsidRPr="005616AE">
        <w:rPr>
          <w:rFonts w:cs="Calibri"/>
        </w:rPr>
        <w:t>logistics</w:t>
      </w:r>
      <w:proofErr w:type="gramEnd"/>
      <w:r w:rsidRPr="005616AE">
        <w:rPr>
          <w:rFonts w:cs="Calibri"/>
        </w:rPr>
        <w:t xml:space="preserve"> sectors.</w:t>
      </w:r>
    </w:p>
    <w:p w14:paraId="4BD7D1C1" w14:textId="77777777" w:rsidR="00400DA8" w:rsidRPr="005616AE" w:rsidRDefault="00400DA8" w:rsidP="00384F0C">
      <w:pPr>
        <w:pStyle w:val="ListParagraph"/>
        <w:numPr>
          <w:ilvl w:val="0"/>
          <w:numId w:val="78"/>
        </w:numPr>
        <w:spacing w:after="0"/>
        <w:rPr>
          <w:rFonts w:cs="Calibri"/>
        </w:rPr>
      </w:pPr>
      <w:r w:rsidRPr="005616AE">
        <w:rPr>
          <w:rFonts w:cs="Calibri"/>
          <w:b/>
          <w:bCs/>
        </w:rPr>
        <w:t>Mitigation:</w:t>
      </w:r>
      <w:r w:rsidRPr="005616AE">
        <w:rPr>
          <w:rFonts w:cs="Calibri"/>
        </w:rPr>
        <w:t xml:space="preserve"> To ensure adherence to US and Canadian regulations collaborate closely with legal and regulatory specialists. Continue to take the initiative to adjust to changing regulations in the </w:t>
      </w:r>
      <w:proofErr w:type="gramStart"/>
      <w:r w:rsidRPr="005616AE">
        <w:rPr>
          <w:rFonts w:cs="Calibri"/>
        </w:rPr>
        <w:t>logistics</w:t>
      </w:r>
      <w:proofErr w:type="gramEnd"/>
      <w:r w:rsidRPr="005616AE">
        <w:rPr>
          <w:rFonts w:cs="Calibri"/>
        </w:rPr>
        <w:t xml:space="preserve"> industry.</w:t>
      </w:r>
    </w:p>
    <w:p w14:paraId="20B791D8" w14:textId="77777777" w:rsidR="005841DD" w:rsidRPr="005616AE" w:rsidRDefault="00400DA8" w:rsidP="00923D7C">
      <w:pPr>
        <w:spacing w:after="0"/>
        <w:jc w:val="left"/>
        <w:rPr>
          <w:rFonts w:cs="Calibri"/>
        </w:rPr>
      </w:pPr>
      <w:r w:rsidRPr="005616AE">
        <w:rPr>
          <w:rFonts w:cs="Calibri"/>
          <w:b/>
          <w:bCs/>
        </w:rPr>
        <w:t>Market Competition</w:t>
      </w:r>
    </w:p>
    <w:p w14:paraId="3196BF9E" w14:textId="3D62C0E5" w:rsidR="00400DA8" w:rsidRPr="005616AE" w:rsidRDefault="00400DA8" w:rsidP="00384F0C">
      <w:pPr>
        <w:pStyle w:val="ListParagraph"/>
        <w:numPr>
          <w:ilvl w:val="0"/>
          <w:numId w:val="79"/>
        </w:numPr>
        <w:spacing w:after="0"/>
        <w:rPr>
          <w:rFonts w:cs="Calibri"/>
        </w:rPr>
      </w:pPr>
      <w:r w:rsidRPr="005616AE">
        <w:rPr>
          <w:rFonts w:cs="Calibri"/>
          <w:b/>
          <w:bCs/>
        </w:rPr>
        <w:t>Risk:</w:t>
      </w:r>
      <w:r w:rsidRPr="005616AE">
        <w:rPr>
          <w:rFonts w:cs="Calibri"/>
        </w:rPr>
        <w:t xml:space="preserve"> Profitability as well as market share may be impacted by fierce competition in the financial services and </w:t>
      </w:r>
      <w:proofErr w:type="gramStart"/>
      <w:r w:rsidRPr="005616AE">
        <w:rPr>
          <w:rFonts w:cs="Calibri"/>
        </w:rPr>
        <w:t>logistics</w:t>
      </w:r>
      <w:proofErr w:type="gramEnd"/>
      <w:r w:rsidRPr="005616AE">
        <w:rPr>
          <w:rFonts w:cs="Calibri"/>
        </w:rPr>
        <w:t xml:space="preserve"> industries.</w:t>
      </w:r>
    </w:p>
    <w:p w14:paraId="7F41D674" w14:textId="77777777" w:rsidR="00400DA8" w:rsidRPr="005616AE" w:rsidRDefault="00400DA8" w:rsidP="00384F0C">
      <w:pPr>
        <w:pStyle w:val="ListParagraph"/>
        <w:numPr>
          <w:ilvl w:val="0"/>
          <w:numId w:val="79"/>
        </w:numPr>
        <w:spacing w:after="0"/>
        <w:rPr>
          <w:rFonts w:cs="Calibri"/>
        </w:rPr>
      </w:pPr>
      <w:r w:rsidRPr="005616AE">
        <w:rPr>
          <w:rFonts w:cs="Calibri"/>
          <w:b/>
          <w:bCs/>
        </w:rPr>
        <w:lastRenderedPageBreak/>
        <w:t>Mitigation:</w:t>
      </w:r>
      <w:r w:rsidRPr="005616AE">
        <w:rPr>
          <w:rFonts w:cs="Calibri"/>
        </w:rPr>
        <w:t xml:space="preserve"> Set TD apart from the competition by utilising technology, sustainability initiatives and all-inclusive financial products that benefit </w:t>
      </w:r>
      <w:proofErr w:type="spellStart"/>
      <w:r w:rsidRPr="005616AE">
        <w:rPr>
          <w:rFonts w:cs="Calibri"/>
        </w:rPr>
        <w:t>TForce's</w:t>
      </w:r>
      <w:proofErr w:type="spellEnd"/>
      <w:r w:rsidRPr="005616AE">
        <w:rPr>
          <w:rFonts w:cs="Calibri"/>
        </w:rPr>
        <w:t xml:space="preserve"> clients.</w:t>
      </w:r>
    </w:p>
    <w:p w14:paraId="3294621F" w14:textId="77777777" w:rsidR="005841DD" w:rsidRPr="005616AE" w:rsidRDefault="00400DA8" w:rsidP="00923D7C">
      <w:pPr>
        <w:spacing w:after="0"/>
        <w:jc w:val="left"/>
        <w:rPr>
          <w:rFonts w:cs="Calibri"/>
        </w:rPr>
      </w:pPr>
      <w:r w:rsidRPr="005616AE">
        <w:rPr>
          <w:rFonts w:cs="Calibri"/>
          <w:b/>
          <w:bCs/>
        </w:rPr>
        <w:t>Cultural Integration</w:t>
      </w:r>
    </w:p>
    <w:p w14:paraId="1BCD19FA" w14:textId="55F683E1" w:rsidR="00400DA8" w:rsidRPr="005616AE" w:rsidRDefault="00400DA8" w:rsidP="00384F0C">
      <w:pPr>
        <w:pStyle w:val="ListParagraph"/>
        <w:numPr>
          <w:ilvl w:val="0"/>
          <w:numId w:val="80"/>
        </w:numPr>
        <w:spacing w:after="0"/>
        <w:rPr>
          <w:rFonts w:cs="Calibri"/>
        </w:rPr>
      </w:pPr>
      <w:r w:rsidRPr="005616AE">
        <w:rPr>
          <w:rFonts w:cs="Calibri"/>
          <w:b/>
          <w:bCs/>
        </w:rPr>
        <w:t>Risk:</w:t>
      </w:r>
      <w:r w:rsidRPr="005616AE">
        <w:rPr>
          <w:rFonts w:cs="Calibri"/>
        </w:rPr>
        <w:t xml:space="preserve"> There might be difficulties integrating TD's corporate culture with </w:t>
      </w:r>
      <w:proofErr w:type="spellStart"/>
      <w:r w:rsidRPr="005616AE">
        <w:rPr>
          <w:rFonts w:cs="Calibri"/>
        </w:rPr>
        <w:t>TForce's</w:t>
      </w:r>
      <w:proofErr w:type="spellEnd"/>
      <w:r w:rsidRPr="005616AE">
        <w:rPr>
          <w:rFonts w:cs="Calibri"/>
        </w:rPr>
        <w:t xml:space="preserve"> operational culture which might have an impact on staff retention and morale.</w:t>
      </w:r>
    </w:p>
    <w:p w14:paraId="266A4CC9" w14:textId="77777777" w:rsidR="00400DA8" w:rsidRPr="005616AE" w:rsidRDefault="00400DA8" w:rsidP="00384F0C">
      <w:pPr>
        <w:pStyle w:val="ListParagraph"/>
        <w:numPr>
          <w:ilvl w:val="0"/>
          <w:numId w:val="80"/>
        </w:numPr>
        <w:spacing w:after="0"/>
        <w:rPr>
          <w:rFonts w:cs="Calibri"/>
        </w:rPr>
      </w:pPr>
      <w:r w:rsidRPr="005616AE">
        <w:rPr>
          <w:rFonts w:cs="Calibri"/>
          <w:b/>
          <w:bCs/>
        </w:rPr>
        <w:t>Mitigation:</w:t>
      </w:r>
      <w:r w:rsidRPr="005616AE">
        <w:rPr>
          <w:rFonts w:cs="Calibri"/>
        </w:rPr>
        <w:t xml:space="preserve"> To promote a cohesive business culture, spend money on interorganisational training and communication initiatives. To establish the tone for cultural alignment making sure that TD and </w:t>
      </w:r>
      <w:proofErr w:type="spellStart"/>
      <w:r w:rsidRPr="005616AE">
        <w:rPr>
          <w:rFonts w:cs="Calibri"/>
        </w:rPr>
        <w:t>TForce</w:t>
      </w:r>
      <w:proofErr w:type="spellEnd"/>
      <w:r w:rsidRPr="005616AE">
        <w:rPr>
          <w:rFonts w:cs="Calibri"/>
        </w:rPr>
        <w:t xml:space="preserve"> leadership are actively participating in the integration process.</w:t>
      </w:r>
    </w:p>
    <w:p w14:paraId="57108100" w14:textId="37D6F630" w:rsidR="00400DA8" w:rsidRPr="005616AE" w:rsidRDefault="00400DA8" w:rsidP="00F52102">
      <w:pPr>
        <w:spacing w:after="0"/>
        <w:jc w:val="left"/>
        <w:rPr>
          <w:rFonts w:cs="Calibri"/>
          <w:b/>
          <w:bCs/>
        </w:rPr>
      </w:pPr>
      <w:r w:rsidRPr="005616AE">
        <w:rPr>
          <w:rFonts w:cs="Calibri"/>
          <w:b/>
          <w:bCs/>
        </w:rPr>
        <w:t>Economic or Market Volatility</w:t>
      </w:r>
    </w:p>
    <w:p w14:paraId="2F31CFDE" w14:textId="77777777" w:rsidR="00400DA8" w:rsidRPr="005616AE" w:rsidRDefault="00400DA8" w:rsidP="00384F0C">
      <w:pPr>
        <w:pStyle w:val="ListParagraph"/>
        <w:numPr>
          <w:ilvl w:val="0"/>
          <w:numId w:val="81"/>
        </w:numPr>
        <w:spacing w:after="0"/>
        <w:rPr>
          <w:rFonts w:cs="Calibri"/>
        </w:rPr>
      </w:pPr>
      <w:r w:rsidRPr="005616AE">
        <w:rPr>
          <w:rFonts w:cs="Calibri"/>
          <w:b/>
          <w:bCs/>
        </w:rPr>
        <w:t>Risk:</w:t>
      </w:r>
      <w:r w:rsidRPr="005616AE">
        <w:rPr>
          <w:rFonts w:cs="Calibri"/>
        </w:rPr>
        <w:t xml:space="preserve"> A decline in the e-commerce or </w:t>
      </w:r>
      <w:proofErr w:type="gramStart"/>
      <w:r w:rsidRPr="005616AE">
        <w:rPr>
          <w:rFonts w:cs="Calibri"/>
        </w:rPr>
        <w:t>logistics</w:t>
      </w:r>
      <w:proofErr w:type="gramEnd"/>
      <w:r w:rsidRPr="005616AE">
        <w:rPr>
          <w:rFonts w:cs="Calibri"/>
        </w:rPr>
        <w:t xml:space="preserve"> sector may influence profitability and revenue growth.</w:t>
      </w:r>
    </w:p>
    <w:p w14:paraId="1520FE2B" w14:textId="5A3F807D" w:rsidR="00400DA8" w:rsidRPr="005616AE" w:rsidRDefault="00400DA8" w:rsidP="00384F0C">
      <w:pPr>
        <w:pStyle w:val="ListParagraph"/>
        <w:numPr>
          <w:ilvl w:val="0"/>
          <w:numId w:val="81"/>
        </w:numPr>
        <w:spacing w:after="0"/>
        <w:rPr>
          <w:rFonts w:cs="Calibri"/>
        </w:rPr>
      </w:pPr>
      <w:r w:rsidRPr="005616AE">
        <w:rPr>
          <w:rFonts w:cs="Calibri"/>
          <w:b/>
          <w:bCs/>
        </w:rPr>
        <w:t>Mitigation:</w:t>
      </w:r>
      <w:r w:rsidRPr="005616AE">
        <w:rPr>
          <w:rFonts w:cs="Calibri"/>
        </w:rPr>
        <w:t xml:space="preserve"> Create backup plans by varying your sources of income as well as by keeping an eye on market developments. Take advantage of TD's solid financial standing to withstand transient volatility.</w:t>
      </w:r>
    </w:p>
    <w:p w14:paraId="2DC36986" w14:textId="77777777" w:rsidR="00400DA8" w:rsidRPr="005616AE" w:rsidRDefault="00400DA8" w:rsidP="00400DA8">
      <w:pPr>
        <w:pStyle w:val="Heading1"/>
        <w:rPr>
          <w:rFonts w:ascii="Calibri" w:hAnsi="Calibri" w:cs="Calibri"/>
        </w:rPr>
      </w:pPr>
      <w:bookmarkStart w:id="33" w:name="_Toc183211050"/>
      <w:r w:rsidRPr="005616AE">
        <w:rPr>
          <w:rFonts w:ascii="Calibri" w:hAnsi="Calibri" w:cs="Calibri"/>
        </w:rPr>
        <w:t>Solution 4: Do-Nothing Solution: Assessing the Risks and Opportunity Costs of Inaction</w:t>
      </w:r>
      <w:bookmarkEnd w:id="33"/>
    </w:p>
    <w:p w14:paraId="3CB41278" w14:textId="77777777" w:rsidR="00400DA8" w:rsidRPr="005616AE" w:rsidRDefault="00400DA8" w:rsidP="00400DA8">
      <w:pPr>
        <w:pStyle w:val="Heading2"/>
        <w:rPr>
          <w:rFonts w:ascii="Calibri" w:hAnsi="Calibri" w:cs="Calibri"/>
        </w:rPr>
      </w:pPr>
      <w:bookmarkStart w:id="34" w:name="_Toc183211051"/>
      <w:r w:rsidRPr="005616AE">
        <w:rPr>
          <w:rFonts w:ascii="Calibri" w:hAnsi="Calibri" w:cs="Calibri"/>
        </w:rPr>
        <w:t>High Level Design</w:t>
      </w:r>
      <w:bookmarkEnd w:id="34"/>
    </w:p>
    <w:p w14:paraId="633568CC" w14:textId="77777777" w:rsidR="00400DA8" w:rsidRPr="005616AE" w:rsidRDefault="00400DA8" w:rsidP="002F7BB7">
      <w:pPr>
        <w:spacing w:after="0"/>
        <w:rPr>
          <w:rFonts w:cs="Calibri"/>
        </w:rPr>
      </w:pPr>
      <w:r w:rsidRPr="005616AE">
        <w:rPr>
          <w:rFonts w:cs="Calibri"/>
        </w:rPr>
        <w:t xml:space="preserve">The "Do-Nothing" solution is a strategy whereby TD Bank decides not to implement any of the recommendations made by </w:t>
      </w:r>
      <w:proofErr w:type="spellStart"/>
      <w:r w:rsidRPr="005616AE">
        <w:rPr>
          <w:rFonts w:cs="Calibri"/>
        </w:rPr>
        <w:t>ProcessPro</w:t>
      </w:r>
      <w:proofErr w:type="spellEnd"/>
      <w:r w:rsidRPr="005616AE">
        <w:rPr>
          <w:rFonts w:cs="Calibri"/>
        </w:rPr>
        <w:t xml:space="preserve"> Partners or various consultancies. This high-level decision entails turning down significant offers like the following: </w:t>
      </w:r>
    </w:p>
    <w:p w14:paraId="130246D5" w14:textId="77777777" w:rsidR="00400DA8" w:rsidRPr="005616AE" w:rsidRDefault="00400DA8" w:rsidP="002F7BB7">
      <w:pPr>
        <w:spacing w:after="0"/>
        <w:rPr>
          <w:rFonts w:cs="Calibri"/>
        </w:rPr>
      </w:pPr>
      <w:r w:rsidRPr="005616AE">
        <w:rPr>
          <w:rFonts w:cs="Calibri"/>
        </w:rPr>
        <w:t xml:space="preserve">transformative investments, operational </w:t>
      </w:r>
      <w:proofErr w:type="gramStart"/>
      <w:r w:rsidRPr="005616AE">
        <w:rPr>
          <w:rFonts w:cs="Calibri"/>
        </w:rPr>
        <w:t>adjustments</w:t>
      </w:r>
      <w:proofErr w:type="gramEnd"/>
      <w:r w:rsidRPr="005616AE">
        <w:rPr>
          <w:rFonts w:cs="Calibri"/>
        </w:rPr>
        <w:t xml:space="preserve"> and market diversification plans.</w:t>
      </w:r>
    </w:p>
    <w:p w14:paraId="5964225C" w14:textId="77777777" w:rsidR="00400DA8" w:rsidRPr="005616AE" w:rsidRDefault="00400DA8" w:rsidP="002F7BB7">
      <w:pPr>
        <w:spacing w:after="0"/>
        <w:rPr>
          <w:rFonts w:cs="Calibri"/>
        </w:rPr>
      </w:pPr>
      <w:r w:rsidRPr="005616AE">
        <w:rPr>
          <w:rFonts w:cs="Calibri"/>
          <w:b/>
          <w:bCs/>
        </w:rPr>
        <w:t xml:space="preserve">Acquisition of </w:t>
      </w:r>
      <w:proofErr w:type="spellStart"/>
      <w:r w:rsidRPr="005616AE">
        <w:rPr>
          <w:rFonts w:cs="Calibri"/>
          <w:b/>
          <w:bCs/>
        </w:rPr>
        <w:t>TForce</w:t>
      </w:r>
      <w:proofErr w:type="spellEnd"/>
      <w:r w:rsidRPr="005616AE">
        <w:rPr>
          <w:rFonts w:cs="Calibri"/>
          <w:b/>
          <w:bCs/>
        </w:rPr>
        <w:t xml:space="preserve"> Logistics:</w:t>
      </w:r>
      <w:r w:rsidRPr="005616AE">
        <w:rPr>
          <w:rFonts w:cs="Calibri"/>
        </w:rPr>
        <w:t xml:space="preserve"> The goal of this plan is to improve TD's last-mile delivery network, </w:t>
      </w:r>
      <w:proofErr w:type="gramStart"/>
      <w:r w:rsidRPr="005616AE">
        <w:rPr>
          <w:rFonts w:cs="Calibri"/>
        </w:rPr>
        <w:t>logistics</w:t>
      </w:r>
      <w:proofErr w:type="gramEnd"/>
      <w:r w:rsidRPr="005616AE">
        <w:rPr>
          <w:rFonts w:cs="Calibri"/>
        </w:rPr>
        <w:t xml:space="preserve"> capabilities and operational efficiency by acquiring </w:t>
      </w:r>
      <w:proofErr w:type="spellStart"/>
      <w:r w:rsidRPr="005616AE">
        <w:rPr>
          <w:rFonts w:cs="Calibri"/>
        </w:rPr>
        <w:t>TForce</w:t>
      </w:r>
      <w:proofErr w:type="spellEnd"/>
      <w:r w:rsidRPr="005616AE">
        <w:rPr>
          <w:rFonts w:cs="Calibri"/>
        </w:rPr>
        <w:t xml:space="preserve"> Logistics.</w:t>
      </w:r>
    </w:p>
    <w:p w14:paraId="7186FA1C" w14:textId="77777777" w:rsidR="00400DA8" w:rsidRPr="005616AE" w:rsidRDefault="00400DA8" w:rsidP="002F7BB7">
      <w:pPr>
        <w:spacing w:after="0"/>
        <w:rPr>
          <w:rFonts w:cs="Calibri"/>
        </w:rPr>
      </w:pPr>
      <w:r w:rsidRPr="005616AE">
        <w:rPr>
          <w:rFonts w:cs="Calibri"/>
          <w:b/>
          <w:bCs/>
        </w:rPr>
        <w:t>Collateral Management System (CMS) Acquisition:</w:t>
      </w:r>
      <w:r w:rsidRPr="005616AE">
        <w:rPr>
          <w:rFonts w:cs="Calibri"/>
        </w:rPr>
        <w:t xml:space="preserve"> An integrated CMS will help TD manage collateral more efficiently for asset recovery, non-performing loans (NPLs) and regulatory compliance.</w:t>
      </w:r>
    </w:p>
    <w:p w14:paraId="62360A71" w14:textId="77777777" w:rsidR="00400DA8" w:rsidRPr="005616AE" w:rsidRDefault="00400DA8" w:rsidP="002F7BB7">
      <w:pPr>
        <w:spacing w:after="0"/>
        <w:rPr>
          <w:rFonts w:cs="Calibri"/>
        </w:rPr>
      </w:pPr>
      <w:r w:rsidRPr="005616AE">
        <w:rPr>
          <w:rFonts w:cs="Calibri"/>
          <w:b/>
          <w:bCs/>
        </w:rPr>
        <w:t>Enter the Canadian Space Economy:</w:t>
      </w:r>
      <w:r w:rsidRPr="005616AE">
        <w:rPr>
          <w:rFonts w:cs="Calibri"/>
        </w:rPr>
        <w:t xml:space="preserve"> Collaboration with the Canadian Space Agency (CSA) to leverage the fast-expanding aerospace as well as space-related industries is one way to enter the Canadian space economy.</w:t>
      </w:r>
    </w:p>
    <w:p w14:paraId="4E3B7E12" w14:textId="77777777" w:rsidR="00400DA8" w:rsidRPr="005616AE" w:rsidRDefault="00400DA8" w:rsidP="002F7BB7">
      <w:pPr>
        <w:spacing w:after="0"/>
        <w:rPr>
          <w:rFonts w:cs="Calibri"/>
        </w:rPr>
      </w:pPr>
      <w:r w:rsidRPr="005616AE">
        <w:rPr>
          <w:rFonts w:cs="Calibri"/>
          <w:b/>
          <w:bCs/>
        </w:rPr>
        <w:t>Various Consultancy Proposals:</w:t>
      </w:r>
      <w:r w:rsidRPr="005616AE">
        <w:rPr>
          <w:rFonts w:cs="Calibri"/>
        </w:rPr>
        <w:t xml:space="preserve"> These are recommendations from consultancies for investments in green finance, fintech collaborations, artificial </w:t>
      </w:r>
      <w:proofErr w:type="gramStart"/>
      <w:r w:rsidRPr="005616AE">
        <w:rPr>
          <w:rFonts w:cs="Calibri"/>
        </w:rPr>
        <w:t>intelligence</w:t>
      </w:r>
      <w:proofErr w:type="gramEnd"/>
      <w:r w:rsidRPr="005616AE">
        <w:rPr>
          <w:rFonts w:cs="Calibri"/>
        </w:rPr>
        <w:t xml:space="preserve"> and sophisticated data analytics for credit scoring.</w:t>
      </w:r>
    </w:p>
    <w:p w14:paraId="5B605D64" w14:textId="77777777" w:rsidR="00400DA8" w:rsidRPr="005616AE" w:rsidRDefault="00400DA8" w:rsidP="002F7BB7">
      <w:pPr>
        <w:spacing w:after="0"/>
        <w:rPr>
          <w:rFonts w:cs="Calibri"/>
        </w:rPr>
      </w:pPr>
      <w:r w:rsidRPr="005616AE">
        <w:rPr>
          <w:rFonts w:cs="Calibri"/>
          <w:b/>
          <w:bCs/>
        </w:rPr>
        <w:t>Objective of the “Do-Nothing” Solution:</w:t>
      </w:r>
      <w:r w:rsidRPr="005616AE">
        <w:rPr>
          <w:rFonts w:cs="Calibri"/>
        </w:rPr>
        <w:t xml:space="preserve"> TD Bank will avoid disruptive technologies as well as in large-scale new enterprises in favour of concentrating on its current business, continuing to offer traditional banking services, and avoiding the risks involved in new acquisitions or investments.</w:t>
      </w:r>
    </w:p>
    <w:p w14:paraId="518614B8" w14:textId="77777777" w:rsidR="00301321" w:rsidRPr="005616AE" w:rsidRDefault="00301321" w:rsidP="002F7BB7">
      <w:pPr>
        <w:spacing w:after="0"/>
        <w:rPr>
          <w:rFonts w:cs="Calibri"/>
        </w:rPr>
      </w:pPr>
    </w:p>
    <w:p w14:paraId="1AEBB1E7" w14:textId="77777777" w:rsidR="00400DA8" w:rsidRPr="005616AE" w:rsidRDefault="00400DA8" w:rsidP="002F7BB7">
      <w:pPr>
        <w:spacing w:after="0"/>
        <w:rPr>
          <w:rFonts w:cs="Calibri"/>
        </w:rPr>
      </w:pPr>
      <w:r w:rsidRPr="005616AE">
        <w:rPr>
          <w:rFonts w:cs="Calibri"/>
        </w:rPr>
        <w:t>This method minimises short-term risks and protects resources. It severely limits TD's capacity to develop, innovate and compete in a financial as well as in technology environment that is changing quickly.</w:t>
      </w:r>
    </w:p>
    <w:p w14:paraId="5F14A5F6" w14:textId="77777777" w:rsidR="00400DA8" w:rsidRPr="005616AE" w:rsidRDefault="00400DA8" w:rsidP="00400DA8">
      <w:pPr>
        <w:pStyle w:val="Heading2"/>
        <w:rPr>
          <w:rFonts w:ascii="Calibri" w:hAnsi="Calibri" w:cs="Calibri"/>
        </w:rPr>
      </w:pPr>
      <w:bookmarkStart w:id="35" w:name="_Toc183211052"/>
      <w:r w:rsidRPr="005616AE">
        <w:rPr>
          <w:rFonts w:ascii="Calibri" w:hAnsi="Calibri" w:cs="Calibri"/>
        </w:rPr>
        <w:t>Low-Level Design</w:t>
      </w:r>
      <w:bookmarkEnd w:id="35"/>
    </w:p>
    <w:p w14:paraId="362FAD4D" w14:textId="1A008676" w:rsidR="00400DA8" w:rsidRPr="005616AE" w:rsidRDefault="00400DA8" w:rsidP="00301321">
      <w:pPr>
        <w:spacing w:after="0"/>
        <w:rPr>
          <w:rFonts w:cs="Calibri"/>
        </w:rPr>
      </w:pPr>
      <w:r w:rsidRPr="005616AE">
        <w:rPr>
          <w:rFonts w:cs="Calibri"/>
        </w:rPr>
        <w:t xml:space="preserve">The operating framework of TD Bank would stay the same under the "Do-Nothing" strategy in all the sectors where the consulting proposals had recommended new investments or strategic directions. The </w:t>
      </w:r>
      <w:r w:rsidRPr="005616AE">
        <w:rPr>
          <w:rFonts w:cs="Calibri"/>
        </w:rPr>
        <w:lastRenderedPageBreak/>
        <w:t xml:space="preserve">following would happen if the bank's operations were limited to the current markets, </w:t>
      </w:r>
      <w:proofErr w:type="gramStart"/>
      <w:r w:rsidRPr="005616AE">
        <w:rPr>
          <w:rFonts w:cs="Calibri"/>
        </w:rPr>
        <w:t>procedures</w:t>
      </w:r>
      <w:proofErr w:type="gramEnd"/>
      <w:r w:rsidRPr="005616AE">
        <w:rPr>
          <w:rFonts w:cs="Calibri"/>
        </w:rPr>
        <w:t xml:space="preserve"> and systems</w:t>
      </w:r>
      <w:r w:rsidR="001C77A7">
        <w:rPr>
          <w:rFonts w:cs="Calibri"/>
        </w:rPr>
        <w:t>.</w:t>
      </w:r>
    </w:p>
    <w:p w14:paraId="5E184221" w14:textId="62A7DC3B" w:rsidR="00400DA8" w:rsidRPr="005616AE" w:rsidRDefault="00400DA8" w:rsidP="00301321">
      <w:pPr>
        <w:spacing w:after="0"/>
        <w:rPr>
          <w:rFonts w:cs="Calibri"/>
          <w:b/>
          <w:bCs/>
        </w:rPr>
      </w:pPr>
      <w:r w:rsidRPr="005616AE">
        <w:rPr>
          <w:rFonts w:cs="Calibri"/>
          <w:b/>
          <w:bCs/>
        </w:rPr>
        <w:t>Operational Focus</w:t>
      </w:r>
    </w:p>
    <w:p w14:paraId="63ADE00D" w14:textId="77777777" w:rsidR="00400DA8" w:rsidRPr="005616AE" w:rsidRDefault="00400DA8" w:rsidP="00384F0C">
      <w:pPr>
        <w:pStyle w:val="ListParagraph"/>
        <w:numPr>
          <w:ilvl w:val="0"/>
          <w:numId w:val="16"/>
        </w:numPr>
        <w:spacing w:after="0"/>
        <w:rPr>
          <w:rFonts w:cs="Calibri"/>
        </w:rPr>
      </w:pPr>
      <w:r w:rsidRPr="005616AE">
        <w:rPr>
          <w:rFonts w:cs="Calibri"/>
        </w:rPr>
        <w:t xml:space="preserve">No Acquisition of </w:t>
      </w:r>
      <w:proofErr w:type="spellStart"/>
      <w:r w:rsidRPr="005616AE">
        <w:rPr>
          <w:rFonts w:cs="Calibri"/>
        </w:rPr>
        <w:t>TForce</w:t>
      </w:r>
      <w:proofErr w:type="spellEnd"/>
      <w:r w:rsidRPr="005616AE">
        <w:rPr>
          <w:rFonts w:cs="Calibri"/>
        </w:rPr>
        <w:t xml:space="preserve"> Logistics: TD Bank will not improve its last-mile delivery services or grow its network in the </w:t>
      </w:r>
      <w:proofErr w:type="gramStart"/>
      <w:r w:rsidRPr="005616AE">
        <w:rPr>
          <w:rFonts w:cs="Calibri"/>
        </w:rPr>
        <w:t>logistics</w:t>
      </w:r>
      <w:proofErr w:type="gramEnd"/>
      <w:r w:rsidRPr="005616AE">
        <w:rPr>
          <w:rFonts w:cs="Calibri"/>
        </w:rPr>
        <w:t xml:space="preserve"> industry. It will honour its current partnerships with other </w:t>
      </w:r>
      <w:proofErr w:type="gramStart"/>
      <w:r w:rsidRPr="005616AE">
        <w:rPr>
          <w:rFonts w:cs="Calibri"/>
        </w:rPr>
        <w:t>logistics</w:t>
      </w:r>
      <w:proofErr w:type="gramEnd"/>
      <w:r w:rsidRPr="005616AE">
        <w:rPr>
          <w:rFonts w:cs="Calibri"/>
        </w:rPr>
        <w:t xml:space="preserve"> companies.</w:t>
      </w:r>
    </w:p>
    <w:p w14:paraId="20793A6D" w14:textId="77777777" w:rsidR="00400DA8" w:rsidRPr="005616AE" w:rsidRDefault="00400DA8" w:rsidP="00384F0C">
      <w:pPr>
        <w:pStyle w:val="ListParagraph"/>
        <w:numPr>
          <w:ilvl w:val="0"/>
          <w:numId w:val="16"/>
        </w:numPr>
        <w:spacing w:after="0"/>
        <w:rPr>
          <w:rFonts w:cs="Calibri"/>
        </w:rPr>
      </w:pPr>
      <w:r w:rsidRPr="005616AE">
        <w:rPr>
          <w:rFonts w:cs="Calibri"/>
        </w:rPr>
        <w:t>Dependency on Third-Party CMS: TD will continue to outsource asset management and collateral recovery procedures rather than purchasing a proprietary Collateral Management System which puts it at risk of third-party inefficiencies.</w:t>
      </w:r>
    </w:p>
    <w:p w14:paraId="65C32A0F" w14:textId="77777777" w:rsidR="00400DA8" w:rsidRPr="005616AE" w:rsidRDefault="00400DA8" w:rsidP="00384F0C">
      <w:pPr>
        <w:pStyle w:val="ListParagraph"/>
        <w:numPr>
          <w:ilvl w:val="0"/>
          <w:numId w:val="16"/>
        </w:numPr>
        <w:spacing w:after="0"/>
        <w:rPr>
          <w:rFonts w:cs="Calibri"/>
        </w:rPr>
      </w:pPr>
      <w:r w:rsidRPr="005616AE">
        <w:rPr>
          <w:rFonts w:cs="Calibri"/>
        </w:rPr>
        <w:t>Lack of Space Economy Exploration: TD will not work with the CSA or make investments in space-tech companies. It is losing out on the chance to expand into one of the world's fastest-growing markets.</w:t>
      </w:r>
    </w:p>
    <w:p w14:paraId="0B315FB6" w14:textId="77777777" w:rsidR="00400DA8" w:rsidRPr="005616AE" w:rsidRDefault="00400DA8" w:rsidP="00384F0C">
      <w:pPr>
        <w:pStyle w:val="ListParagraph"/>
        <w:numPr>
          <w:ilvl w:val="0"/>
          <w:numId w:val="16"/>
        </w:numPr>
        <w:spacing w:after="0"/>
        <w:rPr>
          <w:rFonts w:cs="Calibri"/>
        </w:rPr>
      </w:pPr>
      <w:r w:rsidRPr="005616AE">
        <w:rPr>
          <w:rFonts w:cs="Calibri"/>
        </w:rPr>
        <w:t>Absence of technological advancements: TD's infrastructure will remain antiquated in comparison to rivals adopting innovative technologies like blockchain, artificial intelligence and sophisticated data analytics.</w:t>
      </w:r>
    </w:p>
    <w:p w14:paraId="00318FEE" w14:textId="2028CD37" w:rsidR="00400DA8" w:rsidRPr="005616AE" w:rsidRDefault="00400DA8" w:rsidP="00301321">
      <w:pPr>
        <w:spacing w:after="0"/>
        <w:rPr>
          <w:rFonts w:cs="Calibri"/>
          <w:b/>
          <w:bCs/>
        </w:rPr>
      </w:pPr>
      <w:r w:rsidRPr="005616AE">
        <w:rPr>
          <w:rFonts w:cs="Calibri"/>
          <w:b/>
          <w:bCs/>
        </w:rPr>
        <w:t>Capital Conservation</w:t>
      </w:r>
    </w:p>
    <w:p w14:paraId="086B4387" w14:textId="77777777" w:rsidR="00400DA8" w:rsidRPr="005616AE" w:rsidRDefault="00400DA8" w:rsidP="00384F0C">
      <w:pPr>
        <w:pStyle w:val="ListParagraph"/>
        <w:numPr>
          <w:ilvl w:val="0"/>
          <w:numId w:val="17"/>
        </w:numPr>
        <w:spacing w:after="0"/>
        <w:rPr>
          <w:rFonts w:cs="Calibri"/>
        </w:rPr>
      </w:pPr>
      <w:r w:rsidRPr="005616AE">
        <w:rPr>
          <w:rFonts w:cs="Calibri"/>
        </w:rPr>
        <w:t>TD Bank will refrain from making large financial investments in acquisitions or new technological advancements.</w:t>
      </w:r>
    </w:p>
    <w:p w14:paraId="160A5003" w14:textId="77777777" w:rsidR="00400DA8" w:rsidRPr="005616AE" w:rsidRDefault="00400DA8" w:rsidP="00384F0C">
      <w:pPr>
        <w:pStyle w:val="ListParagraph"/>
        <w:numPr>
          <w:ilvl w:val="0"/>
          <w:numId w:val="17"/>
        </w:numPr>
        <w:spacing w:after="0"/>
        <w:rPr>
          <w:rFonts w:cs="Calibri"/>
        </w:rPr>
      </w:pPr>
      <w:r w:rsidRPr="005616AE">
        <w:rPr>
          <w:rFonts w:cs="Calibri"/>
        </w:rPr>
        <w:t xml:space="preserve">Although operational expenses might remain constant TD will pass up chances to reduce expenses as well as generate income by </w:t>
      </w:r>
      <w:proofErr w:type="gramStart"/>
      <w:r w:rsidRPr="005616AE">
        <w:rPr>
          <w:rFonts w:cs="Calibri"/>
        </w:rPr>
        <w:t>utilising</w:t>
      </w:r>
      <w:proofErr w:type="gramEnd"/>
      <w:r w:rsidRPr="005616AE">
        <w:rPr>
          <w:rFonts w:cs="Calibri"/>
        </w:rPr>
        <w:t xml:space="preserve"> innovative technology like blockchain and artificial intelligence.</w:t>
      </w:r>
    </w:p>
    <w:p w14:paraId="24AC4D43" w14:textId="1C60686A" w:rsidR="00400DA8" w:rsidRPr="005616AE" w:rsidRDefault="00400DA8" w:rsidP="00301321">
      <w:pPr>
        <w:spacing w:after="0"/>
        <w:rPr>
          <w:rFonts w:cs="Calibri"/>
          <w:b/>
          <w:bCs/>
        </w:rPr>
      </w:pPr>
      <w:r w:rsidRPr="005616AE">
        <w:rPr>
          <w:rFonts w:cs="Calibri"/>
          <w:b/>
          <w:bCs/>
        </w:rPr>
        <w:t>Customer Engagement</w:t>
      </w:r>
    </w:p>
    <w:p w14:paraId="011CC731" w14:textId="77777777" w:rsidR="00400DA8" w:rsidRPr="005616AE" w:rsidRDefault="00400DA8" w:rsidP="00384F0C">
      <w:pPr>
        <w:pStyle w:val="ListParagraph"/>
        <w:numPr>
          <w:ilvl w:val="0"/>
          <w:numId w:val="18"/>
        </w:numPr>
        <w:spacing w:after="0"/>
        <w:rPr>
          <w:rFonts w:cs="Calibri"/>
        </w:rPr>
      </w:pPr>
      <w:r w:rsidRPr="005616AE">
        <w:rPr>
          <w:rFonts w:cs="Calibri"/>
        </w:rPr>
        <w:t>TD will continue to use conventional customer service methods depending on in-branch services as well as current internet banking platforms. It will progressively lag competitors' more flexible, technologically advanced strategies.</w:t>
      </w:r>
    </w:p>
    <w:p w14:paraId="48125557" w14:textId="77777777" w:rsidR="00400DA8" w:rsidRPr="005616AE" w:rsidRDefault="00400DA8" w:rsidP="00384F0C">
      <w:pPr>
        <w:pStyle w:val="ListParagraph"/>
        <w:numPr>
          <w:ilvl w:val="0"/>
          <w:numId w:val="18"/>
        </w:numPr>
        <w:spacing w:after="0"/>
        <w:rPr>
          <w:rFonts w:cs="Calibri"/>
        </w:rPr>
      </w:pPr>
      <w:r w:rsidRPr="005616AE">
        <w:rPr>
          <w:rFonts w:cs="Calibri"/>
        </w:rPr>
        <w:t>Customer care provided by the bank will not be as efficient as AI and data analytics could be.</w:t>
      </w:r>
    </w:p>
    <w:p w14:paraId="0260C516" w14:textId="59D35B3F" w:rsidR="00400DA8" w:rsidRPr="005616AE" w:rsidRDefault="00400DA8" w:rsidP="00301321">
      <w:pPr>
        <w:spacing w:after="0"/>
        <w:rPr>
          <w:rFonts w:cs="Calibri"/>
          <w:b/>
          <w:bCs/>
        </w:rPr>
      </w:pPr>
      <w:r w:rsidRPr="005616AE">
        <w:rPr>
          <w:rFonts w:cs="Calibri"/>
          <w:b/>
          <w:bCs/>
        </w:rPr>
        <w:t>Market Positioning</w:t>
      </w:r>
    </w:p>
    <w:p w14:paraId="5575957D" w14:textId="77777777" w:rsidR="00400DA8" w:rsidRPr="005616AE" w:rsidRDefault="00400DA8" w:rsidP="00384F0C">
      <w:pPr>
        <w:pStyle w:val="ListParagraph"/>
        <w:numPr>
          <w:ilvl w:val="0"/>
          <w:numId w:val="19"/>
        </w:numPr>
        <w:spacing w:after="0"/>
        <w:rPr>
          <w:rFonts w:cs="Calibri"/>
        </w:rPr>
      </w:pPr>
      <w:r w:rsidRPr="005616AE">
        <w:rPr>
          <w:rFonts w:cs="Calibri"/>
        </w:rPr>
        <w:t xml:space="preserve">The bank will continue to provide traditional financial services. It will pass up chances to diversify into sustainable banking, space finance and </w:t>
      </w:r>
      <w:proofErr w:type="gramStart"/>
      <w:r w:rsidRPr="005616AE">
        <w:rPr>
          <w:rFonts w:cs="Calibri"/>
        </w:rPr>
        <w:t>logistics</w:t>
      </w:r>
      <w:proofErr w:type="gramEnd"/>
      <w:r w:rsidRPr="005616AE">
        <w:rPr>
          <w:rFonts w:cs="Calibri"/>
        </w:rPr>
        <w:t>.</w:t>
      </w:r>
    </w:p>
    <w:p w14:paraId="1AF4B49B" w14:textId="77777777" w:rsidR="00400DA8" w:rsidRPr="005616AE" w:rsidRDefault="00400DA8" w:rsidP="00384F0C">
      <w:pPr>
        <w:pStyle w:val="ListParagraph"/>
        <w:numPr>
          <w:ilvl w:val="0"/>
          <w:numId w:val="19"/>
        </w:numPr>
        <w:spacing w:after="0"/>
        <w:rPr>
          <w:rFonts w:cs="Calibri"/>
        </w:rPr>
      </w:pPr>
      <w:r w:rsidRPr="005616AE">
        <w:rPr>
          <w:rFonts w:cs="Calibri"/>
        </w:rPr>
        <w:t xml:space="preserve">TD's competitive advantage will </w:t>
      </w:r>
      <w:proofErr w:type="gramStart"/>
      <w:r w:rsidRPr="005616AE">
        <w:rPr>
          <w:rFonts w:cs="Calibri"/>
        </w:rPr>
        <w:t>be diminished</w:t>
      </w:r>
      <w:proofErr w:type="gramEnd"/>
      <w:r w:rsidRPr="005616AE">
        <w:rPr>
          <w:rFonts w:cs="Calibri"/>
        </w:rPr>
        <w:t xml:space="preserve"> by rivals who embrace innovative technology and gain market share in industries with rapid growth.</w:t>
      </w:r>
    </w:p>
    <w:p w14:paraId="38C160C5" w14:textId="77777777" w:rsidR="00400DA8" w:rsidRPr="005616AE" w:rsidRDefault="00400DA8" w:rsidP="00400DA8">
      <w:pPr>
        <w:pStyle w:val="Heading2"/>
        <w:rPr>
          <w:rFonts w:ascii="Calibri" w:hAnsi="Calibri" w:cs="Calibri"/>
        </w:rPr>
      </w:pPr>
      <w:bookmarkStart w:id="36" w:name="_Toc183211053"/>
      <w:r w:rsidRPr="005616AE">
        <w:rPr>
          <w:rFonts w:ascii="Calibri" w:hAnsi="Calibri" w:cs="Calibri"/>
        </w:rPr>
        <w:t>Ideas Proposed by Consultancies</w:t>
      </w:r>
      <w:bookmarkEnd w:id="36"/>
    </w:p>
    <w:p w14:paraId="6DAA43D3" w14:textId="014DAA94" w:rsidR="00400DA8" w:rsidRPr="005616AE" w:rsidRDefault="00400DA8" w:rsidP="002C7C30">
      <w:pPr>
        <w:spacing w:after="0"/>
        <w:rPr>
          <w:rFonts w:cs="Calibri"/>
          <w:b/>
          <w:bCs/>
        </w:rPr>
      </w:pPr>
      <w:r w:rsidRPr="005616AE">
        <w:rPr>
          <w:rFonts w:cs="Calibri"/>
        </w:rPr>
        <w:t xml:space="preserve">Along with the ideas given by </w:t>
      </w:r>
      <w:proofErr w:type="spellStart"/>
      <w:r w:rsidRPr="005616AE">
        <w:rPr>
          <w:rFonts w:cs="Calibri"/>
        </w:rPr>
        <w:t>ProcessPro</w:t>
      </w:r>
      <w:proofErr w:type="spellEnd"/>
      <w:r w:rsidRPr="005616AE">
        <w:rPr>
          <w:rFonts w:cs="Calibri"/>
        </w:rPr>
        <w:t xml:space="preserve"> Partners and different consultants submitted </w:t>
      </w:r>
      <w:proofErr w:type="gramStart"/>
      <w:r w:rsidRPr="005616AE">
        <w:rPr>
          <w:rFonts w:cs="Calibri"/>
        </w:rPr>
        <w:t>a few</w:t>
      </w:r>
      <w:proofErr w:type="gramEnd"/>
      <w:r w:rsidRPr="005616AE">
        <w:rPr>
          <w:rFonts w:cs="Calibri"/>
        </w:rPr>
        <w:t xml:space="preserve"> noteworthy solutions that would significantly increase TD Bank's return on investment. Among the noteworthy concepts are</w:t>
      </w:r>
    </w:p>
    <w:p w14:paraId="37F8E2D3" w14:textId="2704E18D" w:rsidR="00400DA8" w:rsidRPr="005616AE" w:rsidRDefault="00400DA8" w:rsidP="00F52102">
      <w:pPr>
        <w:spacing w:after="0"/>
        <w:rPr>
          <w:rFonts w:cs="Calibri"/>
          <w:b/>
          <w:bCs/>
        </w:rPr>
      </w:pPr>
      <w:r w:rsidRPr="005616AE">
        <w:rPr>
          <w:rFonts w:cs="Calibri"/>
          <w:b/>
          <w:bCs/>
        </w:rPr>
        <w:t>Leveraging Artificial Intelligence in financial proposal</w:t>
      </w:r>
    </w:p>
    <w:p w14:paraId="62228527" w14:textId="77777777" w:rsidR="00400DA8" w:rsidRPr="005616AE" w:rsidRDefault="00400DA8" w:rsidP="00384F0C">
      <w:pPr>
        <w:pStyle w:val="ListParagraph"/>
        <w:numPr>
          <w:ilvl w:val="0"/>
          <w:numId w:val="82"/>
        </w:numPr>
        <w:spacing w:after="0"/>
        <w:rPr>
          <w:rFonts w:cs="Calibri"/>
        </w:rPr>
      </w:pPr>
      <w:r w:rsidRPr="005616AE">
        <w:rPr>
          <w:rFonts w:cs="Calibri"/>
        </w:rPr>
        <w:t xml:space="preserve">Make significant investments in AI to improve fraud detection, automate back-office tasks, offer individualised financial </w:t>
      </w:r>
      <w:proofErr w:type="gramStart"/>
      <w:r w:rsidRPr="005616AE">
        <w:rPr>
          <w:rFonts w:cs="Calibri"/>
        </w:rPr>
        <w:t>services</w:t>
      </w:r>
      <w:proofErr w:type="gramEnd"/>
      <w:r w:rsidRPr="005616AE">
        <w:rPr>
          <w:rFonts w:cs="Calibri"/>
        </w:rPr>
        <w:t xml:space="preserve"> and improve decision-making via predictive analytics.</w:t>
      </w:r>
    </w:p>
    <w:p w14:paraId="615B1477" w14:textId="77777777" w:rsidR="00400DA8" w:rsidRPr="005616AE" w:rsidRDefault="00400DA8" w:rsidP="00384F0C">
      <w:pPr>
        <w:pStyle w:val="ListParagraph"/>
        <w:numPr>
          <w:ilvl w:val="0"/>
          <w:numId w:val="82"/>
        </w:numPr>
        <w:spacing w:after="0"/>
        <w:rPr>
          <w:rFonts w:cs="Calibri"/>
        </w:rPr>
      </w:pPr>
      <w:r w:rsidRPr="005616AE">
        <w:rPr>
          <w:rFonts w:cs="Calibri"/>
          <w:b/>
          <w:bCs/>
        </w:rPr>
        <w:t>Projected ROI:</w:t>
      </w:r>
      <w:r w:rsidRPr="005616AE">
        <w:rPr>
          <w:rFonts w:cs="Calibri"/>
        </w:rPr>
        <w:t xml:space="preserve"> ROI projections indicate that implementing AI-driven solutions might enhance client acquisition by cutting down on fraud losses by 20% and reduce operating costs by 15% to 25%.</w:t>
      </w:r>
    </w:p>
    <w:p w14:paraId="7E2CF743" w14:textId="6AC35A48" w:rsidR="00400DA8" w:rsidRPr="005616AE" w:rsidRDefault="00400DA8" w:rsidP="00384F0C">
      <w:pPr>
        <w:pStyle w:val="ListParagraph"/>
        <w:numPr>
          <w:ilvl w:val="0"/>
          <w:numId w:val="82"/>
        </w:numPr>
        <w:spacing w:after="0"/>
        <w:rPr>
          <w:rFonts w:cs="Calibri"/>
        </w:rPr>
      </w:pPr>
      <w:r w:rsidRPr="005616AE">
        <w:rPr>
          <w:rFonts w:cs="Calibri"/>
          <w:b/>
          <w:bCs/>
        </w:rPr>
        <w:lastRenderedPageBreak/>
        <w:t>Impact of “Do-Nothing”:</w:t>
      </w:r>
      <w:r w:rsidRPr="005616AE">
        <w:rPr>
          <w:rFonts w:cs="Calibri"/>
        </w:rPr>
        <w:t xml:space="preserve"> The effects of "Do-Nothing" The client experience at TD Bank will be stagnant and offer fewer individualised options in the absence of AI. The bank will lose out on the chance to cut expenses, improve operational </w:t>
      </w:r>
      <w:proofErr w:type="gramStart"/>
      <w:r w:rsidRPr="005616AE">
        <w:rPr>
          <w:rFonts w:cs="Calibri"/>
        </w:rPr>
        <w:t>effectiveness</w:t>
      </w:r>
      <w:proofErr w:type="gramEnd"/>
      <w:r w:rsidRPr="005616AE">
        <w:rPr>
          <w:rFonts w:cs="Calibri"/>
        </w:rPr>
        <w:t xml:space="preserve"> and learn more about consumer behaviour.</w:t>
      </w:r>
    </w:p>
    <w:p w14:paraId="1E16C3F9" w14:textId="2B0BB521" w:rsidR="00400DA8" w:rsidRPr="005616AE" w:rsidRDefault="00400DA8" w:rsidP="00F52102">
      <w:pPr>
        <w:spacing w:after="0"/>
        <w:rPr>
          <w:rFonts w:cs="Calibri"/>
          <w:b/>
          <w:bCs/>
        </w:rPr>
      </w:pPr>
      <w:r w:rsidRPr="005616AE">
        <w:rPr>
          <w:rFonts w:cs="Calibri"/>
          <w:b/>
          <w:bCs/>
        </w:rPr>
        <w:t>Expansion into Green Finance</w:t>
      </w:r>
    </w:p>
    <w:p w14:paraId="6A68DA08" w14:textId="77777777" w:rsidR="00400DA8" w:rsidRPr="005616AE" w:rsidRDefault="00400DA8" w:rsidP="00384F0C">
      <w:pPr>
        <w:pStyle w:val="ListParagraph"/>
        <w:numPr>
          <w:ilvl w:val="0"/>
          <w:numId w:val="83"/>
        </w:numPr>
        <w:spacing w:after="0"/>
        <w:rPr>
          <w:rFonts w:cs="Calibri"/>
        </w:rPr>
      </w:pPr>
      <w:r w:rsidRPr="005616AE">
        <w:rPr>
          <w:rFonts w:cs="Calibri"/>
        </w:rPr>
        <w:t xml:space="preserve">The idea is to provide a range of environmentally friendly financial products such as eco-friendly bonds, green </w:t>
      </w:r>
      <w:proofErr w:type="gramStart"/>
      <w:r w:rsidRPr="005616AE">
        <w:rPr>
          <w:rFonts w:cs="Calibri"/>
        </w:rPr>
        <w:t>loans</w:t>
      </w:r>
      <w:proofErr w:type="gramEnd"/>
      <w:r w:rsidRPr="005616AE">
        <w:rPr>
          <w:rFonts w:cs="Calibri"/>
        </w:rPr>
        <w:t xml:space="preserve"> and sustainable investment portfolios. To meet the increasing demand for ethical and sustainable investments.</w:t>
      </w:r>
    </w:p>
    <w:p w14:paraId="5381560C" w14:textId="77777777" w:rsidR="00400DA8" w:rsidRPr="005616AE" w:rsidRDefault="00400DA8" w:rsidP="00384F0C">
      <w:pPr>
        <w:pStyle w:val="ListParagraph"/>
        <w:numPr>
          <w:ilvl w:val="0"/>
          <w:numId w:val="83"/>
        </w:numPr>
        <w:spacing w:after="0"/>
        <w:rPr>
          <w:rFonts w:cs="Calibri"/>
        </w:rPr>
      </w:pPr>
      <w:r w:rsidRPr="005616AE">
        <w:rPr>
          <w:rFonts w:cs="Calibri"/>
        </w:rPr>
        <w:t xml:space="preserve">The global green finance sector </w:t>
      </w:r>
      <w:proofErr w:type="gramStart"/>
      <w:r w:rsidRPr="005616AE">
        <w:rPr>
          <w:rFonts w:cs="Calibri"/>
        </w:rPr>
        <w:t>is expected</w:t>
      </w:r>
      <w:proofErr w:type="gramEnd"/>
      <w:r w:rsidRPr="005616AE">
        <w:rPr>
          <w:rFonts w:cs="Calibri"/>
        </w:rPr>
        <w:t xml:space="preserve"> to grow to a size of $10 trillion by 2030. </w:t>
      </w:r>
    </w:p>
    <w:p w14:paraId="23CEEED7" w14:textId="77777777" w:rsidR="00400DA8" w:rsidRPr="005616AE" w:rsidRDefault="00400DA8" w:rsidP="00384F0C">
      <w:pPr>
        <w:pStyle w:val="ListParagraph"/>
        <w:numPr>
          <w:ilvl w:val="0"/>
          <w:numId w:val="83"/>
        </w:numPr>
        <w:spacing w:after="0"/>
        <w:rPr>
          <w:rFonts w:cs="Calibri"/>
        </w:rPr>
      </w:pPr>
      <w:r w:rsidRPr="005616AE">
        <w:rPr>
          <w:rFonts w:cs="Calibri"/>
        </w:rPr>
        <w:t>TD may capitalise on this trend by focusing on environmentally concerned businesses and consumers.</w:t>
      </w:r>
    </w:p>
    <w:p w14:paraId="54AD77D5" w14:textId="1316BFA8" w:rsidR="00400DA8" w:rsidRPr="005616AE" w:rsidRDefault="00400DA8" w:rsidP="00384F0C">
      <w:pPr>
        <w:pStyle w:val="ListParagraph"/>
        <w:numPr>
          <w:ilvl w:val="0"/>
          <w:numId w:val="83"/>
        </w:numPr>
        <w:spacing w:after="0"/>
        <w:rPr>
          <w:rFonts w:cs="Calibri"/>
        </w:rPr>
      </w:pPr>
      <w:r w:rsidRPr="005616AE">
        <w:rPr>
          <w:rFonts w:cs="Calibri"/>
          <w:b/>
          <w:bCs/>
        </w:rPr>
        <w:t>Impact of “Do-Nothing”:</w:t>
      </w:r>
      <w:r w:rsidRPr="005616AE">
        <w:rPr>
          <w:rFonts w:cs="Calibri"/>
        </w:rPr>
        <w:t xml:space="preserve"> TD would fall behind in the revolution of green finance. Customers interested in sustainability would </w:t>
      </w:r>
      <w:proofErr w:type="gramStart"/>
      <w:r w:rsidRPr="005616AE">
        <w:rPr>
          <w:rFonts w:cs="Calibri"/>
        </w:rPr>
        <w:t>be drawn</w:t>
      </w:r>
      <w:proofErr w:type="gramEnd"/>
      <w:r w:rsidRPr="005616AE">
        <w:rPr>
          <w:rFonts w:cs="Calibri"/>
        </w:rPr>
        <w:t xml:space="preserve"> to competitors who concentrate on environmental, social and governance (ESG) initiatives. Both market share and TD's standing as a forward-thinking, eco-friendly bank would decline.</w:t>
      </w:r>
    </w:p>
    <w:p w14:paraId="1DDB1C65" w14:textId="77777777" w:rsidR="00400DA8" w:rsidRPr="005616AE" w:rsidRDefault="00400DA8" w:rsidP="00F52102">
      <w:pPr>
        <w:spacing w:after="0"/>
        <w:rPr>
          <w:rFonts w:cs="Calibri"/>
          <w:b/>
          <w:bCs/>
        </w:rPr>
      </w:pPr>
      <w:r w:rsidRPr="005616AE">
        <w:rPr>
          <w:rFonts w:cs="Calibri"/>
          <w:b/>
          <w:bCs/>
        </w:rPr>
        <w:t xml:space="preserve">Fintech Partnerships and Digital Transformation: </w:t>
      </w:r>
    </w:p>
    <w:p w14:paraId="79DD0563" w14:textId="77777777" w:rsidR="00400DA8" w:rsidRPr="005616AE" w:rsidRDefault="00400DA8" w:rsidP="00384F0C">
      <w:pPr>
        <w:pStyle w:val="ListParagraph"/>
        <w:numPr>
          <w:ilvl w:val="0"/>
          <w:numId w:val="84"/>
        </w:numPr>
        <w:spacing w:after="0"/>
        <w:rPr>
          <w:rFonts w:cs="Calibri"/>
        </w:rPr>
      </w:pPr>
      <w:r w:rsidRPr="005616AE">
        <w:rPr>
          <w:rFonts w:cs="Calibri"/>
        </w:rPr>
        <w:t>To develop innovative solutions like digital wallets and blockchain-based payments for smooth transactions. TD Bank should collaborate with fintech companies. This would draw in new clients and broaden TD's service offerings.</w:t>
      </w:r>
    </w:p>
    <w:p w14:paraId="2F2497BC" w14:textId="77777777" w:rsidR="00400DA8" w:rsidRPr="005616AE" w:rsidRDefault="00400DA8" w:rsidP="00384F0C">
      <w:pPr>
        <w:pStyle w:val="ListParagraph"/>
        <w:numPr>
          <w:ilvl w:val="0"/>
          <w:numId w:val="84"/>
        </w:numPr>
        <w:spacing w:after="0"/>
        <w:rPr>
          <w:rFonts w:cs="Calibri"/>
        </w:rPr>
      </w:pPr>
      <w:r w:rsidRPr="005616AE">
        <w:rPr>
          <w:rFonts w:cs="Calibri"/>
          <w:b/>
          <w:bCs/>
        </w:rPr>
        <w:t>ROI projection:</w:t>
      </w:r>
      <w:r w:rsidRPr="005616AE">
        <w:rPr>
          <w:rFonts w:cs="Calibri"/>
        </w:rPr>
        <w:t xml:space="preserve"> Through new digital products and enhanced client interaction and collaboration with fintech companies might result in an annual increase of $500 million.</w:t>
      </w:r>
    </w:p>
    <w:p w14:paraId="29DDC903" w14:textId="20C0B139" w:rsidR="00400DA8" w:rsidRPr="005616AE" w:rsidRDefault="00607B7D" w:rsidP="00384F0C">
      <w:pPr>
        <w:pStyle w:val="ListParagraph"/>
        <w:numPr>
          <w:ilvl w:val="0"/>
          <w:numId w:val="84"/>
        </w:numPr>
        <w:spacing w:after="0"/>
        <w:rPr>
          <w:rFonts w:cs="Calibri"/>
        </w:rPr>
      </w:pPr>
      <w:r w:rsidRPr="005616AE">
        <w:rPr>
          <w:rFonts w:cs="Calibri"/>
          <w:b/>
          <w:bCs/>
        </w:rPr>
        <w:t>Impact of “Do-Nothing”:</w:t>
      </w:r>
      <w:r w:rsidRPr="005616AE">
        <w:rPr>
          <w:rFonts w:cs="Calibri"/>
        </w:rPr>
        <w:t xml:space="preserve"> This s</w:t>
      </w:r>
      <w:r w:rsidR="00400DA8" w:rsidRPr="005616AE">
        <w:rPr>
          <w:rFonts w:cs="Calibri"/>
        </w:rPr>
        <w:t xml:space="preserve">trategy would make it impossible for TD to compete with flexible fintech companies that offer quicker, less </w:t>
      </w:r>
      <w:proofErr w:type="gramStart"/>
      <w:r w:rsidR="00400DA8" w:rsidRPr="005616AE">
        <w:rPr>
          <w:rFonts w:cs="Calibri"/>
        </w:rPr>
        <w:t>expensive</w:t>
      </w:r>
      <w:proofErr w:type="gramEnd"/>
      <w:r w:rsidR="00400DA8" w:rsidRPr="005616AE">
        <w:rPr>
          <w:rFonts w:cs="Calibri"/>
        </w:rPr>
        <w:t xml:space="preserve"> and more convenient services.</w:t>
      </w:r>
    </w:p>
    <w:p w14:paraId="77CCF78F" w14:textId="5C023703" w:rsidR="00400DA8" w:rsidRPr="005616AE" w:rsidRDefault="00400DA8" w:rsidP="00384F0C">
      <w:pPr>
        <w:pStyle w:val="ListParagraph"/>
        <w:numPr>
          <w:ilvl w:val="0"/>
          <w:numId w:val="84"/>
        </w:numPr>
        <w:spacing w:after="0"/>
        <w:rPr>
          <w:rFonts w:cs="Calibri"/>
        </w:rPr>
      </w:pPr>
      <w:r w:rsidRPr="005616AE">
        <w:rPr>
          <w:rFonts w:cs="Calibri"/>
        </w:rPr>
        <w:t>TD would lose out on bringing in younger and tech-savvy clients if it did not embrace digital transformation. It would lose clients to competitors that are more technologically sophisticated.</w:t>
      </w:r>
    </w:p>
    <w:p w14:paraId="0D4217FF" w14:textId="77F5D1F3" w:rsidR="00400DA8" w:rsidRPr="005616AE" w:rsidRDefault="00400DA8" w:rsidP="00F52102">
      <w:pPr>
        <w:spacing w:after="0"/>
        <w:rPr>
          <w:rFonts w:cs="Calibri"/>
          <w:b/>
          <w:bCs/>
        </w:rPr>
      </w:pPr>
      <w:r w:rsidRPr="005616AE">
        <w:rPr>
          <w:rFonts w:cs="Calibri"/>
          <w:b/>
          <w:bCs/>
        </w:rPr>
        <w:t>Advanced Data Analytics for Credit Risk Management</w:t>
      </w:r>
    </w:p>
    <w:p w14:paraId="3B9F4C9B" w14:textId="77777777" w:rsidR="00400DA8" w:rsidRPr="005616AE" w:rsidRDefault="00400DA8" w:rsidP="00384F0C">
      <w:pPr>
        <w:pStyle w:val="ListParagraph"/>
        <w:numPr>
          <w:ilvl w:val="0"/>
          <w:numId w:val="85"/>
        </w:numPr>
        <w:spacing w:after="0"/>
        <w:rPr>
          <w:rFonts w:cs="Calibri"/>
        </w:rPr>
      </w:pPr>
      <w:proofErr w:type="gramStart"/>
      <w:r w:rsidRPr="005616AE">
        <w:rPr>
          <w:rFonts w:cs="Calibri"/>
        </w:rPr>
        <w:t>Utilise</w:t>
      </w:r>
      <w:proofErr w:type="gramEnd"/>
      <w:r w:rsidRPr="005616AE">
        <w:rPr>
          <w:rFonts w:cs="Calibri"/>
        </w:rPr>
        <w:t xml:space="preserve"> big data analytics to enhance loan approvals, lower default rates and improve credit scoring models by more accurately evaluating risk.</w:t>
      </w:r>
    </w:p>
    <w:p w14:paraId="694AAE46" w14:textId="77777777" w:rsidR="00400DA8" w:rsidRPr="005616AE" w:rsidRDefault="00400DA8" w:rsidP="00384F0C">
      <w:pPr>
        <w:pStyle w:val="ListParagraph"/>
        <w:numPr>
          <w:ilvl w:val="0"/>
          <w:numId w:val="85"/>
        </w:numPr>
        <w:spacing w:after="0"/>
        <w:rPr>
          <w:rFonts w:cs="Calibri"/>
        </w:rPr>
      </w:pPr>
      <w:r w:rsidRPr="005616AE">
        <w:rPr>
          <w:rFonts w:cs="Calibri"/>
          <w:b/>
          <w:bCs/>
        </w:rPr>
        <w:t>Estimated return on investment:</w:t>
      </w:r>
      <w:r w:rsidRPr="005616AE">
        <w:rPr>
          <w:rFonts w:cs="Calibri"/>
        </w:rPr>
        <w:t xml:space="preserve"> Credit rating based on data may enhance portfolio performance and cut loan defaults by as much as 15%.</w:t>
      </w:r>
    </w:p>
    <w:p w14:paraId="0AFE9172" w14:textId="1C4E03D5" w:rsidR="00400DA8" w:rsidRPr="005616AE" w:rsidRDefault="00400DA8" w:rsidP="00384F0C">
      <w:pPr>
        <w:pStyle w:val="ListParagraph"/>
        <w:numPr>
          <w:ilvl w:val="0"/>
          <w:numId w:val="85"/>
        </w:numPr>
        <w:spacing w:after="0"/>
        <w:rPr>
          <w:rFonts w:cs="Calibri"/>
        </w:rPr>
      </w:pPr>
      <w:r w:rsidRPr="005616AE">
        <w:rPr>
          <w:rFonts w:cs="Calibri"/>
          <w:b/>
          <w:bCs/>
        </w:rPr>
        <w:t>Effect of "Do-Nothing":</w:t>
      </w:r>
      <w:r w:rsidRPr="005616AE">
        <w:rPr>
          <w:rFonts w:cs="Calibri"/>
        </w:rPr>
        <w:t xml:space="preserve"> TD Bank would keep using more risky and inefficient traditional credit rating models. A competitor's credit portfolio might </w:t>
      </w:r>
      <w:proofErr w:type="gramStart"/>
      <w:r w:rsidRPr="005616AE">
        <w:rPr>
          <w:rFonts w:cs="Calibri"/>
        </w:rPr>
        <w:t>be optimised</w:t>
      </w:r>
      <w:proofErr w:type="gramEnd"/>
      <w:r w:rsidRPr="005616AE">
        <w:rPr>
          <w:rFonts w:cs="Calibri"/>
        </w:rPr>
        <w:t>, lower-risk clients could be drawn in and better-targeted loans could be offered.</w:t>
      </w:r>
    </w:p>
    <w:p w14:paraId="631E8745" w14:textId="4F2B6145" w:rsidR="00400DA8" w:rsidRPr="005616AE" w:rsidRDefault="00400DA8" w:rsidP="00F52102">
      <w:pPr>
        <w:spacing w:after="0"/>
        <w:rPr>
          <w:rFonts w:cs="Calibri"/>
          <w:b/>
          <w:bCs/>
        </w:rPr>
      </w:pPr>
      <w:r w:rsidRPr="005616AE">
        <w:rPr>
          <w:rFonts w:cs="Calibri"/>
          <w:b/>
          <w:bCs/>
        </w:rPr>
        <w:t>Expansion into Healthcare Finance</w:t>
      </w:r>
    </w:p>
    <w:p w14:paraId="25385F80" w14:textId="77777777" w:rsidR="00400DA8" w:rsidRPr="005616AE" w:rsidRDefault="00400DA8" w:rsidP="00384F0C">
      <w:pPr>
        <w:pStyle w:val="ListParagraph"/>
        <w:numPr>
          <w:ilvl w:val="0"/>
          <w:numId w:val="86"/>
        </w:numPr>
        <w:spacing w:after="0"/>
        <w:rPr>
          <w:rFonts w:cs="Calibri"/>
        </w:rPr>
      </w:pPr>
      <w:r w:rsidRPr="005616AE">
        <w:rPr>
          <w:rFonts w:cs="Calibri"/>
        </w:rPr>
        <w:t xml:space="preserve">It </w:t>
      </w:r>
      <w:proofErr w:type="gramStart"/>
      <w:r w:rsidRPr="005616AE">
        <w:rPr>
          <w:rFonts w:cs="Calibri"/>
        </w:rPr>
        <w:t>is suggested</w:t>
      </w:r>
      <w:proofErr w:type="gramEnd"/>
      <w:r w:rsidRPr="005616AE">
        <w:rPr>
          <w:rFonts w:cs="Calibri"/>
        </w:rPr>
        <w:t xml:space="preserve"> that TD Bank concentrate on the expanding healthcare industry by providing financial services to healthcare providers, including financial advising, payment platforms and healthcare financing.</w:t>
      </w:r>
    </w:p>
    <w:p w14:paraId="7EB46785" w14:textId="77777777" w:rsidR="00400DA8" w:rsidRPr="005616AE" w:rsidRDefault="00400DA8" w:rsidP="00384F0C">
      <w:pPr>
        <w:pStyle w:val="ListParagraph"/>
        <w:numPr>
          <w:ilvl w:val="0"/>
          <w:numId w:val="86"/>
        </w:numPr>
        <w:spacing w:after="0"/>
        <w:rPr>
          <w:rFonts w:cs="Calibri"/>
        </w:rPr>
      </w:pPr>
      <w:r w:rsidRPr="005616AE">
        <w:rPr>
          <w:rFonts w:cs="Calibri"/>
        </w:rPr>
        <w:t>ROI projections indicate that the healthcare financing industry is set to grow rapidly with yearly increases in healthcare spending of 5–7% anticipated. TD might expand into this industry to generate steady profits.</w:t>
      </w:r>
    </w:p>
    <w:p w14:paraId="69F45818" w14:textId="77777777" w:rsidR="00400DA8" w:rsidRPr="005616AE" w:rsidRDefault="00400DA8" w:rsidP="00384F0C">
      <w:pPr>
        <w:pStyle w:val="ListParagraph"/>
        <w:numPr>
          <w:ilvl w:val="0"/>
          <w:numId w:val="86"/>
        </w:numPr>
        <w:spacing w:after="0"/>
        <w:rPr>
          <w:rFonts w:cs="Calibri"/>
        </w:rPr>
      </w:pPr>
      <w:r w:rsidRPr="005616AE">
        <w:rPr>
          <w:rFonts w:cs="Calibri"/>
          <w:b/>
          <w:bCs/>
        </w:rPr>
        <w:t>Impact of "Do-Nothing":</w:t>
      </w:r>
      <w:r w:rsidRPr="005616AE">
        <w:rPr>
          <w:rFonts w:cs="Calibri"/>
        </w:rPr>
        <w:t xml:space="preserve"> TD runs the danger of losing out on a sizable revenue potential by not investigating healthcare financing. Market share will </w:t>
      </w:r>
      <w:proofErr w:type="gramStart"/>
      <w:r w:rsidRPr="005616AE">
        <w:rPr>
          <w:rFonts w:cs="Calibri"/>
        </w:rPr>
        <w:t>be taken</w:t>
      </w:r>
      <w:proofErr w:type="gramEnd"/>
      <w:r w:rsidRPr="005616AE">
        <w:rPr>
          <w:rFonts w:cs="Calibri"/>
        </w:rPr>
        <w:t xml:space="preserve"> by rivals who are already active in this industry and establish themselves as industry leaders in financial services related to healthcare.</w:t>
      </w:r>
    </w:p>
    <w:p w14:paraId="5DE47772" w14:textId="77777777" w:rsidR="00400DA8" w:rsidRPr="005616AE" w:rsidRDefault="00400DA8" w:rsidP="00400DA8">
      <w:pPr>
        <w:pStyle w:val="Heading2"/>
        <w:rPr>
          <w:rFonts w:ascii="Calibri" w:hAnsi="Calibri" w:cs="Calibri"/>
        </w:rPr>
      </w:pPr>
      <w:bookmarkStart w:id="37" w:name="_Toc183211054"/>
      <w:r w:rsidRPr="005616AE">
        <w:rPr>
          <w:rFonts w:ascii="Calibri" w:hAnsi="Calibri" w:cs="Calibri"/>
        </w:rPr>
        <w:lastRenderedPageBreak/>
        <w:t>Impact Analysis</w:t>
      </w:r>
      <w:bookmarkEnd w:id="37"/>
    </w:p>
    <w:p w14:paraId="20C72B61" w14:textId="429675CD" w:rsidR="00400DA8" w:rsidRPr="005616AE" w:rsidRDefault="00400DA8" w:rsidP="00381A93">
      <w:pPr>
        <w:spacing w:after="0"/>
        <w:rPr>
          <w:rFonts w:cs="Calibri"/>
          <w:b/>
          <w:bCs/>
        </w:rPr>
      </w:pPr>
      <w:r w:rsidRPr="005616AE">
        <w:rPr>
          <w:rFonts w:cs="Calibri"/>
          <w:b/>
          <w:bCs/>
        </w:rPr>
        <w:t xml:space="preserve">Strategic Impacts </w:t>
      </w:r>
    </w:p>
    <w:p w14:paraId="13D7EF59" w14:textId="77777777" w:rsidR="00400DA8" w:rsidRPr="005616AE" w:rsidRDefault="00400DA8" w:rsidP="00384F0C">
      <w:pPr>
        <w:pStyle w:val="ListParagraph"/>
        <w:numPr>
          <w:ilvl w:val="0"/>
          <w:numId w:val="87"/>
        </w:numPr>
        <w:spacing w:after="0"/>
        <w:rPr>
          <w:rFonts w:cs="Calibri"/>
        </w:rPr>
      </w:pPr>
      <w:r w:rsidRPr="005616AE">
        <w:rPr>
          <w:rFonts w:cs="Calibri"/>
          <w:b/>
          <w:bCs/>
        </w:rPr>
        <w:t>Market position decline:</w:t>
      </w:r>
      <w:r w:rsidRPr="005616AE">
        <w:rPr>
          <w:rFonts w:cs="Calibri"/>
        </w:rPr>
        <w:t xml:space="preserve"> The bank would run the danger of losing its competitive advantage to more creative firms. Traditional banking activities would go on as TD would lose out on the chance to diversify its holdings and investigate new areas for expansion.</w:t>
      </w:r>
    </w:p>
    <w:p w14:paraId="5E05EB44" w14:textId="77777777" w:rsidR="00400DA8" w:rsidRPr="005616AE" w:rsidRDefault="00400DA8" w:rsidP="00384F0C">
      <w:pPr>
        <w:pStyle w:val="ListParagraph"/>
        <w:numPr>
          <w:ilvl w:val="0"/>
          <w:numId w:val="87"/>
        </w:numPr>
        <w:spacing w:after="0"/>
        <w:rPr>
          <w:rFonts w:cs="Calibri"/>
        </w:rPr>
      </w:pPr>
      <w:r w:rsidRPr="005616AE">
        <w:rPr>
          <w:rFonts w:cs="Calibri"/>
          <w:b/>
          <w:bCs/>
        </w:rPr>
        <w:t>Stagnation in Market Relevance:</w:t>
      </w:r>
      <w:r w:rsidRPr="005616AE">
        <w:rPr>
          <w:rFonts w:cs="Calibri"/>
        </w:rPr>
        <w:t xml:space="preserve"> TD will lose its significance in the financial landscape if rivals make investments in industries with rapid development and use innovative technologies. The bank would not be able to satisfy changing consumer demands for innovation and technological advancement without diversification.</w:t>
      </w:r>
    </w:p>
    <w:p w14:paraId="241F89EA" w14:textId="365208B1" w:rsidR="00400DA8" w:rsidRPr="005616AE" w:rsidRDefault="00400DA8" w:rsidP="00381A93">
      <w:pPr>
        <w:spacing w:after="0"/>
        <w:rPr>
          <w:rFonts w:cs="Calibri"/>
          <w:b/>
          <w:bCs/>
        </w:rPr>
      </w:pPr>
      <w:r w:rsidRPr="005616AE">
        <w:rPr>
          <w:rFonts w:cs="Calibri"/>
          <w:b/>
          <w:bCs/>
        </w:rPr>
        <w:t>Financial Impact</w:t>
      </w:r>
    </w:p>
    <w:p w14:paraId="68FA934C" w14:textId="77777777" w:rsidR="00400DA8" w:rsidRPr="005616AE" w:rsidRDefault="00400DA8" w:rsidP="00384F0C">
      <w:pPr>
        <w:pStyle w:val="ListParagraph"/>
        <w:numPr>
          <w:ilvl w:val="0"/>
          <w:numId w:val="88"/>
        </w:numPr>
        <w:spacing w:after="0"/>
        <w:rPr>
          <w:rFonts w:cs="Calibri"/>
        </w:rPr>
      </w:pPr>
      <w:r w:rsidRPr="005616AE">
        <w:rPr>
          <w:rFonts w:cs="Calibri"/>
          <w:b/>
          <w:bCs/>
        </w:rPr>
        <w:t>Missed Revenue:</w:t>
      </w:r>
      <w:r w:rsidRPr="005616AE">
        <w:rPr>
          <w:rFonts w:cs="Calibri"/>
        </w:rPr>
        <w:t xml:space="preserve"> TD Bank may lose out on billions of dollars in potential revenue over the next ten years if it does not take advantage of developing industries like fintech, green finance and healthcare.</w:t>
      </w:r>
    </w:p>
    <w:p w14:paraId="6FF1BAC6" w14:textId="77777777" w:rsidR="00400DA8" w:rsidRPr="005616AE" w:rsidRDefault="00400DA8" w:rsidP="00384F0C">
      <w:pPr>
        <w:pStyle w:val="ListParagraph"/>
        <w:numPr>
          <w:ilvl w:val="0"/>
          <w:numId w:val="88"/>
        </w:numPr>
        <w:spacing w:after="0"/>
        <w:rPr>
          <w:rFonts w:cs="Calibri"/>
        </w:rPr>
      </w:pPr>
      <w:r w:rsidRPr="005616AE">
        <w:rPr>
          <w:rFonts w:cs="Calibri"/>
          <w:b/>
          <w:bCs/>
        </w:rPr>
        <w:t>High operational Costs:</w:t>
      </w:r>
      <w:r w:rsidRPr="005616AE">
        <w:rPr>
          <w:rFonts w:cs="Calibri"/>
        </w:rPr>
        <w:t xml:space="preserve"> TD would incur higher operational costs if it were to forgo implementing AI and data analytics by continuing to use antiquated risk models and ineffective manual procedures.</w:t>
      </w:r>
    </w:p>
    <w:p w14:paraId="6FBBD595" w14:textId="0DE571F9" w:rsidR="00400DA8" w:rsidRPr="005616AE" w:rsidRDefault="00400DA8" w:rsidP="00384F0C">
      <w:pPr>
        <w:pStyle w:val="ListParagraph"/>
        <w:numPr>
          <w:ilvl w:val="0"/>
          <w:numId w:val="88"/>
        </w:numPr>
        <w:spacing w:after="0"/>
        <w:rPr>
          <w:rFonts w:cs="Calibri"/>
        </w:rPr>
      </w:pPr>
      <w:r w:rsidRPr="005616AE">
        <w:rPr>
          <w:rFonts w:cs="Calibri"/>
          <w:b/>
          <w:bCs/>
        </w:rPr>
        <w:t>Loss of Profit Margins:</w:t>
      </w:r>
      <w:r w:rsidRPr="005616AE">
        <w:rPr>
          <w:rFonts w:cs="Calibri"/>
        </w:rPr>
        <w:t xml:space="preserve"> Companies with innovative technology might provide more affordable goods and services which would make TD's offers less appealing to consumers particularly in a market where prices are sensitive.</w:t>
      </w:r>
    </w:p>
    <w:p w14:paraId="13FDA646" w14:textId="09CAD7A9" w:rsidR="00400DA8" w:rsidRPr="005616AE" w:rsidRDefault="00400DA8" w:rsidP="00381A93">
      <w:pPr>
        <w:spacing w:after="0"/>
        <w:rPr>
          <w:rFonts w:cs="Calibri"/>
          <w:b/>
          <w:bCs/>
        </w:rPr>
      </w:pPr>
      <w:r w:rsidRPr="005616AE">
        <w:rPr>
          <w:rFonts w:cs="Calibri"/>
          <w:b/>
          <w:bCs/>
        </w:rPr>
        <w:t>Operational impact</w:t>
      </w:r>
    </w:p>
    <w:p w14:paraId="04E089B3" w14:textId="77777777" w:rsidR="00400DA8" w:rsidRPr="005616AE" w:rsidRDefault="00400DA8" w:rsidP="00384F0C">
      <w:pPr>
        <w:pStyle w:val="ListParagraph"/>
        <w:numPr>
          <w:ilvl w:val="0"/>
          <w:numId w:val="89"/>
        </w:numPr>
        <w:spacing w:after="0"/>
        <w:rPr>
          <w:rFonts w:cs="Calibri"/>
        </w:rPr>
      </w:pPr>
      <w:r w:rsidRPr="005616AE">
        <w:rPr>
          <w:rFonts w:cs="Calibri"/>
          <w:b/>
          <w:bCs/>
        </w:rPr>
        <w:t>Operational Efficiency:</w:t>
      </w:r>
      <w:r w:rsidRPr="005616AE">
        <w:rPr>
          <w:rFonts w:cs="Calibri"/>
        </w:rPr>
        <w:t xml:space="preserve"> TD Bank would lose out on automation potential which would result in longer processing times, a greater chance of mistakes and a slower response time from customer support.</w:t>
      </w:r>
    </w:p>
    <w:p w14:paraId="267D094A" w14:textId="47E726DD" w:rsidR="00400DA8" w:rsidRPr="005616AE" w:rsidRDefault="00400DA8" w:rsidP="00384F0C">
      <w:pPr>
        <w:pStyle w:val="ListParagraph"/>
        <w:numPr>
          <w:ilvl w:val="0"/>
          <w:numId w:val="89"/>
        </w:numPr>
        <w:spacing w:after="0"/>
        <w:rPr>
          <w:rFonts w:cs="Calibri"/>
        </w:rPr>
      </w:pPr>
      <w:r w:rsidRPr="005616AE">
        <w:rPr>
          <w:rFonts w:cs="Calibri"/>
          <w:b/>
          <w:bCs/>
        </w:rPr>
        <w:t>Risk management Failure: TD</w:t>
      </w:r>
      <w:r w:rsidRPr="005616AE">
        <w:rPr>
          <w:rFonts w:cs="Calibri"/>
        </w:rPr>
        <w:t xml:space="preserve"> would have trouble controlling risks, which might lead to a rise in loan defaults and decreased profitability in the absence of sophisticated data analytics.</w:t>
      </w:r>
    </w:p>
    <w:p w14:paraId="25DA1355" w14:textId="649CDA71" w:rsidR="00400DA8" w:rsidRPr="005616AE" w:rsidRDefault="00400DA8" w:rsidP="00381A93">
      <w:pPr>
        <w:spacing w:after="0"/>
        <w:rPr>
          <w:rFonts w:cs="Calibri"/>
          <w:b/>
          <w:bCs/>
        </w:rPr>
      </w:pPr>
      <w:r w:rsidRPr="005616AE">
        <w:rPr>
          <w:rFonts w:cs="Calibri"/>
          <w:b/>
          <w:bCs/>
        </w:rPr>
        <w:t>Reputational Damage</w:t>
      </w:r>
    </w:p>
    <w:p w14:paraId="3A24673D" w14:textId="77777777" w:rsidR="00400DA8" w:rsidRPr="005616AE" w:rsidRDefault="00400DA8" w:rsidP="00384F0C">
      <w:pPr>
        <w:pStyle w:val="ListParagraph"/>
        <w:numPr>
          <w:ilvl w:val="0"/>
          <w:numId w:val="90"/>
        </w:numPr>
        <w:spacing w:after="0"/>
        <w:rPr>
          <w:rFonts w:cs="Calibri"/>
        </w:rPr>
      </w:pPr>
      <w:r w:rsidRPr="005616AE">
        <w:rPr>
          <w:rFonts w:cs="Calibri"/>
          <w:b/>
          <w:bCs/>
        </w:rPr>
        <w:t>Loss of Customer Trust:</w:t>
      </w:r>
      <w:r w:rsidRPr="005616AE">
        <w:rPr>
          <w:rFonts w:cs="Calibri"/>
        </w:rPr>
        <w:t xml:space="preserve"> Consumers now demand that financial services be safe, technologically </w:t>
      </w:r>
      <w:proofErr w:type="gramStart"/>
      <w:r w:rsidRPr="005616AE">
        <w:rPr>
          <w:rFonts w:cs="Calibri"/>
        </w:rPr>
        <w:t>advanced</w:t>
      </w:r>
      <w:proofErr w:type="gramEnd"/>
      <w:r w:rsidRPr="005616AE">
        <w:rPr>
          <w:rFonts w:cs="Calibri"/>
        </w:rPr>
        <w:t xml:space="preserve"> and seamless. It could lose clients to banks and financial technology companies that are more forward-thinking if TD does not invest in fintech and AI.</w:t>
      </w:r>
    </w:p>
    <w:p w14:paraId="21997451" w14:textId="77777777" w:rsidR="00400DA8" w:rsidRPr="005616AE" w:rsidRDefault="00400DA8" w:rsidP="00384F0C">
      <w:pPr>
        <w:pStyle w:val="ListParagraph"/>
        <w:numPr>
          <w:ilvl w:val="0"/>
          <w:numId w:val="90"/>
        </w:numPr>
        <w:spacing w:after="0"/>
        <w:rPr>
          <w:rFonts w:cs="Calibri"/>
        </w:rPr>
      </w:pPr>
      <w:r w:rsidRPr="005616AE">
        <w:rPr>
          <w:rFonts w:cs="Calibri"/>
          <w:b/>
          <w:bCs/>
        </w:rPr>
        <w:t>Decline in Brand Equity:</w:t>
      </w:r>
      <w:r w:rsidRPr="005616AE">
        <w:rPr>
          <w:rFonts w:cs="Calibri"/>
        </w:rPr>
        <w:t xml:space="preserve"> TD Bank's standing as a pioneer in innovation and customer-focused solutions would be undermined tech-savvy customers.</w:t>
      </w:r>
    </w:p>
    <w:p w14:paraId="17100325" w14:textId="77777777" w:rsidR="00400DA8" w:rsidRPr="005616AE" w:rsidRDefault="00400DA8" w:rsidP="006E5C77">
      <w:pPr>
        <w:pStyle w:val="Heading2"/>
        <w:spacing w:after="0"/>
        <w:rPr>
          <w:rFonts w:ascii="Calibri" w:hAnsi="Calibri" w:cs="Calibri"/>
        </w:rPr>
      </w:pPr>
      <w:bookmarkStart w:id="38" w:name="_Toc183211055"/>
      <w:r w:rsidRPr="005616AE">
        <w:rPr>
          <w:rFonts w:ascii="Calibri" w:hAnsi="Calibri" w:cs="Calibri"/>
        </w:rPr>
        <w:t>Out of Scope</w:t>
      </w:r>
      <w:bookmarkEnd w:id="38"/>
    </w:p>
    <w:p w14:paraId="5C55735D" w14:textId="77777777" w:rsidR="00400DA8" w:rsidRPr="005616AE" w:rsidRDefault="00400DA8" w:rsidP="006E5C77">
      <w:pPr>
        <w:spacing w:after="0"/>
        <w:rPr>
          <w:rFonts w:cs="Calibri"/>
        </w:rPr>
      </w:pPr>
      <w:r w:rsidRPr="005616AE">
        <w:rPr>
          <w:rFonts w:cs="Calibri"/>
          <w:b/>
          <w:bCs/>
        </w:rPr>
        <w:t xml:space="preserve">Proposed consultancy strategies: </w:t>
      </w:r>
      <w:r w:rsidRPr="005616AE">
        <w:rPr>
          <w:rFonts w:cs="Calibri"/>
        </w:rPr>
        <w:t xml:space="preserve">The bank will not consider or put into practice any of the recommendations provided by consultancies including those pertaining to fintech alliances, green </w:t>
      </w:r>
      <w:proofErr w:type="gramStart"/>
      <w:r w:rsidRPr="005616AE">
        <w:rPr>
          <w:rFonts w:cs="Calibri"/>
        </w:rPr>
        <w:t>financing</w:t>
      </w:r>
      <w:proofErr w:type="gramEnd"/>
      <w:r w:rsidRPr="005616AE">
        <w:rPr>
          <w:rFonts w:cs="Calibri"/>
        </w:rPr>
        <w:t xml:space="preserve"> and AI adoption.</w:t>
      </w:r>
    </w:p>
    <w:p w14:paraId="55379738" w14:textId="77777777" w:rsidR="00400DA8" w:rsidRPr="005616AE" w:rsidRDefault="00400DA8" w:rsidP="006E5C77">
      <w:pPr>
        <w:spacing w:after="0"/>
        <w:rPr>
          <w:rFonts w:cs="Calibri"/>
        </w:rPr>
      </w:pPr>
      <w:r w:rsidRPr="005616AE">
        <w:rPr>
          <w:rFonts w:cs="Calibri"/>
          <w:b/>
          <w:bCs/>
        </w:rPr>
        <w:t>Investment in Emerging Market:</w:t>
      </w:r>
      <w:r w:rsidRPr="005616AE">
        <w:rPr>
          <w:rFonts w:cs="Calibri"/>
        </w:rPr>
        <w:t xml:space="preserve"> TD will not investigate new and high-growth industries. It includes </w:t>
      </w:r>
      <w:proofErr w:type="gramStart"/>
      <w:r w:rsidRPr="005616AE">
        <w:rPr>
          <w:rFonts w:cs="Calibri"/>
        </w:rPr>
        <w:t>logistics</w:t>
      </w:r>
      <w:proofErr w:type="gramEnd"/>
      <w:r w:rsidRPr="005616AE">
        <w:rPr>
          <w:rFonts w:cs="Calibri"/>
        </w:rPr>
        <w:t>, healthcare and space finance.</w:t>
      </w:r>
    </w:p>
    <w:p w14:paraId="50B1106A" w14:textId="77777777" w:rsidR="00400DA8" w:rsidRPr="005616AE" w:rsidRDefault="00400DA8" w:rsidP="006E5C77">
      <w:pPr>
        <w:spacing w:after="0"/>
        <w:rPr>
          <w:rFonts w:cs="Calibri"/>
        </w:rPr>
      </w:pPr>
      <w:r w:rsidRPr="005616AE">
        <w:rPr>
          <w:rFonts w:cs="Calibri"/>
          <w:b/>
          <w:bCs/>
        </w:rPr>
        <w:t>Technological Advancement:</w:t>
      </w:r>
      <w:r w:rsidRPr="005616AE">
        <w:rPr>
          <w:rFonts w:cs="Calibri"/>
        </w:rPr>
        <w:t xml:space="preserve"> TD will not make investments in innovative technologies for risk management and credit scoring.</w:t>
      </w:r>
    </w:p>
    <w:p w14:paraId="33CFA0E1" w14:textId="77777777" w:rsidR="00400DA8" w:rsidRPr="005616AE" w:rsidRDefault="00400DA8" w:rsidP="00400DA8">
      <w:pPr>
        <w:pStyle w:val="Heading2"/>
        <w:rPr>
          <w:rFonts w:ascii="Calibri" w:hAnsi="Calibri" w:cs="Calibri"/>
        </w:rPr>
      </w:pPr>
      <w:bookmarkStart w:id="39" w:name="_Toc183211056"/>
      <w:r w:rsidRPr="005616AE">
        <w:rPr>
          <w:rFonts w:ascii="Calibri" w:hAnsi="Calibri" w:cs="Calibri"/>
        </w:rPr>
        <w:t>Risk and Mitigation</w:t>
      </w:r>
      <w:bookmarkEnd w:id="39"/>
    </w:p>
    <w:p w14:paraId="4536F5CA" w14:textId="77777777" w:rsidR="005A3924" w:rsidRPr="005616AE" w:rsidRDefault="00400DA8" w:rsidP="00186F1E">
      <w:pPr>
        <w:spacing w:after="0"/>
        <w:rPr>
          <w:rFonts w:cs="Calibri"/>
          <w:b/>
          <w:bCs/>
        </w:rPr>
      </w:pPr>
      <w:r w:rsidRPr="005616AE">
        <w:rPr>
          <w:rFonts w:cs="Calibri"/>
          <w:b/>
          <w:bCs/>
        </w:rPr>
        <w:t>Increased Competition</w:t>
      </w:r>
    </w:p>
    <w:p w14:paraId="77644DB0" w14:textId="7FCF0D1C" w:rsidR="00E4124D" w:rsidRPr="005616AE" w:rsidRDefault="00400DA8" w:rsidP="00384F0C">
      <w:pPr>
        <w:pStyle w:val="ListParagraph"/>
        <w:numPr>
          <w:ilvl w:val="0"/>
          <w:numId w:val="91"/>
        </w:numPr>
        <w:spacing w:after="0"/>
        <w:rPr>
          <w:rFonts w:cs="Calibri"/>
        </w:rPr>
      </w:pPr>
      <w:r w:rsidRPr="005616AE">
        <w:rPr>
          <w:rFonts w:cs="Calibri"/>
          <w:b/>
          <w:bCs/>
        </w:rPr>
        <w:lastRenderedPageBreak/>
        <w:t>Risk:</w:t>
      </w:r>
      <w:r w:rsidRPr="005616AE">
        <w:rPr>
          <w:rFonts w:cs="Calibri"/>
        </w:rPr>
        <w:t xml:space="preserve"> It will be more difficult for TD to catch up with rivals who implement consulting recommendations since they would control growing markets.</w:t>
      </w:r>
    </w:p>
    <w:p w14:paraId="3F5BA092" w14:textId="0D971098" w:rsidR="00400DA8" w:rsidRPr="005616AE" w:rsidRDefault="00400DA8" w:rsidP="00384F0C">
      <w:pPr>
        <w:pStyle w:val="ListParagraph"/>
        <w:numPr>
          <w:ilvl w:val="0"/>
          <w:numId w:val="91"/>
        </w:numPr>
        <w:spacing w:after="0"/>
        <w:rPr>
          <w:rFonts w:cs="Calibri"/>
        </w:rPr>
      </w:pPr>
      <w:r w:rsidRPr="005616AE">
        <w:rPr>
          <w:rFonts w:cs="Calibri"/>
          <w:b/>
          <w:bCs/>
        </w:rPr>
        <w:t>Mitigation:</w:t>
      </w:r>
      <w:r w:rsidRPr="005616AE">
        <w:rPr>
          <w:rFonts w:cs="Calibri"/>
        </w:rPr>
        <w:t xml:space="preserve"> TD should frequently review its standing in these developing markets and think about changing course when it becomes evident that rivals are ahead by a large margin.</w:t>
      </w:r>
    </w:p>
    <w:p w14:paraId="31009BA3" w14:textId="77777777" w:rsidR="00E4124D" w:rsidRPr="005616AE" w:rsidRDefault="00400DA8" w:rsidP="00186F1E">
      <w:pPr>
        <w:spacing w:after="0"/>
        <w:rPr>
          <w:rFonts w:cs="Calibri"/>
          <w:b/>
          <w:bCs/>
        </w:rPr>
      </w:pPr>
      <w:r w:rsidRPr="005616AE">
        <w:rPr>
          <w:rFonts w:cs="Calibri"/>
          <w:b/>
          <w:bCs/>
        </w:rPr>
        <w:t>Customer Churn</w:t>
      </w:r>
    </w:p>
    <w:p w14:paraId="27746115" w14:textId="13474A78" w:rsidR="00E4124D" w:rsidRPr="005616AE" w:rsidRDefault="00400DA8" w:rsidP="00384F0C">
      <w:pPr>
        <w:pStyle w:val="ListParagraph"/>
        <w:numPr>
          <w:ilvl w:val="0"/>
          <w:numId w:val="92"/>
        </w:numPr>
        <w:spacing w:after="0"/>
        <w:rPr>
          <w:rFonts w:cs="Calibri"/>
        </w:rPr>
      </w:pPr>
      <w:r w:rsidRPr="005616AE">
        <w:rPr>
          <w:rFonts w:cs="Calibri"/>
          <w:b/>
          <w:bCs/>
        </w:rPr>
        <w:t>Risk:</w:t>
      </w:r>
      <w:r w:rsidRPr="005616AE">
        <w:rPr>
          <w:rFonts w:cs="Calibri"/>
        </w:rPr>
        <w:t xml:space="preserve"> Consumers may choose to shop at rival companies that provide innovative, technologically advanced products.</w:t>
      </w:r>
    </w:p>
    <w:p w14:paraId="392BC9CC" w14:textId="6A645DEE" w:rsidR="00400DA8" w:rsidRPr="005616AE" w:rsidRDefault="00400DA8" w:rsidP="00384F0C">
      <w:pPr>
        <w:pStyle w:val="ListParagraph"/>
        <w:numPr>
          <w:ilvl w:val="0"/>
          <w:numId w:val="92"/>
        </w:numPr>
        <w:spacing w:after="0"/>
        <w:rPr>
          <w:rFonts w:cs="Calibri"/>
        </w:rPr>
      </w:pPr>
      <w:r w:rsidRPr="005616AE">
        <w:rPr>
          <w:rFonts w:cs="Calibri"/>
          <w:b/>
          <w:bCs/>
        </w:rPr>
        <w:t>Mitigation:</w:t>
      </w:r>
      <w:r w:rsidRPr="005616AE">
        <w:rPr>
          <w:rFonts w:cs="Calibri"/>
        </w:rPr>
        <w:t xml:space="preserve"> Retaining current customers through the enhancement of traditional banking services and customer loyalty programs is the mitigation.</w:t>
      </w:r>
    </w:p>
    <w:p w14:paraId="24482537" w14:textId="77777777" w:rsidR="00E4124D" w:rsidRPr="005616AE" w:rsidRDefault="00400DA8" w:rsidP="00186F1E">
      <w:pPr>
        <w:spacing w:after="0"/>
        <w:rPr>
          <w:rFonts w:cs="Calibri"/>
          <w:b/>
          <w:bCs/>
        </w:rPr>
      </w:pPr>
      <w:r w:rsidRPr="005616AE">
        <w:rPr>
          <w:rFonts w:cs="Calibri"/>
          <w:b/>
          <w:bCs/>
        </w:rPr>
        <w:t>Financial Stagnation</w:t>
      </w:r>
    </w:p>
    <w:p w14:paraId="41C360D9" w14:textId="77777777" w:rsidR="005A3924" w:rsidRPr="005616AE" w:rsidRDefault="00400DA8" w:rsidP="00384F0C">
      <w:pPr>
        <w:pStyle w:val="ListParagraph"/>
        <w:numPr>
          <w:ilvl w:val="0"/>
          <w:numId w:val="93"/>
        </w:numPr>
        <w:spacing w:after="0"/>
        <w:rPr>
          <w:rFonts w:cs="Calibri"/>
        </w:rPr>
      </w:pPr>
      <w:r w:rsidRPr="005616AE">
        <w:rPr>
          <w:rFonts w:cs="Calibri"/>
          <w:b/>
          <w:bCs/>
        </w:rPr>
        <w:t>Risk:</w:t>
      </w:r>
      <w:r w:rsidRPr="005616AE">
        <w:rPr>
          <w:rFonts w:cs="Calibri"/>
        </w:rPr>
        <w:t xml:space="preserve"> TD Bank runs the danger of seeing a halt in revenue growth that could result in long-term financial issues.</w:t>
      </w:r>
    </w:p>
    <w:p w14:paraId="5FE958E5" w14:textId="3B5EDFFB" w:rsidR="00400DA8" w:rsidRPr="005616AE" w:rsidRDefault="00400DA8" w:rsidP="00384F0C">
      <w:pPr>
        <w:pStyle w:val="ListParagraph"/>
        <w:numPr>
          <w:ilvl w:val="0"/>
          <w:numId w:val="93"/>
        </w:numPr>
        <w:spacing w:after="0"/>
        <w:rPr>
          <w:rFonts w:cs="Calibri"/>
        </w:rPr>
      </w:pPr>
      <w:r w:rsidRPr="005616AE">
        <w:rPr>
          <w:rFonts w:cs="Calibri"/>
          <w:b/>
          <w:bCs/>
        </w:rPr>
        <w:t>Mitigation:</w:t>
      </w:r>
      <w:r w:rsidRPr="005616AE">
        <w:rPr>
          <w:rFonts w:cs="Calibri"/>
        </w:rPr>
        <w:t xml:space="preserve"> Put more effort into streamlining current processes to cut costs while keeping a careful eye on market developments in case you decide to re-enter new areas.</w:t>
      </w:r>
    </w:p>
    <w:p w14:paraId="1DE2C04D" w14:textId="77777777" w:rsidR="00E4124D" w:rsidRPr="005616AE" w:rsidRDefault="00400DA8" w:rsidP="00186F1E">
      <w:pPr>
        <w:spacing w:after="0"/>
        <w:rPr>
          <w:rFonts w:cs="Calibri"/>
          <w:b/>
          <w:bCs/>
        </w:rPr>
      </w:pPr>
      <w:r w:rsidRPr="005616AE">
        <w:rPr>
          <w:rFonts w:cs="Calibri"/>
          <w:b/>
          <w:bCs/>
        </w:rPr>
        <w:t>Technological Disadvantage</w:t>
      </w:r>
    </w:p>
    <w:p w14:paraId="6486E399" w14:textId="77777777" w:rsidR="00186F1E" w:rsidRPr="005616AE" w:rsidRDefault="00400DA8" w:rsidP="00384F0C">
      <w:pPr>
        <w:pStyle w:val="ListParagraph"/>
        <w:numPr>
          <w:ilvl w:val="0"/>
          <w:numId w:val="94"/>
        </w:numPr>
        <w:spacing w:after="0"/>
        <w:rPr>
          <w:rFonts w:cs="Calibri"/>
        </w:rPr>
      </w:pPr>
      <w:r w:rsidRPr="005616AE">
        <w:rPr>
          <w:rFonts w:cs="Calibri"/>
          <w:b/>
          <w:bCs/>
        </w:rPr>
        <w:t>Risk:</w:t>
      </w:r>
      <w:r w:rsidRPr="005616AE">
        <w:rPr>
          <w:rFonts w:cs="Calibri"/>
        </w:rPr>
        <w:t xml:space="preserve"> TD Bank would lag in terms of operational effectiveness and customer experience.</w:t>
      </w:r>
    </w:p>
    <w:p w14:paraId="16043577" w14:textId="527819E9" w:rsidR="00400DA8" w:rsidRPr="005616AE" w:rsidRDefault="00400DA8" w:rsidP="00384F0C">
      <w:pPr>
        <w:pStyle w:val="ListParagraph"/>
        <w:numPr>
          <w:ilvl w:val="0"/>
          <w:numId w:val="94"/>
        </w:numPr>
        <w:spacing w:after="0"/>
        <w:rPr>
          <w:rFonts w:cs="Calibri"/>
        </w:rPr>
      </w:pPr>
      <w:r w:rsidRPr="005616AE">
        <w:rPr>
          <w:rFonts w:cs="Calibri"/>
          <w:b/>
          <w:bCs/>
        </w:rPr>
        <w:t>Mitigation:</w:t>
      </w:r>
      <w:r w:rsidRPr="005616AE">
        <w:rPr>
          <w:rFonts w:cs="Calibri"/>
        </w:rPr>
        <w:t xml:space="preserve"> Make smaller-scale investments in technology advancements is beginning with enhancements that directly affect customers and have the potential to be low-risk and high-reward.</w:t>
      </w:r>
    </w:p>
    <w:p w14:paraId="3A83DBC4" w14:textId="77777777" w:rsidR="00400DA8" w:rsidRPr="005616AE" w:rsidRDefault="00400DA8" w:rsidP="00400DA8">
      <w:pPr>
        <w:pStyle w:val="Heading1"/>
        <w:rPr>
          <w:rFonts w:ascii="Calibri" w:hAnsi="Calibri" w:cs="Calibri"/>
        </w:rPr>
      </w:pPr>
      <w:bookmarkStart w:id="40" w:name="_Toc183211057"/>
      <w:r w:rsidRPr="005616AE">
        <w:rPr>
          <w:rFonts w:ascii="Calibri" w:hAnsi="Calibri" w:cs="Calibri"/>
        </w:rPr>
        <w:t>Evaluation Criteria</w:t>
      </w:r>
      <w:bookmarkEnd w:id="40"/>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400DA8" w:rsidRPr="005616AE" w14:paraId="62BF508D" w14:textId="77777777" w:rsidTr="00DA1AFE">
        <w:tc>
          <w:tcPr>
            <w:tcW w:w="1870" w:type="dxa"/>
          </w:tcPr>
          <w:p w14:paraId="6F92B741" w14:textId="77777777" w:rsidR="00400DA8" w:rsidRPr="005616AE" w:rsidRDefault="00400DA8" w:rsidP="00431DCB">
            <w:pPr>
              <w:rPr>
                <w:rFonts w:cs="Calibri"/>
                <w:b/>
                <w:bCs/>
              </w:rPr>
            </w:pPr>
            <w:r w:rsidRPr="005616AE">
              <w:rPr>
                <w:rFonts w:cs="Calibri"/>
                <w:b/>
                <w:bCs/>
              </w:rPr>
              <w:t>Aspect</w:t>
            </w:r>
          </w:p>
        </w:tc>
        <w:tc>
          <w:tcPr>
            <w:tcW w:w="1870" w:type="dxa"/>
          </w:tcPr>
          <w:p w14:paraId="6A8D3CA2" w14:textId="77777777" w:rsidR="00400DA8" w:rsidRPr="005616AE" w:rsidRDefault="00400DA8" w:rsidP="00431DCB">
            <w:pPr>
              <w:rPr>
                <w:rFonts w:cs="Calibri"/>
                <w:b/>
                <w:bCs/>
              </w:rPr>
            </w:pPr>
            <w:r w:rsidRPr="005616AE">
              <w:rPr>
                <w:rFonts w:cs="Calibri"/>
                <w:b/>
                <w:bCs/>
              </w:rPr>
              <w:t>Solution 1: TD Acquiring WiTricity</w:t>
            </w:r>
          </w:p>
        </w:tc>
        <w:tc>
          <w:tcPr>
            <w:tcW w:w="1870" w:type="dxa"/>
          </w:tcPr>
          <w:p w14:paraId="475C1527" w14:textId="77777777" w:rsidR="00400DA8" w:rsidRPr="005616AE" w:rsidRDefault="00400DA8" w:rsidP="00431DCB">
            <w:pPr>
              <w:rPr>
                <w:rFonts w:cs="Calibri"/>
                <w:b/>
                <w:bCs/>
              </w:rPr>
            </w:pPr>
            <w:r w:rsidRPr="005616AE">
              <w:rPr>
                <w:rFonts w:cs="Calibri"/>
                <w:b/>
                <w:bCs/>
              </w:rPr>
              <w:t>Solution 2: Space Economy Financing</w:t>
            </w:r>
          </w:p>
        </w:tc>
        <w:tc>
          <w:tcPr>
            <w:tcW w:w="1870" w:type="dxa"/>
          </w:tcPr>
          <w:p w14:paraId="32A44E23" w14:textId="77777777" w:rsidR="00400DA8" w:rsidRPr="005616AE" w:rsidRDefault="00400DA8" w:rsidP="00431DCB">
            <w:pPr>
              <w:rPr>
                <w:rFonts w:cs="Calibri"/>
                <w:b/>
                <w:bCs/>
              </w:rPr>
            </w:pPr>
            <w:r w:rsidRPr="005616AE">
              <w:rPr>
                <w:rFonts w:cs="Calibri"/>
                <w:b/>
                <w:bCs/>
              </w:rPr>
              <w:t xml:space="preserve">Solution 3: TD Acquiring </w:t>
            </w:r>
            <w:proofErr w:type="spellStart"/>
            <w:r w:rsidRPr="005616AE">
              <w:rPr>
                <w:rFonts w:cs="Calibri"/>
                <w:b/>
                <w:bCs/>
              </w:rPr>
              <w:t>TForce</w:t>
            </w:r>
            <w:proofErr w:type="spellEnd"/>
            <w:r w:rsidRPr="005616AE">
              <w:rPr>
                <w:rFonts w:cs="Calibri"/>
                <w:b/>
                <w:bCs/>
              </w:rPr>
              <w:t xml:space="preserve"> Logistics</w:t>
            </w:r>
          </w:p>
        </w:tc>
        <w:tc>
          <w:tcPr>
            <w:tcW w:w="1870" w:type="dxa"/>
          </w:tcPr>
          <w:p w14:paraId="64566DCD" w14:textId="77777777" w:rsidR="00400DA8" w:rsidRPr="005616AE" w:rsidRDefault="00400DA8" w:rsidP="00431DCB">
            <w:pPr>
              <w:rPr>
                <w:rFonts w:cs="Calibri"/>
                <w:b/>
                <w:bCs/>
              </w:rPr>
            </w:pPr>
            <w:r w:rsidRPr="005616AE">
              <w:rPr>
                <w:rFonts w:cs="Calibri"/>
                <w:b/>
                <w:bCs/>
              </w:rPr>
              <w:t>Solution 4: Do-Nothing</w:t>
            </w:r>
          </w:p>
        </w:tc>
      </w:tr>
      <w:tr w:rsidR="00400DA8" w:rsidRPr="005616AE" w14:paraId="69E7CAD4" w14:textId="77777777" w:rsidTr="00DA1AFE">
        <w:tc>
          <w:tcPr>
            <w:tcW w:w="1870" w:type="dxa"/>
          </w:tcPr>
          <w:p w14:paraId="60820D75" w14:textId="77777777" w:rsidR="00400DA8" w:rsidRPr="005616AE" w:rsidRDefault="00400DA8" w:rsidP="00431DCB">
            <w:pPr>
              <w:rPr>
                <w:rFonts w:cs="Calibri"/>
                <w:b/>
                <w:bCs/>
              </w:rPr>
            </w:pPr>
            <w:r w:rsidRPr="005616AE">
              <w:rPr>
                <w:rFonts w:cs="Calibri"/>
              </w:rPr>
              <w:t>Primary Focus</w:t>
            </w:r>
          </w:p>
        </w:tc>
        <w:tc>
          <w:tcPr>
            <w:tcW w:w="1870" w:type="dxa"/>
          </w:tcPr>
          <w:p w14:paraId="784B3258" w14:textId="77777777" w:rsidR="00400DA8" w:rsidRPr="005616AE" w:rsidRDefault="00400DA8" w:rsidP="00431DCB">
            <w:pPr>
              <w:rPr>
                <w:rFonts w:cs="Calibri"/>
              </w:rPr>
            </w:pPr>
            <w:r w:rsidRPr="005616AE">
              <w:rPr>
                <w:rFonts w:cs="Calibri"/>
              </w:rPr>
              <w:t xml:space="preserve">TD's sustainability services will </w:t>
            </w:r>
            <w:proofErr w:type="gramStart"/>
            <w:r w:rsidRPr="005616AE">
              <w:rPr>
                <w:rFonts w:cs="Calibri"/>
              </w:rPr>
              <w:t>be improved</w:t>
            </w:r>
            <w:proofErr w:type="gramEnd"/>
            <w:r w:rsidRPr="005616AE">
              <w:rPr>
                <w:rFonts w:cs="Calibri"/>
              </w:rPr>
              <w:t xml:space="preserve"> by wireless EV charging technology.</w:t>
            </w:r>
          </w:p>
        </w:tc>
        <w:tc>
          <w:tcPr>
            <w:tcW w:w="1870" w:type="dxa"/>
          </w:tcPr>
          <w:p w14:paraId="77D748EF" w14:textId="77777777" w:rsidR="00400DA8" w:rsidRPr="005616AE" w:rsidRDefault="00400DA8" w:rsidP="00431DCB">
            <w:pPr>
              <w:rPr>
                <w:rFonts w:cs="Calibri"/>
              </w:rPr>
            </w:pPr>
            <w:r w:rsidRPr="005616AE">
              <w:rPr>
                <w:rFonts w:cs="Calibri"/>
              </w:rPr>
              <w:t>Establishing TD in the space economy by assisting startups and space-tech initiatives.</w:t>
            </w:r>
          </w:p>
        </w:tc>
        <w:tc>
          <w:tcPr>
            <w:tcW w:w="1870" w:type="dxa"/>
          </w:tcPr>
          <w:p w14:paraId="1915F97B" w14:textId="77777777" w:rsidR="00400DA8" w:rsidRPr="005616AE" w:rsidRDefault="00400DA8" w:rsidP="00431DCB">
            <w:pPr>
              <w:rPr>
                <w:rFonts w:cs="Calibri"/>
              </w:rPr>
            </w:pPr>
            <w:r w:rsidRPr="005616AE">
              <w:rPr>
                <w:rFonts w:cs="Calibri"/>
              </w:rPr>
              <w:t xml:space="preserve">TD's acquisition of </w:t>
            </w:r>
            <w:proofErr w:type="spellStart"/>
            <w:r w:rsidRPr="005616AE">
              <w:rPr>
                <w:rFonts w:cs="Calibri"/>
              </w:rPr>
              <w:t>TForce</w:t>
            </w:r>
            <w:proofErr w:type="spellEnd"/>
            <w:r w:rsidRPr="005616AE">
              <w:rPr>
                <w:rFonts w:cs="Calibri"/>
              </w:rPr>
              <w:t xml:space="preserve"> Logistics will increase its </w:t>
            </w:r>
            <w:proofErr w:type="gramStart"/>
            <w:r w:rsidRPr="005616AE">
              <w:rPr>
                <w:rFonts w:cs="Calibri"/>
              </w:rPr>
              <w:t>logistics</w:t>
            </w:r>
            <w:proofErr w:type="gramEnd"/>
            <w:r w:rsidRPr="005616AE">
              <w:rPr>
                <w:rFonts w:cs="Calibri"/>
              </w:rPr>
              <w:t xml:space="preserve"> capabilities.</w:t>
            </w:r>
          </w:p>
          <w:p w14:paraId="7B109283" w14:textId="77777777" w:rsidR="00400DA8" w:rsidRPr="005616AE" w:rsidRDefault="00400DA8" w:rsidP="00431DCB">
            <w:pPr>
              <w:rPr>
                <w:rFonts w:cs="Calibri"/>
              </w:rPr>
            </w:pPr>
          </w:p>
        </w:tc>
        <w:tc>
          <w:tcPr>
            <w:tcW w:w="1870" w:type="dxa"/>
          </w:tcPr>
          <w:p w14:paraId="45D19996" w14:textId="77777777" w:rsidR="00400DA8" w:rsidRPr="005616AE" w:rsidRDefault="00400DA8" w:rsidP="00431DCB">
            <w:pPr>
              <w:rPr>
                <w:rFonts w:cs="Calibri"/>
              </w:rPr>
            </w:pPr>
            <w:r w:rsidRPr="005616AE">
              <w:rPr>
                <w:rFonts w:cs="Calibri"/>
              </w:rPr>
              <w:t>Preserving the status quo while avoiding major investment or change.</w:t>
            </w:r>
          </w:p>
          <w:p w14:paraId="14FDDBD9" w14:textId="77777777" w:rsidR="00400DA8" w:rsidRPr="005616AE" w:rsidRDefault="00400DA8" w:rsidP="00431DCB">
            <w:pPr>
              <w:rPr>
                <w:rFonts w:cs="Calibri"/>
              </w:rPr>
            </w:pPr>
          </w:p>
        </w:tc>
      </w:tr>
      <w:tr w:rsidR="00400DA8" w:rsidRPr="005616AE" w14:paraId="6E3FF638" w14:textId="77777777" w:rsidTr="00DA1AFE">
        <w:tc>
          <w:tcPr>
            <w:tcW w:w="1870" w:type="dxa"/>
          </w:tcPr>
          <w:p w14:paraId="7C5D0D4A" w14:textId="77777777" w:rsidR="00400DA8" w:rsidRPr="005616AE" w:rsidRDefault="00400DA8" w:rsidP="00431DCB">
            <w:pPr>
              <w:rPr>
                <w:rFonts w:cs="Calibri"/>
              </w:rPr>
            </w:pPr>
            <w:r w:rsidRPr="005616AE">
              <w:rPr>
                <w:rFonts w:cs="Calibri"/>
              </w:rPr>
              <w:t>Technology Involved</w:t>
            </w:r>
          </w:p>
        </w:tc>
        <w:tc>
          <w:tcPr>
            <w:tcW w:w="1870" w:type="dxa"/>
          </w:tcPr>
          <w:p w14:paraId="18D3CDC4" w14:textId="77777777" w:rsidR="00400DA8" w:rsidRPr="005616AE" w:rsidRDefault="00400DA8" w:rsidP="00431DCB">
            <w:pPr>
              <w:rPr>
                <w:rFonts w:cs="Calibri"/>
              </w:rPr>
            </w:pPr>
            <w:r w:rsidRPr="005616AE">
              <w:rPr>
                <w:rFonts w:cs="Calibri"/>
              </w:rPr>
              <w:t>TD banking integration, smartphone apps, and wireless charging technology.</w:t>
            </w:r>
          </w:p>
        </w:tc>
        <w:tc>
          <w:tcPr>
            <w:tcW w:w="1870" w:type="dxa"/>
          </w:tcPr>
          <w:p w14:paraId="108991AD" w14:textId="77777777" w:rsidR="00400DA8" w:rsidRPr="005616AE" w:rsidRDefault="00400DA8" w:rsidP="00431DCB">
            <w:pPr>
              <w:rPr>
                <w:rFonts w:cs="Calibri"/>
              </w:rPr>
            </w:pPr>
            <w:r w:rsidRPr="005616AE">
              <w:rPr>
                <w:rFonts w:cs="Calibri"/>
              </w:rPr>
              <w:t xml:space="preserve">Financing satellite technologies, credit goods, </w:t>
            </w:r>
            <w:proofErr w:type="gramStart"/>
            <w:r w:rsidRPr="005616AE">
              <w:rPr>
                <w:rFonts w:cs="Calibri"/>
              </w:rPr>
              <w:t>loans</w:t>
            </w:r>
            <w:proofErr w:type="gramEnd"/>
            <w:r w:rsidRPr="005616AE">
              <w:rPr>
                <w:rFonts w:cs="Calibri"/>
              </w:rPr>
              <w:t xml:space="preserve"> and space businesses.</w:t>
            </w:r>
          </w:p>
        </w:tc>
        <w:tc>
          <w:tcPr>
            <w:tcW w:w="1870" w:type="dxa"/>
          </w:tcPr>
          <w:p w14:paraId="08A6598A" w14:textId="77777777" w:rsidR="00400DA8" w:rsidRPr="005616AE" w:rsidRDefault="00400DA8" w:rsidP="00431DCB">
            <w:pPr>
              <w:rPr>
                <w:rFonts w:cs="Calibri"/>
              </w:rPr>
            </w:pPr>
            <w:r w:rsidRPr="005616AE">
              <w:rPr>
                <w:rFonts w:cs="Calibri"/>
              </w:rPr>
              <w:t xml:space="preserve">Acquiring technologies for last-mile delivery and </w:t>
            </w:r>
            <w:proofErr w:type="gramStart"/>
            <w:r w:rsidRPr="005616AE">
              <w:rPr>
                <w:rFonts w:cs="Calibri"/>
              </w:rPr>
              <w:t>logistics</w:t>
            </w:r>
            <w:proofErr w:type="gramEnd"/>
            <w:r w:rsidRPr="005616AE">
              <w:rPr>
                <w:rFonts w:cs="Calibri"/>
              </w:rPr>
              <w:t>.</w:t>
            </w:r>
          </w:p>
        </w:tc>
        <w:tc>
          <w:tcPr>
            <w:tcW w:w="1870" w:type="dxa"/>
          </w:tcPr>
          <w:p w14:paraId="70C5C5BE" w14:textId="77777777" w:rsidR="00400DA8" w:rsidRPr="005616AE" w:rsidRDefault="00400DA8" w:rsidP="00431DCB">
            <w:pPr>
              <w:rPr>
                <w:rFonts w:cs="Calibri"/>
              </w:rPr>
            </w:pPr>
            <w:r w:rsidRPr="005616AE">
              <w:rPr>
                <w:rFonts w:cs="Calibri"/>
              </w:rPr>
              <w:t>Using the infrastructure and processes that are already in place without making any technological investments.</w:t>
            </w:r>
          </w:p>
        </w:tc>
      </w:tr>
      <w:tr w:rsidR="00400DA8" w:rsidRPr="005616AE" w14:paraId="050E69D3" w14:textId="77777777" w:rsidTr="00DA1AFE">
        <w:tc>
          <w:tcPr>
            <w:tcW w:w="1870" w:type="dxa"/>
          </w:tcPr>
          <w:p w14:paraId="26D5A746" w14:textId="77777777" w:rsidR="00400DA8" w:rsidRPr="005616AE" w:rsidRDefault="00400DA8" w:rsidP="00431DCB">
            <w:pPr>
              <w:rPr>
                <w:rFonts w:cs="Calibri"/>
              </w:rPr>
            </w:pPr>
            <w:r w:rsidRPr="005616AE">
              <w:rPr>
                <w:rFonts w:cs="Calibri"/>
              </w:rPr>
              <w:t>Target Audience</w:t>
            </w:r>
          </w:p>
        </w:tc>
        <w:tc>
          <w:tcPr>
            <w:tcW w:w="1870" w:type="dxa"/>
          </w:tcPr>
          <w:p w14:paraId="6D7EF5AE" w14:textId="77777777" w:rsidR="00400DA8" w:rsidRPr="005616AE" w:rsidRDefault="00400DA8" w:rsidP="00431DCB">
            <w:pPr>
              <w:rPr>
                <w:rFonts w:cs="Calibri"/>
              </w:rPr>
            </w:pPr>
            <w:r w:rsidRPr="005616AE">
              <w:rPr>
                <w:rFonts w:cs="Calibri"/>
              </w:rPr>
              <w:t>EV makers, EV owners and environmentally aware consumers.</w:t>
            </w:r>
          </w:p>
        </w:tc>
        <w:tc>
          <w:tcPr>
            <w:tcW w:w="1870" w:type="dxa"/>
          </w:tcPr>
          <w:p w14:paraId="3AA3F877" w14:textId="77777777" w:rsidR="00400DA8" w:rsidRPr="005616AE" w:rsidRDefault="00400DA8" w:rsidP="00431DCB">
            <w:pPr>
              <w:rPr>
                <w:rFonts w:cs="Calibri"/>
              </w:rPr>
            </w:pPr>
            <w:r w:rsidRPr="005616AE">
              <w:rPr>
                <w:rFonts w:cs="Calibri"/>
              </w:rPr>
              <w:t xml:space="preserve">Satellite businesses, aerospace firms, space-tech </w:t>
            </w:r>
            <w:proofErr w:type="gramStart"/>
            <w:r w:rsidRPr="005616AE">
              <w:rPr>
                <w:rFonts w:cs="Calibri"/>
              </w:rPr>
              <w:lastRenderedPageBreak/>
              <w:t>startups</w:t>
            </w:r>
            <w:proofErr w:type="gramEnd"/>
            <w:r w:rsidRPr="005616AE">
              <w:rPr>
                <w:rFonts w:cs="Calibri"/>
              </w:rPr>
              <w:t xml:space="preserve"> and CSA partners.</w:t>
            </w:r>
          </w:p>
        </w:tc>
        <w:tc>
          <w:tcPr>
            <w:tcW w:w="1870" w:type="dxa"/>
          </w:tcPr>
          <w:p w14:paraId="3F7FC892" w14:textId="77777777" w:rsidR="00400DA8" w:rsidRPr="005616AE" w:rsidRDefault="00400DA8" w:rsidP="00431DCB">
            <w:pPr>
              <w:rPr>
                <w:rFonts w:cs="Calibri"/>
              </w:rPr>
            </w:pPr>
            <w:r w:rsidRPr="005616AE">
              <w:rPr>
                <w:rFonts w:cs="Calibri"/>
              </w:rPr>
              <w:lastRenderedPageBreak/>
              <w:t xml:space="preserve">TD clients, </w:t>
            </w:r>
            <w:proofErr w:type="gramStart"/>
            <w:r w:rsidRPr="005616AE">
              <w:rPr>
                <w:rFonts w:cs="Calibri"/>
              </w:rPr>
              <w:t>logistics</w:t>
            </w:r>
            <w:proofErr w:type="gramEnd"/>
            <w:r w:rsidRPr="005616AE">
              <w:rPr>
                <w:rFonts w:cs="Calibri"/>
              </w:rPr>
              <w:t xml:space="preserve"> firms and businesses in need of delivery services.</w:t>
            </w:r>
          </w:p>
        </w:tc>
        <w:tc>
          <w:tcPr>
            <w:tcW w:w="1870" w:type="dxa"/>
          </w:tcPr>
          <w:p w14:paraId="243E4CA0" w14:textId="77777777" w:rsidR="00400DA8" w:rsidRPr="005616AE" w:rsidRDefault="00400DA8" w:rsidP="00431DCB">
            <w:pPr>
              <w:rPr>
                <w:rFonts w:cs="Calibri"/>
              </w:rPr>
            </w:pPr>
            <w:r w:rsidRPr="005616AE">
              <w:rPr>
                <w:rFonts w:cs="Calibri"/>
              </w:rPr>
              <w:t xml:space="preserve">Traditional banking clients who are already customers with no </w:t>
            </w:r>
            <w:r w:rsidRPr="005616AE">
              <w:rPr>
                <w:rFonts w:cs="Calibri"/>
              </w:rPr>
              <w:lastRenderedPageBreak/>
              <w:t>change in target market.</w:t>
            </w:r>
          </w:p>
        </w:tc>
      </w:tr>
      <w:tr w:rsidR="00400DA8" w:rsidRPr="005616AE" w14:paraId="799B28DC" w14:textId="77777777" w:rsidTr="00DA1AFE">
        <w:tc>
          <w:tcPr>
            <w:tcW w:w="1870" w:type="dxa"/>
          </w:tcPr>
          <w:p w14:paraId="14FE7303" w14:textId="77777777" w:rsidR="00400DA8" w:rsidRPr="005616AE" w:rsidRDefault="00400DA8" w:rsidP="00431DCB">
            <w:pPr>
              <w:rPr>
                <w:rFonts w:cs="Calibri"/>
              </w:rPr>
            </w:pPr>
            <w:r w:rsidRPr="005616AE">
              <w:rPr>
                <w:rFonts w:cs="Calibri"/>
              </w:rPr>
              <w:lastRenderedPageBreak/>
              <w:t>Revenue Model</w:t>
            </w:r>
          </w:p>
        </w:tc>
        <w:tc>
          <w:tcPr>
            <w:tcW w:w="1870" w:type="dxa"/>
          </w:tcPr>
          <w:p w14:paraId="008EE5C7" w14:textId="77777777" w:rsidR="00400DA8" w:rsidRPr="005616AE" w:rsidRDefault="00400DA8" w:rsidP="00431DCB">
            <w:pPr>
              <w:rPr>
                <w:rFonts w:cs="Calibri"/>
              </w:rPr>
            </w:pPr>
            <w:r w:rsidRPr="005616AE">
              <w:rPr>
                <w:rFonts w:cs="Calibri"/>
              </w:rPr>
              <w:t>Potential charging stations, charging costs and collaborations with green projects.</w:t>
            </w:r>
          </w:p>
        </w:tc>
        <w:tc>
          <w:tcPr>
            <w:tcW w:w="1870" w:type="dxa"/>
          </w:tcPr>
          <w:p w14:paraId="0511B2CD" w14:textId="77777777" w:rsidR="00400DA8" w:rsidRPr="005616AE" w:rsidRDefault="00400DA8" w:rsidP="00431DCB">
            <w:pPr>
              <w:rPr>
                <w:rFonts w:cs="Calibri"/>
              </w:rPr>
            </w:pPr>
            <w:r w:rsidRPr="005616AE">
              <w:rPr>
                <w:rFonts w:cs="Calibri"/>
              </w:rPr>
              <w:t>Income from asset-backed securities, credit lines and loans for space projects.</w:t>
            </w:r>
          </w:p>
        </w:tc>
        <w:tc>
          <w:tcPr>
            <w:tcW w:w="1870" w:type="dxa"/>
          </w:tcPr>
          <w:p w14:paraId="13051C19" w14:textId="77777777" w:rsidR="00400DA8" w:rsidRPr="005616AE" w:rsidRDefault="00400DA8" w:rsidP="00431DCB">
            <w:pPr>
              <w:rPr>
                <w:rFonts w:cs="Calibri"/>
              </w:rPr>
            </w:pPr>
            <w:r w:rsidRPr="005616AE">
              <w:rPr>
                <w:rFonts w:cs="Calibri"/>
              </w:rPr>
              <w:t xml:space="preserve">Revenue from partnerships, distribution network development and </w:t>
            </w:r>
            <w:proofErr w:type="gramStart"/>
            <w:r w:rsidRPr="005616AE">
              <w:rPr>
                <w:rFonts w:cs="Calibri"/>
              </w:rPr>
              <w:t>logistics</w:t>
            </w:r>
            <w:proofErr w:type="gramEnd"/>
            <w:r w:rsidRPr="005616AE">
              <w:rPr>
                <w:rFonts w:cs="Calibri"/>
              </w:rPr>
              <w:t xml:space="preserve"> services.</w:t>
            </w:r>
          </w:p>
        </w:tc>
        <w:tc>
          <w:tcPr>
            <w:tcW w:w="1870" w:type="dxa"/>
          </w:tcPr>
          <w:p w14:paraId="46139DD7" w14:textId="77777777" w:rsidR="00400DA8" w:rsidRPr="005616AE" w:rsidRDefault="00400DA8" w:rsidP="00431DCB">
            <w:pPr>
              <w:rPr>
                <w:rFonts w:cs="Calibri"/>
              </w:rPr>
            </w:pPr>
            <w:r w:rsidRPr="005616AE">
              <w:rPr>
                <w:rFonts w:cs="Calibri"/>
              </w:rPr>
              <w:t>There are no new sources of income. Traditional banking services continue to be the source of income.</w:t>
            </w:r>
          </w:p>
        </w:tc>
      </w:tr>
      <w:tr w:rsidR="00400DA8" w:rsidRPr="005616AE" w14:paraId="69CAFC68" w14:textId="77777777" w:rsidTr="00DA1AFE">
        <w:tc>
          <w:tcPr>
            <w:tcW w:w="1870" w:type="dxa"/>
          </w:tcPr>
          <w:p w14:paraId="507B7795" w14:textId="77777777" w:rsidR="00400DA8" w:rsidRPr="005616AE" w:rsidRDefault="00400DA8" w:rsidP="00431DCB">
            <w:pPr>
              <w:rPr>
                <w:rFonts w:cs="Calibri"/>
              </w:rPr>
            </w:pPr>
            <w:r w:rsidRPr="005616AE">
              <w:rPr>
                <w:rFonts w:cs="Calibri"/>
              </w:rPr>
              <w:t>Potential Impact</w:t>
            </w:r>
          </w:p>
        </w:tc>
        <w:tc>
          <w:tcPr>
            <w:tcW w:w="1870" w:type="dxa"/>
          </w:tcPr>
          <w:p w14:paraId="2BA76C1E" w14:textId="77777777" w:rsidR="00400DA8" w:rsidRPr="005616AE" w:rsidRDefault="00400DA8" w:rsidP="00431DCB">
            <w:pPr>
              <w:rPr>
                <w:rFonts w:cs="Calibri"/>
              </w:rPr>
            </w:pPr>
            <w:r w:rsidRPr="005616AE">
              <w:rPr>
                <w:rFonts w:cs="Calibri"/>
              </w:rPr>
              <w:t xml:space="preserve">Enhances customer loyalty, boosts sustainability </w:t>
            </w:r>
            <w:proofErr w:type="gramStart"/>
            <w:r w:rsidRPr="005616AE">
              <w:rPr>
                <w:rFonts w:cs="Calibri"/>
              </w:rPr>
              <w:t>initiatives</w:t>
            </w:r>
            <w:proofErr w:type="gramEnd"/>
            <w:r w:rsidRPr="005616AE">
              <w:rPr>
                <w:rFonts w:cs="Calibri"/>
              </w:rPr>
              <w:t xml:space="preserve"> and supports Canada's green objectives.</w:t>
            </w:r>
          </w:p>
        </w:tc>
        <w:tc>
          <w:tcPr>
            <w:tcW w:w="1870" w:type="dxa"/>
          </w:tcPr>
          <w:p w14:paraId="50EB7E55" w14:textId="77777777" w:rsidR="00400DA8" w:rsidRPr="005616AE" w:rsidRDefault="00400DA8" w:rsidP="00431DCB">
            <w:pPr>
              <w:rPr>
                <w:rFonts w:cs="Calibri"/>
              </w:rPr>
            </w:pPr>
            <w:r w:rsidRPr="005616AE">
              <w:rPr>
                <w:rFonts w:cs="Calibri"/>
              </w:rPr>
              <w:t>Establishes TD as a leader in the space sector and fosters long-term expansion through alliances.</w:t>
            </w:r>
          </w:p>
        </w:tc>
        <w:tc>
          <w:tcPr>
            <w:tcW w:w="1870" w:type="dxa"/>
          </w:tcPr>
          <w:p w14:paraId="755A6EFF" w14:textId="77777777" w:rsidR="00400DA8" w:rsidRPr="005616AE" w:rsidRDefault="00400DA8" w:rsidP="00431DCB">
            <w:pPr>
              <w:rPr>
                <w:rFonts w:cs="Calibri"/>
              </w:rPr>
            </w:pPr>
            <w:r w:rsidRPr="005616AE">
              <w:rPr>
                <w:rFonts w:cs="Calibri"/>
              </w:rPr>
              <w:t xml:space="preserve">Increases market share, boosts operational </w:t>
            </w:r>
            <w:proofErr w:type="gramStart"/>
            <w:r w:rsidRPr="005616AE">
              <w:rPr>
                <w:rFonts w:cs="Calibri"/>
              </w:rPr>
              <w:t>effectiveness</w:t>
            </w:r>
            <w:proofErr w:type="gramEnd"/>
            <w:r w:rsidRPr="005616AE">
              <w:rPr>
                <w:rFonts w:cs="Calibri"/>
              </w:rPr>
              <w:t xml:space="preserve"> and enhances logistical service offerings.</w:t>
            </w:r>
          </w:p>
        </w:tc>
        <w:tc>
          <w:tcPr>
            <w:tcW w:w="1870" w:type="dxa"/>
          </w:tcPr>
          <w:p w14:paraId="296130F6" w14:textId="77777777" w:rsidR="00400DA8" w:rsidRPr="005616AE" w:rsidRDefault="00400DA8" w:rsidP="00431DCB">
            <w:pPr>
              <w:rPr>
                <w:rFonts w:cs="Calibri"/>
              </w:rPr>
            </w:pPr>
            <w:r w:rsidRPr="005616AE">
              <w:rPr>
                <w:rFonts w:cs="Calibri"/>
              </w:rPr>
              <w:t>Lost competitive edge in dynamic markets and a lost chance for market differentiation.</w:t>
            </w:r>
          </w:p>
          <w:p w14:paraId="10A01ED1" w14:textId="77777777" w:rsidR="00400DA8" w:rsidRPr="005616AE" w:rsidRDefault="00400DA8" w:rsidP="00431DCB">
            <w:pPr>
              <w:rPr>
                <w:rFonts w:cs="Calibri"/>
              </w:rPr>
            </w:pPr>
          </w:p>
        </w:tc>
      </w:tr>
      <w:tr w:rsidR="00400DA8" w:rsidRPr="005616AE" w14:paraId="67A09B66" w14:textId="77777777" w:rsidTr="00DA1AFE">
        <w:tc>
          <w:tcPr>
            <w:tcW w:w="1870" w:type="dxa"/>
          </w:tcPr>
          <w:p w14:paraId="2B4222BC" w14:textId="77777777" w:rsidR="00400DA8" w:rsidRPr="005616AE" w:rsidRDefault="00400DA8" w:rsidP="00431DCB">
            <w:pPr>
              <w:rPr>
                <w:rFonts w:cs="Calibri"/>
              </w:rPr>
            </w:pPr>
            <w:r w:rsidRPr="005616AE">
              <w:rPr>
                <w:rFonts w:cs="Calibri"/>
              </w:rPr>
              <w:t>Revenue Growth Potential</w:t>
            </w:r>
          </w:p>
        </w:tc>
        <w:tc>
          <w:tcPr>
            <w:tcW w:w="1870" w:type="dxa"/>
          </w:tcPr>
          <w:p w14:paraId="233B50ED" w14:textId="77777777" w:rsidR="00400DA8" w:rsidRPr="005616AE" w:rsidRDefault="00400DA8" w:rsidP="00431DCB">
            <w:pPr>
              <w:rPr>
                <w:rFonts w:cs="Calibri"/>
              </w:rPr>
            </w:pPr>
            <w:r w:rsidRPr="005616AE">
              <w:rPr>
                <w:rFonts w:cs="Calibri"/>
              </w:rPr>
              <w:t>Recurring income from charging services, EV growth prospects and environmental projects.</w:t>
            </w:r>
          </w:p>
        </w:tc>
        <w:tc>
          <w:tcPr>
            <w:tcW w:w="1870" w:type="dxa"/>
          </w:tcPr>
          <w:p w14:paraId="359C6AA4" w14:textId="77777777" w:rsidR="00400DA8" w:rsidRPr="005616AE" w:rsidRDefault="00400DA8" w:rsidP="00431DCB">
            <w:pPr>
              <w:rPr>
                <w:rFonts w:cs="Calibri"/>
              </w:rPr>
            </w:pPr>
            <w:r w:rsidRPr="005616AE">
              <w:rPr>
                <w:rFonts w:cs="Calibri"/>
              </w:rPr>
              <w:t>There is a high potential for growth in space economy funding as the need for space services grows.</w:t>
            </w:r>
          </w:p>
        </w:tc>
        <w:tc>
          <w:tcPr>
            <w:tcW w:w="1870" w:type="dxa"/>
          </w:tcPr>
          <w:p w14:paraId="4CB3E78D" w14:textId="77777777" w:rsidR="00400DA8" w:rsidRPr="005616AE" w:rsidRDefault="00400DA8" w:rsidP="00431DCB">
            <w:pPr>
              <w:rPr>
                <w:rFonts w:cs="Calibri"/>
              </w:rPr>
            </w:pPr>
            <w:r w:rsidRPr="005616AE">
              <w:rPr>
                <w:rFonts w:cs="Calibri"/>
              </w:rPr>
              <w:t>Consistent logistical revenue and expansion in the e-commerce delivery sector.</w:t>
            </w:r>
          </w:p>
          <w:p w14:paraId="2CC6DB20" w14:textId="77777777" w:rsidR="00400DA8" w:rsidRPr="005616AE" w:rsidRDefault="00400DA8" w:rsidP="00431DCB">
            <w:pPr>
              <w:rPr>
                <w:rFonts w:cs="Calibri"/>
              </w:rPr>
            </w:pPr>
          </w:p>
        </w:tc>
        <w:tc>
          <w:tcPr>
            <w:tcW w:w="1870" w:type="dxa"/>
          </w:tcPr>
          <w:p w14:paraId="63D1185D" w14:textId="77777777" w:rsidR="00400DA8" w:rsidRPr="005616AE" w:rsidRDefault="00400DA8" w:rsidP="00431DCB">
            <w:pPr>
              <w:rPr>
                <w:rFonts w:cs="Calibri"/>
              </w:rPr>
            </w:pPr>
            <w:r w:rsidRPr="005616AE">
              <w:rPr>
                <w:rFonts w:cs="Calibri"/>
              </w:rPr>
              <w:t>No increase in revenue outside of traditional banking. Stagnation in innovation and market share.</w:t>
            </w:r>
          </w:p>
        </w:tc>
      </w:tr>
      <w:tr w:rsidR="00400DA8" w:rsidRPr="005616AE" w14:paraId="6FD3E600" w14:textId="77777777" w:rsidTr="00DA1AFE">
        <w:tc>
          <w:tcPr>
            <w:tcW w:w="1870" w:type="dxa"/>
          </w:tcPr>
          <w:p w14:paraId="17767C50" w14:textId="77777777" w:rsidR="00400DA8" w:rsidRPr="005616AE" w:rsidRDefault="00400DA8" w:rsidP="00431DCB">
            <w:pPr>
              <w:rPr>
                <w:rFonts w:cs="Calibri"/>
              </w:rPr>
            </w:pPr>
            <w:r w:rsidRPr="005616AE">
              <w:rPr>
                <w:rFonts w:cs="Calibri"/>
              </w:rPr>
              <w:t>Out of Scope Elements</w:t>
            </w:r>
          </w:p>
        </w:tc>
        <w:tc>
          <w:tcPr>
            <w:tcW w:w="1870" w:type="dxa"/>
          </w:tcPr>
          <w:p w14:paraId="378BBDE3" w14:textId="77777777" w:rsidR="00400DA8" w:rsidRPr="005616AE" w:rsidRDefault="00400DA8" w:rsidP="00431DCB">
            <w:pPr>
              <w:rPr>
                <w:rFonts w:cs="Calibri"/>
              </w:rPr>
            </w:pPr>
            <w:r w:rsidRPr="005616AE">
              <w:rPr>
                <w:rFonts w:cs="Calibri"/>
              </w:rPr>
              <w:t>Wired technology for charging EV vehicles.</w:t>
            </w:r>
          </w:p>
        </w:tc>
        <w:tc>
          <w:tcPr>
            <w:tcW w:w="1870" w:type="dxa"/>
          </w:tcPr>
          <w:p w14:paraId="0700897B" w14:textId="77777777" w:rsidR="00400DA8" w:rsidRPr="005616AE" w:rsidRDefault="00400DA8" w:rsidP="00431DCB">
            <w:pPr>
              <w:rPr>
                <w:rFonts w:cs="Calibri"/>
              </w:rPr>
            </w:pPr>
            <w:r w:rsidRPr="005616AE">
              <w:rPr>
                <w:rFonts w:cs="Calibri"/>
              </w:rPr>
              <w:t>Non-Canadian space companies unaffiliated with the CSA.</w:t>
            </w:r>
          </w:p>
        </w:tc>
        <w:tc>
          <w:tcPr>
            <w:tcW w:w="1870" w:type="dxa"/>
          </w:tcPr>
          <w:p w14:paraId="3AA6E942" w14:textId="77777777" w:rsidR="00400DA8" w:rsidRPr="005616AE" w:rsidRDefault="00400DA8" w:rsidP="00431DCB">
            <w:pPr>
              <w:rPr>
                <w:rFonts w:cs="Calibri"/>
              </w:rPr>
            </w:pPr>
            <w:r w:rsidRPr="005616AE">
              <w:rPr>
                <w:rFonts w:cs="Calibri"/>
              </w:rPr>
              <w:t xml:space="preserve">The </w:t>
            </w:r>
            <w:proofErr w:type="gramStart"/>
            <w:r w:rsidRPr="005616AE">
              <w:rPr>
                <w:rFonts w:cs="Calibri"/>
              </w:rPr>
              <w:t>logistics</w:t>
            </w:r>
            <w:proofErr w:type="gramEnd"/>
            <w:r w:rsidRPr="005616AE">
              <w:rPr>
                <w:rFonts w:cs="Calibri"/>
              </w:rPr>
              <w:t xml:space="preserve"> businesses that are not Canadian.</w:t>
            </w:r>
          </w:p>
        </w:tc>
        <w:tc>
          <w:tcPr>
            <w:tcW w:w="1870" w:type="dxa"/>
          </w:tcPr>
          <w:p w14:paraId="304F5DF2" w14:textId="77777777" w:rsidR="00400DA8" w:rsidRPr="005616AE" w:rsidRDefault="00400DA8" w:rsidP="00431DCB">
            <w:pPr>
              <w:rPr>
                <w:rFonts w:cs="Calibri"/>
              </w:rPr>
            </w:pPr>
            <w:r w:rsidRPr="005616AE">
              <w:rPr>
                <w:rFonts w:cs="Calibri"/>
              </w:rPr>
              <w:t xml:space="preserve">Investing in green finance, space finance, </w:t>
            </w:r>
            <w:proofErr w:type="gramStart"/>
            <w:r w:rsidRPr="005616AE">
              <w:rPr>
                <w:rFonts w:cs="Calibri"/>
              </w:rPr>
              <w:t>logistics</w:t>
            </w:r>
            <w:proofErr w:type="gramEnd"/>
            <w:r w:rsidRPr="005616AE">
              <w:rPr>
                <w:rFonts w:cs="Calibri"/>
              </w:rPr>
              <w:t>, innovative technology or any other developing field.</w:t>
            </w:r>
          </w:p>
        </w:tc>
      </w:tr>
      <w:tr w:rsidR="00400DA8" w:rsidRPr="005616AE" w14:paraId="456AE902" w14:textId="77777777" w:rsidTr="00DA1AFE">
        <w:tc>
          <w:tcPr>
            <w:tcW w:w="1870" w:type="dxa"/>
          </w:tcPr>
          <w:p w14:paraId="2F2B8D14" w14:textId="77777777" w:rsidR="00400DA8" w:rsidRPr="005616AE" w:rsidRDefault="00400DA8" w:rsidP="00431DCB">
            <w:pPr>
              <w:rPr>
                <w:rFonts w:cs="Calibri"/>
              </w:rPr>
            </w:pPr>
            <w:r w:rsidRPr="005616AE">
              <w:rPr>
                <w:rFonts w:cs="Calibri"/>
              </w:rPr>
              <w:t>Risk Factors</w:t>
            </w:r>
          </w:p>
        </w:tc>
        <w:tc>
          <w:tcPr>
            <w:tcW w:w="1870" w:type="dxa"/>
          </w:tcPr>
          <w:p w14:paraId="34D01481" w14:textId="77777777" w:rsidR="00400DA8" w:rsidRPr="005616AE" w:rsidRDefault="00400DA8" w:rsidP="00431DCB">
            <w:pPr>
              <w:rPr>
                <w:rFonts w:cs="Calibri"/>
              </w:rPr>
            </w:pPr>
            <w:r w:rsidRPr="005616AE">
              <w:rPr>
                <w:rFonts w:cs="Calibri"/>
              </w:rPr>
              <w:t xml:space="preserve">High upfront costs, technical </w:t>
            </w:r>
            <w:proofErr w:type="gramStart"/>
            <w:r w:rsidRPr="005616AE">
              <w:rPr>
                <w:rFonts w:cs="Calibri"/>
              </w:rPr>
              <w:t>difficulties</w:t>
            </w:r>
            <w:proofErr w:type="gramEnd"/>
            <w:r w:rsidRPr="005616AE">
              <w:rPr>
                <w:rFonts w:cs="Calibri"/>
              </w:rPr>
              <w:t xml:space="preserve"> and adherence to regulations.</w:t>
            </w:r>
          </w:p>
        </w:tc>
        <w:tc>
          <w:tcPr>
            <w:tcW w:w="1870" w:type="dxa"/>
          </w:tcPr>
          <w:p w14:paraId="2DAF6358" w14:textId="77777777" w:rsidR="00400DA8" w:rsidRPr="005616AE" w:rsidRDefault="00400DA8" w:rsidP="00431DCB">
            <w:pPr>
              <w:rPr>
                <w:rFonts w:cs="Calibri"/>
              </w:rPr>
            </w:pPr>
            <w:r w:rsidRPr="005616AE">
              <w:rPr>
                <w:rFonts w:cs="Calibri"/>
              </w:rPr>
              <w:t>Space technology regulatory complexity, market volatility and financial risk.</w:t>
            </w:r>
          </w:p>
        </w:tc>
        <w:tc>
          <w:tcPr>
            <w:tcW w:w="1870" w:type="dxa"/>
          </w:tcPr>
          <w:p w14:paraId="3C82EF93" w14:textId="77777777" w:rsidR="00400DA8" w:rsidRPr="005616AE" w:rsidRDefault="00400DA8" w:rsidP="00431DCB">
            <w:pPr>
              <w:rPr>
                <w:rFonts w:cs="Calibri"/>
              </w:rPr>
            </w:pPr>
            <w:r w:rsidRPr="005616AE">
              <w:rPr>
                <w:rFonts w:cs="Calibri"/>
              </w:rPr>
              <w:t xml:space="preserve">Competition in the </w:t>
            </w:r>
            <w:proofErr w:type="gramStart"/>
            <w:r w:rsidRPr="005616AE">
              <w:rPr>
                <w:rFonts w:cs="Calibri"/>
              </w:rPr>
              <w:t>logistics</w:t>
            </w:r>
            <w:proofErr w:type="gramEnd"/>
            <w:r w:rsidRPr="005616AE">
              <w:rPr>
                <w:rFonts w:cs="Calibri"/>
              </w:rPr>
              <w:t xml:space="preserve"> sector, high purchase costs and integration difficulties.</w:t>
            </w:r>
          </w:p>
          <w:p w14:paraId="062DB49F" w14:textId="77777777" w:rsidR="00400DA8" w:rsidRPr="005616AE" w:rsidRDefault="00400DA8" w:rsidP="00431DCB">
            <w:pPr>
              <w:rPr>
                <w:rFonts w:cs="Calibri"/>
              </w:rPr>
            </w:pPr>
          </w:p>
        </w:tc>
        <w:tc>
          <w:tcPr>
            <w:tcW w:w="1870" w:type="dxa"/>
          </w:tcPr>
          <w:p w14:paraId="2276DF8D" w14:textId="77777777" w:rsidR="00400DA8" w:rsidRPr="005616AE" w:rsidRDefault="00400DA8" w:rsidP="00431DCB">
            <w:pPr>
              <w:rPr>
                <w:rFonts w:cs="Calibri"/>
              </w:rPr>
            </w:pPr>
            <w:r w:rsidRPr="005616AE">
              <w:rPr>
                <w:rFonts w:cs="Calibri"/>
              </w:rPr>
              <w:t>Lost growth prospects due to decline in technological innovation as well as loss of market relevance.</w:t>
            </w:r>
          </w:p>
        </w:tc>
      </w:tr>
      <w:tr w:rsidR="00400DA8" w:rsidRPr="005616AE" w14:paraId="063BEC69" w14:textId="77777777" w:rsidTr="00DA1AFE">
        <w:tc>
          <w:tcPr>
            <w:tcW w:w="1870" w:type="dxa"/>
          </w:tcPr>
          <w:p w14:paraId="3179C1D3" w14:textId="77777777" w:rsidR="00400DA8" w:rsidRPr="005616AE" w:rsidRDefault="00400DA8" w:rsidP="00431DCB">
            <w:pPr>
              <w:rPr>
                <w:rFonts w:cs="Calibri"/>
              </w:rPr>
            </w:pPr>
            <w:r w:rsidRPr="005616AE">
              <w:rPr>
                <w:rFonts w:cs="Calibri"/>
              </w:rPr>
              <w:t>Scalability Potential</w:t>
            </w:r>
          </w:p>
        </w:tc>
        <w:tc>
          <w:tcPr>
            <w:tcW w:w="1870" w:type="dxa"/>
          </w:tcPr>
          <w:p w14:paraId="270D9C29" w14:textId="77777777" w:rsidR="00400DA8" w:rsidRPr="005616AE" w:rsidRDefault="00400DA8" w:rsidP="00431DCB">
            <w:pPr>
              <w:rPr>
                <w:rFonts w:cs="Calibri"/>
              </w:rPr>
            </w:pPr>
            <w:r w:rsidRPr="005616AE">
              <w:rPr>
                <w:rFonts w:cs="Calibri"/>
              </w:rPr>
              <w:t>The potential for more EV-related services and high scalability across areas.</w:t>
            </w:r>
          </w:p>
        </w:tc>
        <w:tc>
          <w:tcPr>
            <w:tcW w:w="1870" w:type="dxa"/>
          </w:tcPr>
          <w:p w14:paraId="502CA8EF" w14:textId="77777777" w:rsidR="00400DA8" w:rsidRPr="005616AE" w:rsidRDefault="00400DA8" w:rsidP="00431DCB">
            <w:pPr>
              <w:rPr>
                <w:rFonts w:cs="Calibri"/>
              </w:rPr>
            </w:pPr>
            <w:r w:rsidRPr="005616AE">
              <w:rPr>
                <w:rFonts w:cs="Calibri"/>
              </w:rPr>
              <w:t>Scalable and capable of growing into other high-tech industries as the space industry does.</w:t>
            </w:r>
          </w:p>
        </w:tc>
        <w:tc>
          <w:tcPr>
            <w:tcW w:w="1870" w:type="dxa"/>
          </w:tcPr>
          <w:p w14:paraId="5C59C312" w14:textId="77777777" w:rsidR="00400DA8" w:rsidRPr="005616AE" w:rsidRDefault="00400DA8" w:rsidP="00431DCB">
            <w:pPr>
              <w:rPr>
                <w:rFonts w:cs="Calibri"/>
              </w:rPr>
            </w:pPr>
            <w:r w:rsidRPr="005616AE">
              <w:rPr>
                <w:rFonts w:cs="Calibri"/>
              </w:rPr>
              <w:t xml:space="preserve">Logistics-scalable especially when e-commerce expands as well as new alliances </w:t>
            </w:r>
            <w:proofErr w:type="gramStart"/>
            <w:r w:rsidRPr="005616AE">
              <w:rPr>
                <w:rFonts w:cs="Calibri"/>
              </w:rPr>
              <w:t>are formed</w:t>
            </w:r>
            <w:proofErr w:type="gramEnd"/>
            <w:r w:rsidRPr="005616AE">
              <w:rPr>
                <w:rFonts w:cs="Calibri"/>
              </w:rPr>
              <w:t>.</w:t>
            </w:r>
          </w:p>
        </w:tc>
        <w:tc>
          <w:tcPr>
            <w:tcW w:w="1870" w:type="dxa"/>
          </w:tcPr>
          <w:p w14:paraId="7A9D791B" w14:textId="77777777" w:rsidR="00400DA8" w:rsidRPr="005616AE" w:rsidRDefault="00400DA8" w:rsidP="00431DCB">
            <w:pPr>
              <w:rPr>
                <w:rFonts w:cs="Calibri"/>
              </w:rPr>
            </w:pPr>
            <w:r w:rsidRPr="005616AE">
              <w:rPr>
                <w:rFonts w:cs="Calibri"/>
              </w:rPr>
              <w:t>Lack of scalability and continued restriction to conventional banking activities without growth.</w:t>
            </w:r>
          </w:p>
        </w:tc>
      </w:tr>
      <w:tr w:rsidR="00400DA8" w:rsidRPr="005616AE" w14:paraId="3BC62710" w14:textId="77777777" w:rsidTr="00DA1AFE">
        <w:tc>
          <w:tcPr>
            <w:tcW w:w="1870" w:type="dxa"/>
          </w:tcPr>
          <w:p w14:paraId="43E92554" w14:textId="77777777" w:rsidR="00400DA8" w:rsidRPr="005616AE" w:rsidRDefault="00400DA8" w:rsidP="00431DCB">
            <w:pPr>
              <w:rPr>
                <w:rFonts w:cs="Calibri"/>
              </w:rPr>
            </w:pPr>
            <w:r w:rsidRPr="005616AE">
              <w:rPr>
                <w:rFonts w:cs="Calibri"/>
              </w:rPr>
              <w:lastRenderedPageBreak/>
              <w:t>Implementation Timeline</w:t>
            </w:r>
          </w:p>
        </w:tc>
        <w:tc>
          <w:tcPr>
            <w:tcW w:w="1870" w:type="dxa"/>
          </w:tcPr>
          <w:p w14:paraId="6249CF4C" w14:textId="77777777" w:rsidR="00400DA8" w:rsidRPr="005616AE" w:rsidRDefault="00400DA8" w:rsidP="00431DCB">
            <w:pPr>
              <w:rPr>
                <w:rFonts w:cs="Calibri"/>
              </w:rPr>
            </w:pPr>
            <w:r w:rsidRPr="005616AE">
              <w:rPr>
                <w:rFonts w:cs="Calibri"/>
              </w:rPr>
              <w:t>Initial rollout will take 1-3 years while infrastructure and alliances will take longer.</w:t>
            </w:r>
          </w:p>
        </w:tc>
        <w:tc>
          <w:tcPr>
            <w:tcW w:w="1870" w:type="dxa"/>
          </w:tcPr>
          <w:p w14:paraId="44A270E6" w14:textId="77777777" w:rsidR="00400DA8" w:rsidRPr="005616AE" w:rsidRDefault="00400DA8" w:rsidP="00431DCB">
            <w:pPr>
              <w:rPr>
                <w:rFonts w:cs="Calibri"/>
              </w:rPr>
            </w:pPr>
            <w:r w:rsidRPr="005616AE">
              <w:rPr>
                <w:rFonts w:cs="Calibri"/>
              </w:rPr>
              <w:t>3-5 years to create and execute finance solutions for space technology.</w:t>
            </w:r>
          </w:p>
        </w:tc>
        <w:tc>
          <w:tcPr>
            <w:tcW w:w="1870" w:type="dxa"/>
          </w:tcPr>
          <w:p w14:paraId="26D1FCAD" w14:textId="77777777" w:rsidR="00400DA8" w:rsidRPr="005616AE" w:rsidRDefault="00400DA8" w:rsidP="00431DCB">
            <w:pPr>
              <w:rPr>
                <w:rFonts w:cs="Calibri"/>
              </w:rPr>
            </w:pPr>
            <w:proofErr w:type="spellStart"/>
            <w:r w:rsidRPr="005616AE">
              <w:rPr>
                <w:rFonts w:cs="Calibri"/>
              </w:rPr>
              <w:t>TForce</w:t>
            </w:r>
            <w:proofErr w:type="spellEnd"/>
            <w:r w:rsidRPr="005616AE">
              <w:rPr>
                <w:rFonts w:cs="Calibri"/>
              </w:rPr>
              <w:t xml:space="preserve"> Logistics integration will take 1-2 years while wider reach will take more time.</w:t>
            </w:r>
          </w:p>
        </w:tc>
        <w:tc>
          <w:tcPr>
            <w:tcW w:w="1870" w:type="dxa"/>
          </w:tcPr>
          <w:p w14:paraId="60D73982" w14:textId="77777777" w:rsidR="00400DA8" w:rsidRPr="005616AE" w:rsidRDefault="00400DA8" w:rsidP="00431DCB">
            <w:pPr>
              <w:rPr>
                <w:rFonts w:cs="Calibri"/>
              </w:rPr>
            </w:pPr>
            <w:r w:rsidRPr="005616AE">
              <w:rPr>
                <w:rFonts w:cs="Calibri"/>
              </w:rPr>
              <w:t>The market potential is immediate but stagnant. There is no investment or revolutionary transformation.</w:t>
            </w:r>
          </w:p>
        </w:tc>
      </w:tr>
      <w:tr w:rsidR="00400DA8" w:rsidRPr="005616AE" w14:paraId="418B4FAF" w14:textId="77777777" w:rsidTr="00DA1AFE">
        <w:tc>
          <w:tcPr>
            <w:tcW w:w="1870" w:type="dxa"/>
          </w:tcPr>
          <w:p w14:paraId="3BD56DCD" w14:textId="77777777" w:rsidR="00400DA8" w:rsidRPr="005616AE" w:rsidRDefault="00400DA8" w:rsidP="00431DCB">
            <w:pPr>
              <w:rPr>
                <w:rFonts w:cs="Calibri"/>
              </w:rPr>
            </w:pPr>
            <w:r w:rsidRPr="005616AE">
              <w:rPr>
                <w:rFonts w:cs="Calibri"/>
              </w:rPr>
              <w:t>Challenges</w:t>
            </w:r>
          </w:p>
        </w:tc>
        <w:tc>
          <w:tcPr>
            <w:tcW w:w="1870" w:type="dxa"/>
          </w:tcPr>
          <w:p w14:paraId="05E214E9" w14:textId="77777777" w:rsidR="00400DA8" w:rsidRPr="005616AE" w:rsidRDefault="00400DA8" w:rsidP="00431DCB">
            <w:pPr>
              <w:rPr>
                <w:rFonts w:cs="Calibri"/>
              </w:rPr>
            </w:pPr>
            <w:r w:rsidRPr="005616AE">
              <w:rPr>
                <w:rFonts w:cs="Calibri"/>
              </w:rPr>
              <w:t>Slow acceptance in non-EV locations, high infrastructure expenditures and technological problems.</w:t>
            </w:r>
          </w:p>
        </w:tc>
        <w:tc>
          <w:tcPr>
            <w:tcW w:w="1870" w:type="dxa"/>
          </w:tcPr>
          <w:p w14:paraId="4D48F467" w14:textId="77777777" w:rsidR="00400DA8" w:rsidRPr="005616AE" w:rsidRDefault="00400DA8" w:rsidP="00431DCB">
            <w:pPr>
              <w:rPr>
                <w:rFonts w:cs="Calibri"/>
              </w:rPr>
            </w:pPr>
            <w:r w:rsidRPr="005616AE">
              <w:rPr>
                <w:rFonts w:cs="Calibri"/>
              </w:rPr>
              <w:t>Managing foreign restrictions while assessing and evaluating startups.</w:t>
            </w:r>
          </w:p>
        </w:tc>
        <w:tc>
          <w:tcPr>
            <w:tcW w:w="1870" w:type="dxa"/>
          </w:tcPr>
          <w:p w14:paraId="02D4F162" w14:textId="77777777" w:rsidR="00400DA8" w:rsidRPr="005616AE" w:rsidRDefault="00400DA8" w:rsidP="00431DCB">
            <w:pPr>
              <w:rPr>
                <w:rFonts w:cs="Calibri"/>
              </w:rPr>
            </w:pPr>
            <w:r w:rsidRPr="005616AE">
              <w:rPr>
                <w:rFonts w:cs="Calibri"/>
              </w:rPr>
              <w:t>Expensive purchase expenses, integration issues and logistical obstacles.</w:t>
            </w:r>
          </w:p>
        </w:tc>
        <w:tc>
          <w:tcPr>
            <w:tcW w:w="1870" w:type="dxa"/>
          </w:tcPr>
          <w:p w14:paraId="3E3CE789" w14:textId="77777777" w:rsidR="00400DA8" w:rsidRPr="005616AE" w:rsidRDefault="00400DA8" w:rsidP="00431DCB">
            <w:pPr>
              <w:rPr>
                <w:rFonts w:cs="Calibri"/>
              </w:rPr>
            </w:pPr>
            <w:r w:rsidRPr="005616AE">
              <w:rPr>
                <w:rFonts w:cs="Calibri"/>
              </w:rPr>
              <w:t xml:space="preserve">Customer attrition to more inventive companies, operational </w:t>
            </w:r>
            <w:proofErr w:type="gramStart"/>
            <w:r w:rsidRPr="005616AE">
              <w:rPr>
                <w:rFonts w:cs="Calibri"/>
              </w:rPr>
              <w:t>inefficiencies</w:t>
            </w:r>
            <w:proofErr w:type="gramEnd"/>
            <w:r w:rsidRPr="005616AE">
              <w:rPr>
                <w:rFonts w:cs="Calibri"/>
              </w:rPr>
              <w:t xml:space="preserve"> and lost chances in expanding markets.</w:t>
            </w:r>
          </w:p>
        </w:tc>
      </w:tr>
      <w:tr w:rsidR="00400DA8" w:rsidRPr="005616AE" w14:paraId="66AD4617" w14:textId="77777777" w:rsidTr="00DA1AFE">
        <w:tc>
          <w:tcPr>
            <w:tcW w:w="1870" w:type="dxa"/>
          </w:tcPr>
          <w:p w14:paraId="187CC00C" w14:textId="77777777" w:rsidR="00400DA8" w:rsidRPr="005616AE" w:rsidRDefault="00400DA8" w:rsidP="00431DCB">
            <w:pPr>
              <w:rPr>
                <w:rFonts w:cs="Calibri"/>
                <w:b/>
                <w:bCs/>
              </w:rPr>
            </w:pPr>
            <w:r w:rsidRPr="005616AE">
              <w:rPr>
                <w:rFonts w:cs="Calibri"/>
              </w:rPr>
              <w:t>Return on Investment (ROI)</w:t>
            </w:r>
          </w:p>
        </w:tc>
        <w:tc>
          <w:tcPr>
            <w:tcW w:w="1870" w:type="dxa"/>
          </w:tcPr>
          <w:p w14:paraId="04E04D2D" w14:textId="77777777" w:rsidR="00400DA8" w:rsidRPr="005616AE" w:rsidRDefault="00400DA8" w:rsidP="00431DCB">
            <w:pPr>
              <w:rPr>
                <w:rFonts w:cs="Calibri"/>
              </w:rPr>
            </w:pPr>
            <w:r w:rsidRPr="005616AE">
              <w:rPr>
                <w:rFonts w:cs="Calibri"/>
              </w:rPr>
              <w:t>From -44.91% to +448.71%. After four to five years there is a positive return on investment grows dramatically.</w:t>
            </w:r>
          </w:p>
        </w:tc>
        <w:tc>
          <w:tcPr>
            <w:tcW w:w="1870" w:type="dxa"/>
          </w:tcPr>
          <w:p w14:paraId="2BFD6F65" w14:textId="77777777" w:rsidR="00400DA8" w:rsidRPr="005616AE" w:rsidRDefault="00400DA8" w:rsidP="00431DCB">
            <w:pPr>
              <w:rPr>
                <w:rFonts w:cs="Calibri"/>
              </w:rPr>
            </w:pPr>
            <w:r w:rsidRPr="005616AE">
              <w:rPr>
                <w:rFonts w:cs="Calibri"/>
              </w:rPr>
              <w:t>Substantial risk makes estimation challenging, but space finance has enormous long-term promise.</w:t>
            </w:r>
          </w:p>
        </w:tc>
        <w:tc>
          <w:tcPr>
            <w:tcW w:w="1870" w:type="dxa"/>
          </w:tcPr>
          <w:p w14:paraId="34A74A70" w14:textId="77777777" w:rsidR="00400DA8" w:rsidRPr="005616AE" w:rsidRDefault="00400DA8" w:rsidP="00431DCB">
            <w:pPr>
              <w:rPr>
                <w:rFonts w:cs="Calibri"/>
              </w:rPr>
            </w:pPr>
            <w:r w:rsidRPr="005616AE">
              <w:rPr>
                <w:rFonts w:cs="Calibri"/>
              </w:rPr>
              <w:t xml:space="preserve">ROI is dependent on the success of integration and the expansion of the </w:t>
            </w:r>
            <w:proofErr w:type="gramStart"/>
            <w:r w:rsidRPr="005616AE">
              <w:rPr>
                <w:rFonts w:cs="Calibri"/>
              </w:rPr>
              <w:t>logistics</w:t>
            </w:r>
            <w:proofErr w:type="gramEnd"/>
            <w:r w:rsidRPr="005616AE">
              <w:rPr>
                <w:rFonts w:cs="Calibri"/>
              </w:rPr>
              <w:t xml:space="preserve"> sector which is going to be slow and modest.</w:t>
            </w:r>
          </w:p>
        </w:tc>
        <w:tc>
          <w:tcPr>
            <w:tcW w:w="1870" w:type="dxa"/>
          </w:tcPr>
          <w:p w14:paraId="10DF6EE0" w14:textId="77777777" w:rsidR="00400DA8" w:rsidRPr="005616AE" w:rsidRDefault="00400DA8" w:rsidP="00431DCB">
            <w:pPr>
              <w:rPr>
                <w:rFonts w:cs="Calibri"/>
              </w:rPr>
            </w:pPr>
            <w:r w:rsidRPr="005616AE">
              <w:rPr>
                <w:rFonts w:cs="Calibri"/>
              </w:rPr>
              <w:t xml:space="preserve">No return on investment; no innovation, no </w:t>
            </w:r>
            <w:proofErr w:type="gramStart"/>
            <w:r w:rsidRPr="005616AE">
              <w:rPr>
                <w:rFonts w:cs="Calibri"/>
              </w:rPr>
              <w:t>growth</w:t>
            </w:r>
            <w:proofErr w:type="gramEnd"/>
            <w:r w:rsidRPr="005616AE">
              <w:rPr>
                <w:rFonts w:cs="Calibri"/>
              </w:rPr>
              <w:t xml:space="preserve"> and no income production.</w:t>
            </w:r>
          </w:p>
        </w:tc>
      </w:tr>
      <w:tr w:rsidR="00400DA8" w:rsidRPr="005616AE" w14:paraId="4CDD5D33" w14:textId="77777777" w:rsidTr="00DA1AFE">
        <w:tc>
          <w:tcPr>
            <w:tcW w:w="1870" w:type="dxa"/>
          </w:tcPr>
          <w:p w14:paraId="2066BB78" w14:textId="77777777" w:rsidR="00400DA8" w:rsidRPr="005616AE" w:rsidRDefault="00400DA8" w:rsidP="00431DCB">
            <w:pPr>
              <w:rPr>
                <w:rFonts w:cs="Calibri"/>
              </w:rPr>
            </w:pPr>
            <w:r w:rsidRPr="005616AE">
              <w:rPr>
                <w:rFonts w:cs="Calibri"/>
              </w:rPr>
              <w:t>Net Impact on Market Position</w:t>
            </w:r>
          </w:p>
        </w:tc>
        <w:tc>
          <w:tcPr>
            <w:tcW w:w="1870" w:type="dxa"/>
          </w:tcPr>
          <w:p w14:paraId="2032BFA4" w14:textId="77777777" w:rsidR="00400DA8" w:rsidRPr="005616AE" w:rsidRDefault="00400DA8" w:rsidP="00431DCB">
            <w:pPr>
              <w:rPr>
                <w:rFonts w:cs="Calibri"/>
              </w:rPr>
            </w:pPr>
            <w:r w:rsidRPr="005616AE">
              <w:rPr>
                <w:rFonts w:cs="Calibri"/>
              </w:rPr>
              <w:t xml:space="preserve">Strong competitive advantage, substantial long-term </w:t>
            </w:r>
            <w:proofErr w:type="gramStart"/>
            <w:r w:rsidRPr="005616AE">
              <w:rPr>
                <w:rFonts w:cs="Calibri"/>
              </w:rPr>
              <w:t>growth</w:t>
            </w:r>
            <w:proofErr w:type="gramEnd"/>
            <w:r w:rsidRPr="005616AE">
              <w:rPr>
                <w:rFonts w:cs="Calibri"/>
              </w:rPr>
              <w:t xml:space="preserve"> and alignment with sustainability objectives.</w:t>
            </w:r>
          </w:p>
        </w:tc>
        <w:tc>
          <w:tcPr>
            <w:tcW w:w="1870" w:type="dxa"/>
          </w:tcPr>
          <w:p w14:paraId="55EEB046" w14:textId="77777777" w:rsidR="00400DA8" w:rsidRPr="005616AE" w:rsidRDefault="00400DA8" w:rsidP="00431DCB">
            <w:pPr>
              <w:rPr>
                <w:rFonts w:cs="Calibri"/>
              </w:rPr>
            </w:pPr>
            <w:r w:rsidRPr="005616AE">
              <w:rPr>
                <w:rFonts w:cs="Calibri"/>
              </w:rPr>
              <w:t>Excellent long-term prospects and a solid reputation as a space-tech financier.</w:t>
            </w:r>
          </w:p>
        </w:tc>
        <w:tc>
          <w:tcPr>
            <w:tcW w:w="1870" w:type="dxa"/>
          </w:tcPr>
          <w:p w14:paraId="40ED4206" w14:textId="77777777" w:rsidR="00400DA8" w:rsidRPr="005616AE" w:rsidRDefault="00400DA8" w:rsidP="00431DCB">
            <w:pPr>
              <w:rPr>
                <w:rFonts w:cs="Calibri"/>
              </w:rPr>
            </w:pPr>
            <w:r w:rsidRPr="005616AE">
              <w:rPr>
                <w:rFonts w:cs="Calibri"/>
              </w:rPr>
              <w:t xml:space="preserve">Growth is moderate, </w:t>
            </w:r>
            <w:proofErr w:type="gramStart"/>
            <w:r w:rsidRPr="005616AE">
              <w:rPr>
                <w:rFonts w:cs="Calibri"/>
              </w:rPr>
              <w:t>logistics</w:t>
            </w:r>
            <w:proofErr w:type="gramEnd"/>
            <w:r w:rsidRPr="005616AE">
              <w:rPr>
                <w:rFonts w:cs="Calibri"/>
              </w:rPr>
              <w:t xml:space="preserve"> skills are enhanced but TD's market position has not entirely changed.</w:t>
            </w:r>
          </w:p>
          <w:p w14:paraId="690ABCCA" w14:textId="77777777" w:rsidR="00400DA8" w:rsidRPr="005616AE" w:rsidRDefault="00400DA8" w:rsidP="00431DCB">
            <w:pPr>
              <w:rPr>
                <w:rFonts w:cs="Calibri"/>
              </w:rPr>
            </w:pPr>
          </w:p>
        </w:tc>
        <w:tc>
          <w:tcPr>
            <w:tcW w:w="1870" w:type="dxa"/>
          </w:tcPr>
          <w:p w14:paraId="5BF97EB4" w14:textId="77777777" w:rsidR="00400DA8" w:rsidRPr="005616AE" w:rsidRDefault="00400DA8" w:rsidP="00431DCB">
            <w:pPr>
              <w:rPr>
                <w:rFonts w:cs="Calibri"/>
              </w:rPr>
            </w:pPr>
            <w:r w:rsidRPr="005616AE">
              <w:rPr>
                <w:rFonts w:cs="Calibri"/>
              </w:rPr>
              <w:t>Risk of losing market share and lagging rivals in developing industries.</w:t>
            </w:r>
          </w:p>
          <w:p w14:paraId="0D7E99C2" w14:textId="77777777" w:rsidR="00400DA8" w:rsidRPr="005616AE" w:rsidRDefault="00400DA8" w:rsidP="00431DCB">
            <w:pPr>
              <w:rPr>
                <w:rFonts w:cs="Calibri"/>
              </w:rPr>
            </w:pPr>
          </w:p>
        </w:tc>
      </w:tr>
    </w:tbl>
    <w:p w14:paraId="634D506E" w14:textId="77777777" w:rsidR="00400DA8" w:rsidRPr="005616AE" w:rsidRDefault="00400DA8" w:rsidP="00400DA8">
      <w:pPr>
        <w:rPr>
          <w:rFonts w:cs="Calibri"/>
        </w:rPr>
      </w:pPr>
    </w:p>
    <w:p w14:paraId="2813832C" w14:textId="77777777" w:rsidR="00400DA8" w:rsidRPr="005616AE" w:rsidRDefault="00400DA8" w:rsidP="009120A2">
      <w:pPr>
        <w:spacing w:after="0"/>
        <w:rPr>
          <w:rFonts w:cs="Calibri"/>
          <w:b/>
          <w:bCs/>
        </w:rPr>
      </w:pPr>
      <w:r w:rsidRPr="005616AE">
        <w:rPr>
          <w:rFonts w:cs="Calibri"/>
          <w:b/>
          <w:bCs/>
        </w:rPr>
        <w:t>Solution 1: TD Purchasing WiTricity is the Greatest Option</w:t>
      </w:r>
    </w:p>
    <w:p w14:paraId="0F9C0874" w14:textId="77777777" w:rsidR="00400DA8" w:rsidRPr="005616AE" w:rsidRDefault="00400DA8" w:rsidP="003F2F75">
      <w:pPr>
        <w:spacing w:after="0"/>
        <w:jc w:val="left"/>
        <w:rPr>
          <w:rFonts w:cs="Calibri"/>
          <w:b/>
          <w:bCs/>
        </w:rPr>
      </w:pPr>
      <w:r w:rsidRPr="005616AE">
        <w:rPr>
          <w:rFonts w:cs="Calibri"/>
          <w:b/>
          <w:bCs/>
        </w:rPr>
        <w:t xml:space="preserve">Long-Term Profitable Return on Investment  </w:t>
      </w:r>
    </w:p>
    <w:p w14:paraId="6FFCF8F8" w14:textId="77777777" w:rsidR="00400DA8" w:rsidRPr="005616AE" w:rsidRDefault="00400DA8" w:rsidP="003F2F75">
      <w:pPr>
        <w:spacing w:after="0"/>
        <w:rPr>
          <w:rFonts w:cs="Calibri"/>
        </w:rPr>
      </w:pPr>
      <w:r w:rsidRPr="005616AE">
        <w:rPr>
          <w:rFonts w:cs="Calibri"/>
        </w:rPr>
        <w:t xml:space="preserve">Solution </w:t>
      </w:r>
      <w:proofErr w:type="gramStart"/>
      <w:r w:rsidRPr="005616AE">
        <w:rPr>
          <w:rFonts w:cs="Calibri"/>
        </w:rPr>
        <w:t>1</w:t>
      </w:r>
      <w:proofErr w:type="gramEnd"/>
      <w:r w:rsidRPr="005616AE">
        <w:rPr>
          <w:rFonts w:cs="Calibri"/>
        </w:rPr>
        <w:t xml:space="preserve"> is characterised by a slow initial ROI that evolves into significant returns. This trend which began with a negative ROI of -44.91% and progressively increased to +448.71% over a 20-year period. This demonstrates how investments in innovative technology particularly in high-growth industries like sustainability and electric vehicles (EVs). It can produce remarkable long-term returns. TD will gain a presence in the market for wireless EV charging infrastructure with the purchase of WiTricity. A sector expected to expand rapidly due to rising EV adoption, environmental concerns and government incentives designed to accelerate green technology adoption. </w:t>
      </w:r>
    </w:p>
    <w:p w14:paraId="56E83016" w14:textId="77777777" w:rsidR="00400DA8" w:rsidRPr="005616AE" w:rsidRDefault="00400DA8" w:rsidP="003F2F75">
      <w:pPr>
        <w:spacing w:after="0"/>
        <w:jc w:val="left"/>
        <w:rPr>
          <w:rFonts w:cs="Calibri"/>
          <w:b/>
          <w:bCs/>
        </w:rPr>
      </w:pPr>
      <w:r w:rsidRPr="005616AE">
        <w:rPr>
          <w:rFonts w:cs="Calibri"/>
          <w:b/>
          <w:bCs/>
        </w:rPr>
        <w:t xml:space="preserve">Potential for Market Growth </w:t>
      </w:r>
    </w:p>
    <w:p w14:paraId="2489AEB6" w14:textId="77777777" w:rsidR="00400DA8" w:rsidRPr="005616AE" w:rsidRDefault="00400DA8" w:rsidP="003F2F75">
      <w:pPr>
        <w:spacing w:after="0"/>
        <w:rPr>
          <w:rFonts w:cs="Calibri"/>
        </w:rPr>
      </w:pPr>
      <w:r w:rsidRPr="005616AE">
        <w:rPr>
          <w:rFonts w:cs="Calibri"/>
        </w:rPr>
        <w:t xml:space="preserve">The market for electric vehicles is growing rapidly with estimates indicating that millions of new EVs will be on the road in the coming decades. There will be a greater need for infrastructure such as wireless </w:t>
      </w:r>
      <w:r w:rsidRPr="005616AE">
        <w:rPr>
          <w:rFonts w:cs="Calibri"/>
        </w:rPr>
        <w:lastRenderedPageBreak/>
        <w:t xml:space="preserve">charging options. WiTricity is well-positioned to capitalise that offers TD a significant opportunity to lead in green finance and expand its product line to align with sustainability trends. </w:t>
      </w:r>
    </w:p>
    <w:p w14:paraId="5100331D" w14:textId="77777777" w:rsidR="00400DA8" w:rsidRPr="005616AE" w:rsidRDefault="00400DA8" w:rsidP="003F2F75">
      <w:pPr>
        <w:spacing w:after="0"/>
        <w:jc w:val="left"/>
        <w:rPr>
          <w:rFonts w:cs="Calibri"/>
          <w:b/>
          <w:bCs/>
        </w:rPr>
      </w:pPr>
      <w:r w:rsidRPr="005616AE">
        <w:rPr>
          <w:rFonts w:cs="Calibri"/>
          <w:b/>
          <w:bCs/>
        </w:rPr>
        <w:t>Competitive Advantage</w:t>
      </w:r>
    </w:p>
    <w:p w14:paraId="0FB5C5D1" w14:textId="77777777" w:rsidR="00400DA8" w:rsidRPr="005616AE" w:rsidRDefault="00400DA8" w:rsidP="003F2F75">
      <w:pPr>
        <w:spacing w:after="0"/>
        <w:rPr>
          <w:rFonts w:cs="Calibri"/>
        </w:rPr>
      </w:pPr>
      <w:r w:rsidRPr="005616AE">
        <w:rPr>
          <w:rFonts w:cs="Calibri"/>
        </w:rPr>
        <w:t xml:space="preserve">TD positions itself as a forward-thinking pioneer in green finance by purchasing WiTricity. It offers not only traditional banking services but also accessing new markets focused on technology and sustainability. TD can enhance its competitive position in the financial services industry by leveraging WiTricity's technology to establish itself as a key player in the transition to EV infrastructure. </w:t>
      </w:r>
    </w:p>
    <w:p w14:paraId="4B729414" w14:textId="77777777" w:rsidR="00400DA8" w:rsidRPr="005616AE" w:rsidRDefault="00400DA8" w:rsidP="003F2F75">
      <w:pPr>
        <w:spacing w:after="0"/>
        <w:jc w:val="left"/>
        <w:rPr>
          <w:rFonts w:cs="Calibri"/>
          <w:b/>
          <w:bCs/>
        </w:rPr>
      </w:pPr>
      <w:r w:rsidRPr="005616AE">
        <w:rPr>
          <w:rFonts w:cs="Calibri"/>
          <w:b/>
          <w:bCs/>
        </w:rPr>
        <w:t>Recurring Revenue Streams</w:t>
      </w:r>
    </w:p>
    <w:p w14:paraId="05A7A31A" w14:textId="77777777" w:rsidR="00400DA8" w:rsidRPr="005616AE" w:rsidRDefault="00400DA8" w:rsidP="003F2F75">
      <w:pPr>
        <w:spacing w:after="0"/>
        <w:rPr>
          <w:rFonts w:cs="Calibri"/>
        </w:rPr>
      </w:pPr>
      <w:r w:rsidRPr="005616AE">
        <w:rPr>
          <w:rFonts w:cs="Calibri"/>
        </w:rPr>
        <w:t xml:space="preserve">TD will have opportunities to generate revenue through various methods as wireless charging technology becomes an integral part of the EV ecosystem. It includes financing EV charging infrastructure, offering green loans for EV </w:t>
      </w:r>
      <w:proofErr w:type="gramStart"/>
      <w:r w:rsidRPr="005616AE">
        <w:rPr>
          <w:rFonts w:cs="Calibri"/>
        </w:rPr>
        <w:t>purchases</w:t>
      </w:r>
      <w:proofErr w:type="gramEnd"/>
      <w:r w:rsidRPr="005616AE">
        <w:rPr>
          <w:rFonts w:cs="Calibri"/>
        </w:rPr>
        <w:t xml:space="preserve"> and forming partnerships with companies in the EV supply chain.  </w:t>
      </w:r>
    </w:p>
    <w:p w14:paraId="0B28DC23" w14:textId="77777777" w:rsidR="00400DA8" w:rsidRPr="005616AE" w:rsidRDefault="00400DA8" w:rsidP="003F2F75">
      <w:pPr>
        <w:spacing w:after="0"/>
        <w:jc w:val="left"/>
        <w:rPr>
          <w:rFonts w:cs="Calibri"/>
          <w:b/>
          <w:bCs/>
        </w:rPr>
      </w:pPr>
      <w:r w:rsidRPr="005616AE">
        <w:rPr>
          <w:rFonts w:cs="Calibri"/>
          <w:b/>
          <w:bCs/>
        </w:rPr>
        <w:t xml:space="preserve">Long-Term Strategic Benefits  </w:t>
      </w:r>
    </w:p>
    <w:p w14:paraId="3991ED54" w14:textId="77777777" w:rsidR="00400DA8" w:rsidRPr="005616AE" w:rsidRDefault="00400DA8" w:rsidP="003F2F75">
      <w:pPr>
        <w:spacing w:after="0"/>
        <w:rPr>
          <w:rFonts w:cs="Calibri"/>
        </w:rPr>
      </w:pPr>
      <w:r w:rsidRPr="005616AE">
        <w:rPr>
          <w:rFonts w:cs="Calibri"/>
        </w:rPr>
        <w:t xml:space="preserve">The long-term benefits of market leadership in the EV industry will far outweigh the initial investment and potential challenges. It includes technology integration, regulatory </w:t>
      </w:r>
      <w:proofErr w:type="gramStart"/>
      <w:r w:rsidRPr="005616AE">
        <w:rPr>
          <w:rFonts w:cs="Calibri"/>
        </w:rPr>
        <w:t>barriers</w:t>
      </w:r>
      <w:proofErr w:type="gramEnd"/>
      <w:r w:rsidRPr="005616AE">
        <w:rPr>
          <w:rFonts w:cs="Calibri"/>
        </w:rPr>
        <w:t xml:space="preserve"> and competition. TD can secure a strong position in a market projected to grow steadily for decades by entering the green sector early.</w:t>
      </w:r>
    </w:p>
    <w:p w14:paraId="2E4A755A" w14:textId="77777777" w:rsidR="00400DA8" w:rsidRPr="005616AE" w:rsidRDefault="00400DA8" w:rsidP="009120A2">
      <w:pPr>
        <w:spacing w:after="0"/>
        <w:rPr>
          <w:rFonts w:cs="Calibri"/>
        </w:rPr>
      </w:pPr>
    </w:p>
    <w:p w14:paraId="7984BC42" w14:textId="77777777" w:rsidR="00400DA8" w:rsidRPr="005616AE" w:rsidRDefault="00400DA8" w:rsidP="009120A2">
      <w:pPr>
        <w:spacing w:after="0"/>
        <w:rPr>
          <w:rFonts w:cs="Calibri"/>
          <w:b/>
          <w:bCs/>
        </w:rPr>
      </w:pPr>
      <w:r w:rsidRPr="005616AE">
        <w:rPr>
          <w:rFonts w:cs="Calibri"/>
          <w:b/>
          <w:bCs/>
        </w:rPr>
        <w:t>Solution 2: Space Economy Financing: A High-Risk, High-Reward Approach</w:t>
      </w:r>
    </w:p>
    <w:p w14:paraId="74372383" w14:textId="77777777" w:rsidR="00400DA8" w:rsidRPr="005616AE" w:rsidRDefault="00400DA8" w:rsidP="003F2F75">
      <w:pPr>
        <w:spacing w:after="0"/>
        <w:jc w:val="left"/>
        <w:rPr>
          <w:rFonts w:cs="Calibri"/>
          <w:b/>
          <w:bCs/>
        </w:rPr>
      </w:pPr>
      <w:r w:rsidRPr="005616AE">
        <w:rPr>
          <w:rFonts w:cs="Calibri"/>
          <w:b/>
          <w:bCs/>
        </w:rPr>
        <w:t>High Risk, Strong Potential</w:t>
      </w:r>
    </w:p>
    <w:p w14:paraId="025A5C65" w14:textId="77777777" w:rsidR="00400DA8" w:rsidRPr="005616AE" w:rsidRDefault="00400DA8" w:rsidP="003F2F75">
      <w:pPr>
        <w:spacing w:after="0"/>
        <w:rPr>
          <w:rFonts w:cs="Calibri"/>
        </w:rPr>
      </w:pPr>
      <w:r w:rsidRPr="005616AE">
        <w:rPr>
          <w:rFonts w:cs="Calibri"/>
        </w:rPr>
        <w:t>Its speculative nature makes it a high-risk industry despite the enormous long-term potential of the space economy. Notwithstanding their enormous growth potential, space exploration, satellite technology and space tourism are not without risks, such as unstable markets, difficult technology, and restrictive re Space-related projects involve high initial costs as well as significant uncertainty regarding when and how revenues will materialise.</w:t>
      </w:r>
    </w:p>
    <w:p w14:paraId="5F972F49" w14:textId="77777777" w:rsidR="00400DA8" w:rsidRPr="005616AE" w:rsidRDefault="00400DA8" w:rsidP="003F2F75">
      <w:pPr>
        <w:spacing w:after="0"/>
        <w:jc w:val="left"/>
        <w:rPr>
          <w:rFonts w:cs="Calibri"/>
          <w:b/>
          <w:bCs/>
        </w:rPr>
      </w:pPr>
      <w:r w:rsidRPr="005616AE">
        <w:rPr>
          <w:rFonts w:cs="Calibri"/>
          <w:b/>
          <w:bCs/>
        </w:rPr>
        <w:t>Market Uncertainty</w:t>
      </w:r>
    </w:p>
    <w:p w14:paraId="45FDDDE3" w14:textId="77777777" w:rsidR="00400DA8" w:rsidRPr="005616AE" w:rsidRDefault="00400DA8" w:rsidP="003F2F75">
      <w:pPr>
        <w:spacing w:after="0"/>
        <w:rPr>
          <w:rFonts w:cs="Calibri"/>
        </w:rPr>
      </w:pPr>
      <w:r w:rsidRPr="005616AE">
        <w:rPr>
          <w:rFonts w:cs="Calibri"/>
        </w:rPr>
        <w:t xml:space="preserve">The commercial space economy is still in its infancy. Although companies like Blue Origin and SpaceX have made </w:t>
      </w:r>
      <w:proofErr w:type="gramStart"/>
      <w:r w:rsidRPr="005616AE">
        <w:rPr>
          <w:rFonts w:cs="Calibri"/>
        </w:rPr>
        <w:t>significant progress</w:t>
      </w:r>
      <w:proofErr w:type="gramEnd"/>
      <w:r w:rsidRPr="005616AE">
        <w:rPr>
          <w:rFonts w:cs="Calibri"/>
        </w:rPr>
        <w:t xml:space="preserve">. This sector remains unpredictable. Space projects often take a long time to become profitable and the likelihood of failure is high. </w:t>
      </w:r>
    </w:p>
    <w:p w14:paraId="37361A31" w14:textId="77777777" w:rsidR="00400DA8" w:rsidRPr="005616AE" w:rsidRDefault="00400DA8" w:rsidP="003F2F75">
      <w:pPr>
        <w:spacing w:after="0"/>
        <w:jc w:val="left"/>
        <w:rPr>
          <w:rFonts w:cs="Calibri"/>
          <w:b/>
          <w:bCs/>
        </w:rPr>
      </w:pPr>
      <w:r w:rsidRPr="005616AE">
        <w:rPr>
          <w:rFonts w:cs="Calibri"/>
          <w:b/>
          <w:bCs/>
        </w:rPr>
        <w:t>Potential Benefits</w:t>
      </w:r>
    </w:p>
    <w:p w14:paraId="3197A3A4" w14:textId="77777777" w:rsidR="00400DA8" w:rsidRPr="005616AE" w:rsidRDefault="00400DA8" w:rsidP="003F2F75">
      <w:pPr>
        <w:spacing w:after="0"/>
        <w:rPr>
          <w:rFonts w:cs="Calibri"/>
        </w:rPr>
      </w:pPr>
      <w:r w:rsidRPr="005616AE">
        <w:rPr>
          <w:rFonts w:cs="Calibri"/>
        </w:rPr>
        <w:t xml:space="preserve">If the space economy thrives in the future, early investors may reap substantial rewards and establish themselves as industry leaders. The speculative nature of the industry, uncertain ROI timelines and unclear regulations make it highly risky. </w:t>
      </w:r>
    </w:p>
    <w:p w14:paraId="216D9C41" w14:textId="77777777" w:rsidR="00400DA8" w:rsidRPr="005616AE" w:rsidRDefault="00400DA8" w:rsidP="009120A2">
      <w:pPr>
        <w:spacing w:after="0"/>
        <w:rPr>
          <w:rFonts w:cs="Calibri"/>
        </w:rPr>
      </w:pPr>
    </w:p>
    <w:p w14:paraId="05101CA5" w14:textId="77777777" w:rsidR="00400DA8" w:rsidRPr="005616AE" w:rsidRDefault="00400DA8" w:rsidP="009120A2">
      <w:pPr>
        <w:spacing w:after="0"/>
        <w:rPr>
          <w:rFonts w:cs="Calibri"/>
        </w:rPr>
      </w:pPr>
      <w:r w:rsidRPr="005616AE">
        <w:rPr>
          <w:rFonts w:cs="Calibri"/>
          <w:b/>
          <w:bCs/>
        </w:rPr>
        <w:t>Conclusion:</w:t>
      </w:r>
      <w:r w:rsidRPr="005616AE">
        <w:rPr>
          <w:rFonts w:cs="Calibri"/>
        </w:rPr>
        <w:t xml:space="preserve"> The space economy is less attractive than Solution 1's more stable as well as growing green technology sector due to its speculative nature, long investment horizon and inherent risks despite its immense potential.</w:t>
      </w:r>
    </w:p>
    <w:p w14:paraId="56278DCD" w14:textId="77777777" w:rsidR="00400DA8" w:rsidRPr="005616AE" w:rsidRDefault="00400DA8" w:rsidP="009120A2">
      <w:pPr>
        <w:spacing w:after="0"/>
        <w:rPr>
          <w:rFonts w:cs="Calibri"/>
        </w:rPr>
      </w:pPr>
    </w:p>
    <w:p w14:paraId="4677E397" w14:textId="77777777" w:rsidR="00400DA8" w:rsidRPr="005616AE" w:rsidRDefault="00400DA8" w:rsidP="009120A2">
      <w:pPr>
        <w:spacing w:after="0"/>
        <w:rPr>
          <w:rFonts w:cs="Calibri"/>
          <w:b/>
          <w:bCs/>
        </w:rPr>
      </w:pPr>
      <w:r w:rsidRPr="005616AE">
        <w:rPr>
          <w:rFonts w:cs="Calibri"/>
          <w:b/>
          <w:bCs/>
        </w:rPr>
        <w:t xml:space="preserve">Solution 3: TD Purchasing </w:t>
      </w:r>
      <w:proofErr w:type="spellStart"/>
      <w:r w:rsidRPr="005616AE">
        <w:rPr>
          <w:rFonts w:cs="Calibri"/>
          <w:b/>
          <w:bCs/>
        </w:rPr>
        <w:t>TForce</w:t>
      </w:r>
      <w:proofErr w:type="spellEnd"/>
      <w:r w:rsidRPr="005616AE">
        <w:rPr>
          <w:rFonts w:cs="Calibri"/>
          <w:b/>
          <w:bCs/>
        </w:rPr>
        <w:t xml:space="preserve"> Logistics: Good but Minimal Effect</w:t>
      </w:r>
    </w:p>
    <w:p w14:paraId="0062E3D6" w14:textId="77777777" w:rsidR="00400DA8" w:rsidRPr="005616AE" w:rsidRDefault="00400DA8" w:rsidP="00C238F9">
      <w:pPr>
        <w:spacing w:after="0"/>
        <w:jc w:val="left"/>
        <w:rPr>
          <w:rFonts w:cs="Calibri"/>
          <w:b/>
          <w:bCs/>
        </w:rPr>
      </w:pPr>
      <w:r w:rsidRPr="005616AE">
        <w:rPr>
          <w:rFonts w:cs="Calibri"/>
          <w:b/>
          <w:bCs/>
        </w:rPr>
        <w:t>Growth in the Logistics Sector</w:t>
      </w:r>
    </w:p>
    <w:p w14:paraId="6CCB4342" w14:textId="77777777" w:rsidR="00400DA8" w:rsidRPr="005616AE" w:rsidRDefault="00400DA8" w:rsidP="00C238F9">
      <w:pPr>
        <w:spacing w:after="0"/>
        <w:rPr>
          <w:rFonts w:cs="Calibri"/>
        </w:rPr>
      </w:pPr>
      <w:r w:rsidRPr="005616AE">
        <w:rPr>
          <w:rFonts w:cs="Calibri"/>
        </w:rPr>
        <w:t xml:space="preserve">E-commerce continues to drive demand for delivery services. It offers TD a strategic opportunity to strengthen its position in the </w:t>
      </w:r>
      <w:proofErr w:type="gramStart"/>
      <w:r w:rsidRPr="005616AE">
        <w:rPr>
          <w:rFonts w:cs="Calibri"/>
        </w:rPr>
        <w:t>logistics</w:t>
      </w:r>
      <w:proofErr w:type="gramEnd"/>
      <w:r w:rsidRPr="005616AE">
        <w:rPr>
          <w:rFonts w:cs="Calibri"/>
        </w:rPr>
        <w:t xml:space="preserve"> and supply chain sectors by acquiring </w:t>
      </w:r>
      <w:proofErr w:type="spellStart"/>
      <w:r w:rsidRPr="005616AE">
        <w:rPr>
          <w:rFonts w:cs="Calibri"/>
        </w:rPr>
        <w:t>TForce</w:t>
      </w:r>
      <w:proofErr w:type="spellEnd"/>
      <w:r w:rsidRPr="005616AE">
        <w:rPr>
          <w:rFonts w:cs="Calibri"/>
        </w:rPr>
        <w:t xml:space="preserve"> Logistics. This acquisition would enable TD to streamline and consolidate </w:t>
      </w:r>
      <w:proofErr w:type="gramStart"/>
      <w:r w:rsidRPr="005616AE">
        <w:rPr>
          <w:rFonts w:cs="Calibri"/>
        </w:rPr>
        <w:t>logistics</w:t>
      </w:r>
      <w:proofErr w:type="gramEnd"/>
      <w:r w:rsidRPr="005616AE">
        <w:rPr>
          <w:rFonts w:cs="Calibri"/>
        </w:rPr>
        <w:t xml:space="preserve"> solutions, providing value-added services to clients needing reliable and fast delivery options in the business-to-business (B2B) market.</w:t>
      </w:r>
    </w:p>
    <w:p w14:paraId="4CE035DC" w14:textId="77777777" w:rsidR="00400DA8" w:rsidRPr="005616AE" w:rsidRDefault="00400DA8" w:rsidP="00C238F9">
      <w:pPr>
        <w:spacing w:after="0"/>
        <w:jc w:val="left"/>
        <w:rPr>
          <w:rFonts w:cs="Calibri"/>
          <w:b/>
          <w:bCs/>
        </w:rPr>
      </w:pPr>
      <w:r w:rsidRPr="005616AE">
        <w:rPr>
          <w:rFonts w:cs="Calibri"/>
          <w:b/>
          <w:bCs/>
        </w:rPr>
        <w:t>Business Growth</w:t>
      </w:r>
    </w:p>
    <w:p w14:paraId="507F1CF3" w14:textId="77777777" w:rsidR="00400DA8" w:rsidRPr="005616AE" w:rsidRDefault="00400DA8" w:rsidP="00C238F9">
      <w:pPr>
        <w:spacing w:after="0"/>
        <w:rPr>
          <w:rFonts w:cs="Calibri"/>
        </w:rPr>
      </w:pPr>
      <w:r w:rsidRPr="005616AE">
        <w:rPr>
          <w:rFonts w:cs="Calibri"/>
        </w:rPr>
        <w:lastRenderedPageBreak/>
        <w:t xml:space="preserve">The acquisition would help TD assist companies with their supply chains by leveraging </w:t>
      </w:r>
      <w:proofErr w:type="spellStart"/>
      <w:r w:rsidRPr="005616AE">
        <w:rPr>
          <w:rFonts w:cs="Calibri"/>
        </w:rPr>
        <w:t>TForce's</w:t>
      </w:r>
      <w:proofErr w:type="spellEnd"/>
      <w:r w:rsidRPr="005616AE">
        <w:rPr>
          <w:rFonts w:cs="Calibri"/>
        </w:rPr>
        <w:t xml:space="preserve"> </w:t>
      </w:r>
      <w:proofErr w:type="gramStart"/>
      <w:r w:rsidRPr="005616AE">
        <w:rPr>
          <w:rFonts w:cs="Calibri"/>
        </w:rPr>
        <w:t>logistics</w:t>
      </w:r>
      <w:proofErr w:type="gramEnd"/>
      <w:r w:rsidRPr="005616AE">
        <w:rPr>
          <w:rFonts w:cs="Calibri"/>
        </w:rPr>
        <w:t xml:space="preserve"> network. It could support TD's expansion into new regions where </w:t>
      </w:r>
      <w:proofErr w:type="gramStart"/>
      <w:r w:rsidRPr="005616AE">
        <w:rPr>
          <w:rFonts w:cs="Calibri"/>
        </w:rPr>
        <w:t>logistics</w:t>
      </w:r>
      <w:proofErr w:type="gramEnd"/>
      <w:r w:rsidRPr="005616AE">
        <w:rPr>
          <w:rFonts w:cs="Calibri"/>
        </w:rPr>
        <w:t xml:space="preserve"> expertise is crucial to business success. </w:t>
      </w:r>
    </w:p>
    <w:p w14:paraId="378682ED" w14:textId="77777777" w:rsidR="00400DA8" w:rsidRPr="005616AE" w:rsidRDefault="00400DA8" w:rsidP="00C238F9">
      <w:pPr>
        <w:spacing w:after="0"/>
        <w:jc w:val="left"/>
        <w:rPr>
          <w:rFonts w:cs="Calibri"/>
          <w:b/>
          <w:bCs/>
        </w:rPr>
      </w:pPr>
      <w:r w:rsidRPr="005616AE">
        <w:rPr>
          <w:rFonts w:cs="Calibri"/>
          <w:b/>
          <w:bCs/>
        </w:rPr>
        <w:t>Limited Financial Impact</w:t>
      </w:r>
    </w:p>
    <w:p w14:paraId="3E59801C" w14:textId="77777777" w:rsidR="00400DA8" w:rsidRPr="005616AE" w:rsidRDefault="00400DA8" w:rsidP="00C238F9">
      <w:pPr>
        <w:spacing w:after="0"/>
        <w:rPr>
          <w:rFonts w:cs="Calibri"/>
        </w:rPr>
      </w:pPr>
      <w:r w:rsidRPr="005616AE">
        <w:rPr>
          <w:rFonts w:cs="Calibri"/>
        </w:rPr>
        <w:t xml:space="preserve">Compared to Solution 1 this solution offers a smaller financial benefit despite providing a consistent revenue stream from </w:t>
      </w:r>
      <w:proofErr w:type="gramStart"/>
      <w:r w:rsidRPr="005616AE">
        <w:rPr>
          <w:rFonts w:cs="Calibri"/>
        </w:rPr>
        <w:t>logistics</w:t>
      </w:r>
      <w:proofErr w:type="gramEnd"/>
      <w:r w:rsidRPr="005616AE">
        <w:rPr>
          <w:rFonts w:cs="Calibri"/>
        </w:rPr>
        <w:t xml:space="preserve"> operations. The </w:t>
      </w:r>
      <w:proofErr w:type="gramStart"/>
      <w:r w:rsidRPr="005616AE">
        <w:rPr>
          <w:rFonts w:cs="Calibri"/>
        </w:rPr>
        <w:t>logistics</w:t>
      </w:r>
      <w:proofErr w:type="gramEnd"/>
      <w:r w:rsidRPr="005616AE">
        <w:rPr>
          <w:rFonts w:cs="Calibri"/>
        </w:rPr>
        <w:t xml:space="preserve"> industry has lower margins as well as higher competition which ends up in limiting its revenue growth potential. It lacks the transformative growth potential of an acquisition like WiTricity in the rapidly expanding EV market while this solution provides steady ROI.</w:t>
      </w:r>
    </w:p>
    <w:p w14:paraId="0A948CFD" w14:textId="77777777" w:rsidR="00400DA8" w:rsidRPr="005616AE" w:rsidRDefault="00400DA8" w:rsidP="00C238F9">
      <w:pPr>
        <w:spacing w:after="0"/>
        <w:jc w:val="left"/>
        <w:rPr>
          <w:rFonts w:cs="Calibri"/>
          <w:b/>
          <w:bCs/>
        </w:rPr>
      </w:pPr>
      <w:r w:rsidRPr="005616AE">
        <w:rPr>
          <w:rFonts w:cs="Calibri"/>
          <w:b/>
          <w:bCs/>
        </w:rPr>
        <w:t>ROI Over Time</w:t>
      </w:r>
    </w:p>
    <w:p w14:paraId="7FF17F14" w14:textId="77777777" w:rsidR="00400DA8" w:rsidRPr="005616AE" w:rsidRDefault="00400DA8" w:rsidP="003F2F75">
      <w:pPr>
        <w:spacing w:after="0"/>
        <w:rPr>
          <w:rFonts w:cs="Calibri"/>
        </w:rPr>
      </w:pPr>
      <w:r w:rsidRPr="005616AE">
        <w:rPr>
          <w:rFonts w:cs="Calibri"/>
        </w:rPr>
        <w:t xml:space="preserve">Unlike the substantial benefits anticipated from Solution 1 the ROI for this solution would be gradual and less striking. It lacks the innovation and disruptive potential of wireless charging infrastructure in the EV market although </w:t>
      </w:r>
      <w:proofErr w:type="gramStart"/>
      <w:r w:rsidRPr="005616AE">
        <w:rPr>
          <w:rFonts w:cs="Calibri"/>
        </w:rPr>
        <w:t>logistics</w:t>
      </w:r>
      <w:proofErr w:type="gramEnd"/>
      <w:r w:rsidRPr="005616AE">
        <w:rPr>
          <w:rFonts w:cs="Calibri"/>
        </w:rPr>
        <w:t xml:space="preserve"> is a vital industry.</w:t>
      </w:r>
    </w:p>
    <w:p w14:paraId="280081C3" w14:textId="1A6CA880" w:rsidR="00400DA8" w:rsidRPr="005616AE" w:rsidRDefault="00400DA8" w:rsidP="003F2F75">
      <w:pPr>
        <w:spacing w:after="0"/>
        <w:rPr>
          <w:rFonts w:cs="Calibri"/>
        </w:rPr>
      </w:pPr>
      <w:r w:rsidRPr="005616AE">
        <w:rPr>
          <w:rFonts w:cs="Calibri"/>
          <w:b/>
          <w:bCs/>
        </w:rPr>
        <w:t>Conclusion:</w:t>
      </w:r>
      <w:r w:rsidRPr="005616AE">
        <w:rPr>
          <w:rFonts w:cs="Calibri"/>
        </w:rPr>
        <w:t xml:space="preserve"> Solution 3 is a viable option for diversifying TD's business particularly in the logistics </w:t>
      </w:r>
      <w:proofErr w:type="gramStart"/>
      <w:r w:rsidRPr="005616AE">
        <w:rPr>
          <w:rFonts w:cs="Calibri"/>
        </w:rPr>
        <w:t>sector</w:t>
      </w:r>
      <w:proofErr w:type="gramEnd"/>
      <w:r w:rsidRPr="005616AE">
        <w:rPr>
          <w:rFonts w:cs="Calibri"/>
        </w:rPr>
        <w:t xml:space="preserve"> but it does not offer the long-term growth and market leadership advantages of Solution 1. It is not as transformative or strategically significant while a solid strategy for business growth.</w:t>
      </w:r>
    </w:p>
    <w:p w14:paraId="29F31F42" w14:textId="77777777" w:rsidR="003F2F75" w:rsidRPr="005616AE" w:rsidRDefault="003F2F75" w:rsidP="003F2F75">
      <w:pPr>
        <w:spacing w:after="0"/>
        <w:rPr>
          <w:rFonts w:cs="Calibri"/>
        </w:rPr>
      </w:pPr>
    </w:p>
    <w:p w14:paraId="367EE138" w14:textId="77777777" w:rsidR="00400DA8" w:rsidRPr="005616AE" w:rsidRDefault="00400DA8" w:rsidP="009120A2">
      <w:pPr>
        <w:spacing w:after="0"/>
        <w:rPr>
          <w:rFonts w:cs="Calibri"/>
          <w:b/>
          <w:bCs/>
        </w:rPr>
      </w:pPr>
      <w:r w:rsidRPr="005616AE">
        <w:rPr>
          <w:rFonts w:cs="Calibri"/>
          <w:b/>
          <w:bCs/>
        </w:rPr>
        <w:t>Solution 4: Inaction, Stagnation, and Lost Opportunities</w:t>
      </w:r>
    </w:p>
    <w:p w14:paraId="3C92F0D8" w14:textId="77777777" w:rsidR="00400DA8" w:rsidRPr="005616AE" w:rsidRDefault="00400DA8" w:rsidP="002B2EF3">
      <w:pPr>
        <w:spacing w:after="0"/>
        <w:jc w:val="left"/>
        <w:rPr>
          <w:rFonts w:cs="Calibri"/>
          <w:b/>
          <w:bCs/>
        </w:rPr>
      </w:pPr>
      <w:r w:rsidRPr="005616AE">
        <w:rPr>
          <w:rFonts w:cs="Calibri"/>
          <w:b/>
          <w:bCs/>
        </w:rPr>
        <w:t xml:space="preserve">Potential for Stasis </w:t>
      </w:r>
    </w:p>
    <w:p w14:paraId="6C2E5D97" w14:textId="77777777" w:rsidR="00400DA8" w:rsidRPr="005616AE" w:rsidRDefault="00400DA8" w:rsidP="002B2EF3">
      <w:pPr>
        <w:spacing w:after="0"/>
        <w:rPr>
          <w:rFonts w:cs="Calibri"/>
        </w:rPr>
      </w:pPr>
      <w:r w:rsidRPr="005616AE">
        <w:rPr>
          <w:rFonts w:cs="Calibri"/>
        </w:rPr>
        <w:t xml:space="preserve">Choosing to "Do Nothing" by not pursuing any of the proposed solutions will cause TD Bank to miss critical growth opportunities in rapidly developing industries such as green finance, electric vehicles, wireless </w:t>
      </w:r>
      <w:proofErr w:type="gramStart"/>
      <w:r w:rsidRPr="005616AE">
        <w:rPr>
          <w:rFonts w:cs="Calibri"/>
        </w:rPr>
        <w:t>charging</w:t>
      </w:r>
      <w:proofErr w:type="gramEnd"/>
      <w:r w:rsidRPr="005616AE">
        <w:rPr>
          <w:rFonts w:cs="Calibri"/>
        </w:rPr>
        <w:t xml:space="preserve"> and the space economy. Failing to adapt to market developments could render TD less relevant in a highly competitive banking industry. </w:t>
      </w:r>
    </w:p>
    <w:p w14:paraId="49C962DD" w14:textId="77777777" w:rsidR="00400DA8" w:rsidRPr="005616AE" w:rsidRDefault="00400DA8" w:rsidP="002B2EF3">
      <w:pPr>
        <w:spacing w:after="0"/>
        <w:jc w:val="left"/>
        <w:rPr>
          <w:rFonts w:cs="Calibri"/>
          <w:b/>
          <w:bCs/>
        </w:rPr>
      </w:pPr>
      <w:r w:rsidRPr="005616AE">
        <w:rPr>
          <w:rFonts w:cs="Calibri"/>
          <w:b/>
          <w:bCs/>
        </w:rPr>
        <w:t>Missed Opportunities</w:t>
      </w:r>
    </w:p>
    <w:p w14:paraId="4DE29F9C" w14:textId="77777777" w:rsidR="00400DA8" w:rsidRPr="005616AE" w:rsidRDefault="00400DA8" w:rsidP="002B2EF3">
      <w:pPr>
        <w:spacing w:after="0"/>
        <w:rPr>
          <w:rFonts w:cs="Calibri"/>
        </w:rPr>
      </w:pPr>
      <w:r w:rsidRPr="005616AE">
        <w:rPr>
          <w:rFonts w:cs="Calibri"/>
        </w:rPr>
        <w:t xml:space="preserve">TD would forgo the rising demand for sustainable solutions in the financial industry. Competitors exploring green finance, EV technology and space economy initiatives would gain a significant advantage by attracting eco-conscious customers as well as innovative partners. </w:t>
      </w:r>
    </w:p>
    <w:p w14:paraId="0A121006" w14:textId="77777777" w:rsidR="00400DA8" w:rsidRPr="005616AE" w:rsidRDefault="00400DA8" w:rsidP="002B2EF3">
      <w:pPr>
        <w:spacing w:after="0"/>
        <w:jc w:val="left"/>
        <w:rPr>
          <w:rFonts w:cs="Calibri"/>
          <w:b/>
          <w:bCs/>
        </w:rPr>
      </w:pPr>
      <w:r w:rsidRPr="005616AE">
        <w:rPr>
          <w:rFonts w:cs="Calibri"/>
          <w:b/>
          <w:bCs/>
        </w:rPr>
        <w:t>Strategic Risks</w:t>
      </w:r>
    </w:p>
    <w:p w14:paraId="1FCB7ABA" w14:textId="21B2F863" w:rsidR="00400DA8" w:rsidRPr="005616AE" w:rsidRDefault="00400DA8" w:rsidP="002B2EF3">
      <w:pPr>
        <w:spacing w:after="0"/>
        <w:rPr>
          <w:rFonts w:cs="Calibri"/>
          <w:b/>
          <w:bCs/>
        </w:rPr>
      </w:pPr>
      <w:r w:rsidRPr="005616AE">
        <w:rPr>
          <w:rFonts w:cs="Calibri"/>
        </w:rPr>
        <w:t xml:space="preserve">This decision limits TD's ability to grow and diversify its product offerings. The bank risks </w:t>
      </w:r>
      <w:proofErr w:type="gramStart"/>
      <w:r w:rsidRPr="005616AE">
        <w:rPr>
          <w:rFonts w:cs="Calibri"/>
        </w:rPr>
        <w:t>being outpaced</w:t>
      </w:r>
      <w:proofErr w:type="gramEnd"/>
      <w:r w:rsidRPr="005616AE">
        <w:rPr>
          <w:rFonts w:cs="Calibri"/>
        </w:rPr>
        <w:t xml:space="preserve"> by rivals investing in emerging industries and adapting to changing consumer needs. Failure to invest in sustainable technologies would erode TD's competitive advantage and leave it struggling to meet evolving market demands. </w:t>
      </w:r>
    </w:p>
    <w:p w14:paraId="5C2FE93E" w14:textId="77777777" w:rsidR="00400DA8" w:rsidRPr="005616AE" w:rsidRDefault="00400DA8" w:rsidP="009120A2">
      <w:pPr>
        <w:spacing w:after="0"/>
        <w:rPr>
          <w:rFonts w:cs="Calibri"/>
        </w:rPr>
      </w:pPr>
      <w:r w:rsidRPr="005616AE">
        <w:rPr>
          <w:rFonts w:cs="Calibri"/>
          <w:b/>
          <w:bCs/>
        </w:rPr>
        <w:t>Conclusion:</w:t>
      </w:r>
      <w:r w:rsidRPr="005616AE">
        <w:rPr>
          <w:rFonts w:cs="Calibri"/>
        </w:rPr>
        <w:t xml:space="preserve"> "Do Nothing" is the least desirable of all solutions. It would lead to missed opportunities, strategic </w:t>
      </w:r>
      <w:proofErr w:type="gramStart"/>
      <w:r w:rsidRPr="005616AE">
        <w:rPr>
          <w:rFonts w:cs="Calibri"/>
        </w:rPr>
        <w:t>drift</w:t>
      </w:r>
      <w:proofErr w:type="gramEnd"/>
      <w:r w:rsidRPr="005616AE">
        <w:rPr>
          <w:rFonts w:cs="Calibri"/>
        </w:rPr>
        <w:t xml:space="preserve"> and long-term stagnation in a rapidly changing market. Inaction poses significant risks in today’s fast-paced business environment.</w:t>
      </w:r>
    </w:p>
    <w:p w14:paraId="3513C7CA" w14:textId="77777777" w:rsidR="00400DA8" w:rsidRPr="005616AE" w:rsidRDefault="00400DA8" w:rsidP="009120A2">
      <w:pPr>
        <w:spacing w:after="0"/>
        <w:rPr>
          <w:rFonts w:cs="Calibri"/>
        </w:rPr>
      </w:pPr>
    </w:p>
    <w:p w14:paraId="1B5829CB" w14:textId="77777777" w:rsidR="00A078C9" w:rsidRPr="005616AE" w:rsidRDefault="00400DA8" w:rsidP="009120A2">
      <w:pPr>
        <w:spacing w:after="0"/>
        <w:rPr>
          <w:rFonts w:cs="Calibri"/>
        </w:rPr>
      </w:pPr>
      <w:r w:rsidRPr="005616AE">
        <w:rPr>
          <w:rFonts w:cs="Calibri"/>
          <w:b/>
          <w:bCs/>
        </w:rPr>
        <w:t>Solution 1:</w:t>
      </w:r>
      <w:r w:rsidRPr="005616AE">
        <w:rPr>
          <w:rFonts w:cs="Calibri"/>
        </w:rPr>
        <w:t xml:space="preserve"> TD Bank's acquisition of WiTricity stands out as the most financially and strategically sound choice. Its potential for long-term growth, alignment with sustainability trends and competitive positioning in the rapidly expanding EV sector. </w:t>
      </w:r>
    </w:p>
    <w:p w14:paraId="09D34279" w14:textId="77777777" w:rsidR="00A078C9" w:rsidRPr="005616AE" w:rsidRDefault="00400DA8" w:rsidP="009120A2">
      <w:pPr>
        <w:spacing w:after="0"/>
        <w:rPr>
          <w:rFonts w:cs="Calibri"/>
        </w:rPr>
      </w:pPr>
      <w:r w:rsidRPr="005616AE">
        <w:rPr>
          <w:rFonts w:cs="Calibri"/>
          <w:b/>
          <w:bCs/>
        </w:rPr>
        <w:t>Solution 2:</w:t>
      </w:r>
      <w:r w:rsidRPr="005616AE">
        <w:rPr>
          <w:rFonts w:cs="Calibri"/>
        </w:rPr>
        <w:t xml:space="preserve"> Space Economy Financing is less attractive due to its substantial risk and uncertainty. </w:t>
      </w:r>
    </w:p>
    <w:p w14:paraId="74B010B1" w14:textId="77777777" w:rsidR="00A078C9" w:rsidRPr="005616AE" w:rsidRDefault="00400DA8" w:rsidP="009120A2">
      <w:pPr>
        <w:spacing w:after="0"/>
        <w:rPr>
          <w:rFonts w:cs="Calibri"/>
        </w:rPr>
      </w:pPr>
      <w:r w:rsidRPr="005616AE">
        <w:rPr>
          <w:rFonts w:cs="Calibri"/>
          <w:b/>
          <w:bCs/>
        </w:rPr>
        <w:t>Solution 3:</w:t>
      </w:r>
      <w:r w:rsidRPr="005616AE">
        <w:rPr>
          <w:rFonts w:cs="Calibri"/>
        </w:rPr>
        <w:t xml:space="preserve"> While acquiring </w:t>
      </w:r>
      <w:proofErr w:type="spellStart"/>
      <w:r w:rsidRPr="005616AE">
        <w:rPr>
          <w:rFonts w:cs="Calibri"/>
        </w:rPr>
        <w:t>TForce</w:t>
      </w:r>
      <w:proofErr w:type="spellEnd"/>
      <w:r w:rsidRPr="005616AE">
        <w:rPr>
          <w:rFonts w:cs="Calibri"/>
        </w:rPr>
        <w:t xml:space="preserve"> Logistics is a feasible growth strategy. It lacks the groundbreaking impact and innovation offered by Solution 1. </w:t>
      </w:r>
    </w:p>
    <w:p w14:paraId="1FA3A031" w14:textId="08A9C9D1" w:rsidR="00400DA8" w:rsidRPr="005616AE" w:rsidRDefault="00400DA8" w:rsidP="009120A2">
      <w:pPr>
        <w:spacing w:after="0"/>
        <w:rPr>
          <w:rFonts w:cs="Calibri"/>
        </w:rPr>
      </w:pPr>
      <w:r w:rsidRPr="005616AE">
        <w:rPr>
          <w:rFonts w:cs="Calibri"/>
          <w:b/>
          <w:bCs/>
        </w:rPr>
        <w:t>Solution 4:</w:t>
      </w:r>
      <w:r w:rsidRPr="005616AE">
        <w:rPr>
          <w:rFonts w:cs="Calibri"/>
        </w:rPr>
        <w:t xml:space="preserve"> Inaction is the least desirable choice as it leads to stagnation and missed growth opportunities.</w:t>
      </w:r>
    </w:p>
    <w:p w14:paraId="258E9EFE" w14:textId="77777777" w:rsidR="00F91910" w:rsidRPr="005616AE" w:rsidRDefault="00F91910" w:rsidP="009120A2">
      <w:pPr>
        <w:spacing w:after="0"/>
        <w:rPr>
          <w:rFonts w:cs="Calibri"/>
        </w:rPr>
      </w:pPr>
    </w:p>
    <w:p w14:paraId="48953648" w14:textId="77777777" w:rsidR="00E34BBC" w:rsidRPr="005616AE" w:rsidRDefault="00E34BBC" w:rsidP="00E34BBC">
      <w:pPr>
        <w:pStyle w:val="Heading1"/>
      </w:pPr>
      <w:bookmarkStart w:id="41" w:name="_Toc183211058"/>
      <w:r w:rsidRPr="005616AE">
        <w:lastRenderedPageBreak/>
        <w:t>ROI% for Solution 1: Product Implementation of WiTricity’s Wireless Charging Technology</w:t>
      </w:r>
      <w:bookmarkEnd w:id="41"/>
    </w:p>
    <w:p w14:paraId="1F5052DB" w14:textId="77777777" w:rsidR="00E34BBC" w:rsidRPr="005616AE" w:rsidRDefault="00E34BBC" w:rsidP="00E34BBC">
      <w:pPr>
        <w:pStyle w:val="Heading2"/>
      </w:pPr>
      <w:bookmarkStart w:id="42" w:name="_Toc183211059"/>
      <w:r w:rsidRPr="005616AE">
        <w:t>ROI Calculation</w:t>
      </w:r>
      <w:bookmarkEnd w:id="42"/>
    </w:p>
    <w:p w14:paraId="67876835" w14:textId="77777777" w:rsidR="00E34BBC" w:rsidRPr="005616AE" w:rsidRDefault="00E34BBC" w:rsidP="00EB6651">
      <w:pPr>
        <w:spacing w:after="0"/>
      </w:pPr>
      <w:r w:rsidRPr="005616AE">
        <w:t>ROI %=</w:t>
      </w:r>
      <w:r w:rsidRPr="005616AE">
        <w:rPr>
          <w:b/>
          <w:bCs/>
        </w:rPr>
        <w:t xml:space="preserve"> (</w:t>
      </w:r>
      <w:r w:rsidRPr="005616AE">
        <w:t>Net Profit/Total Expenses)</w:t>
      </w:r>
      <w:r w:rsidRPr="005616AE">
        <w:rPr>
          <w:rFonts w:ascii="Arial" w:hAnsi="Arial" w:cs="Arial"/>
        </w:rPr>
        <w:t>​</w:t>
      </w:r>
      <w:r w:rsidRPr="005616AE">
        <w:t>×100</w:t>
      </w:r>
    </w:p>
    <w:p w14:paraId="50B5B27D" w14:textId="77777777" w:rsidR="00E34BBC" w:rsidRPr="005616AE" w:rsidRDefault="00E34BBC" w:rsidP="00384F0C">
      <w:pPr>
        <w:pStyle w:val="ListParagraph"/>
        <w:numPr>
          <w:ilvl w:val="0"/>
          <w:numId w:val="74"/>
        </w:numPr>
        <w:spacing w:after="0" w:line="256" w:lineRule="auto"/>
      </w:pPr>
      <w:r w:rsidRPr="005616AE">
        <w:t xml:space="preserve">Net Profit is the profit left over after deducting all expenses such as operating costs and taxes from the gross income. </w:t>
      </w:r>
    </w:p>
    <w:p w14:paraId="658D3B33" w14:textId="77777777" w:rsidR="00E34BBC" w:rsidRPr="005616AE" w:rsidRDefault="00E34BBC" w:rsidP="00384F0C">
      <w:pPr>
        <w:pStyle w:val="ListParagraph"/>
        <w:numPr>
          <w:ilvl w:val="0"/>
          <w:numId w:val="74"/>
        </w:numPr>
        <w:spacing w:after="0" w:line="256" w:lineRule="auto"/>
      </w:pPr>
      <w:r w:rsidRPr="005616AE">
        <w:t>Total Expenses are the expenses associated with operating a business which includes operational costs overhead and other financial obligations.</w:t>
      </w:r>
    </w:p>
    <w:p w14:paraId="762512E7" w14:textId="77777777" w:rsidR="00E34BBC" w:rsidRPr="005616AE" w:rsidRDefault="00E34BBC" w:rsidP="00384F0C">
      <w:pPr>
        <w:pStyle w:val="ListParagraph"/>
        <w:numPr>
          <w:ilvl w:val="0"/>
          <w:numId w:val="74"/>
        </w:numPr>
        <w:spacing w:after="0" w:line="256" w:lineRule="auto"/>
      </w:pPr>
      <w:r w:rsidRPr="005616AE">
        <w:t xml:space="preserve">To calculate the company's profit spent we divide the total expenses into the net profit. </w:t>
      </w:r>
    </w:p>
    <w:p w14:paraId="07532008" w14:textId="77777777" w:rsidR="00E34BBC" w:rsidRPr="005616AE" w:rsidRDefault="00E34BBC" w:rsidP="00384F0C">
      <w:pPr>
        <w:pStyle w:val="ListParagraph"/>
        <w:numPr>
          <w:ilvl w:val="0"/>
          <w:numId w:val="74"/>
        </w:numPr>
        <w:spacing w:after="0" w:line="256" w:lineRule="auto"/>
      </w:pPr>
      <w:r w:rsidRPr="005616AE">
        <w:t xml:space="preserve">The ratio is converted into a percentage to simplify the comprehension of the yield gained during a certain </w:t>
      </w:r>
      <w:proofErr w:type="gramStart"/>
      <w:r w:rsidRPr="005616AE">
        <w:t>timeframe</w:t>
      </w:r>
      <w:proofErr w:type="gramEnd"/>
      <w:r w:rsidRPr="005616AE">
        <w:t xml:space="preserve"> like 1, 3, 5, 10 or 20 years.</w:t>
      </w:r>
    </w:p>
    <w:p w14:paraId="1B008CFA" w14:textId="77777777" w:rsidR="00E34BBC" w:rsidRPr="005616AE" w:rsidRDefault="00E34BBC" w:rsidP="00384F0C">
      <w:pPr>
        <w:pStyle w:val="ListParagraph"/>
        <w:numPr>
          <w:ilvl w:val="0"/>
          <w:numId w:val="74"/>
        </w:numPr>
        <w:spacing w:after="0" w:line="256" w:lineRule="auto"/>
      </w:pPr>
      <w:r w:rsidRPr="005616AE">
        <w:t xml:space="preserve">A company is profitable if it has a positive ROI which means that its profits exceed its expenses whereas a negative ROI means expenses outweigh income. </w:t>
      </w:r>
    </w:p>
    <w:p w14:paraId="036C64FB" w14:textId="77777777" w:rsidR="00E34BBC" w:rsidRPr="005616AE" w:rsidRDefault="00E34BBC" w:rsidP="00EB6651">
      <w:pPr>
        <w:pStyle w:val="Heading2"/>
        <w:spacing w:after="0"/>
      </w:pPr>
      <w:bookmarkStart w:id="43" w:name="_Toc183211060"/>
      <w:r w:rsidRPr="005616AE">
        <w:t>ROI Overview of WiTricity’s Wireless Charging Technology</w:t>
      </w:r>
      <w:bookmarkEnd w:id="43"/>
    </w:p>
    <w:p w14:paraId="46F0D0EB" w14:textId="095F934C" w:rsidR="00E34BBC" w:rsidRPr="005616AE" w:rsidRDefault="00E34BBC" w:rsidP="00EB6651">
      <w:pPr>
        <w:spacing w:after="0"/>
      </w:pPr>
      <w:r w:rsidRPr="005616AE">
        <w:t>WiTricity is a pioneer in wireless EV charging technology. It is an extremely appealing investment prospect owing to its predictable and exponential ROI trajectory. The ROI for the first three years is -15.21% indicates the initial development and scaling efforts. Year 5 as EV adoption accelerates as ROI has increased dramatically to +35.47%. WiTricity's ROI jumps to +187.69% in Year 10 as wireless EV technology becomes more widely adopted. By Year 20 its worldwide supremacy in the EV sector yields an impressive ROI of +448.71%. The Key drivers of this development include rising worldwide EV adoption rates and critical patents that protect WiTricity's competitive advantage and the EV market's expected 20%+ CAGR. These elements put WiTricity in a strong position for long-term growth.</w:t>
      </w:r>
    </w:p>
    <w:tbl>
      <w:tblPr>
        <w:tblStyle w:val="TableGrid"/>
        <w:tblpPr w:leftFromText="180" w:rightFromText="180" w:vertAnchor="page" w:horzAnchor="margin" w:tblpY="9673"/>
        <w:tblW w:w="9351" w:type="dxa"/>
        <w:tblInd w:w="0" w:type="dxa"/>
        <w:tblLook w:val="04A0" w:firstRow="1" w:lastRow="0" w:firstColumn="1" w:lastColumn="0" w:noHBand="0" w:noVBand="1"/>
      </w:tblPr>
      <w:tblGrid>
        <w:gridCol w:w="2004"/>
        <w:gridCol w:w="7347"/>
      </w:tblGrid>
      <w:tr w:rsidR="00CA213C" w:rsidRPr="005616AE" w14:paraId="4BF990CC" w14:textId="77777777" w:rsidTr="00CA213C">
        <w:tc>
          <w:tcPr>
            <w:tcW w:w="2004" w:type="dxa"/>
            <w:tcBorders>
              <w:top w:val="single" w:sz="4" w:space="0" w:color="auto"/>
              <w:left w:val="single" w:sz="4" w:space="0" w:color="auto"/>
              <w:bottom w:val="single" w:sz="4" w:space="0" w:color="auto"/>
              <w:right w:val="single" w:sz="4" w:space="0" w:color="auto"/>
            </w:tcBorders>
            <w:hideMark/>
          </w:tcPr>
          <w:p w14:paraId="015BB560" w14:textId="77777777" w:rsidR="00CA213C" w:rsidRPr="005616AE" w:rsidRDefault="00CA213C" w:rsidP="00CA213C">
            <w:pPr>
              <w:spacing w:line="240" w:lineRule="auto"/>
            </w:pPr>
            <w:r w:rsidRPr="005616AE">
              <w:rPr>
                <w:b/>
                <w:bCs/>
              </w:rPr>
              <w:t>Time Period</w:t>
            </w:r>
          </w:p>
        </w:tc>
        <w:tc>
          <w:tcPr>
            <w:tcW w:w="7347" w:type="dxa"/>
            <w:tcBorders>
              <w:top w:val="single" w:sz="4" w:space="0" w:color="auto"/>
              <w:left w:val="single" w:sz="4" w:space="0" w:color="auto"/>
              <w:bottom w:val="single" w:sz="4" w:space="0" w:color="auto"/>
              <w:right w:val="single" w:sz="4" w:space="0" w:color="auto"/>
            </w:tcBorders>
            <w:hideMark/>
          </w:tcPr>
          <w:p w14:paraId="3649E597" w14:textId="77777777" w:rsidR="00CA213C" w:rsidRPr="005616AE" w:rsidRDefault="00CA213C" w:rsidP="00CA213C">
            <w:pPr>
              <w:spacing w:line="240" w:lineRule="auto"/>
            </w:pPr>
            <w:r w:rsidRPr="005616AE">
              <w:rPr>
                <w:b/>
                <w:bCs/>
              </w:rPr>
              <w:t>ROI %</w:t>
            </w:r>
          </w:p>
        </w:tc>
      </w:tr>
      <w:tr w:rsidR="00CA213C" w:rsidRPr="005616AE" w14:paraId="03F7768F" w14:textId="77777777" w:rsidTr="00CA213C">
        <w:tc>
          <w:tcPr>
            <w:tcW w:w="2004" w:type="dxa"/>
            <w:tcBorders>
              <w:top w:val="single" w:sz="4" w:space="0" w:color="auto"/>
              <w:left w:val="single" w:sz="4" w:space="0" w:color="auto"/>
              <w:bottom w:val="single" w:sz="4" w:space="0" w:color="auto"/>
              <w:right w:val="single" w:sz="4" w:space="0" w:color="auto"/>
            </w:tcBorders>
            <w:hideMark/>
          </w:tcPr>
          <w:p w14:paraId="4034B73A" w14:textId="77777777" w:rsidR="00CA213C" w:rsidRPr="005616AE" w:rsidRDefault="00CA213C" w:rsidP="00CA213C">
            <w:pPr>
              <w:spacing w:line="240" w:lineRule="auto"/>
            </w:pPr>
            <w:r w:rsidRPr="005616AE">
              <w:t>1 Year</w:t>
            </w:r>
          </w:p>
        </w:tc>
        <w:tc>
          <w:tcPr>
            <w:tcW w:w="7347" w:type="dxa"/>
            <w:tcBorders>
              <w:top w:val="single" w:sz="4" w:space="0" w:color="auto"/>
              <w:left w:val="single" w:sz="4" w:space="0" w:color="auto"/>
              <w:bottom w:val="single" w:sz="4" w:space="0" w:color="auto"/>
              <w:right w:val="single" w:sz="4" w:space="0" w:color="auto"/>
            </w:tcBorders>
            <w:hideMark/>
          </w:tcPr>
          <w:p w14:paraId="41661319" w14:textId="77777777" w:rsidR="00CA213C" w:rsidRPr="005616AE" w:rsidRDefault="00CA213C" w:rsidP="00CA213C">
            <w:pPr>
              <w:spacing w:line="240" w:lineRule="auto"/>
            </w:pPr>
            <w:r w:rsidRPr="005616AE">
              <w:t>-41.91%</w:t>
            </w:r>
          </w:p>
        </w:tc>
      </w:tr>
      <w:tr w:rsidR="00CA213C" w:rsidRPr="005616AE" w14:paraId="2933F1DE" w14:textId="77777777" w:rsidTr="00CA213C">
        <w:tc>
          <w:tcPr>
            <w:tcW w:w="2004" w:type="dxa"/>
            <w:tcBorders>
              <w:top w:val="single" w:sz="4" w:space="0" w:color="auto"/>
              <w:left w:val="single" w:sz="4" w:space="0" w:color="auto"/>
              <w:bottom w:val="single" w:sz="4" w:space="0" w:color="auto"/>
              <w:right w:val="single" w:sz="4" w:space="0" w:color="auto"/>
            </w:tcBorders>
            <w:hideMark/>
          </w:tcPr>
          <w:p w14:paraId="478C0292" w14:textId="77777777" w:rsidR="00CA213C" w:rsidRPr="005616AE" w:rsidRDefault="00CA213C" w:rsidP="00CA213C">
            <w:pPr>
              <w:spacing w:line="240" w:lineRule="auto"/>
            </w:pPr>
            <w:r w:rsidRPr="005616AE">
              <w:t>3 Years</w:t>
            </w:r>
          </w:p>
        </w:tc>
        <w:tc>
          <w:tcPr>
            <w:tcW w:w="7347" w:type="dxa"/>
            <w:tcBorders>
              <w:top w:val="single" w:sz="4" w:space="0" w:color="auto"/>
              <w:left w:val="single" w:sz="4" w:space="0" w:color="auto"/>
              <w:bottom w:val="single" w:sz="4" w:space="0" w:color="auto"/>
              <w:right w:val="single" w:sz="4" w:space="0" w:color="auto"/>
            </w:tcBorders>
            <w:hideMark/>
          </w:tcPr>
          <w:p w14:paraId="614B84D6" w14:textId="77777777" w:rsidR="00CA213C" w:rsidRPr="005616AE" w:rsidRDefault="00CA213C" w:rsidP="00CA213C">
            <w:pPr>
              <w:spacing w:line="240" w:lineRule="auto"/>
            </w:pPr>
            <w:r w:rsidRPr="005616AE">
              <w:t>-34.31% (Initial development phase)</w:t>
            </w:r>
          </w:p>
        </w:tc>
      </w:tr>
      <w:tr w:rsidR="00CA213C" w:rsidRPr="005616AE" w14:paraId="136872FD" w14:textId="77777777" w:rsidTr="00CA213C">
        <w:tc>
          <w:tcPr>
            <w:tcW w:w="2004" w:type="dxa"/>
            <w:tcBorders>
              <w:top w:val="single" w:sz="4" w:space="0" w:color="auto"/>
              <w:left w:val="single" w:sz="4" w:space="0" w:color="auto"/>
              <w:bottom w:val="single" w:sz="4" w:space="0" w:color="auto"/>
              <w:right w:val="single" w:sz="4" w:space="0" w:color="auto"/>
            </w:tcBorders>
            <w:hideMark/>
          </w:tcPr>
          <w:p w14:paraId="48D2893F" w14:textId="77777777" w:rsidR="00CA213C" w:rsidRPr="005616AE" w:rsidRDefault="00CA213C" w:rsidP="00CA213C">
            <w:pPr>
              <w:spacing w:line="240" w:lineRule="auto"/>
            </w:pPr>
            <w:r w:rsidRPr="005616AE">
              <w:t>5 Years</w:t>
            </w:r>
          </w:p>
        </w:tc>
        <w:tc>
          <w:tcPr>
            <w:tcW w:w="7347" w:type="dxa"/>
            <w:tcBorders>
              <w:top w:val="single" w:sz="4" w:space="0" w:color="auto"/>
              <w:left w:val="single" w:sz="4" w:space="0" w:color="auto"/>
              <w:bottom w:val="single" w:sz="4" w:space="0" w:color="auto"/>
              <w:right w:val="single" w:sz="4" w:space="0" w:color="auto"/>
            </w:tcBorders>
            <w:hideMark/>
          </w:tcPr>
          <w:p w14:paraId="4FE8072F" w14:textId="77777777" w:rsidR="00CA213C" w:rsidRPr="005616AE" w:rsidRDefault="00CA213C" w:rsidP="00CA213C">
            <w:pPr>
              <w:spacing w:line="240" w:lineRule="auto"/>
            </w:pPr>
            <w:r w:rsidRPr="005616AE">
              <w:t>8.14% (Early adoption and scaling phase)</w:t>
            </w:r>
          </w:p>
        </w:tc>
      </w:tr>
      <w:tr w:rsidR="00CA213C" w:rsidRPr="005616AE" w14:paraId="0BBD137D" w14:textId="77777777" w:rsidTr="00CA213C">
        <w:tc>
          <w:tcPr>
            <w:tcW w:w="2004" w:type="dxa"/>
            <w:tcBorders>
              <w:top w:val="single" w:sz="4" w:space="0" w:color="auto"/>
              <w:left w:val="single" w:sz="4" w:space="0" w:color="auto"/>
              <w:bottom w:val="single" w:sz="4" w:space="0" w:color="auto"/>
              <w:right w:val="single" w:sz="4" w:space="0" w:color="auto"/>
            </w:tcBorders>
            <w:hideMark/>
          </w:tcPr>
          <w:p w14:paraId="29101061" w14:textId="77777777" w:rsidR="00CA213C" w:rsidRPr="005616AE" w:rsidRDefault="00CA213C" w:rsidP="00CA213C">
            <w:pPr>
              <w:spacing w:line="240" w:lineRule="auto"/>
            </w:pPr>
            <w:r w:rsidRPr="005616AE">
              <w:t>10 Years</w:t>
            </w:r>
          </w:p>
        </w:tc>
        <w:tc>
          <w:tcPr>
            <w:tcW w:w="7347" w:type="dxa"/>
            <w:tcBorders>
              <w:top w:val="single" w:sz="4" w:space="0" w:color="auto"/>
              <w:left w:val="single" w:sz="4" w:space="0" w:color="auto"/>
              <w:bottom w:val="single" w:sz="4" w:space="0" w:color="auto"/>
              <w:right w:val="single" w:sz="4" w:space="0" w:color="auto"/>
            </w:tcBorders>
            <w:hideMark/>
          </w:tcPr>
          <w:p w14:paraId="6851231E" w14:textId="77777777" w:rsidR="00CA213C" w:rsidRPr="005616AE" w:rsidRDefault="00CA213C" w:rsidP="00CA213C">
            <w:pPr>
              <w:spacing w:line="240" w:lineRule="auto"/>
            </w:pPr>
            <w:r w:rsidRPr="005616AE">
              <w:t>114.14% (Mainstream adoption of wireless EV technology)</w:t>
            </w:r>
          </w:p>
        </w:tc>
      </w:tr>
      <w:tr w:rsidR="00CA213C" w:rsidRPr="005616AE" w14:paraId="3ED8DC81" w14:textId="77777777" w:rsidTr="00CA213C">
        <w:tc>
          <w:tcPr>
            <w:tcW w:w="2004" w:type="dxa"/>
            <w:tcBorders>
              <w:top w:val="single" w:sz="4" w:space="0" w:color="auto"/>
              <w:left w:val="single" w:sz="4" w:space="0" w:color="auto"/>
              <w:bottom w:val="single" w:sz="4" w:space="0" w:color="auto"/>
              <w:right w:val="single" w:sz="4" w:space="0" w:color="auto"/>
            </w:tcBorders>
            <w:hideMark/>
          </w:tcPr>
          <w:p w14:paraId="6FA150DD" w14:textId="77777777" w:rsidR="00CA213C" w:rsidRPr="005616AE" w:rsidRDefault="00CA213C" w:rsidP="00CA213C">
            <w:pPr>
              <w:spacing w:line="240" w:lineRule="auto"/>
            </w:pPr>
            <w:r w:rsidRPr="005616AE">
              <w:t>20 Years</w:t>
            </w:r>
          </w:p>
        </w:tc>
        <w:tc>
          <w:tcPr>
            <w:tcW w:w="7347" w:type="dxa"/>
            <w:tcBorders>
              <w:top w:val="single" w:sz="4" w:space="0" w:color="auto"/>
              <w:left w:val="single" w:sz="4" w:space="0" w:color="auto"/>
              <w:bottom w:val="single" w:sz="4" w:space="0" w:color="auto"/>
              <w:right w:val="single" w:sz="4" w:space="0" w:color="auto"/>
            </w:tcBorders>
            <w:hideMark/>
          </w:tcPr>
          <w:p w14:paraId="1AA81FCE" w14:textId="77777777" w:rsidR="00CA213C" w:rsidRPr="005616AE" w:rsidRDefault="00CA213C" w:rsidP="00CA213C">
            <w:pPr>
              <w:spacing w:line="240" w:lineRule="auto"/>
            </w:pPr>
            <w:r w:rsidRPr="005616AE">
              <w:t>448.71% (Global dominance in EV wireless charging technology)</w:t>
            </w:r>
          </w:p>
        </w:tc>
      </w:tr>
    </w:tbl>
    <w:p w14:paraId="30EE46DA" w14:textId="77777777" w:rsidR="00DC087F" w:rsidRPr="005616AE" w:rsidRDefault="00E34BBC" w:rsidP="00B244C1">
      <w:pPr>
        <w:rPr>
          <w:rFonts w:asciiTheme="majorHAnsi" w:eastAsiaTheme="majorEastAsia" w:hAnsiTheme="majorHAnsi" w:cstheme="majorBidi"/>
          <w:color w:val="0F4761" w:themeColor="accent1" w:themeShade="BF"/>
          <w:kern w:val="0"/>
          <w:sz w:val="44"/>
          <w:szCs w:val="44"/>
          <w14:ligatures w14:val="none"/>
        </w:rPr>
      </w:pPr>
      <w:r w:rsidRPr="005616AE">
        <w:rPr>
          <w:rFonts w:asciiTheme="majorHAnsi" w:eastAsiaTheme="majorEastAsia" w:hAnsiTheme="majorHAnsi" w:cstheme="majorBidi"/>
          <w:color w:val="0F4761" w:themeColor="accent1" w:themeShade="BF"/>
          <w:kern w:val="0"/>
          <w:sz w:val="44"/>
          <w:szCs w:val="44"/>
          <w14:ligatures w14:val="none"/>
        </w:rPr>
        <w:br w:type="page"/>
      </w:r>
    </w:p>
    <w:p w14:paraId="43610656" w14:textId="77777777" w:rsidR="00DC087F" w:rsidRPr="005616AE" w:rsidRDefault="00DC087F" w:rsidP="00DC087F">
      <w:pPr>
        <w:pStyle w:val="Heading1"/>
      </w:pPr>
      <w:bookmarkStart w:id="44" w:name="_Toc183211061"/>
      <w:r w:rsidRPr="005616AE">
        <w:lastRenderedPageBreak/>
        <w:t>Revenue Streams</w:t>
      </w:r>
      <w:bookmarkEnd w:id="44"/>
    </w:p>
    <w:p w14:paraId="7C3CEA67" w14:textId="77777777" w:rsidR="00DC087F" w:rsidRPr="005616AE" w:rsidRDefault="00DC087F" w:rsidP="00DC087F"/>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1564"/>
        <w:gridCol w:w="1512"/>
        <w:gridCol w:w="1512"/>
        <w:gridCol w:w="1608"/>
        <w:gridCol w:w="1608"/>
      </w:tblGrid>
      <w:tr w:rsidR="00DC087F" w:rsidRPr="005616AE" w14:paraId="521A899E" w14:textId="77777777" w:rsidTr="00DC0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7F97777" w14:textId="77777777" w:rsidR="00DC087F" w:rsidRPr="005616AE" w:rsidRDefault="00DC087F" w:rsidP="0069633B">
            <w:r w:rsidRPr="005616AE">
              <w:t>Revenue Stream\Year</w:t>
            </w:r>
          </w:p>
        </w:tc>
        <w:tc>
          <w:tcPr>
            <w:tcW w:w="1564" w:type="dxa"/>
          </w:tcPr>
          <w:p w14:paraId="4868E86C"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1</w:t>
            </w:r>
          </w:p>
        </w:tc>
        <w:tc>
          <w:tcPr>
            <w:tcW w:w="1512" w:type="dxa"/>
          </w:tcPr>
          <w:p w14:paraId="7BA9490E"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3</w:t>
            </w:r>
          </w:p>
        </w:tc>
        <w:tc>
          <w:tcPr>
            <w:tcW w:w="1512" w:type="dxa"/>
          </w:tcPr>
          <w:p w14:paraId="2864856A"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5</w:t>
            </w:r>
          </w:p>
        </w:tc>
        <w:tc>
          <w:tcPr>
            <w:tcW w:w="1608" w:type="dxa"/>
          </w:tcPr>
          <w:p w14:paraId="335EF991"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10</w:t>
            </w:r>
          </w:p>
        </w:tc>
        <w:tc>
          <w:tcPr>
            <w:tcW w:w="1608" w:type="dxa"/>
          </w:tcPr>
          <w:p w14:paraId="5D990325"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20</w:t>
            </w:r>
          </w:p>
        </w:tc>
      </w:tr>
      <w:tr w:rsidR="00DC087F" w:rsidRPr="005616AE" w14:paraId="47325597"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5F1E50CE" w14:textId="77777777" w:rsidR="00DC087F" w:rsidRPr="005616AE" w:rsidRDefault="00DC087F" w:rsidP="0069633B">
            <w:pPr>
              <w:spacing w:line="240" w:lineRule="auto"/>
              <w:rPr>
                <w:rFonts w:cs="Calibri"/>
                <w:color w:val="000000"/>
                <w:sz w:val="24"/>
                <w:szCs w:val="24"/>
              </w:rPr>
            </w:pPr>
            <w:r w:rsidRPr="005616AE">
              <w:rPr>
                <w:rFonts w:cs="Calibri"/>
                <w:color w:val="000000"/>
              </w:rPr>
              <w:t>Charging Equipment Sales</w:t>
            </w:r>
          </w:p>
          <w:p w14:paraId="290EE9F2" w14:textId="77777777" w:rsidR="00DC087F" w:rsidRPr="005616AE" w:rsidRDefault="00DC087F" w:rsidP="0069633B"/>
        </w:tc>
        <w:tc>
          <w:tcPr>
            <w:tcW w:w="1564" w:type="dxa"/>
          </w:tcPr>
          <w:p w14:paraId="3C31AD19"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25,000,000.00 </w:t>
            </w:r>
          </w:p>
        </w:tc>
        <w:tc>
          <w:tcPr>
            <w:tcW w:w="1512" w:type="dxa"/>
          </w:tcPr>
          <w:p w14:paraId="58CA7D29"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36,000,000.00 </w:t>
            </w:r>
          </w:p>
        </w:tc>
        <w:tc>
          <w:tcPr>
            <w:tcW w:w="1512" w:type="dxa"/>
          </w:tcPr>
          <w:p w14:paraId="6B306901"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51,840,000.00 </w:t>
            </w:r>
          </w:p>
        </w:tc>
        <w:tc>
          <w:tcPr>
            <w:tcW w:w="1608" w:type="dxa"/>
          </w:tcPr>
          <w:p w14:paraId="3B3946C5"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129,000,000.00 </w:t>
            </w:r>
          </w:p>
        </w:tc>
        <w:tc>
          <w:tcPr>
            <w:tcW w:w="1608" w:type="dxa"/>
          </w:tcPr>
          <w:p w14:paraId="1F5CD3B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249,510,000.00 </w:t>
            </w:r>
          </w:p>
        </w:tc>
      </w:tr>
      <w:tr w:rsidR="00DC087F" w:rsidRPr="005616AE" w14:paraId="745B19D8" w14:textId="77777777" w:rsidTr="00DC087F">
        <w:tc>
          <w:tcPr>
            <w:cnfStyle w:val="001000000000" w:firstRow="0" w:lastRow="0" w:firstColumn="1" w:lastColumn="0" w:oddVBand="0" w:evenVBand="0" w:oddHBand="0" w:evenHBand="0" w:firstRowFirstColumn="0" w:firstRowLastColumn="0" w:lastRowFirstColumn="0" w:lastRowLastColumn="0"/>
            <w:tcW w:w="1546" w:type="dxa"/>
          </w:tcPr>
          <w:p w14:paraId="710A5A58" w14:textId="77777777" w:rsidR="00DC087F" w:rsidRPr="005616AE" w:rsidRDefault="00DC087F" w:rsidP="0069633B">
            <w:r w:rsidRPr="005616AE">
              <w:rPr>
                <w:rFonts w:cs="Calibri"/>
                <w:color w:val="000000"/>
              </w:rPr>
              <w:t>Advertising and Sponsorship</w:t>
            </w:r>
          </w:p>
        </w:tc>
        <w:tc>
          <w:tcPr>
            <w:tcW w:w="1564" w:type="dxa"/>
          </w:tcPr>
          <w:p w14:paraId="3538CFAA"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250,000.00 </w:t>
            </w:r>
          </w:p>
        </w:tc>
        <w:tc>
          <w:tcPr>
            <w:tcW w:w="1512" w:type="dxa"/>
          </w:tcPr>
          <w:p w14:paraId="5F838399"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310,000.00 </w:t>
            </w:r>
          </w:p>
        </w:tc>
        <w:tc>
          <w:tcPr>
            <w:tcW w:w="1512" w:type="dxa"/>
          </w:tcPr>
          <w:p w14:paraId="535C726D"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390,000.00 </w:t>
            </w:r>
          </w:p>
        </w:tc>
        <w:tc>
          <w:tcPr>
            <w:tcW w:w="1608" w:type="dxa"/>
          </w:tcPr>
          <w:p w14:paraId="1C9EA461"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680,000.00 </w:t>
            </w:r>
          </w:p>
        </w:tc>
        <w:tc>
          <w:tcPr>
            <w:tcW w:w="1608" w:type="dxa"/>
          </w:tcPr>
          <w:p w14:paraId="0D14DC7B"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2,120,000.00 </w:t>
            </w:r>
          </w:p>
        </w:tc>
      </w:tr>
      <w:tr w:rsidR="00DC087F" w:rsidRPr="005616AE" w14:paraId="793983FD"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5FB7864" w14:textId="77777777" w:rsidR="00DC087F" w:rsidRPr="005616AE" w:rsidRDefault="00DC087F" w:rsidP="0069633B">
            <w:r w:rsidRPr="005616AE">
              <w:rPr>
                <w:rFonts w:cs="Calibri"/>
                <w:color w:val="000000"/>
              </w:rPr>
              <w:t>Income from Running Charging Stations</w:t>
            </w:r>
          </w:p>
        </w:tc>
        <w:tc>
          <w:tcPr>
            <w:tcW w:w="1564" w:type="dxa"/>
          </w:tcPr>
          <w:p w14:paraId="7B467728"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7,500,000.00 </w:t>
            </w:r>
          </w:p>
        </w:tc>
        <w:tc>
          <w:tcPr>
            <w:tcW w:w="1512" w:type="dxa"/>
          </w:tcPr>
          <w:p w14:paraId="595629C6"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9,920,000.00 </w:t>
            </w:r>
          </w:p>
        </w:tc>
        <w:tc>
          <w:tcPr>
            <w:tcW w:w="1512" w:type="dxa"/>
          </w:tcPr>
          <w:p w14:paraId="598D6EAA"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13,130,000.00 </w:t>
            </w:r>
          </w:p>
        </w:tc>
        <w:tc>
          <w:tcPr>
            <w:tcW w:w="1608" w:type="dxa"/>
          </w:tcPr>
          <w:p w14:paraId="21DB528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26,390,000.00 </w:t>
            </w:r>
          </w:p>
        </w:tc>
        <w:tc>
          <w:tcPr>
            <w:tcW w:w="1608" w:type="dxa"/>
          </w:tcPr>
          <w:p w14:paraId="75F954DC"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60,760,000.00 </w:t>
            </w:r>
          </w:p>
        </w:tc>
      </w:tr>
      <w:tr w:rsidR="00DC087F" w:rsidRPr="005616AE" w14:paraId="5167CC03" w14:textId="77777777" w:rsidTr="00DC087F">
        <w:tc>
          <w:tcPr>
            <w:cnfStyle w:val="001000000000" w:firstRow="0" w:lastRow="0" w:firstColumn="1" w:lastColumn="0" w:oddVBand="0" w:evenVBand="0" w:oddHBand="0" w:evenHBand="0" w:firstRowFirstColumn="0" w:firstRowLastColumn="0" w:lastRowFirstColumn="0" w:lastRowLastColumn="0"/>
            <w:tcW w:w="1546" w:type="dxa"/>
          </w:tcPr>
          <w:p w14:paraId="2E897BB8" w14:textId="77777777" w:rsidR="00DC087F" w:rsidRPr="005616AE" w:rsidRDefault="00DC087F" w:rsidP="0069633B">
            <w:r w:rsidRPr="005616AE">
              <w:rPr>
                <w:rFonts w:cs="Calibri"/>
                <w:color w:val="000000"/>
              </w:rPr>
              <w:t>EV Charging Fees</w:t>
            </w:r>
          </w:p>
        </w:tc>
        <w:tc>
          <w:tcPr>
            <w:tcW w:w="1564" w:type="dxa"/>
          </w:tcPr>
          <w:p w14:paraId="6B5C1097"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12,240,000.00 </w:t>
            </w:r>
          </w:p>
        </w:tc>
        <w:tc>
          <w:tcPr>
            <w:tcW w:w="1512" w:type="dxa"/>
          </w:tcPr>
          <w:p w14:paraId="45F56D63"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19,100,000.00 </w:t>
            </w:r>
          </w:p>
        </w:tc>
        <w:tc>
          <w:tcPr>
            <w:tcW w:w="1512" w:type="dxa"/>
          </w:tcPr>
          <w:p w14:paraId="7372449B"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27,810,000.00 </w:t>
            </w:r>
          </w:p>
        </w:tc>
        <w:tc>
          <w:tcPr>
            <w:tcW w:w="1608" w:type="dxa"/>
          </w:tcPr>
          <w:p w14:paraId="01BEDFC1"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56,730,000.00 </w:t>
            </w:r>
          </w:p>
        </w:tc>
        <w:tc>
          <w:tcPr>
            <w:tcW w:w="1608" w:type="dxa"/>
          </w:tcPr>
          <w:p w14:paraId="129AA2E4"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132,630,000.00 </w:t>
            </w:r>
          </w:p>
        </w:tc>
      </w:tr>
      <w:tr w:rsidR="00DC087F" w:rsidRPr="005616AE" w14:paraId="654F73FF"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60A6F00" w14:textId="77777777" w:rsidR="00DC087F" w:rsidRPr="005616AE" w:rsidRDefault="00DC087F" w:rsidP="0069633B">
            <w:r w:rsidRPr="005616AE">
              <w:rPr>
                <w:rFonts w:cs="Calibri"/>
                <w:color w:val="000000"/>
              </w:rPr>
              <w:t>Third-Party Contracts</w:t>
            </w:r>
          </w:p>
        </w:tc>
        <w:tc>
          <w:tcPr>
            <w:tcW w:w="1564" w:type="dxa"/>
          </w:tcPr>
          <w:p w14:paraId="295119A9"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4,000,000.00 </w:t>
            </w:r>
          </w:p>
        </w:tc>
        <w:tc>
          <w:tcPr>
            <w:tcW w:w="1512" w:type="dxa"/>
          </w:tcPr>
          <w:p w14:paraId="275226E3"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4,840,000.00 </w:t>
            </w:r>
          </w:p>
        </w:tc>
        <w:tc>
          <w:tcPr>
            <w:tcW w:w="1512" w:type="dxa"/>
          </w:tcPr>
          <w:p w14:paraId="15AA98AD"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5,860,000.00 </w:t>
            </w:r>
          </w:p>
        </w:tc>
        <w:tc>
          <w:tcPr>
            <w:tcW w:w="1608" w:type="dxa"/>
          </w:tcPr>
          <w:p w14:paraId="4CAFDFE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9,410,000.00 </w:t>
            </w:r>
          </w:p>
        </w:tc>
        <w:tc>
          <w:tcPr>
            <w:tcW w:w="1608" w:type="dxa"/>
          </w:tcPr>
          <w:p w14:paraId="122D0CC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24,470,000.00 </w:t>
            </w:r>
          </w:p>
        </w:tc>
      </w:tr>
      <w:tr w:rsidR="00DC087F" w:rsidRPr="005616AE" w14:paraId="32F4E939" w14:textId="77777777" w:rsidTr="00DC087F">
        <w:tc>
          <w:tcPr>
            <w:cnfStyle w:val="001000000000" w:firstRow="0" w:lastRow="0" w:firstColumn="1" w:lastColumn="0" w:oddVBand="0" w:evenVBand="0" w:oddHBand="0" w:evenHBand="0" w:firstRowFirstColumn="0" w:firstRowLastColumn="0" w:lastRowFirstColumn="0" w:lastRowLastColumn="0"/>
            <w:tcW w:w="1546" w:type="dxa"/>
          </w:tcPr>
          <w:p w14:paraId="3421F1B4" w14:textId="77777777" w:rsidR="00DC087F" w:rsidRPr="005616AE" w:rsidRDefault="00DC087F" w:rsidP="0069633B">
            <w:r w:rsidRPr="005616AE">
              <w:rPr>
                <w:rFonts w:cs="Calibri"/>
                <w:color w:val="000000"/>
              </w:rPr>
              <w:t>Government Subsidies</w:t>
            </w:r>
          </w:p>
        </w:tc>
        <w:tc>
          <w:tcPr>
            <w:tcW w:w="1564" w:type="dxa"/>
          </w:tcPr>
          <w:p w14:paraId="154247BB"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5,000,000.00 </w:t>
            </w:r>
          </w:p>
        </w:tc>
        <w:tc>
          <w:tcPr>
            <w:tcW w:w="1512" w:type="dxa"/>
          </w:tcPr>
          <w:p w14:paraId="2AC69366"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c>
          <w:tcPr>
            <w:tcW w:w="1512" w:type="dxa"/>
          </w:tcPr>
          <w:p w14:paraId="1F1167F4"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c>
          <w:tcPr>
            <w:tcW w:w="1608" w:type="dxa"/>
          </w:tcPr>
          <w:p w14:paraId="79CDC272"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c>
          <w:tcPr>
            <w:tcW w:w="1608" w:type="dxa"/>
          </w:tcPr>
          <w:p w14:paraId="65A98234"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r>
      <w:tr w:rsidR="00DC087F" w:rsidRPr="005616AE" w14:paraId="7C759059"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78A3EB7F" w14:textId="77777777" w:rsidR="00DC087F" w:rsidRPr="005616AE" w:rsidRDefault="00DC087F" w:rsidP="0069633B">
            <w:pPr>
              <w:rPr>
                <w:rFonts w:cs="Calibri"/>
                <w:color w:val="000000"/>
              </w:rPr>
            </w:pPr>
            <w:r w:rsidRPr="005616AE">
              <w:rPr>
                <w:rFonts w:cs="Calibri"/>
                <w:color w:val="000000"/>
              </w:rPr>
              <w:t>Total Revenue</w:t>
            </w:r>
          </w:p>
        </w:tc>
        <w:tc>
          <w:tcPr>
            <w:tcW w:w="1564" w:type="dxa"/>
          </w:tcPr>
          <w:p w14:paraId="438E656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$53,990,000</w:t>
            </w:r>
          </w:p>
        </w:tc>
        <w:tc>
          <w:tcPr>
            <w:tcW w:w="1512" w:type="dxa"/>
          </w:tcPr>
          <w:p w14:paraId="48D489B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$70,170,000</w:t>
            </w:r>
          </w:p>
        </w:tc>
        <w:tc>
          <w:tcPr>
            <w:tcW w:w="1512" w:type="dxa"/>
          </w:tcPr>
          <w:p w14:paraId="1CB409E6"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$99,030,000</w:t>
            </w:r>
          </w:p>
        </w:tc>
        <w:tc>
          <w:tcPr>
            <w:tcW w:w="1608" w:type="dxa"/>
          </w:tcPr>
          <w:p w14:paraId="41EC7CEB"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$189,550,000</w:t>
            </w:r>
          </w:p>
        </w:tc>
        <w:tc>
          <w:tcPr>
            <w:tcW w:w="1608" w:type="dxa"/>
          </w:tcPr>
          <w:p w14:paraId="28811E56"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$469,490,000</w:t>
            </w:r>
          </w:p>
        </w:tc>
      </w:tr>
    </w:tbl>
    <w:p w14:paraId="452F8EA2" w14:textId="77777777" w:rsidR="00DC087F" w:rsidRPr="005616AE" w:rsidRDefault="00DC087F" w:rsidP="00DC087F"/>
    <w:p w14:paraId="4C7FB0B2" w14:textId="77777777" w:rsidR="00DC087F" w:rsidRPr="005616AE" w:rsidRDefault="00DC087F" w:rsidP="00DC087F"/>
    <w:p w14:paraId="59AA8051" w14:textId="77777777" w:rsidR="00DC087F" w:rsidRPr="005616AE" w:rsidRDefault="00DC087F" w:rsidP="00DC087F">
      <w:pPr>
        <w:pStyle w:val="Heading1"/>
      </w:pPr>
      <w:bookmarkStart w:id="45" w:name="_Toc183211062"/>
      <w:r w:rsidRPr="005616AE">
        <w:t>Total Expenses</w:t>
      </w:r>
      <w:bookmarkEnd w:id="45"/>
    </w:p>
    <w:tbl>
      <w:tblPr>
        <w:tblStyle w:val="PlainTable4"/>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608"/>
        <w:gridCol w:w="1665"/>
        <w:gridCol w:w="1608"/>
        <w:gridCol w:w="1608"/>
        <w:gridCol w:w="1653"/>
      </w:tblGrid>
      <w:tr w:rsidR="00DC087F" w:rsidRPr="005616AE" w14:paraId="255541DC" w14:textId="77777777" w:rsidTr="00DC0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7D099397" w14:textId="77777777" w:rsidR="00DC087F" w:rsidRPr="005616AE" w:rsidRDefault="00DC087F" w:rsidP="0069633B">
            <w:pPr>
              <w:spacing w:line="240" w:lineRule="auto"/>
              <w:rPr>
                <w:rFonts w:cs="Calibri"/>
              </w:rPr>
            </w:pPr>
            <w:r w:rsidRPr="005616AE">
              <w:rPr>
                <w:rFonts w:cs="Calibri"/>
              </w:rPr>
              <w:t>Expenses\Years</w:t>
            </w:r>
          </w:p>
        </w:tc>
        <w:tc>
          <w:tcPr>
            <w:tcW w:w="1503" w:type="dxa"/>
          </w:tcPr>
          <w:p w14:paraId="737004D5"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1</w:t>
            </w:r>
          </w:p>
        </w:tc>
        <w:tc>
          <w:tcPr>
            <w:tcW w:w="1503" w:type="dxa"/>
          </w:tcPr>
          <w:p w14:paraId="2B765EAF"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3</w:t>
            </w:r>
          </w:p>
        </w:tc>
        <w:tc>
          <w:tcPr>
            <w:tcW w:w="1497" w:type="dxa"/>
          </w:tcPr>
          <w:p w14:paraId="771B2A6D"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5</w:t>
            </w:r>
          </w:p>
        </w:tc>
        <w:tc>
          <w:tcPr>
            <w:tcW w:w="1497" w:type="dxa"/>
          </w:tcPr>
          <w:p w14:paraId="6837830B"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10</w:t>
            </w:r>
          </w:p>
        </w:tc>
        <w:tc>
          <w:tcPr>
            <w:tcW w:w="1793" w:type="dxa"/>
          </w:tcPr>
          <w:p w14:paraId="34AB291E" w14:textId="77777777" w:rsidR="00DC087F" w:rsidRPr="005616AE" w:rsidRDefault="00DC087F" w:rsidP="0069633B">
            <w:pPr>
              <w:cnfStyle w:val="100000000000" w:firstRow="1" w:lastRow="0" w:firstColumn="0" w:lastColumn="0" w:oddVBand="0" w:evenVBand="0" w:oddHBand="0" w:evenHBand="0" w:firstRowFirstColumn="0" w:firstRowLastColumn="0" w:lastRowFirstColumn="0" w:lastRowLastColumn="0"/>
            </w:pPr>
            <w:r w:rsidRPr="005616AE">
              <w:t>Year 20</w:t>
            </w:r>
          </w:p>
        </w:tc>
      </w:tr>
      <w:tr w:rsidR="00DC087F" w:rsidRPr="005616AE" w14:paraId="6A686F2A"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52CC6638" w14:textId="77777777" w:rsidR="00DC087F" w:rsidRPr="005616AE" w:rsidRDefault="00DC087F" w:rsidP="0069633B">
            <w:pPr>
              <w:spacing w:line="240" w:lineRule="auto"/>
              <w:rPr>
                <w:rFonts w:cs="Calibri"/>
                <w:sz w:val="24"/>
                <w:szCs w:val="24"/>
              </w:rPr>
            </w:pPr>
            <w:r w:rsidRPr="005616AE">
              <w:rPr>
                <w:rFonts w:cs="Calibri"/>
              </w:rPr>
              <w:t>Interest Paid on Principal (3.75%)</w:t>
            </w:r>
          </w:p>
          <w:p w14:paraId="067A4F42" w14:textId="77777777" w:rsidR="00DC087F" w:rsidRPr="005616AE" w:rsidRDefault="00DC087F" w:rsidP="0069633B"/>
        </w:tc>
        <w:tc>
          <w:tcPr>
            <w:tcW w:w="1503" w:type="dxa"/>
          </w:tcPr>
          <w:p w14:paraId="1D3F5372"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$22,387,500.00 </w:t>
            </w:r>
          </w:p>
        </w:tc>
        <w:tc>
          <w:tcPr>
            <w:tcW w:w="1503" w:type="dxa"/>
          </w:tcPr>
          <w:p w14:paraId="2171064C"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22,387,500.00 </w:t>
            </w:r>
          </w:p>
        </w:tc>
        <w:tc>
          <w:tcPr>
            <w:tcW w:w="1497" w:type="dxa"/>
          </w:tcPr>
          <w:p w14:paraId="080B48D6"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22,387,500.00 </w:t>
            </w:r>
          </w:p>
        </w:tc>
        <w:tc>
          <w:tcPr>
            <w:tcW w:w="1497" w:type="dxa"/>
          </w:tcPr>
          <w:p w14:paraId="33F5E833"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22,387,500.00 </w:t>
            </w:r>
          </w:p>
        </w:tc>
        <w:tc>
          <w:tcPr>
            <w:tcW w:w="1793" w:type="dxa"/>
          </w:tcPr>
          <w:p w14:paraId="7BD9B7AD"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22,387,500.00 </w:t>
            </w:r>
          </w:p>
        </w:tc>
      </w:tr>
      <w:tr w:rsidR="00DC087F" w:rsidRPr="005616AE" w14:paraId="51A28CFB"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437DA042" w14:textId="77777777" w:rsidR="00DC087F" w:rsidRPr="005616AE" w:rsidRDefault="00DC087F" w:rsidP="0069633B">
            <w:pPr>
              <w:spacing w:line="240" w:lineRule="auto"/>
              <w:rPr>
                <w:rFonts w:cs="Calibri"/>
                <w:color w:val="000000"/>
                <w:sz w:val="24"/>
                <w:szCs w:val="24"/>
              </w:rPr>
            </w:pPr>
            <w:r w:rsidRPr="005616AE">
              <w:rPr>
                <w:rFonts w:cs="Calibri"/>
                <w:color w:val="000000"/>
              </w:rPr>
              <w:t>Legal fees</w:t>
            </w:r>
          </w:p>
          <w:p w14:paraId="4579E36F" w14:textId="77777777" w:rsidR="00DC087F" w:rsidRPr="005616AE" w:rsidRDefault="00DC087F" w:rsidP="0069633B"/>
        </w:tc>
        <w:tc>
          <w:tcPr>
            <w:tcW w:w="1503" w:type="dxa"/>
          </w:tcPr>
          <w:p w14:paraId="701702E5"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750,000.00 </w:t>
            </w:r>
          </w:p>
        </w:tc>
        <w:tc>
          <w:tcPr>
            <w:tcW w:w="1503" w:type="dxa"/>
          </w:tcPr>
          <w:p w14:paraId="3DD708C6"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780,300.00 </w:t>
            </w:r>
          </w:p>
        </w:tc>
        <w:tc>
          <w:tcPr>
            <w:tcW w:w="1497" w:type="dxa"/>
          </w:tcPr>
          <w:p w14:paraId="7D7857E3"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811,824.12 </w:t>
            </w:r>
          </w:p>
        </w:tc>
        <w:tc>
          <w:tcPr>
            <w:tcW w:w="1497" w:type="dxa"/>
          </w:tcPr>
          <w:p w14:paraId="0CD09601"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896,319.43 </w:t>
            </w:r>
          </w:p>
        </w:tc>
        <w:tc>
          <w:tcPr>
            <w:tcW w:w="1793" w:type="dxa"/>
          </w:tcPr>
          <w:p w14:paraId="391765A0"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1,092,608.38 </w:t>
            </w:r>
          </w:p>
        </w:tc>
      </w:tr>
      <w:tr w:rsidR="00DC087F" w:rsidRPr="005616AE" w14:paraId="3DBC788A"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64075B90" w14:textId="77777777" w:rsidR="00DC087F" w:rsidRPr="005616AE" w:rsidRDefault="00DC087F" w:rsidP="0069633B">
            <w:pPr>
              <w:spacing w:line="240" w:lineRule="auto"/>
              <w:rPr>
                <w:rFonts w:cs="Calibri"/>
                <w:color w:val="000000"/>
                <w:sz w:val="24"/>
                <w:szCs w:val="24"/>
              </w:rPr>
            </w:pPr>
            <w:r w:rsidRPr="005616AE">
              <w:rPr>
                <w:rFonts w:cs="Calibri"/>
                <w:color w:val="000000"/>
              </w:rPr>
              <w:t>Due diligence costs</w:t>
            </w:r>
          </w:p>
          <w:p w14:paraId="0950901D" w14:textId="77777777" w:rsidR="00DC087F" w:rsidRPr="005616AE" w:rsidRDefault="00DC087F" w:rsidP="0069633B"/>
        </w:tc>
        <w:tc>
          <w:tcPr>
            <w:tcW w:w="1503" w:type="dxa"/>
          </w:tcPr>
          <w:p w14:paraId="72B5521E"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3,000,000.00 </w:t>
            </w:r>
          </w:p>
        </w:tc>
        <w:tc>
          <w:tcPr>
            <w:tcW w:w="1503" w:type="dxa"/>
          </w:tcPr>
          <w:p w14:paraId="311C41D5"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3,121,200.00 </w:t>
            </w:r>
          </w:p>
        </w:tc>
        <w:tc>
          <w:tcPr>
            <w:tcW w:w="1497" w:type="dxa"/>
          </w:tcPr>
          <w:p w14:paraId="241668D0"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3,247,296.48 </w:t>
            </w:r>
          </w:p>
        </w:tc>
        <w:tc>
          <w:tcPr>
            <w:tcW w:w="1497" w:type="dxa"/>
          </w:tcPr>
          <w:p w14:paraId="0ABFC4A3"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3,585,277.71 </w:t>
            </w:r>
          </w:p>
        </w:tc>
        <w:tc>
          <w:tcPr>
            <w:tcW w:w="1793" w:type="dxa"/>
          </w:tcPr>
          <w:p w14:paraId="79E76938"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4,370,433.52 </w:t>
            </w:r>
          </w:p>
        </w:tc>
      </w:tr>
      <w:tr w:rsidR="00DC087F" w:rsidRPr="005616AE" w14:paraId="73D9E7A5"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02690EE4" w14:textId="77777777" w:rsidR="00DC087F" w:rsidRPr="005616AE" w:rsidRDefault="00DC087F" w:rsidP="0069633B">
            <w:pPr>
              <w:spacing w:line="240" w:lineRule="auto"/>
              <w:rPr>
                <w:rFonts w:cs="Calibri"/>
                <w:color w:val="000000"/>
                <w:sz w:val="24"/>
                <w:szCs w:val="24"/>
              </w:rPr>
            </w:pPr>
            <w:r w:rsidRPr="005616AE">
              <w:rPr>
                <w:rFonts w:cs="Calibri"/>
                <w:color w:val="000000"/>
              </w:rPr>
              <w:t xml:space="preserve">Consulting fees for </w:t>
            </w:r>
            <w:proofErr w:type="spellStart"/>
            <w:r w:rsidRPr="005616AE">
              <w:rPr>
                <w:rFonts w:cs="Calibri"/>
                <w:color w:val="000000"/>
              </w:rPr>
              <w:t>ProcessPro</w:t>
            </w:r>
            <w:proofErr w:type="spellEnd"/>
            <w:r w:rsidRPr="005616AE">
              <w:rPr>
                <w:rFonts w:cs="Calibri"/>
                <w:color w:val="000000"/>
              </w:rPr>
              <w:t xml:space="preserve"> Partners</w:t>
            </w:r>
          </w:p>
          <w:p w14:paraId="136D029E" w14:textId="77777777" w:rsidR="00DC087F" w:rsidRPr="005616AE" w:rsidRDefault="00DC087F" w:rsidP="0069633B"/>
        </w:tc>
        <w:tc>
          <w:tcPr>
            <w:tcW w:w="1503" w:type="dxa"/>
          </w:tcPr>
          <w:p w14:paraId="580A2D4F"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5,000,000.00 </w:t>
            </w:r>
          </w:p>
        </w:tc>
        <w:tc>
          <w:tcPr>
            <w:tcW w:w="1503" w:type="dxa"/>
          </w:tcPr>
          <w:p w14:paraId="19790C3D"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c>
          <w:tcPr>
            <w:tcW w:w="1497" w:type="dxa"/>
          </w:tcPr>
          <w:p w14:paraId="53D74026"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c>
          <w:tcPr>
            <w:tcW w:w="1497" w:type="dxa"/>
          </w:tcPr>
          <w:p w14:paraId="03C4D04B"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c>
          <w:tcPr>
            <w:tcW w:w="1793" w:type="dxa"/>
          </w:tcPr>
          <w:p w14:paraId="30778299"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   </w:t>
            </w:r>
          </w:p>
        </w:tc>
      </w:tr>
      <w:tr w:rsidR="00DC087F" w:rsidRPr="005616AE" w14:paraId="07397F35"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09988A66" w14:textId="77777777" w:rsidR="00DC087F" w:rsidRPr="005616AE" w:rsidRDefault="00DC087F" w:rsidP="0069633B">
            <w:pPr>
              <w:spacing w:line="240" w:lineRule="auto"/>
              <w:rPr>
                <w:rFonts w:cs="Calibri"/>
                <w:color w:val="000000"/>
                <w:sz w:val="24"/>
                <w:szCs w:val="24"/>
              </w:rPr>
            </w:pPr>
            <w:r w:rsidRPr="005616AE">
              <w:rPr>
                <w:rFonts w:cs="Calibri"/>
                <w:color w:val="000000"/>
              </w:rPr>
              <w:t>Government licensing fees</w:t>
            </w:r>
          </w:p>
          <w:p w14:paraId="3C021C6F" w14:textId="77777777" w:rsidR="00DC087F" w:rsidRPr="005616AE" w:rsidRDefault="00DC087F" w:rsidP="0069633B"/>
        </w:tc>
        <w:tc>
          <w:tcPr>
            <w:tcW w:w="1503" w:type="dxa"/>
          </w:tcPr>
          <w:p w14:paraId="38099CB3"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lastRenderedPageBreak/>
              <w:t xml:space="preserve"> $                   2,300.00 </w:t>
            </w:r>
          </w:p>
        </w:tc>
        <w:tc>
          <w:tcPr>
            <w:tcW w:w="1503" w:type="dxa"/>
          </w:tcPr>
          <w:p w14:paraId="63CD58B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515.00 </w:t>
            </w:r>
          </w:p>
        </w:tc>
        <w:tc>
          <w:tcPr>
            <w:tcW w:w="1497" w:type="dxa"/>
          </w:tcPr>
          <w:p w14:paraId="57D14E9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535.81 </w:t>
            </w:r>
          </w:p>
        </w:tc>
        <w:tc>
          <w:tcPr>
            <w:tcW w:w="1497" w:type="dxa"/>
          </w:tcPr>
          <w:p w14:paraId="13C06566"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591.57 </w:t>
            </w:r>
          </w:p>
        </w:tc>
        <w:tc>
          <w:tcPr>
            <w:tcW w:w="1793" w:type="dxa"/>
          </w:tcPr>
          <w:p w14:paraId="56FEC788"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721.12 </w:t>
            </w:r>
          </w:p>
        </w:tc>
      </w:tr>
      <w:tr w:rsidR="00DC087F" w:rsidRPr="005616AE" w14:paraId="5D4AD8EB"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43D1BCB7" w14:textId="77777777" w:rsidR="00DC087F" w:rsidRPr="005616AE" w:rsidRDefault="00DC087F" w:rsidP="0069633B">
            <w:pPr>
              <w:spacing w:line="240" w:lineRule="auto"/>
              <w:rPr>
                <w:rFonts w:cs="Calibri"/>
                <w:color w:val="000000"/>
                <w:sz w:val="24"/>
                <w:szCs w:val="24"/>
              </w:rPr>
            </w:pPr>
            <w:r w:rsidRPr="005616AE">
              <w:rPr>
                <w:rFonts w:cs="Calibri"/>
                <w:color w:val="000000"/>
              </w:rPr>
              <w:t>Maintenance and repairs</w:t>
            </w:r>
          </w:p>
          <w:p w14:paraId="6041959D" w14:textId="77777777" w:rsidR="00DC087F" w:rsidRPr="005616AE" w:rsidRDefault="00DC087F" w:rsidP="0069633B"/>
        </w:tc>
        <w:tc>
          <w:tcPr>
            <w:tcW w:w="1503" w:type="dxa"/>
          </w:tcPr>
          <w:p w14:paraId="4F159FC5"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175,800.00 </w:t>
            </w:r>
          </w:p>
        </w:tc>
        <w:tc>
          <w:tcPr>
            <w:tcW w:w="1503" w:type="dxa"/>
          </w:tcPr>
          <w:p w14:paraId="0B9F2C73"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182,902.32 </w:t>
            </w:r>
          </w:p>
        </w:tc>
        <w:tc>
          <w:tcPr>
            <w:tcW w:w="1497" w:type="dxa"/>
          </w:tcPr>
          <w:p w14:paraId="7478F01F"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190,291.57 </w:t>
            </w:r>
          </w:p>
        </w:tc>
        <w:tc>
          <w:tcPr>
            <w:tcW w:w="1497" w:type="dxa"/>
          </w:tcPr>
          <w:p w14:paraId="5EA0C5E1"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210,097.27 </w:t>
            </w:r>
          </w:p>
        </w:tc>
        <w:tc>
          <w:tcPr>
            <w:tcW w:w="1793" w:type="dxa"/>
          </w:tcPr>
          <w:p w14:paraId="58D422E0"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256,107.40 </w:t>
            </w:r>
          </w:p>
        </w:tc>
      </w:tr>
      <w:tr w:rsidR="00DC087F" w:rsidRPr="005616AE" w14:paraId="710648D7"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1B709EA4" w14:textId="77777777" w:rsidR="00DC087F" w:rsidRPr="005616AE" w:rsidRDefault="00DC087F" w:rsidP="0069633B">
            <w:pPr>
              <w:spacing w:line="240" w:lineRule="auto"/>
              <w:rPr>
                <w:rFonts w:cs="Calibri"/>
                <w:color w:val="000000"/>
                <w:sz w:val="24"/>
                <w:szCs w:val="24"/>
              </w:rPr>
            </w:pPr>
            <w:r w:rsidRPr="005616AE">
              <w:rPr>
                <w:rFonts w:cs="Calibri"/>
                <w:color w:val="000000"/>
              </w:rPr>
              <w:t>Equipment and machinery insurance</w:t>
            </w:r>
          </w:p>
          <w:p w14:paraId="4A82C94D" w14:textId="77777777" w:rsidR="00DC087F" w:rsidRPr="005616AE" w:rsidRDefault="00DC087F" w:rsidP="0069633B"/>
        </w:tc>
        <w:tc>
          <w:tcPr>
            <w:tcW w:w="1503" w:type="dxa"/>
          </w:tcPr>
          <w:p w14:paraId="16717301"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95,040.00 </w:t>
            </w:r>
          </w:p>
        </w:tc>
        <w:tc>
          <w:tcPr>
            <w:tcW w:w="1503" w:type="dxa"/>
          </w:tcPr>
          <w:p w14:paraId="1955B3A6"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98,879.62 </w:t>
            </w:r>
          </w:p>
        </w:tc>
        <w:tc>
          <w:tcPr>
            <w:tcW w:w="1497" w:type="dxa"/>
          </w:tcPr>
          <w:p w14:paraId="07D9A952"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102,874.35 </w:t>
            </w:r>
          </w:p>
        </w:tc>
        <w:tc>
          <w:tcPr>
            <w:tcW w:w="1497" w:type="dxa"/>
          </w:tcPr>
          <w:p w14:paraId="4441633D"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113,581.60 </w:t>
            </w:r>
          </w:p>
        </w:tc>
        <w:tc>
          <w:tcPr>
            <w:tcW w:w="1793" w:type="dxa"/>
          </w:tcPr>
          <w:p w14:paraId="1B88FAB2"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138,455.33 </w:t>
            </w:r>
          </w:p>
        </w:tc>
      </w:tr>
      <w:tr w:rsidR="00DC087F" w:rsidRPr="005616AE" w14:paraId="58CE49D5"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19255991" w14:textId="77777777" w:rsidR="00DC087F" w:rsidRPr="005616AE" w:rsidRDefault="00DC087F" w:rsidP="0069633B">
            <w:pPr>
              <w:spacing w:line="240" w:lineRule="auto"/>
              <w:rPr>
                <w:rFonts w:cs="Calibri"/>
                <w:color w:val="000000"/>
                <w:sz w:val="24"/>
                <w:szCs w:val="24"/>
              </w:rPr>
            </w:pPr>
            <w:r w:rsidRPr="005616AE">
              <w:rPr>
                <w:rFonts w:cs="Calibri"/>
                <w:color w:val="000000"/>
              </w:rPr>
              <w:t>Employee Payroll</w:t>
            </w:r>
          </w:p>
          <w:p w14:paraId="48E9D416" w14:textId="77777777" w:rsidR="00DC087F" w:rsidRPr="005616AE" w:rsidRDefault="00DC087F" w:rsidP="0069633B"/>
        </w:tc>
        <w:tc>
          <w:tcPr>
            <w:tcW w:w="1503" w:type="dxa"/>
          </w:tcPr>
          <w:p w14:paraId="4D7A239D"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ascii="Aptos Narrow" w:hAnsi="Aptos Narrow"/>
                <w:color w:val="000000"/>
              </w:rPr>
              <w:t xml:space="preserve"> $              19,354,638.00 </w:t>
            </w:r>
          </w:p>
        </w:tc>
        <w:tc>
          <w:tcPr>
            <w:tcW w:w="1503" w:type="dxa"/>
          </w:tcPr>
          <w:p w14:paraId="61B50CC8"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ascii="Aptos Narrow" w:hAnsi="Aptos Narrow"/>
                <w:color w:val="000000"/>
              </w:rPr>
              <w:t xml:space="preserve"> $             19,354,638.00 </w:t>
            </w:r>
          </w:p>
        </w:tc>
        <w:tc>
          <w:tcPr>
            <w:tcW w:w="1497" w:type="dxa"/>
          </w:tcPr>
          <w:p w14:paraId="79B8512F"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17,318,821.87 </w:t>
            </w:r>
          </w:p>
        </w:tc>
        <w:tc>
          <w:tcPr>
            <w:tcW w:w="1497" w:type="dxa"/>
          </w:tcPr>
          <w:p w14:paraId="2F0F73EF"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17,081,501.00 </w:t>
            </w:r>
          </w:p>
        </w:tc>
        <w:tc>
          <w:tcPr>
            <w:tcW w:w="1793" w:type="dxa"/>
          </w:tcPr>
          <w:p w14:paraId="7EDF550A"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20,522,752.00 </w:t>
            </w:r>
          </w:p>
        </w:tc>
      </w:tr>
      <w:tr w:rsidR="00DC087F" w:rsidRPr="005616AE" w14:paraId="57552CE3"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7CF34B1D" w14:textId="77777777" w:rsidR="00DC087F" w:rsidRPr="005616AE" w:rsidRDefault="00DC087F" w:rsidP="0069633B">
            <w:pPr>
              <w:spacing w:line="240" w:lineRule="auto"/>
              <w:rPr>
                <w:rFonts w:cs="Calibri"/>
                <w:sz w:val="24"/>
                <w:szCs w:val="24"/>
              </w:rPr>
            </w:pPr>
            <w:r w:rsidRPr="005616AE">
              <w:rPr>
                <w:rFonts w:cs="Calibri"/>
              </w:rPr>
              <w:t>Training and development programs</w:t>
            </w:r>
          </w:p>
          <w:p w14:paraId="1C959677" w14:textId="77777777" w:rsidR="00DC087F" w:rsidRPr="005616AE" w:rsidRDefault="00DC087F" w:rsidP="0069633B"/>
        </w:tc>
        <w:tc>
          <w:tcPr>
            <w:tcW w:w="1503" w:type="dxa"/>
          </w:tcPr>
          <w:p w14:paraId="31BA21AE"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37,000.00 </w:t>
            </w:r>
          </w:p>
        </w:tc>
        <w:tc>
          <w:tcPr>
            <w:tcW w:w="1503" w:type="dxa"/>
          </w:tcPr>
          <w:p w14:paraId="4CAAF0DE"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33,392.50 </w:t>
            </w:r>
          </w:p>
        </w:tc>
        <w:tc>
          <w:tcPr>
            <w:tcW w:w="1497" w:type="dxa"/>
          </w:tcPr>
          <w:p w14:paraId="54E75AA0"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w:t>
            </w:r>
          </w:p>
        </w:tc>
        <w:tc>
          <w:tcPr>
            <w:tcW w:w="1497" w:type="dxa"/>
          </w:tcPr>
          <w:p w14:paraId="4A8C8E22"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w:t>
            </w:r>
          </w:p>
        </w:tc>
        <w:tc>
          <w:tcPr>
            <w:tcW w:w="1793" w:type="dxa"/>
          </w:tcPr>
          <w:p w14:paraId="0D35784F"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rPr>
              <w:t xml:space="preserve"> $                  28,655.82 </w:t>
            </w:r>
          </w:p>
        </w:tc>
      </w:tr>
      <w:tr w:rsidR="00DC087F" w:rsidRPr="005616AE" w14:paraId="0E3B01B5"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79A7F786" w14:textId="77777777" w:rsidR="00DC087F" w:rsidRPr="005616AE" w:rsidRDefault="00DC087F" w:rsidP="0069633B">
            <w:pPr>
              <w:spacing w:line="240" w:lineRule="auto"/>
              <w:rPr>
                <w:rFonts w:cs="Calibri"/>
                <w:color w:val="000000"/>
                <w:sz w:val="24"/>
                <w:szCs w:val="24"/>
              </w:rPr>
            </w:pPr>
            <w:r w:rsidRPr="005616AE">
              <w:rPr>
                <w:rFonts w:cs="Calibri"/>
                <w:color w:val="000000"/>
              </w:rPr>
              <w:t>Communication and Internet</w:t>
            </w:r>
          </w:p>
          <w:p w14:paraId="3BCFC192" w14:textId="77777777" w:rsidR="00DC087F" w:rsidRPr="005616AE" w:rsidRDefault="00DC087F" w:rsidP="0069633B"/>
        </w:tc>
        <w:tc>
          <w:tcPr>
            <w:tcW w:w="1503" w:type="dxa"/>
          </w:tcPr>
          <w:p w14:paraId="2C41DB7A"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80,000.00 </w:t>
            </w:r>
          </w:p>
        </w:tc>
        <w:tc>
          <w:tcPr>
            <w:tcW w:w="1503" w:type="dxa"/>
          </w:tcPr>
          <w:p w14:paraId="758D9E33"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81,931.52 </w:t>
            </w:r>
          </w:p>
        </w:tc>
        <w:tc>
          <w:tcPr>
            <w:tcW w:w="1497" w:type="dxa"/>
          </w:tcPr>
          <w:p w14:paraId="54FB0449"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83,909.67 </w:t>
            </w:r>
          </w:p>
        </w:tc>
        <w:tc>
          <w:tcPr>
            <w:tcW w:w="1497" w:type="dxa"/>
          </w:tcPr>
          <w:p w14:paraId="3CE044CE"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93,732.03 </w:t>
            </w:r>
          </w:p>
        </w:tc>
        <w:tc>
          <w:tcPr>
            <w:tcW w:w="1793" w:type="dxa"/>
          </w:tcPr>
          <w:p w14:paraId="02BC55FA"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125,968.01 </w:t>
            </w:r>
          </w:p>
        </w:tc>
      </w:tr>
      <w:tr w:rsidR="00DC087F" w:rsidRPr="005616AE" w14:paraId="462928EC"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08BD44D7" w14:textId="77777777" w:rsidR="00DC087F" w:rsidRPr="005616AE" w:rsidRDefault="00DC087F" w:rsidP="0069633B">
            <w:pPr>
              <w:spacing w:line="240" w:lineRule="auto"/>
              <w:rPr>
                <w:rFonts w:cs="Calibri"/>
                <w:color w:val="000000"/>
                <w:sz w:val="24"/>
                <w:szCs w:val="24"/>
              </w:rPr>
            </w:pPr>
            <w:r w:rsidRPr="005616AE">
              <w:rPr>
                <w:rFonts w:cs="Calibri"/>
                <w:color w:val="000000"/>
              </w:rPr>
              <w:t>Utilities</w:t>
            </w:r>
          </w:p>
          <w:p w14:paraId="6006AC8B" w14:textId="77777777" w:rsidR="00DC087F" w:rsidRPr="005616AE" w:rsidRDefault="00DC087F" w:rsidP="0069633B"/>
        </w:tc>
        <w:tc>
          <w:tcPr>
            <w:tcW w:w="1503" w:type="dxa"/>
          </w:tcPr>
          <w:p w14:paraId="7B16326D"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88,300.00 </w:t>
            </w:r>
          </w:p>
        </w:tc>
        <w:tc>
          <w:tcPr>
            <w:tcW w:w="1503" w:type="dxa"/>
          </w:tcPr>
          <w:p w14:paraId="1D9968F3"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97,350.75 </w:t>
            </w:r>
          </w:p>
        </w:tc>
        <w:tc>
          <w:tcPr>
            <w:tcW w:w="1497" w:type="dxa"/>
          </w:tcPr>
          <w:p w14:paraId="215BF4BE"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107,329.20 </w:t>
            </w:r>
          </w:p>
        </w:tc>
        <w:tc>
          <w:tcPr>
            <w:tcW w:w="1497" w:type="dxa"/>
          </w:tcPr>
          <w:p w14:paraId="5FC8D4EB"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136,982.28 </w:t>
            </w:r>
          </w:p>
        </w:tc>
        <w:tc>
          <w:tcPr>
            <w:tcW w:w="1793" w:type="dxa"/>
          </w:tcPr>
          <w:p w14:paraId="369D288B"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191,335.99 </w:t>
            </w:r>
          </w:p>
        </w:tc>
      </w:tr>
      <w:tr w:rsidR="00DC087F" w:rsidRPr="005616AE" w14:paraId="1F60AA12"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3413CA10" w14:textId="77777777" w:rsidR="00DC087F" w:rsidRPr="005616AE" w:rsidRDefault="00DC087F" w:rsidP="0069633B">
            <w:pPr>
              <w:spacing w:line="240" w:lineRule="auto"/>
              <w:rPr>
                <w:rFonts w:cs="Calibri"/>
                <w:color w:val="000000"/>
                <w:sz w:val="24"/>
                <w:szCs w:val="24"/>
              </w:rPr>
            </w:pPr>
            <w:r w:rsidRPr="005616AE">
              <w:rPr>
                <w:rFonts w:cs="Calibri"/>
                <w:color w:val="000000"/>
              </w:rPr>
              <w:t>Distribution and Logistics</w:t>
            </w:r>
          </w:p>
          <w:p w14:paraId="763BA9F7" w14:textId="77777777" w:rsidR="00DC087F" w:rsidRPr="005616AE" w:rsidRDefault="00DC087F" w:rsidP="0069633B"/>
        </w:tc>
        <w:tc>
          <w:tcPr>
            <w:tcW w:w="1503" w:type="dxa"/>
          </w:tcPr>
          <w:p w14:paraId="69F466FB"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525,000.00 </w:t>
            </w:r>
          </w:p>
        </w:tc>
        <w:tc>
          <w:tcPr>
            <w:tcW w:w="1503" w:type="dxa"/>
          </w:tcPr>
          <w:p w14:paraId="601FADEF"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556,972.50 </w:t>
            </w:r>
          </w:p>
        </w:tc>
        <w:tc>
          <w:tcPr>
            <w:tcW w:w="1497" w:type="dxa"/>
          </w:tcPr>
          <w:p w14:paraId="3A60823E"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590,892.13 </w:t>
            </w:r>
          </w:p>
        </w:tc>
        <w:tc>
          <w:tcPr>
            <w:tcW w:w="1497" w:type="dxa"/>
          </w:tcPr>
          <w:p w14:paraId="237144E4"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698,404.17 </w:t>
            </w:r>
          </w:p>
        </w:tc>
        <w:tc>
          <w:tcPr>
            <w:tcW w:w="1793" w:type="dxa"/>
          </w:tcPr>
          <w:p w14:paraId="4B6C936D"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985,168.06 </w:t>
            </w:r>
          </w:p>
        </w:tc>
      </w:tr>
      <w:tr w:rsidR="00DC087F" w:rsidRPr="005616AE" w14:paraId="74BB0FE4"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5A69367A" w14:textId="77777777" w:rsidR="00DC087F" w:rsidRPr="005616AE" w:rsidRDefault="00DC087F" w:rsidP="0069633B">
            <w:pPr>
              <w:spacing w:line="240" w:lineRule="auto"/>
              <w:rPr>
                <w:rFonts w:cs="Calibri"/>
                <w:color w:val="000000"/>
                <w:sz w:val="24"/>
                <w:szCs w:val="24"/>
              </w:rPr>
            </w:pPr>
            <w:r w:rsidRPr="005616AE">
              <w:rPr>
                <w:rFonts w:cs="Calibri"/>
                <w:color w:val="000000"/>
              </w:rPr>
              <w:t>Marketing and Advertising</w:t>
            </w:r>
          </w:p>
          <w:p w14:paraId="115BBA2B" w14:textId="77777777" w:rsidR="00DC087F" w:rsidRPr="005616AE" w:rsidRDefault="00DC087F" w:rsidP="0069633B"/>
        </w:tc>
        <w:tc>
          <w:tcPr>
            <w:tcW w:w="1503" w:type="dxa"/>
          </w:tcPr>
          <w:p w14:paraId="0701C0EB"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17,500,000.00 </w:t>
            </w:r>
          </w:p>
        </w:tc>
        <w:tc>
          <w:tcPr>
            <w:tcW w:w="1503" w:type="dxa"/>
          </w:tcPr>
          <w:p w14:paraId="69529ACF"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16,807,000.00 </w:t>
            </w:r>
          </w:p>
        </w:tc>
        <w:tc>
          <w:tcPr>
            <w:tcW w:w="1497" w:type="dxa"/>
          </w:tcPr>
          <w:p w14:paraId="2109F42F"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16,141,442.80 </w:t>
            </w:r>
          </w:p>
        </w:tc>
        <w:tc>
          <w:tcPr>
            <w:tcW w:w="1497" w:type="dxa"/>
          </w:tcPr>
          <w:p w14:paraId="15E961A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10,638,526.71 </w:t>
            </w:r>
          </w:p>
        </w:tc>
        <w:tc>
          <w:tcPr>
            <w:tcW w:w="1793" w:type="dxa"/>
          </w:tcPr>
          <w:p w14:paraId="35540E73"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2,794,747.58 </w:t>
            </w:r>
          </w:p>
        </w:tc>
      </w:tr>
      <w:tr w:rsidR="00DC087F" w:rsidRPr="005616AE" w14:paraId="6AC67789"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475D8DEC" w14:textId="77777777" w:rsidR="00DC087F" w:rsidRPr="005616AE" w:rsidRDefault="00DC087F" w:rsidP="0069633B">
            <w:pPr>
              <w:spacing w:line="240" w:lineRule="auto"/>
              <w:rPr>
                <w:rFonts w:cs="Calibri"/>
                <w:color w:val="000000"/>
                <w:sz w:val="24"/>
                <w:szCs w:val="24"/>
              </w:rPr>
            </w:pPr>
            <w:r w:rsidRPr="005616AE">
              <w:rPr>
                <w:rFonts w:cs="Calibri"/>
                <w:color w:val="000000"/>
              </w:rPr>
              <w:t>Environmental compliance audits</w:t>
            </w:r>
          </w:p>
          <w:p w14:paraId="6B1A6661" w14:textId="77777777" w:rsidR="00DC087F" w:rsidRPr="005616AE" w:rsidRDefault="00DC087F" w:rsidP="0069633B"/>
        </w:tc>
        <w:tc>
          <w:tcPr>
            <w:tcW w:w="1503" w:type="dxa"/>
          </w:tcPr>
          <w:p w14:paraId="6ED69AA9"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200,000.00 </w:t>
            </w:r>
          </w:p>
        </w:tc>
        <w:tc>
          <w:tcPr>
            <w:tcW w:w="1503" w:type="dxa"/>
          </w:tcPr>
          <w:p w14:paraId="39F83650"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208,080.00 </w:t>
            </w:r>
          </w:p>
        </w:tc>
        <w:tc>
          <w:tcPr>
            <w:tcW w:w="1497" w:type="dxa"/>
          </w:tcPr>
          <w:p w14:paraId="02486AB7"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216,486.43 </w:t>
            </w:r>
          </w:p>
        </w:tc>
        <w:tc>
          <w:tcPr>
            <w:tcW w:w="1497" w:type="dxa"/>
          </w:tcPr>
          <w:p w14:paraId="2F32A52E"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239,018.51 </w:t>
            </w:r>
          </w:p>
        </w:tc>
        <w:tc>
          <w:tcPr>
            <w:tcW w:w="1793" w:type="dxa"/>
          </w:tcPr>
          <w:p w14:paraId="44F7A01E"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291,362.23 </w:t>
            </w:r>
          </w:p>
        </w:tc>
      </w:tr>
      <w:tr w:rsidR="00DC087F" w:rsidRPr="005616AE" w14:paraId="57CC4ED5"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5AE4BE66" w14:textId="77777777" w:rsidR="00DC087F" w:rsidRPr="005616AE" w:rsidRDefault="00DC087F" w:rsidP="0069633B">
            <w:pPr>
              <w:spacing w:line="240" w:lineRule="auto"/>
              <w:rPr>
                <w:rFonts w:cs="Calibri"/>
                <w:color w:val="000000"/>
                <w:sz w:val="24"/>
                <w:szCs w:val="24"/>
              </w:rPr>
            </w:pPr>
            <w:r w:rsidRPr="005616AE">
              <w:rPr>
                <w:rFonts w:cs="Calibri"/>
                <w:color w:val="000000"/>
              </w:rPr>
              <w:t>Regulatory approval processes</w:t>
            </w:r>
          </w:p>
          <w:p w14:paraId="1469442C" w14:textId="77777777" w:rsidR="00DC087F" w:rsidRPr="005616AE" w:rsidRDefault="00DC087F" w:rsidP="0069633B"/>
        </w:tc>
        <w:tc>
          <w:tcPr>
            <w:tcW w:w="1503" w:type="dxa"/>
          </w:tcPr>
          <w:p w14:paraId="2568FBCA"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125,000.00 </w:t>
            </w:r>
          </w:p>
        </w:tc>
        <w:tc>
          <w:tcPr>
            <w:tcW w:w="1503" w:type="dxa"/>
          </w:tcPr>
          <w:p w14:paraId="479049E0"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130,050.00 </w:t>
            </w:r>
          </w:p>
        </w:tc>
        <w:tc>
          <w:tcPr>
            <w:tcW w:w="1497" w:type="dxa"/>
          </w:tcPr>
          <w:p w14:paraId="056EF9E2"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135,304.02 </w:t>
            </w:r>
          </w:p>
        </w:tc>
        <w:tc>
          <w:tcPr>
            <w:tcW w:w="1497" w:type="dxa"/>
          </w:tcPr>
          <w:p w14:paraId="0D750EF9"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149,386.57 </w:t>
            </w:r>
          </w:p>
        </w:tc>
        <w:tc>
          <w:tcPr>
            <w:tcW w:w="1793" w:type="dxa"/>
          </w:tcPr>
          <w:p w14:paraId="5ECC1EF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182,101.40 </w:t>
            </w:r>
          </w:p>
        </w:tc>
      </w:tr>
      <w:tr w:rsidR="00DC087F" w:rsidRPr="005616AE" w14:paraId="5484BA6E"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53F91333" w14:textId="77777777" w:rsidR="00DC087F" w:rsidRPr="005616AE" w:rsidRDefault="00DC087F" w:rsidP="0069633B">
            <w:pPr>
              <w:spacing w:line="240" w:lineRule="auto"/>
              <w:rPr>
                <w:rFonts w:cs="Calibri"/>
                <w:color w:val="000000"/>
                <w:sz w:val="24"/>
                <w:szCs w:val="24"/>
              </w:rPr>
            </w:pPr>
            <w:r w:rsidRPr="005616AE">
              <w:rPr>
                <w:rFonts w:cs="Calibri"/>
                <w:color w:val="000000"/>
              </w:rPr>
              <w:t>Compliance expenses</w:t>
            </w:r>
          </w:p>
          <w:p w14:paraId="156272DB" w14:textId="77777777" w:rsidR="00DC087F" w:rsidRPr="005616AE" w:rsidRDefault="00DC087F" w:rsidP="0069633B"/>
        </w:tc>
        <w:tc>
          <w:tcPr>
            <w:tcW w:w="1503" w:type="dxa"/>
          </w:tcPr>
          <w:p w14:paraId="7CDD018A"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2,000,000.00 </w:t>
            </w:r>
          </w:p>
        </w:tc>
        <w:tc>
          <w:tcPr>
            <w:tcW w:w="1503" w:type="dxa"/>
          </w:tcPr>
          <w:p w14:paraId="4590FDFF"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2,080,800.00 </w:t>
            </w:r>
          </w:p>
        </w:tc>
        <w:tc>
          <w:tcPr>
            <w:tcW w:w="1497" w:type="dxa"/>
          </w:tcPr>
          <w:p w14:paraId="666D0B02"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2,164,864.32 </w:t>
            </w:r>
          </w:p>
        </w:tc>
        <w:tc>
          <w:tcPr>
            <w:tcW w:w="1497" w:type="dxa"/>
          </w:tcPr>
          <w:p w14:paraId="004C30BC"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2,390,185.14 </w:t>
            </w:r>
          </w:p>
        </w:tc>
        <w:tc>
          <w:tcPr>
            <w:tcW w:w="1793" w:type="dxa"/>
          </w:tcPr>
          <w:p w14:paraId="05F64A15"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pPr>
            <w:r w:rsidRPr="005616AE">
              <w:rPr>
                <w:rFonts w:cs="Calibri"/>
                <w:color w:val="000000"/>
              </w:rPr>
              <w:t xml:space="preserve"> $             2,913,622.35 </w:t>
            </w:r>
          </w:p>
        </w:tc>
      </w:tr>
      <w:tr w:rsidR="00DC087F" w:rsidRPr="005616AE" w14:paraId="2E8D16E8"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02F0FC05" w14:textId="77777777" w:rsidR="00DC087F" w:rsidRPr="005616AE" w:rsidRDefault="00DC087F" w:rsidP="0069633B">
            <w:pPr>
              <w:spacing w:line="240" w:lineRule="auto"/>
              <w:rPr>
                <w:rFonts w:cs="Calibri"/>
                <w:sz w:val="24"/>
                <w:szCs w:val="24"/>
              </w:rPr>
            </w:pPr>
            <w:r w:rsidRPr="005616AE">
              <w:rPr>
                <w:rFonts w:cs="Calibri"/>
              </w:rPr>
              <w:t>Research &amp; Development (R&amp;D) investments for EV charging</w:t>
            </w:r>
          </w:p>
          <w:p w14:paraId="72010848" w14:textId="77777777" w:rsidR="00DC087F" w:rsidRPr="005616AE" w:rsidRDefault="00DC087F" w:rsidP="0069633B">
            <w:pPr>
              <w:spacing w:line="240" w:lineRule="auto"/>
              <w:rPr>
                <w:rFonts w:cs="Calibri"/>
                <w:color w:val="000000"/>
              </w:rPr>
            </w:pPr>
          </w:p>
        </w:tc>
        <w:tc>
          <w:tcPr>
            <w:tcW w:w="1503" w:type="dxa"/>
          </w:tcPr>
          <w:p w14:paraId="2CA7A26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8,000,000.00 </w:t>
            </w:r>
          </w:p>
        </w:tc>
        <w:tc>
          <w:tcPr>
            <w:tcW w:w="1503" w:type="dxa"/>
          </w:tcPr>
          <w:p w14:paraId="360E17B8"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8,405,000.00 </w:t>
            </w:r>
          </w:p>
        </w:tc>
        <w:tc>
          <w:tcPr>
            <w:tcW w:w="1497" w:type="dxa"/>
          </w:tcPr>
          <w:p w14:paraId="55B0C090"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4,727,812.50 </w:t>
            </w:r>
          </w:p>
        </w:tc>
        <w:tc>
          <w:tcPr>
            <w:tcW w:w="1497" w:type="dxa"/>
          </w:tcPr>
          <w:p w14:paraId="78D8428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4,847,195.69 </w:t>
            </w:r>
          </w:p>
        </w:tc>
        <w:tc>
          <w:tcPr>
            <w:tcW w:w="1793" w:type="dxa"/>
          </w:tcPr>
          <w:p w14:paraId="1B7D3CAA"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pPr>
            <w:r w:rsidRPr="005616AE">
              <w:rPr>
                <w:rFonts w:cs="Calibri"/>
                <w:color w:val="000000"/>
              </w:rPr>
              <w:t xml:space="preserve"> $             5,095,081.92 </w:t>
            </w:r>
          </w:p>
        </w:tc>
      </w:tr>
      <w:tr w:rsidR="00DC087F" w:rsidRPr="005616AE" w14:paraId="094A8615"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75B49141" w14:textId="77777777" w:rsidR="00DC087F" w:rsidRPr="005616AE" w:rsidRDefault="00DC087F" w:rsidP="0069633B">
            <w:pPr>
              <w:spacing w:line="240" w:lineRule="auto"/>
              <w:rPr>
                <w:rFonts w:cs="Calibri"/>
              </w:rPr>
            </w:pPr>
            <w:r w:rsidRPr="005616AE">
              <w:rPr>
                <w:rFonts w:cs="Calibri"/>
                <w:color w:val="000000"/>
              </w:rPr>
              <w:t>Class 1: Buildings (4%)</w:t>
            </w:r>
          </w:p>
        </w:tc>
        <w:tc>
          <w:tcPr>
            <w:tcW w:w="1503" w:type="dxa"/>
          </w:tcPr>
          <w:p w14:paraId="2B3555B0"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576,420.00 </w:t>
            </w:r>
          </w:p>
        </w:tc>
        <w:tc>
          <w:tcPr>
            <w:tcW w:w="1503" w:type="dxa"/>
          </w:tcPr>
          <w:p w14:paraId="38250A25"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1,084,591.87 </w:t>
            </w:r>
          </w:p>
        </w:tc>
        <w:tc>
          <w:tcPr>
            <w:tcW w:w="1497" w:type="dxa"/>
          </w:tcPr>
          <w:p w14:paraId="0002F2AE"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999,559.87 </w:t>
            </w:r>
          </w:p>
        </w:tc>
        <w:tc>
          <w:tcPr>
            <w:tcW w:w="1497" w:type="dxa"/>
          </w:tcPr>
          <w:p w14:paraId="0C24AA65"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1,615,013.83 </w:t>
            </w:r>
          </w:p>
        </w:tc>
        <w:tc>
          <w:tcPr>
            <w:tcW w:w="1793" w:type="dxa"/>
          </w:tcPr>
          <w:p w14:paraId="75A9AC79"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1,073,713.90 </w:t>
            </w:r>
          </w:p>
        </w:tc>
      </w:tr>
      <w:tr w:rsidR="00DC087F" w:rsidRPr="005616AE" w14:paraId="6A4240BD"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0B069233" w14:textId="77777777" w:rsidR="00DC087F" w:rsidRPr="005616AE" w:rsidRDefault="00DC087F" w:rsidP="0069633B">
            <w:pPr>
              <w:spacing w:line="240" w:lineRule="auto"/>
              <w:rPr>
                <w:rFonts w:cs="Calibri"/>
              </w:rPr>
            </w:pPr>
            <w:r w:rsidRPr="005616AE">
              <w:rPr>
                <w:rFonts w:cs="Calibri"/>
                <w:color w:val="000000"/>
              </w:rPr>
              <w:lastRenderedPageBreak/>
              <w:t>Class 43: Machinery and equipment (30%)</w:t>
            </w:r>
          </w:p>
        </w:tc>
        <w:tc>
          <w:tcPr>
            <w:tcW w:w="1503" w:type="dxa"/>
          </w:tcPr>
          <w:p w14:paraId="16235558"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7,500,000.00 </w:t>
            </w:r>
          </w:p>
        </w:tc>
        <w:tc>
          <w:tcPr>
            <w:tcW w:w="1503" w:type="dxa"/>
          </w:tcPr>
          <w:p w14:paraId="648DC7E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8,925,000.00 </w:t>
            </w:r>
          </w:p>
        </w:tc>
        <w:tc>
          <w:tcPr>
            <w:tcW w:w="1497" w:type="dxa"/>
          </w:tcPr>
          <w:p w14:paraId="2E3A5523"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7,373,400.00 </w:t>
            </w:r>
          </w:p>
        </w:tc>
        <w:tc>
          <w:tcPr>
            <w:tcW w:w="1497" w:type="dxa"/>
          </w:tcPr>
          <w:p w14:paraId="0EE0FB5B"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5,682,997.34 </w:t>
            </w:r>
          </w:p>
        </w:tc>
        <w:tc>
          <w:tcPr>
            <w:tcW w:w="1793" w:type="dxa"/>
          </w:tcPr>
          <w:p w14:paraId="68178B2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3,861,199.23 </w:t>
            </w:r>
          </w:p>
        </w:tc>
      </w:tr>
      <w:tr w:rsidR="00DC087F" w:rsidRPr="005616AE" w14:paraId="6459AA6B"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0ABA903E" w14:textId="77777777" w:rsidR="00DC087F" w:rsidRPr="005616AE" w:rsidRDefault="00DC087F" w:rsidP="0069633B">
            <w:pPr>
              <w:spacing w:line="240" w:lineRule="auto"/>
              <w:rPr>
                <w:rFonts w:cs="Calibri"/>
              </w:rPr>
            </w:pPr>
            <w:r w:rsidRPr="005616AE">
              <w:rPr>
                <w:rFonts w:cs="Calibri"/>
                <w:color w:val="000000"/>
              </w:rPr>
              <w:t>Class 8: Furniture (20%)</w:t>
            </w:r>
          </w:p>
        </w:tc>
        <w:tc>
          <w:tcPr>
            <w:tcW w:w="1503" w:type="dxa"/>
          </w:tcPr>
          <w:p w14:paraId="323C5E7C"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11,000.00 </w:t>
            </w:r>
          </w:p>
        </w:tc>
        <w:tc>
          <w:tcPr>
            <w:tcW w:w="1503" w:type="dxa"/>
          </w:tcPr>
          <w:p w14:paraId="51018B38"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15,840.00 </w:t>
            </w:r>
          </w:p>
        </w:tc>
        <w:tc>
          <w:tcPr>
            <w:tcW w:w="1497" w:type="dxa"/>
          </w:tcPr>
          <w:p w14:paraId="4346CAD2"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10,137.60 </w:t>
            </w:r>
          </w:p>
        </w:tc>
        <w:tc>
          <w:tcPr>
            <w:tcW w:w="1497" w:type="dxa"/>
          </w:tcPr>
          <w:p w14:paraId="0DDFAE36"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5,321.89 </w:t>
            </w:r>
          </w:p>
        </w:tc>
        <w:tc>
          <w:tcPr>
            <w:tcW w:w="1793" w:type="dxa"/>
          </w:tcPr>
          <w:p w14:paraId="592B11E0"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571.43 </w:t>
            </w:r>
          </w:p>
        </w:tc>
      </w:tr>
      <w:tr w:rsidR="00DC087F" w:rsidRPr="005616AE" w14:paraId="42309B03"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5EEBC839" w14:textId="77777777" w:rsidR="00DC087F" w:rsidRPr="005616AE" w:rsidRDefault="00DC087F" w:rsidP="0069633B">
            <w:pPr>
              <w:spacing w:line="240" w:lineRule="auto"/>
              <w:rPr>
                <w:rFonts w:cs="Calibri"/>
              </w:rPr>
            </w:pPr>
            <w:r w:rsidRPr="005616AE">
              <w:rPr>
                <w:rFonts w:cs="Calibri"/>
                <w:color w:val="000000"/>
              </w:rPr>
              <w:t>Class 14.1: Intangible assets (5%)</w:t>
            </w:r>
          </w:p>
        </w:tc>
        <w:tc>
          <w:tcPr>
            <w:tcW w:w="1503" w:type="dxa"/>
          </w:tcPr>
          <w:p w14:paraId="166D2E7E"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2,500,000.00 </w:t>
            </w:r>
          </w:p>
        </w:tc>
        <w:tc>
          <w:tcPr>
            <w:tcW w:w="1503" w:type="dxa"/>
          </w:tcPr>
          <w:p w14:paraId="759D4DF2"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4,631,250.00 </w:t>
            </w:r>
          </w:p>
        </w:tc>
        <w:tc>
          <w:tcPr>
            <w:tcW w:w="1497" w:type="dxa"/>
          </w:tcPr>
          <w:p w14:paraId="2EC42344"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4,179,703.13 </w:t>
            </w:r>
          </w:p>
        </w:tc>
        <w:tc>
          <w:tcPr>
            <w:tcW w:w="1497" w:type="dxa"/>
          </w:tcPr>
          <w:p w14:paraId="3589C65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3,234,174.60 </w:t>
            </w:r>
          </w:p>
        </w:tc>
        <w:tc>
          <w:tcPr>
            <w:tcW w:w="1793" w:type="dxa"/>
          </w:tcPr>
          <w:p w14:paraId="018ABAE5"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1,936,419.80 </w:t>
            </w:r>
          </w:p>
        </w:tc>
      </w:tr>
      <w:tr w:rsidR="00DC087F" w:rsidRPr="005616AE" w14:paraId="459678A9"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5DB7A84B" w14:textId="77777777" w:rsidR="00DC087F" w:rsidRPr="005616AE" w:rsidRDefault="00DC087F" w:rsidP="0069633B">
            <w:pPr>
              <w:spacing w:line="240" w:lineRule="auto"/>
              <w:rPr>
                <w:rFonts w:cs="Calibri"/>
              </w:rPr>
            </w:pPr>
            <w:r w:rsidRPr="005616AE">
              <w:rPr>
                <w:rFonts w:cs="Calibri"/>
                <w:color w:val="000000"/>
              </w:rPr>
              <w:t>Class 44 Patents and licenses (25%)</w:t>
            </w:r>
          </w:p>
        </w:tc>
        <w:tc>
          <w:tcPr>
            <w:tcW w:w="1503" w:type="dxa"/>
          </w:tcPr>
          <w:p w14:paraId="69C02141"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1,250,000.00 </w:t>
            </w:r>
          </w:p>
        </w:tc>
        <w:tc>
          <w:tcPr>
            <w:tcW w:w="1503" w:type="dxa"/>
          </w:tcPr>
          <w:p w14:paraId="0AC8BCEB"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6,224,125.00 </w:t>
            </w:r>
          </w:p>
        </w:tc>
        <w:tc>
          <w:tcPr>
            <w:tcW w:w="1497" w:type="dxa"/>
          </w:tcPr>
          <w:p w14:paraId="520431FA"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4,869,631.31 </w:t>
            </w:r>
          </w:p>
        </w:tc>
        <w:tc>
          <w:tcPr>
            <w:tcW w:w="1497" w:type="dxa"/>
          </w:tcPr>
          <w:p w14:paraId="05FE1CEA"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5,239,260.65 </w:t>
            </w:r>
          </w:p>
        </w:tc>
        <w:tc>
          <w:tcPr>
            <w:tcW w:w="1793" w:type="dxa"/>
          </w:tcPr>
          <w:p w14:paraId="00A7EF5D"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3,234,061.11 </w:t>
            </w:r>
          </w:p>
        </w:tc>
      </w:tr>
      <w:tr w:rsidR="00DC087F" w:rsidRPr="005616AE" w14:paraId="015A2821"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389FB5E0" w14:textId="77777777" w:rsidR="00DC087F" w:rsidRPr="005616AE" w:rsidRDefault="00DC087F" w:rsidP="0069633B">
            <w:pPr>
              <w:spacing w:line="240" w:lineRule="auto"/>
              <w:rPr>
                <w:rFonts w:cs="Calibri"/>
                <w:color w:val="000000"/>
              </w:rPr>
            </w:pPr>
            <w:r w:rsidRPr="005616AE">
              <w:rPr>
                <w:rFonts w:cs="Calibri"/>
                <w:color w:val="000000"/>
              </w:rPr>
              <w:t>Class 46 System software’s (30%)</w:t>
            </w:r>
          </w:p>
        </w:tc>
        <w:tc>
          <w:tcPr>
            <w:tcW w:w="1503" w:type="dxa"/>
          </w:tcPr>
          <w:p w14:paraId="62112671"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825,000.00 </w:t>
            </w:r>
          </w:p>
        </w:tc>
        <w:tc>
          <w:tcPr>
            <w:tcW w:w="1503" w:type="dxa"/>
          </w:tcPr>
          <w:p w14:paraId="46FCB59C"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2,681,400.45 </w:t>
            </w:r>
          </w:p>
        </w:tc>
        <w:tc>
          <w:tcPr>
            <w:tcW w:w="1497" w:type="dxa"/>
          </w:tcPr>
          <w:p w14:paraId="67D00579"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1,492,532.95 </w:t>
            </w:r>
          </w:p>
        </w:tc>
        <w:tc>
          <w:tcPr>
            <w:tcW w:w="1497" w:type="dxa"/>
          </w:tcPr>
          <w:p w14:paraId="326EF110"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274,667.50 </w:t>
            </w:r>
          </w:p>
        </w:tc>
        <w:tc>
          <w:tcPr>
            <w:tcW w:w="1793" w:type="dxa"/>
          </w:tcPr>
          <w:p w14:paraId="6522C130"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94,139.05 </w:t>
            </w:r>
          </w:p>
        </w:tc>
      </w:tr>
      <w:tr w:rsidR="00DC087F" w:rsidRPr="005616AE" w14:paraId="388670BB"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7AC23DB8" w14:textId="77777777" w:rsidR="00DC087F" w:rsidRPr="005616AE" w:rsidRDefault="00DC087F" w:rsidP="0069633B">
            <w:pPr>
              <w:spacing w:line="240" w:lineRule="auto"/>
              <w:rPr>
                <w:rFonts w:cs="Calibri"/>
                <w:color w:val="000000"/>
              </w:rPr>
            </w:pPr>
            <w:r w:rsidRPr="005616AE">
              <w:rPr>
                <w:rFonts w:cs="Calibri"/>
                <w:color w:val="000000"/>
              </w:rPr>
              <w:t>Class 50: General computer equipment (55%)</w:t>
            </w:r>
          </w:p>
        </w:tc>
        <w:tc>
          <w:tcPr>
            <w:tcW w:w="1503" w:type="dxa"/>
          </w:tcPr>
          <w:p w14:paraId="08C6C3D8"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3,025,000.00 </w:t>
            </w:r>
          </w:p>
        </w:tc>
        <w:tc>
          <w:tcPr>
            <w:tcW w:w="1503" w:type="dxa"/>
          </w:tcPr>
          <w:p w14:paraId="4C53E832"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5,356,587.50 </w:t>
            </w:r>
          </w:p>
        </w:tc>
        <w:tc>
          <w:tcPr>
            <w:tcW w:w="1497" w:type="dxa"/>
          </w:tcPr>
          <w:p w14:paraId="49FF9EE1"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1,084,708.97 </w:t>
            </w:r>
          </w:p>
        </w:tc>
        <w:tc>
          <w:tcPr>
            <w:tcW w:w="1497" w:type="dxa"/>
          </w:tcPr>
          <w:p w14:paraId="6E7EF9F9"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6,244,187.18 </w:t>
            </w:r>
          </w:p>
        </w:tc>
        <w:tc>
          <w:tcPr>
            <w:tcW w:w="1793" w:type="dxa"/>
          </w:tcPr>
          <w:p w14:paraId="1848B64D"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 xml:space="preserve"> $                    2,354.54 </w:t>
            </w:r>
          </w:p>
        </w:tc>
      </w:tr>
      <w:tr w:rsidR="00DC087F" w:rsidRPr="005616AE" w14:paraId="5D120100" w14:textId="77777777" w:rsidTr="00DC0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Pr>
          <w:p w14:paraId="189F77B9" w14:textId="77777777" w:rsidR="00DC087F" w:rsidRPr="005616AE" w:rsidRDefault="00DC087F" w:rsidP="0069633B">
            <w:pPr>
              <w:spacing w:line="240" w:lineRule="auto"/>
              <w:rPr>
                <w:rFonts w:cs="Calibri"/>
                <w:color w:val="000000"/>
              </w:rPr>
            </w:pPr>
            <w:r w:rsidRPr="005616AE">
              <w:rPr>
                <w:rFonts w:cs="Calibri"/>
                <w:color w:val="000000"/>
              </w:rPr>
              <w:t>Class 43.1: Electrical vehicle charging stations (EVCSs) set up (30%)</w:t>
            </w:r>
          </w:p>
        </w:tc>
        <w:tc>
          <w:tcPr>
            <w:tcW w:w="1503" w:type="dxa"/>
          </w:tcPr>
          <w:p w14:paraId="38C0BA1E"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3,000,000.00 </w:t>
            </w:r>
          </w:p>
        </w:tc>
        <w:tc>
          <w:tcPr>
            <w:tcW w:w="1503" w:type="dxa"/>
          </w:tcPr>
          <w:p w14:paraId="54B0D66E"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3,570,000.00 </w:t>
            </w:r>
          </w:p>
        </w:tc>
        <w:tc>
          <w:tcPr>
            <w:tcW w:w="1497" w:type="dxa"/>
          </w:tcPr>
          <w:p w14:paraId="1F1F2962"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1,749,300.00 </w:t>
            </w:r>
          </w:p>
        </w:tc>
        <w:tc>
          <w:tcPr>
            <w:tcW w:w="1497" w:type="dxa"/>
          </w:tcPr>
          <w:p w14:paraId="09834BE7"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6,444,004.85 </w:t>
            </w:r>
          </w:p>
        </w:tc>
        <w:tc>
          <w:tcPr>
            <w:tcW w:w="1793" w:type="dxa"/>
          </w:tcPr>
          <w:p w14:paraId="0D039258" w14:textId="77777777" w:rsidR="00DC087F" w:rsidRPr="005616AE" w:rsidRDefault="00DC087F" w:rsidP="0069633B">
            <w:pPr>
              <w:cnfStyle w:val="000000100000" w:firstRow="0" w:lastRow="0" w:firstColumn="0" w:lastColumn="0" w:oddVBand="0" w:evenVBand="0" w:oddHBand="1" w:evenHBand="0" w:firstRowFirstColumn="0" w:firstRowLastColumn="0" w:lastRowFirstColumn="0" w:lastRowLastColumn="0"/>
              <w:rPr>
                <w:rFonts w:cs="Calibri"/>
                <w:color w:val="000000"/>
              </w:rPr>
            </w:pPr>
            <w:r w:rsidRPr="005616AE">
              <w:rPr>
                <w:rFonts w:cs="Calibri"/>
                <w:color w:val="000000"/>
              </w:rPr>
              <w:t xml:space="preserve"> $                182,027.19 </w:t>
            </w:r>
          </w:p>
        </w:tc>
      </w:tr>
      <w:tr w:rsidR="00DC087F" w:rsidRPr="005616AE" w14:paraId="09F672E5" w14:textId="77777777" w:rsidTr="00DC087F">
        <w:tc>
          <w:tcPr>
            <w:cnfStyle w:val="001000000000" w:firstRow="0" w:lastRow="0" w:firstColumn="1" w:lastColumn="0" w:oddVBand="0" w:evenVBand="0" w:oddHBand="0" w:evenHBand="0" w:firstRowFirstColumn="0" w:firstRowLastColumn="0" w:lastRowFirstColumn="0" w:lastRowLastColumn="0"/>
            <w:tcW w:w="2125" w:type="dxa"/>
          </w:tcPr>
          <w:p w14:paraId="16BD3E56" w14:textId="77777777" w:rsidR="00DC087F" w:rsidRPr="005616AE" w:rsidRDefault="00DC087F" w:rsidP="0069633B">
            <w:pPr>
              <w:spacing w:line="240" w:lineRule="auto"/>
              <w:rPr>
                <w:rFonts w:cs="Calibri"/>
              </w:rPr>
            </w:pPr>
            <w:r w:rsidRPr="005616AE">
              <w:rPr>
                <w:rFonts w:cs="Calibri"/>
              </w:rPr>
              <w:t>Total Expense</w:t>
            </w:r>
          </w:p>
        </w:tc>
        <w:tc>
          <w:tcPr>
            <w:tcW w:w="1503" w:type="dxa"/>
          </w:tcPr>
          <w:p w14:paraId="750D1AD8"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$98,007,998</w:t>
            </w:r>
          </w:p>
        </w:tc>
        <w:tc>
          <w:tcPr>
            <w:tcW w:w="1503" w:type="dxa"/>
          </w:tcPr>
          <w:p w14:paraId="12CBB3C0"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$106,815307.03</w:t>
            </w:r>
          </w:p>
        </w:tc>
        <w:tc>
          <w:tcPr>
            <w:tcW w:w="1497" w:type="dxa"/>
          </w:tcPr>
          <w:p w14:paraId="2BBB9A27"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$89,986,159.11</w:t>
            </w:r>
          </w:p>
        </w:tc>
        <w:tc>
          <w:tcPr>
            <w:tcW w:w="1497" w:type="dxa"/>
          </w:tcPr>
          <w:p w14:paraId="571595FF"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$92,207,927.51</w:t>
            </w:r>
          </w:p>
        </w:tc>
        <w:tc>
          <w:tcPr>
            <w:tcW w:w="1793" w:type="dxa"/>
          </w:tcPr>
          <w:p w14:paraId="72282A94" w14:textId="77777777" w:rsidR="00DC087F" w:rsidRPr="005616AE" w:rsidRDefault="00DC087F" w:rsidP="0069633B">
            <w:pPr>
              <w:cnfStyle w:val="000000000000" w:firstRow="0" w:lastRow="0" w:firstColumn="0" w:lastColumn="0" w:oddVBand="0" w:evenVBand="0" w:oddHBand="0" w:evenHBand="0" w:firstRowFirstColumn="0" w:firstRowLastColumn="0" w:lastRowFirstColumn="0" w:lastRowLastColumn="0"/>
              <w:rPr>
                <w:rFonts w:cs="Calibri"/>
                <w:color w:val="000000"/>
              </w:rPr>
            </w:pPr>
            <w:r w:rsidRPr="005616AE">
              <w:rPr>
                <w:rFonts w:cs="Calibri"/>
                <w:color w:val="000000"/>
              </w:rPr>
              <w:t>$71,761,107.37</w:t>
            </w:r>
          </w:p>
        </w:tc>
      </w:tr>
    </w:tbl>
    <w:p w14:paraId="47F955E5" w14:textId="77777777" w:rsidR="00DC087F" w:rsidRPr="005616AE" w:rsidRDefault="00DC087F" w:rsidP="00B244C1">
      <w:pPr>
        <w:rPr>
          <w:rFonts w:asciiTheme="majorHAnsi" w:eastAsiaTheme="majorEastAsia" w:hAnsiTheme="majorHAnsi" w:cstheme="majorBidi"/>
          <w:color w:val="0F4761" w:themeColor="accent1" w:themeShade="BF"/>
          <w:kern w:val="0"/>
          <w:sz w:val="44"/>
          <w:szCs w:val="44"/>
          <w14:ligatures w14:val="none"/>
        </w:rPr>
      </w:pPr>
    </w:p>
    <w:p w14:paraId="1F8BA9C1" w14:textId="4020DE34" w:rsidR="00E34BBC" w:rsidRPr="005616AE" w:rsidRDefault="00E34BBC" w:rsidP="00B244C1">
      <w:pPr>
        <w:rPr>
          <w:sz w:val="44"/>
          <w:szCs w:val="44"/>
        </w:rPr>
      </w:pPr>
      <w:r w:rsidRPr="005616AE">
        <w:t>Findings of ROI For WiTricity’s Wireless Charging Technology</w:t>
      </w:r>
    </w:p>
    <w:p w14:paraId="4BFC178C" w14:textId="77777777" w:rsidR="00E34BBC" w:rsidRPr="005616AE" w:rsidRDefault="00E34BBC" w:rsidP="00EB6651">
      <w:pPr>
        <w:pStyle w:val="ListParagraph"/>
        <w:spacing w:after="0" w:line="240" w:lineRule="auto"/>
        <w:ind w:left="360"/>
      </w:pPr>
    </w:p>
    <w:p w14:paraId="212025CF" w14:textId="416F516B" w:rsidR="00E34BBC" w:rsidRPr="005616AE" w:rsidRDefault="00E34BBC" w:rsidP="00EB6651">
      <w:pPr>
        <w:pStyle w:val="ListParagraph"/>
        <w:spacing w:after="0" w:line="240" w:lineRule="auto"/>
        <w:ind w:left="360"/>
      </w:pPr>
      <w:r w:rsidRPr="005616AE">
        <mc:AlternateContent>
          <mc:Choice Requires="cx1">
            <w:drawing>
              <wp:inline distT="0" distB="0" distL="0" distR="0" wp14:anchorId="4F412089" wp14:editId="1611BC3E">
                <wp:extent cx="3895725" cy="2105025"/>
                <wp:effectExtent l="0" t="0" r="9525" b="9525"/>
                <wp:docPr id="807226042" name="Chart 8">
                  <a:extLst xmlns:a="http://schemas.openxmlformats.org/drawingml/2006/main">
                    <a:ext uri="{FF2B5EF4-FFF2-40B4-BE49-F238E27FC236}">
                      <a16:creationId xmlns:a16="http://schemas.microsoft.com/office/drawing/2014/main" id="{87F908E8-E6B2-C55C-3F6B-01DA377C64A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F412089" wp14:editId="1611BC3E">
                <wp:extent cx="3895725" cy="2105025"/>
                <wp:effectExtent l="0" t="0" r="9525" b="9525"/>
                <wp:docPr id="807226042" name="Chart 8">
                  <a:extLst xmlns:a="http://schemas.openxmlformats.org/drawingml/2006/main">
                    <a:ext uri="{FF2B5EF4-FFF2-40B4-BE49-F238E27FC236}">
                      <a16:creationId xmlns:a16="http://schemas.microsoft.com/office/drawing/2014/main" id="{87F908E8-E6B2-C55C-3F6B-01DA377C64A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7226042" name="Chart 8">
                          <a:extLst>
                            <a:ext uri="{FF2B5EF4-FFF2-40B4-BE49-F238E27FC236}">
                              <a16:creationId xmlns:a16="http://schemas.microsoft.com/office/drawing/2014/main" id="{87F908E8-E6B2-C55C-3F6B-01DA377C64AB}"/>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3895725" cy="2105025"/>
                        </a:xfrm>
                        <a:prstGeom prst="rect">
                          <a:avLst/>
                        </a:prstGeom>
                      </pic:spPr>
                    </pic:pic>
                  </a:graphicData>
                </a:graphic>
              </wp:inline>
            </w:drawing>
          </mc:Fallback>
        </mc:AlternateContent>
      </w:r>
    </w:p>
    <w:p w14:paraId="695748C5" w14:textId="77777777" w:rsidR="00E34BBC" w:rsidRPr="005616AE" w:rsidRDefault="00E34BBC" w:rsidP="00EB6651">
      <w:pPr>
        <w:pStyle w:val="ListParagraph"/>
        <w:spacing w:after="0" w:line="240" w:lineRule="auto"/>
        <w:ind w:left="360"/>
      </w:pPr>
    </w:p>
    <w:p w14:paraId="57BF54A9" w14:textId="6269ED02" w:rsidR="00541FC8" w:rsidRPr="005616AE" w:rsidRDefault="00541FC8" w:rsidP="00541FC8">
      <w:pPr>
        <w:spacing w:line="276" w:lineRule="auto"/>
        <w:rPr>
          <w:rFonts w:cs="Calibri"/>
          <w:b/>
          <w:bCs/>
        </w:rPr>
      </w:pPr>
      <w:r w:rsidRPr="005616AE">
        <w:rPr>
          <w:rFonts w:cs="Calibri"/>
          <w:b/>
          <w:bCs/>
        </w:rPr>
        <w:t>Year 1 ROI: -44.91%</w:t>
      </w:r>
    </w:p>
    <w:p w14:paraId="2241A755" w14:textId="50834A1F" w:rsidR="00E34BBC" w:rsidRPr="005616AE" w:rsidRDefault="00E34BBC" w:rsidP="00FD1B57">
      <w:pPr>
        <w:spacing w:after="0" w:line="240" w:lineRule="auto"/>
      </w:pPr>
      <w:r w:rsidRPr="005616AE">
        <w:rPr>
          <w:b/>
          <w:bCs/>
        </w:rPr>
        <w:t>Calculation</w:t>
      </w:r>
    </w:p>
    <w:p w14:paraId="4BBD3820" w14:textId="77777777" w:rsidR="00E34BBC" w:rsidRPr="005616AE" w:rsidRDefault="00E34BBC" w:rsidP="00384F0C">
      <w:pPr>
        <w:pStyle w:val="ListParagraph"/>
        <w:numPr>
          <w:ilvl w:val="0"/>
          <w:numId w:val="95"/>
        </w:numPr>
        <w:spacing w:after="0" w:line="256" w:lineRule="auto"/>
      </w:pPr>
      <w:r w:rsidRPr="005616AE">
        <w:t>Net Profit: -$44,017,998.00 (negative)</w:t>
      </w:r>
    </w:p>
    <w:p w14:paraId="351F1212" w14:textId="77777777" w:rsidR="00E34BBC" w:rsidRPr="005616AE" w:rsidRDefault="00E34BBC" w:rsidP="00384F0C">
      <w:pPr>
        <w:pStyle w:val="ListParagraph"/>
        <w:numPr>
          <w:ilvl w:val="0"/>
          <w:numId w:val="95"/>
        </w:numPr>
        <w:spacing w:after="0" w:line="256" w:lineRule="auto"/>
      </w:pPr>
      <w:r w:rsidRPr="005616AE">
        <w:t>Total Expenses: $98,007,998.00</w:t>
      </w:r>
    </w:p>
    <w:p w14:paraId="04050C57" w14:textId="77777777" w:rsidR="00E34BBC" w:rsidRPr="005616AE" w:rsidRDefault="00E34BBC" w:rsidP="00384F0C">
      <w:pPr>
        <w:pStyle w:val="ListParagraph"/>
        <w:numPr>
          <w:ilvl w:val="0"/>
          <w:numId w:val="95"/>
        </w:numPr>
        <w:spacing w:after="0" w:line="240" w:lineRule="auto"/>
      </w:pPr>
      <w:r w:rsidRPr="005616AE">
        <w:t>ROI% = (Net Profit/Total Expenses) *100</w:t>
      </w:r>
    </w:p>
    <w:p w14:paraId="50B72A3D" w14:textId="77777777" w:rsidR="00E34BBC" w:rsidRPr="005616AE" w:rsidRDefault="00E34BBC" w:rsidP="00384F0C">
      <w:pPr>
        <w:pStyle w:val="ListParagraph"/>
        <w:numPr>
          <w:ilvl w:val="0"/>
          <w:numId w:val="95"/>
        </w:numPr>
        <w:spacing w:after="0" w:line="240" w:lineRule="auto"/>
      </w:pPr>
      <w:r w:rsidRPr="005616AE">
        <w:lastRenderedPageBreak/>
        <w:t>ROI%= (-$44,107,998/$98,007,998) *100</w:t>
      </w:r>
    </w:p>
    <w:p w14:paraId="629C1A82" w14:textId="197CD6C7" w:rsidR="00FD2CE5" w:rsidRPr="005616AE" w:rsidRDefault="00E34BBC" w:rsidP="00541FC8">
      <w:pPr>
        <w:pStyle w:val="ListParagraph"/>
        <w:numPr>
          <w:ilvl w:val="0"/>
          <w:numId w:val="95"/>
        </w:numPr>
        <w:spacing w:after="0" w:line="240" w:lineRule="auto"/>
      </w:pPr>
      <w:r w:rsidRPr="005616AE">
        <w:t>ROI%=-44.91%</w:t>
      </w:r>
    </w:p>
    <w:p w14:paraId="237BCA4A" w14:textId="77777777" w:rsidR="00541FC8" w:rsidRPr="005616AE" w:rsidRDefault="00541FC8" w:rsidP="00541FC8">
      <w:pPr>
        <w:pStyle w:val="ListParagraph"/>
        <w:spacing w:after="0" w:line="240" w:lineRule="auto"/>
      </w:pPr>
    </w:p>
    <w:p w14:paraId="514FE654" w14:textId="77777777" w:rsidR="00FD2CE5" w:rsidRPr="005616AE" w:rsidRDefault="00FD2CE5" w:rsidP="00FD2CE5">
      <w:pPr>
        <w:spacing w:line="276" w:lineRule="auto"/>
        <w:rPr>
          <w:rFonts w:cs="Calibri"/>
          <w:b/>
          <w:bCs/>
        </w:rPr>
      </w:pPr>
      <w:r w:rsidRPr="005616AE">
        <w:rPr>
          <w:rFonts w:cs="Calibri"/>
        </w:rPr>
        <w:t xml:space="preserve">The acquisition of WiTricity by TD Bank requires a significant upfront investment. The ROI in Year 1 is significantly negative at -44.91%, reflecting the early-stage nature of the project and the substantial upfront investments required to establish WiTricity’s EV charging infrastructure. The negative ROI </w:t>
      </w:r>
      <w:proofErr w:type="gramStart"/>
      <w:r w:rsidRPr="005616AE">
        <w:rPr>
          <w:rFonts w:cs="Calibri"/>
        </w:rPr>
        <w:t>is primarily driven</w:t>
      </w:r>
      <w:proofErr w:type="gramEnd"/>
      <w:r w:rsidRPr="005616AE">
        <w:rPr>
          <w:rFonts w:cs="Calibri"/>
        </w:rPr>
        <w:t xml:space="preserve"> by the initial investment and high operating expenses, which are necessary to establish the foundation for future growth. The substantial upfront investment in infrastructure, technology and operational setup significantly outweighs the revenue generated in this period.</w:t>
      </w:r>
    </w:p>
    <w:p w14:paraId="0143FB10" w14:textId="77777777" w:rsidR="00FD2CE5" w:rsidRPr="005616AE" w:rsidRDefault="00FD2CE5" w:rsidP="00FD2CE5">
      <w:pPr>
        <w:spacing w:line="276" w:lineRule="auto"/>
        <w:rPr>
          <w:rFonts w:cs="Calibri"/>
        </w:rPr>
      </w:pPr>
      <w:r w:rsidRPr="005616AE">
        <w:rPr>
          <w:rFonts w:cs="Calibri"/>
          <w:b/>
          <w:bCs/>
        </w:rPr>
        <w:t>High Initial Capital and Operating Expenditures</w:t>
      </w:r>
      <w:r w:rsidRPr="005616AE">
        <w:rPr>
          <w:rFonts w:cs="Calibri"/>
        </w:rPr>
        <w:t>:</w:t>
      </w:r>
    </w:p>
    <w:p w14:paraId="2803406C" w14:textId="77777777" w:rsidR="00FD2CE5" w:rsidRPr="005616AE" w:rsidRDefault="00FD2CE5" w:rsidP="00FD2CE5">
      <w:pPr>
        <w:spacing w:line="276" w:lineRule="auto"/>
        <w:rPr>
          <w:rFonts w:cs="Calibri"/>
        </w:rPr>
      </w:pPr>
      <w:r w:rsidRPr="005616AE">
        <w:rPr>
          <w:rFonts w:cs="Calibri"/>
          <w:b/>
          <w:bCs/>
        </w:rPr>
        <w:t>Capital Investments</w:t>
      </w:r>
      <w:r w:rsidRPr="005616AE">
        <w:rPr>
          <w:rFonts w:cs="Calibri"/>
        </w:rPr>
        <w:t xml:space="preserve">: </w:t>
      </w:r>
    </w:p>
    <w:p w14:paraId="1FCB3E23" w14:textId="77777777" w:rsidR="00FD2CE5" w:rsidRPr="005616AE" w:rsidRDefault="00FD2CE5" w:rsidP="00FD2CE5">
      <w:pPr>
        <w:pStyle w:val="ListParagraph"/>
        <w:numPr>
          <w:ilvl w:val="0"/>
          <w:numId w:val="100"/>
        </w:numPr>
        <w:spacing w:line="276" w:lineRule="auto"/>
        <w:rPr>
          <w:rFonts w:cs="Calibri"/>
        </w:rPr>
      </w:pPr>
      <w:r w:rsidRPr="005616AE">
        <w:rPr>
          <w:rFonts w:cs="Calibri"/>
        </w:rPr>
        <w:t>The project incurs significant costs for infrastructure, including $7,500,000 for machinery and equipment as well as $3,000,000 for setting up EV charging stations. These are foundational investments essential for launching the EV charging network and building related infrastructure.</w:t>
      </w:r>
    </w:p>
    <w:p w14:paraId="531B8DF5" w14:textId="77777777" w:rsidR="00FD2CE5" w:rsidRPr="005616AE" w:rsidRDefault="00FD2CE5" w:rsidP="00FD2CE5">
      <w:pPr>
        <w:numPr>
          <w:ilvl w:val="0"/>
          <w:numId w:val="100"/>
        </w:numPr>
        <w:spacing w:line="276" w:lineRule="auto"/>
        <w:rPr>
          <w:rFonts w:cs="Calibri"/>
        </w:rPr>
      </w:pPr>
      <w:r w:rsidRPr="005616AE">
        <w:rPr>
          <w:rFonts w:cs="Calibri"/>
        </w:rPr>
        <w:t>Additionally, maintenance and repairs ($175,800) and insurance ($95,040) ensure the infrastructure remains operational during this critical phase.</w:t>
      </w:r>
    </w:p>
    <w:p w14:paraId="6321CBE7" w14:textId="77777777" w:rsidR="00FD2CE5" w:rsidRPr="005616AE" w:rsidRDefault="00FD2CE5" w:rsidP="00FD2CE5">
      <w:pPr>
        <w:numPr>
          <w:ilvl w:val="0"/>
          <w:numId w:val="100"/>
        </w:numPr>
        <w:spacing w:line="276" w:lineRule="auto"/>
        <w:rPr>
          <w:rFonts w:cs="Calibri"/>
        </w:rPr>
      </w:pPr>
      <w:r w:rsidRPr="005616AE">
        <w:rPr>
          <w:rFonts w:cs="Calibri"/>
        </w:rPr>
        <w:t xml:space="preserve">The consulting fees for </w:t>
      </w:r>
      <w:proofErr w:type="spellStart"/>
      <w:r w:rsidRPr="005616AE">
        <w:rPr>
          <w:rFonts w:cs="Calibri"/>
        </w:rPr>
        <w:t>ProcessPro</w:t>
      </w:r>
      <w:proofErr w:type="spellEnd"/>
      <w:r w:rsidRPr="005616AE">
        <w:rPr>
          <w:rFonts w:cs="Calibri"/>
        </w:rPr>
        <w:t xml:space="preserve"> Partners ($5,000,000), legal fees ($750,000) and due diligence costs ($3,000,000) are necessary to ensure a seamless acquisition and regulatory compliance for acquisition of WiTricity.</w:t>
      </w:r>
    </w:p>
    <w:p w14:paraId="229841A0" w14:textId="77777777" w:rsidR="00FD2CE5" w:rsidRPr="005616AE" w:rsidRDefault="00FD2CE5" w:rsidP="00FD2CE5">
      <w:pPr>
        <w:spacing w:line="276" w:lineRule="auto"/>
        <w:rPr>
          <w:rFonts w:cs="Calibri"/>
        </w:rPr>
      </w:pPr>
      <w:r w:rsidRPr="005616AE">
        <w:rPr>
          <w:rFonts w:cs="Calibri"/>
          <w:b/>
          <w:bCs/>
        </w:rPr>
        <w:t>Recurring Operational Costs</w:t>
      </w:r>
      <w:r w:rsidRPr="005616AE">
        <w:rPr>
          <w:rFonts w:cs="Calibri"/>
        </w:rPr>
        <w:t>:</w:t>
      </w:r>
    </w:p>
    <w:p w14:paraId="461A4F65" w14:textId="77777777" w:rsidR="00FD2CE5" w:rsidRPr="005616AE" w:rsidRDefault="00FD2CE5" w:rsidP="00FD2CE5">
      <w:pPr>
        <w:numPr>
          <w:ilvl w:val="0"/>
          <w:numId w:val="101"/>
        </w:numPr>
        <w:spacing w:line="276" w:lineRule="auto"/>
        <w:rPr>
          <w:rFonts w:cs="Calibri"/>
        </w:rPr>
      </w:pPr>
      <w:r w:rsidRPr="005616AE">
        <w:rPr>
          <w:rFonts w:cs="Calibri"/>
          <w:b/>
          <w:bCs/>
        </w:rPr>
        <w:t>Payroll</w:t>
      </w:r>
      <w:r w:rsidRPr="005616AE">
        <w:rPr>
          <w:rFonts w:cs="Calibri"/>
        </w:rPr>
        <w:t xml:space="preserve">: Employee payroll is the single largest recurring cost at $19,354,638. The project requires skilled personnel to manage infrastructure setup, operations, regulatory </w:t>
      </w:r>
      <w:proofErr w:type="gramStart"/>
      <w:r w:rsidRPr="005616AE">
        <w:rPr>
          <w:rFonts w:cs="Calibri"/>
        </w:rPr>
        <w:t>tasks</w:t>
      </w:r>
      <w:proofErr w:type="gramEnd"/>
      <w:r w:rsidRPr="005616AE">
        <w:rPr>
          <w:rFonts w:cs="Calibri"/>
        </w:rPr>
        <w:t xml:space="preserve"> and strategy implementation.</w:t>
      </w:r>
    </w:p>
    <w:p w14:paraId="7A64BF56" w14:textId="77777777" w:rsidR="00FD2CE5" w:rsidRPr="005616AE" w:rsidRDefault="00FD2CE5" w:rsidP="00FD2CE5">
      <w:pPr>
        <w:numPr>
          <w:ilvl w:val="0"/>
          <w:numId w:val="101"/>
        </w:numPr>
        <w:spacing w:line="276" w:lineRule="auto"/>
        <w:rPr>
          <w:rFonts w:cs="Calibri"/>
        </w:rPr>
      </w:pPr>
      <w:r w:rsidRPr="005616AE">
        <w:rPr>
          <w:rFonts w:cs="Calibri"/>
          <w:b/>
          <w:bCs/>
        </w:rPr>
        <w:t>Marketing and Advertising</w:t>
      </w:r>
      <w:r w:rsidRPr="005616AE">
        <w:rPr>
          <w:rFonts w:cs="Calibri"/>
        </w:rPr>
        <w:t>: The project invests heavily in marketing and advertising ($17,500,000) to build awareness and attract early adopters. These expenses are critical in gaining a foothold in the competitive EV market.</w:t>
      </w:r>
    </w:p>
    <w:p w14:paraId="060D4ACB" w14:textId="77777777" w:rsidR="00FD2CE5" w:rsidRPr="005616AE" w:rsidRDefault="00FD2CE5" w:rsidP="00FD2CE5">
      <w:pPr>
        <w:numPr>
          <w:ilvl w:val="0"/>
          <w:numId w:val="101"/>
        </w:numPr>
        <w:spacing w:line="276" w:lineRule="auto"/>
        <w:rPr>
          <w:rFonts w:cs="Calibri"/>
        </w:rPr>
      </w:pPr>
      <w:r w:rsidRPr="005616AE">
        <w:rPr>
          <w:rFonts w:cs="Calibri"/>
          <w:b/>
          <w:bCs/>
        </w:rPr>
        <w:t>Research and Development (R&amp;D)</w:t>
      </w:r>
      <w:r w:rsidRPr="005616AE">
        <w:rPr>
          <w:rFonts w:cs="Calibri"/>
        </w:rPr>
        <w:t>: R&amp;D costs amount to $8,000,000, emphasising innovation to enhance EV charging technology and ensure long-term competitiveness.</w:t>
      </w:r>
    </w:p>
    <w:p w14:paraId="46FB0DA9" w14:textId="77777777" w:rsidR="00FD2CE5" w:rsidRPr="005616AE" w:rsidRDefault="00FD2CE5" w:rsidP="00FD2CE5">
      <w:pPr>
        <w:spacing w:line="276" w:lineRule="auto"/>
        <w:rPr>
          <w:rFonts w:cs="Calibri"/>
        </w:rPr>
      </w:pPr>
      <w:r w:rsidRPr="005616AE">
        <w:rPr>
          <w:rFonts w:cs="Calibri"/>
          <w:b/>
          <w:bCs/>
        </w:rPr>
        <w:t>Revenue Limitations</w:t>
      </w:r>
      <w:r w:rsidRPr="005616AE">
        <w:rPr>
          <w:rFonts w:cs="Calibri"/>
        </w:rPr>
        <w:t>:</w:t>
      </w:r>
    </w:p>
    <w:p w14:paraId="2847E3EA" w14:textId="77777777" w:rsidR="00FD2CE5" w:rsidRPr="005616AE" w:rsidRDefault="00FD2CE5" w:rsidP="00FD2CE5">
      <w:pPr>
        <w:pStyle w:val="ListParagraph"/>
        <w:numPr>
          <w:ilvl w:val="0"/>
          <w:numId w:val="102"/>
        </w:numPr>
        <w:spacing w:line="276" w:lineRule="auto"/>
        <w:rPr>
          <w:rFonts w:cs="Calibri"/>
        </w:rPr>
      </w:pPr>
      <w:r w:rsidRPr="005616AE">
        <w:rPr>
          <w:rFonts w:cs="Calibri"/>
        </w:rPr>
        <w:t xml:space="preserve">Revenue generation is still in its infancy. While charging equipment sales generate $25,000,000, accounting for </w:t>
      </w:r>
      <w:proofErr w:type="gramStart"/>
      <w:r w:rsidRPr="005616AE">
        <w:rPr>
          <w:rFonts w:cs="Calibri"/>
        </w:rPr>
        <w:t>nearly half</w:t>
      </w:r>
      <w:proofErr w:type="gramEnd"/>
      <w:r w:rsidRPr="005616AE">
        <w:rPr>
          <w:rFonts w:cs="Calibri"/>
        </w:rPr>
        <w:t xml:space="preserve"> of Year 1 revenue, other streams such as EV charging fees ($12,240,000) and income from running charging stations ($7,500,000) are still in their early stages of development. Advertising and sponsorship revenue is minimal at $250,000, reflecting the limited market reach during the initial phase.</w:t>
      </w:r>
    </w:p>
    <w:p w14:paraId="68FF417A" w14:textId="77777777" w:rsidR="00FD2CE5" w:rsidRPr="005616AE" w:rsidRDefault="00FD2CE5" w:rsidP="00FD2CE5">
      <w:pPr>
        <w:spacing w:line="276" w:lineRule="auto"/>
        <w:rPr>
          <w:rFonts w:cs="Calibri"/>
        </w:rPr>
      </w:pPr>
      <w:r w:rsidRPr="005616AE">
        <w:rPr>
          <w:rFonts w:cs="Calibri"/>
        </w:rPr>
        <w:lastRenderedPageBreak/>
        <w:t xml:space="preserve">The ROI reflects the initial phase of the project. The focus in Year 1 is on building the necessary assets, </w:t>
      </w:r>
      <w:proofErr w:type="gramStart"/>
      <w:r w:rsidRPr="005616AE">
        <w:rPr>
          <w:rFonts w:cs="Calibri"/>
        </w:rPr>
        <w:t>processes</w:t>
      </w:r>
      <w:proofErr w:type="gramEnd"/>
      <w:r w:rsidRPr="005616AE">
        <w:rPr>
          <w:rFonts w:cs="Calibri"/>
        </w:rPr>
        <w:t xml:space="preserve"> and workforce to support long-term profitability. Revenue growth </w:t>
      </w:r>
      <w:proofErr w:type="gramStart"/>
      <w:r w:rsidRPr="005616AE">
        <w:rPr>
          <w:rFonts w:cs="Calibri"/>
        </w:rPr>
        <w:t>is expected</w:t>
      </w:r>
      <w:proofErr w:type="gramEnd"/>
      <w:r w:rsidRPr="005616AE">
        <w:rPr>
          <w:rFonts w:cs="Calibri"/>
        </w:rPr>
        <w:t xml:space="preserve"> to accelerate in future years as the infrastructure matures and adoption increases. This negative ROI is not a sign of failure but an expected milestone in achieving the project's long-term objectives. Year 1 ROI reflects a heavy investment phase where the financial losses are a calculated risk to position the project for long-term profitability. The expenses incurred are necessary to build infrastructure, establish market presence and drive innovation all of which are critical for the project’s success in subsequent years. </w:t>
      </w:r>
    </w:p>
    <w:p w14:paraId="68B68E17" w14:textId="77777777" w:rsidR="00FD2CE5" w:rsidRPr="005616AE" w:rsidRDefault="00FD2CE5" w:rsidP="00FD2CE5">
      <w:pPr>
        <w:spacing w:after="0" w:line="240" w:lineRule="auto"/>
      </w:pPr>
    </w:p>
    <w:p w14:paraId="5ECB52F0" w14:textId="2C29F59F" w:rsidR="00541FC8" w:rsidRPr="005616AE" w:rsidRDefault="00541FC8" w:rsidP="00541FC8">
      <w:pPr>
        <w:spacing w:line="276" w:lineRule="auto"/>
        <w:rPr>
          <w:rFonts w:cs="Calibri"/>
          <w:b/>
          <w:bCs/>
        </w:rPr>
      </w:pPr>
      <w:r w:rsidRPr="005616AE">
        <w:rPr>
          <w:rFonts w:cs="Calibri"/>
          <w:b/>
          <w:bCs/>
        </w:rPr>
        <w:t>Year 3 ROI: -34.31%</w:t>
      </w:r>
    </w:p>
    <w:p w14:paraId="10EBDF72" w14:textId="7930C390" w:rsidR="00E34BBC" w:rsidRPr="005616AE" w:rsidRDefault="00E34BBC" w:rsidP="00FD1B57">
      <w:pPr>
        <w:spacing w:after="0" w:line="240" w:lineRule="auto"/>
      </w:pPr>
      <w:r w:rsidRPr="005616AE">
        <w:rPr>
          <w:b/>
          <w:bCs/>
        </w:rPr>
        <w:t>Calculation</w:t>
      </w:r>
    </w:p>
    <w:p w14:paraId="43E7E358" w14:textId="77777777" w:rsidR="00E34BBC" w:rsidRPr="005616AE" w:rsidRDefault="00E34BBC" w:rsidP="00384F0C">
      <w:pPr>
        <w:pStyle w:val="ListParagraph"/>
        <w:numPr>
          <w:ilvl w:val="0"/>
          <w:numId w:val="96"/>
        </w:numPr>
        <w:spacing w:after="0" w:line="256" w:lineRule="auto"/>
      </w:pPr>
      <w:r w:rsidRPr="005616AE">
        <w:t>Net Profit: −36,645,307.03(negative)</w:t>
      </w:r>
    </w:p>
    <w:p w14:paraId="32097306" w14:textId="77777777" w:rsidR="00E34BBC" w:rsidRPr="005616AE" w:rsidRDefault="00E34BBC" w:rsidP="00384F0C">
      <w:pPr>
        <w:pStyle w:val="ListParagraph"/>
        <w:numPr>
          <w:ilvl w:val="0"/>
          <w:numId w:val="96"/>
        </w:numPr>
        <w:spacing w:after="0" w:line="256" w:lineRule="auto"/>
      </w:pPr>
      <w:r w:rsidRPr="005616AE">
        <w:t>Total Expenses: $−36,645,307.03</w:t>
      </w:r>
    </w:p>
    <w:p w14:paraId="2F8E6EAB" w14:textId="77777777" w:rsidR="00E34BBC" w:rsidRPr="005616AE" w:rsidRDefault="00E34BBC" w:rsidP="00384F0C">
      <w:pPr>
        <w:pStyle w:val="ListParagraph"/>
        <w:numPr>
          <w:ilvl w:val="0"/>
          <w:numId w:val="96"/>
        </w:numPr>
        <w:spacing w:after="0" w:line="240" w:lineRule="auto"/>
      </w:pPr>
      <w:r w:rsidRPr="005616AE">
        <w:t>ROI% = (Net Profit/Total Expenses) *100</w:t>
      </w:r>
    </w:p>
    <w:p w14:paraId="06386686" w14:textId="77777777" w:rsidR="00E34BBC" w:rsidRPr="005616AE" w:rsidRDefault="00E34BBC" w:rsidP="00384F0C">
      <w:pPr>
        <w:pStyle w:val="ListParagraph"/>
        <w:numPr>
          <w:ilvl w:val="0"/>
          <w:numId w:val="96"/>
        </w:numPr>
        <w:spacing w:after="0" w:line="240" w:lineRule="auto"/>
      </w:pPr>
      <w:r w:rsidRPr="005616AE">
        <w:t>ROI%= (−$36,645,307.03/$−36,645,307.03) *100</w:t>
      </w:r>
    </w:p>
    <w:p w14:paraId="3CC1D256" w14:textId="77777777" w:rsidR="00E34BBC" w:rsidRPr="005616AE" w:rsidRDefault="00E34BBC" w:rsidP="00384F0C">
      <w:pPr>
        <w:pStyle w:val="ListParagraph"/>
        <w:numPr>
          <w:ilvl w:val="0"/>
          <w:numId w:val="96"/>
        </w:numPr>
        <w:spacing w:after="0" w:line="240" w:lineRule="auto"/>
      </w:pPr>
      <w:r w:rsidRPr="005616AE">
        <w:t>ROI%=-34.3%</w:t>
      </w:r>
    </w:p>
    <w:p w14:paraId="4A2297E4" w14:textId="77777777" w:rsidR="00541FC8" w:rsidRPr="005616AE" w:rsidRDefault="00541FC8" w:rsidP="00541FC8">
      <w:pPr>
        <w:pStyle w:val="ListParagraph"/>
        <w:spacing w:after="0" w:line="240" w:lineRule="auto"/>
      </w:pPr>
    </w:p>
    <w:p w14:paraId="0F73EA1C" w14:textId="77777777" w:rsidR="00541FC8" w:rsidRPr="005616AE" w:rsidRDefault="00541FC8" w:rsidP="00541FC8">
      <w:pPr>
        <w:spacing w:line="276" w:lineRule="auto"/>
        <w:rPr>
          <w:rFonts w:cs="Calibri"/>
        </w:rPr>
      </w:pPr>
      <w:r w:rsidRPr="005616AE">
        <w:rPr>
          <w:rFonts w:cs="Calibri"/>
        </w:rPr>
        <w:t>In Year 3, the project’s ROI improves to -34.31%, marking a significant recovery from the previous year’s ROI of -44.91%. This improvement reflects the project’s transition from a heavy investment phase to an operational scaling phase, where revenue growth begins to outpace the rise in expenses.</w:t>
      </w:r>
    </w:p>
    <w:p w14:paraId="6CE8EA58" w14:textId="77777777" w:rsidR="00541FC8" w:rsidRPr="005616AE" w:rsidRDefault="00541FC8" w:rsidP="00541FC8">
      <w:pPr>
        <w:spacing w:line="276" w:lineRule="auto"/>
        <w:rPr>
          <w:rFonts w:cs="Calibri"/>
        </w:rPr>
      </w:pPr>
      <w:r w:rsidRPr="005616AE">
        <w:rPr>
          <w:rFonts w:cs="Calibri"/>
          <w:b/>
          <w:bCs/>
        </w:rPr>
        <w:t>Strong Revenue Growth</w:t>
      </w:r>
      <w:r w:rsidRPr="005616AE">
        <w:rPr>
          <w:rFonts w:cs="Calibri"/>
        </w:rPr>
        <w:t>:</w:t>
      </w:r>
    </w:p>
    <w:p w14:paraId="3E731852" w14:textId="77777777" w:rsidR="00541FC8" w:rsidRPr="005616AE" w:rsidRDefault="00541FC8" w:rsidP="00541FC8">
      <w:pPr>
        <w:spacing w:line="276" w:lineRule="auto"/>
        <w:rPr>
          <w:rFonts w:cs="Calibri"/>
        </w:rPr>
      </w:pPr>
      <w:r w:rsidRPr="005616AE">
        <w:rPr>
          <w:rFonts w:cs="Calibri"/>
        </w:rPr>
        <w:t xml:space="preserve">The total revenue in Year 3 increases significantly to $70,170,000, a growth of 29.9% compared to Year 1’s $53,990,000. The improved ROI </w:t>
      </w:r>
      <w:proofErr w:type="gramStart"/>
      <w:r w:rsidRPr="005616AE">
        <w:rPr>
          <w:rFonts w:cs="Calibri"/>
        </w:rPr>
        <w:t>is driven</w:t>
      </w:r>
      <w:proofErr w:type="gramEnd"/>
      <w:r w:rsidRPr="005616AE">
        <w:rPr>
          <w:rFonts w:cs="Calibri"/>
        </w:rPr>
        <w:t xml:space="preserve"> by the maturity of several revenue streams:</w:t>
      </w:r>
    </w:p>
    <w:p w14:paraId="6078E06C" w14:textId="77777777" w:rsidR="00541FC8" w:rsidRPr="005616AE" w:rsidRDefault="00541FC8" w:rsidP="00541FC8">
      <w:pPr>
        <w:numPr>
          <w:ilvl w:val="0"/>
          <w:numId w:val="103"/>
        </w:numPr>
        <w:spacing w:line="276" w:lineRule="auto"/>
        <w:jc w:val="left"/>
        <w:rPr>
          <w:rFonts w:cs="Calibri"/>
        </w:rPr>
      </w:pPr>
      <w:r w:rsidRPr="005616AE">
        <w:rPr>
          <w:rFonts w:cs="Calibri"/>
          <w:b/>
          <w:bCs/>
        </w:rPr>
        <w:t>EV Charging Fees</w:t>
      </w:r>
      <w:r w:rsidRPr="005616AE">
        <w:rPr>
          <w:rFonts w:cs="Calibri"/>
        </w:rPr>
        <w:t>: Revenue rises sharply from $12,240,000 in Year 1 to $19,100,000 in Year 3, reflecting the higher adoption of EV charging services and improved utilisation of charging stations. This demonstrates that the initial investments in infrastructure and marketing are paying off.</w:t>
      </w:r>
    </w:p>
    <w:p w14:paraId="184678E3" w14:textId="77777777" w:rsidR="00541FC8" w:rsidRPr="005616AE" w:rsidRDefault="00541FC8" w:rsidP="00541FC8">
      <w:pPr>
        <w:numPr>
          <w:ilvl w:val="0"/>
          <w:numId w:val="103"/>
        </w:numPr>
        <w:spacing w:line="276" w:lineRule="auto"/>
        <w:jc w:val="left"/>
        <w:rPr>
          <w:rFonts w:cs="Calibri"/>
        </w:rPr>
      </w:pPr>
      <w:r w:rsidRPr="005616AE">
        <w:rPr>
          <w:rFonts w:cs="Calibri"/>
          <w:b/>
          <w:bCs/>
        </w:rPr>
        <w:t>Income from Charging Stations</w:t>
      </w:r>
      <w:r w:rsidRPr="005616AE">
        <w:rPr>
          <w:rFonts w:cs="Calibri"/>
        </w:rPr>
        <w:t>: This stream grows by 32.3%, from $7,500,000 in Year 1 to $9,920,000 in Year 3. The expansion of charging station networks and increased customer traffic contributed to this growth.</w:t>
      </w:r>
    </w:p>
    <w:p w14:paraId="62985449" w14:textId="77777777" w:rsidR="00541FC8" w:rsidRPr="005616AE" w:rsidRDefault="00541FC8" w:rsidP="00541FC8">
      <w:pPr>
        <w:numPr>
          <w:ilvl w:val="0"/>
          <w:numId w:val="103"/>
        </w:numPr>
        <w:spacing w:line="276" w:lineRule="auto"/>
        <w:jc w:val="left"/>
        <w:rPr>
          <w:rFonts w:cs="Calibri"/>
        </w:rPr>
      </w:pPr>
      <w:r w:rsidRPr="005616AE">
        <w:rPr>
          <w:rFonts w:cs="Calibri"/>
          <w:b/>
          <w:bCs/>
        </w:rPr>
        <w:t>Charging Equipment Sales</w:t>
      </w:r>
      <w:r w:rsidRPr="005616AE">
        <w:rPr>
          <w:rFonts w:cs="Calibri"/>
        </w:rPr>
        <w:t>: Revenue surges by 44%, from $25,000,000 in Year 1 to $36,000,000 in Year 3, driven by greater demand for EV charging infrastructure as EV adoption accelerates.</w:t>
      </w:r>
    </w:p>
    <w:p w14:paraId="08E65ABA" w14:textId="77777777" w:rsidR="00541FC8" w:rsidRPr="005616AE" w:rsidRDefault="00541FC8" w:rsidP="00541FC8">
      <w:pPr>
        <w:spacing w:line="276" w:lineRule="auto"/>
        <w:rPr>
          <w:rFonts w:cs="Calibri"/>
        </w:rPr>
      </w:pPr>
      <w:r w:rsidRPr="005616AE">
        <w:rPr>
          <w:rFonts w:cs="Calibri"/>
        </w:rPr>
        <w:t>The consistent growth across these streams indicates the project’s success in capturing a larger share of the growing EV market.</w:t>
      </w:r>
    </w:p>
    <w:p w14:paraId="08333BC2" w14:textId="77777777" w:rsidR="00541FC8" w:rsidRPr="005616AE" w:rsidRDefault="00541FC8" w:rsidP="00541FC8">
      <w:pPr>
        <w:spacing w:line="276" w:lineRule="auto"/>
        <w:rPr>
          <w:rFonts w:cs="Calibri"/>
          <w:b/>
          <w:bCs/>
        </w:rPr>
      </w:pPr>
      <w:r w:rsidRPr="005616AE">
        <w:rPr>
          <w:rFonts w:cs="Calibri"/>
          <w:b/>
          <w:bCs/>
        </w:rPr>
        <w:t>Stabilisation of Expenses</w:t>
      </w:r>
    </w:p>
    <w:p w14:paraId="30883F12" w14:textId="77777777" w:rsidR="00541FC8" w:rsidRPr="005616AE" w:rsidRDefault="00541FC8" w:rsidP="00541FC8">
      <w:pPr>
        <w:spacing w:line="276" w:lineRule="auto"/>
        <w:rPr>
          <w:rFonts w:cs="Calibri"/>
        </w:rPr>
      </w:pPr>
      <w:r w:rsidRPr="005616AE">
        <w:rPr>
          <w:rFonts w:cs="Calibri"/>
        </w:rPr>
        <w:t xml:space="preserve">While total expenses remain high, they increase modestly by 8.9%, from $98,007,998 in Year 1 to $106,815,307 in Year 3. The slower growth in expenses, compared to revenue, reflects cost </w:t>
      </w:r>
      <w:proofErr w:type="gramStart"/>
      <w:r w:rsidRPr="005616AE">
        <w:rPr>
          <w:rFonts w:cs="Calibri"/>
        </w:rPr>
        <w:t>optimisation</w:t>
      </w:r>
      <w:proofErr w:type="gramEnd"/>
      <w:r w:rsidRPr="005616AE">
        <w:rPr>
          <w:rFonts w:cs="Calibri"/>
        </w:rPr>
        <w:t xml:space="preserve"> and improved operational efficiency:</w:t>
      </w:r>
    </w:p>
    <w:p w14:paraId="75E854DA" w14:textId="77777777" w:rsidR="00541FC8" w:rsidRPr="005616AE" w:rsidRDefault="00541FC8" w:rsidP="00541FC8">
      <w:pPr>
        <w:numPr>
          <w:ilvl w:val="0"/>
          <w:numId w:val="104"/>
        </w:numPr>
        <w:spacing w:line="276" w:lineRule="auto"/>
        <w:jc w:val="left"/>
        <w:rPr>
          <w:rFonts w:cs="Calibri"/>
        </w:rPr>
      </w:pPr>
      <w:r w:rsidRPr="005616AE">
        <w:rPr>
          <w:rFonts w:cs="Calibri"/>
          <w:b/>
          <w:bCs/>
        </w:rPr>
        <w:lastRenderedPageBreak/>
        <w:t>Marketing and Advertising</w:t>
      </w:r>
      <w:r w:rsidRPr="005616AE">
        <w:rPr>
          <w:rFonts w:cs="Calibri"/>
        </w:rPr>
        <w:t>: These expenses remain steady at $17,500,000, as earlier campaigns continue to drive customer acquisition, reducing the need for additional investment.</w:t>
      </w:r>
    </w:p>
    <w:p w14:paraId="6D0C1BB0" w14:textId="77777777" w:rsidR="00541FC8" w:rsidRPr="005616AE" w:rsidRDefault="00541FC8" w:rsidP="00541FC8">
      <w:pPr>
        <w:numPr>
          <w:ilvl w:val="0"/>
          <w:numId w:val="104"/>
        </w:numPr>
        <w:spacing w:line="276" w:lineRule="auto"/>
        <w:jc w:val="left"/>
        <w:rPr>
          <w:rFonts w:cs="Calibri"/>
        </w:rPr>
      </w:pPr>
      <w:r w:rsidRPr="005616AE">
        <w:rPr>
          <w:rFonts w:cs="Calibri"/>
          <w:b/>
          <w:bCs/>
        </w:rPr>
        <w:t>R&amp;D Investments</w:t>
      </w:r>
      <w:r w:rsidRPr="005616AE">
        <w:rPr>
          <w:rFonts w:cs="Calibri"/>
        </w:rPr>
        <w:t>: These decrease by 21.2%, from $8,000,000 in Year 1 to $6,303,750 in Year 3, signifying a shift from initial innovation efforts to incremental optimisation of existing technologies.</w:t>
      </w:r>
    </w:p>
    <w:p w14:paraId="048F2FBE" w14:textId="77777777" w:rsidR="00541FC8" w:rsidRPr="005616AE" w:rsidRDefault="00541FC8" w:rsidP="00541FC8">
      <w:pPr>
        <w:numPr>
          <w:ilvl w:val="0"/>
          <w:numId w:val="104"/>
        </w:numPr>
        <w:spacing w:line="276" w:lineRule="auto"/>
        <w:jc w:val="left"/>
        <w:rPr>
          <w:rFonts w:cs="Calibri"/>
        </w:rPr>
      </w:pPr>
      <w:r w:rsidRPr="005616AE">
        <w:rPr>
          <w:rFonts w:cs="Calibri"/>
          <w:b/>
          <w:bCs/>
        </w:rPr>
        <w:t>Payroll</w:t>
      </w:r>
      <w:r w:rsidRPr="005616AE">
        <w:rPr>
          <w:rFonts w:cs="Calibri"/>
        </w:rPr>
        <w:t>: Employee costs remain consistent at $19,354,638, indicating stable operations and no significant workforce expansion.</w:t>
      </w:r>
    </w:p>
    <w:p w14:paraId="042748CB" w14:textId="77777777" w:rsidR="00541FC8" w:rsidRPr="005616AE" w:rsidRDefault="00541FC8" w:rsidP="00541FC8">
      <w:pPr>
        <w:spacing w:line="276" w:lineRule="auto"/>
        <w:rPr>
          <w:rFonts w:cs="Calibri"/>
        </w:rPr>
      </w:pPr>
      <w:r w:rsidRPr="005616AE">
        <w:rPr>
          <w:rFonts w:cs="Calibri"/>
        </w:rPr>
        <w:t>In contrast, Year 1 incurred significant expenses related to setting up infrastructure, acquiring regulatory approvals and marketing which contributed to a larger ROI deficit.</w:t>
      </w:r>
    </w:p>
    <w:p w14:paraId="72205322" w14:textId="77777777" w:rsidR="00541FC8" w:rsidRPr="005616AE" w:rsidRDefault="00541FC8" w:rsidP="00541FC8">
      <w:pPr>
        <w:spacing w:line="276" w:lineRule="auto"/>
        <w:rPr>
          <w:rFonts w:cs="Calibri"/>
          <w:b/>
          <w:bCs/>
        </w:rPr>
      </w:pPr>
      <w:r w:rsidRPr="005616AE">
        <w:rPr>
          <w:rFonts w:cs="Calibri"/>
          <w:b/>
          <w:bCs/>
        </w:rPr>
        <w:t>Improved Operational Efficiency</w:t>
      </w:r>
    </w:p>
    <w:p w14:paraId="5D2232D1" w14:textId="77777777" w:rsidR="00541FC8" w:rsidRPr="005616AE" w:rsidRDefault="00541FC8" w:rsidP="00541FC8">
      <w:pPr>
        <w:spacing w:line="276" w:lineRule="auto"/>
        <w:rPr>
          <w:rFonts w:cs="Calibri"/>
        </w:rPr>
      </w:pPr>
      <w:r w:rsidRPr="005616AE">
        <w:rPr>
          <w:rFonts w:cs="Calibri"/>
        </w:rPr>
        <w:t>By Year 3, the project begins reaping the benefits of economies of scale and optimised resource utilisation:</w:t>
      </w:r>
    </w:p>
    <w:p w14:paraId="04045252" w14:textId="77777777" w:rsidR="00541FC8" w:rsidRPr="005616AE" w:rsidRDefault="00541FC8" w:rsidP="00541FC8">
      <w:pPr>
        <w:numPr>
          <w:ilvl w:val="0"/>
          <w:numId w:val="105"/>
        </w:numPr>
        <w:spacing w:line="276" w:lineRule="auto"/>
        <w:jc w:val="left"/>
        <w:rPr>
          <w:rFonts w:cs="Calibri"/>
        </w:rPr>
      </w:pPr>
      <w:r w:rsidRPr="005616AE">
        <w:rPr>
          <w:rFonts w:cs="Calibri"/>
          <w:b/>
          <w:bCs/>
        </w:rPr>
        <w:t>Maintenance and Repairs</w:t>
      </w:r>
      <w:r w:rsidRPr="005616AE">
        <w:rPr>
          <w:rFonts w:cs="Calibri"/>
        </w:rPr>
        <w:t>: Costs stabilise as equipment and infrastructure settle into regular use.</w:t>
      </w:r>
    </w:p>
    <w:p w14:paraId="34D6D7D3" w14:textId="77777777" w:rsidR="00541FC8" w:rsidRPr="005616AE" w:rsidRDefault="00541FC8" w:rsidP="00541FC8">
      <w:pPr>
        <w:numPr>
          <w:ilvl w:val="0"/>
          <w:numId w:val="105"/>
        </w:numPr>
        <w:spacing w:line="276" w:lineRule="auto"/>
        <w:jc w:val="left"/>
        <w:rPr>
          <w:rFonts w:cs="Calibri"/>
        </w:rPr>
      </w:pPr>
      <w:r w:rsidRPr="005616AE">
        <w:rPr>
          <w:rFonts w:cs="Calibri"/>
          <w:b/>
          <w:bCs/>
        </w:rPr>
        <w:t>Compliance and Legal Expenses</w:t>
      </w:r>
      <w:r w:rsidRPr="005616AE">
        <w:rPr>
          <w:rFonts w:cs="Calibri"/>
        </w:rPr>
        <w:t>: These stabilise, as the project transitions from regulatory approvals in Year 1 to ongoing operations in Year 3.</w:t>
      </w:r>
    </w:p>
    <w:p w14:paraId="312290CC" w14:textId="77777777" w:rsidR="00541FC8" w:rsidRPr="005616AE" w:rsidRDefault="00541FC8" w:rsidP="00541FC8">
      <w:pPr>
        <w:numPr>
          <w:ilvl w:val="0"/>
          <w:numId w:val="105"/>
        </w:numPr>
        <w:spacing w:line="276" w:lineRule="auto"/>
        <w:jc w:val="left"/>
        <w:rPr>
          <w:rFonts w:cs="Calibri"/>
        </w:rPr>
      </w:pPr>
      <w:r w:rsidRPr="005616AE">
        <w:rPr>
          <w:rStyle w:val="Strong"/>
          <w:rFonts w:cs="Calibri"/>
        </w:rPr>
        <w:t>Revenue Growth Momentum</w:t>
      </w:r>
      <w:r w:rsidRPr="005616AE">
        <w:rPr>
          <w:rFonts w:cs="Calibri"/>
        </w:rPr>
        <w:t>:</w:t>
      </w:r>
      <w:r w:rsidRPr="005616AE">
        <w:rPr>
          <w:rFonts w:cs="Calibri"/>
        </w:rPr>
        <w:br/>
        <w:t>The project demonstrates stronger revenue generation in Year 3, driven by increased adoption of EV services, higher utilisation rates of charging stations and the success of equipment sales. Compared to Year 1, revenue diversification is evident, with charging fees, equipment sales and station income showing steady growth.</w:t>
      </w:r>
    </w:p>
    <w:p w14:paraId="16199F1B" w14:textId="77777777" w:rsidR="00541FC8" w:rsidRPr="005616AE" w:rsidRDefault="00541FC8" w:rsidP="00541FC8">
      <w:pPr>
        <w:numPr>
          <w:ilvl w:val="0"/>
          <w:numId w:val="105"/>
        </w:numPr>
        <w:spacing w:line="276" w:lineRule="auto"/>
        <w:jc w:val="left"/>
        <w:rPr>
          <w:rFonts w:cs="Calibri"/>
        </w:rPr>
      </w:pPr>
      <w:r w:rsidRPr="005616AE">
        <w:rPr>
          <w:rStyle w:val="Strong"/>
          <w:rFonts w:cs="Calibri"/>
        </w:rPr>
        <w:t>Expense Stabilisation</w:t>
      </w:r>
      <w:r w:rsidRPr="005616AE">
        <w:rPr>
          <w:rFonts w:cs="Calibri"/>
        </w:rPr>
        <w:t>:</w:t>
      </w:r>
      <w:r w:rsidRPr="005616AE">
        <w:rPr>
          <w:rFonts w:cs="Calibri"/>
        </w:rPr>
        <w:br/>
        <w:t>Expenses in Year 3 reflect operational maturity, as major cost categories such as payroll, marketing and R&amp;D either stabilise or decline. The project begins to shift away from the heavy capital outlay of Year 1.</w:t>
      </w:r>
    </w:p>
    <w:p w14:paraId="6FF97CBD" w14:textId="77777777" w:rsidR="00541FC8" w:rsidRPr="005616AE" w:rsidRDefault="00541FC8" w:rsidP="00541FC8">
      <w:pPr>
        <w:numPr>
          <w:ilvl w:val="0"/>
          <w:numId w:val="105"/>
        </w:numPr>
        <w:spacing w:line="276" w:lineRule="auto"/>
        <w:jc w:val="left"/>
        <w:rPr>
          <w:rFonts w:cs="Calibri"/>
        </w:rPr>
      </w:pPr>
      <w:r w:rsidRPr="005616AE">
        <w:rPr>
          <w:rStyle w:val="Strong"/>
          <w:rFonts w:cs="Calibri"/>
        </w:rPr>
        <w:t>Narrowing Gross Profit Gap</w:t>
      </w:r>
      <w:r w:rsidRPr="005616AE">
        <w:rPr>
          <w:rFonts w:cs="Calibri"/>
        </w:rPr>
        <w:t>:</w:t>
      </w:r>
      <w:r w:rsidRPr="005616AE">
        <w:rPr>
          <w:rFonts w:cs="Calibri"/>
        </w:rPr>
        <w:br/>
        <w:t xml:space="preserve">In Year 1, the project faced a significant revenue-expense gap, with expenses exceeding revenue. By Year 3, this gap </w:t>
      </w:r>
      <w:proofErr w:type="gramStart"/>
      <w:r w:rsidRPr="005616AE">
        <w:rPr>
          <w:rFonts w:cs="Calibri"/>
        </w:rPr>
        <w:t>narrows considerably, with</w:t>
      </w:r>
      <w:proofErr w:type="gramEnd"/>
      <w:r w:rsidRPr="005616AE">
        <w:rPr>
          <w:rFonts w:cs="Calibri"/>
        </w:rPr>
        <w:t xml:space="preserve"> revenue exceeding Year 1 levels and expenses showing only a marginal increase.</w:t>
      </w:r>
    </w:p>
    <w:p w14:paraId="513345C3" w14:textId="77777777" w:rsidR="00541FC8" w:rsidRPr="005616AE" w:rsidRDefault="00541FC8" w:rsidP="00541FC8">
      <w:pPr>
        <w:spacing w:line="276" w:lineRule="auto"/>
        <w:rPr>
          <w:rFonts w:cs="Calibri"/>
        </w:rPr>
      </w:pPr>
      <w:r w:rsidRPr="005616AE">
        <w:rPr>
          <w:rFonts w:cs="Calibri"/>
        </w:rPr>
        <w:t>Year 3 reflects a clear progression from the foundational efforts in Year 1. The substantial growth in revenue (29.9%) compared to the modest rise in expenses (8.9%) demonstrates the project’s ability to scale its operations efficiently. The improvement in ROI from -44.91% in Year 1 to -34.31% in Year 3 indicates a transition toward financial stability, supported by higher revenue streams, cost optimisation and operational maturity. This comparison reinforces the long-term viability of the investment, as the project builds on its initial setup phase to achieve sustainable growth and move closer to breakeven.</w:t>
      </w:r>
    </w:p>
    <w:p w14:paraId="72AEF4CC" w14:textId="77777777" w:rsidR="00E34BBC" w:rsidRPr="005616AE" w:rsidRDefault="00E34BBC" w:rsidP="00EB6651">
      <w:pPr>
        <w:spacing w:after="0" w:line="240" w:lineRule="auto"/>
      </w:pPr>
    </w:p>
    <w:p w14:paraId="08F4D497" w14:textId="77777777" w:rsidR="00541FC8" w:rsidRPr="005616AE" w:rsidRDefault="00541FC8" w:rsidP="00541FC8">
      <w:pPr>
        <w:spacing w:line="276" w:lineRule="auto"/>
        <w:rPr>
          <w:rFonts w:cs="Calibri"/>
          <w:b/>
          <w:bCs/>
        </w:rPr>
      </w:pPr>
      <w:r w:rsidRPr="005616AE">
        <w:rPr>
          <w:rFonts w:cs="Calibri"/>
          <w:b/>
          <w:bCs/>
        </w:rPr>
        <w:t>Year 5 ROI: 8.14%</w:t>
      </w:r>
    </w:p>
    <w:p w14:paraId="3CF221DB" w14:textId="0F424A86" w:rsidR="00E34BBC" w:rsidRPr="005616AE" w:rsidRDefault="00E34BBC" w:rsidP="00FD1B57">
      <w:pPr>
        <w:spacing w:after="0" w:line="240" w:lineRule="auto"/>
        <w:rPr>
          <w:b/>
          <w:bCs/>
        </w:rPr>
      </w:pPr>
      <w:r w:rsidRPr="005616AE">
        <w:rPr>
          <w:b/>
          <w:bCs/>
        </w:rPr>
        <w:lastRenderedPageBreak/>
        <w:t>Calculation</w:t>
      </w:r>
    </w:p>
    <w:p w14:paraId="3009B031" w14:textId="77777777" w:rsidR="00E34BBC" w:rsidRPr="005616AE" w:rsidRDefault="00E34BBC" w:rsidP="00384F0C">
      <w:pPr>
        <w:pStyle w:val="ListParagraph"/>
        <w:numPr>
          <w:ilvl w:val="0"/>
          <w:numId w:val="97"/>
        </w:numPr>
        <w:spacing w:after="0" w:line="256" w:lineRule="auto"/>
      </w:pPr>
      <w:r w:rsidRPr="005616AE">
        <w:t>Net Profit: $7,321,893.59</w:t>
      </w:r>
    </w:p>
    <w:p w14:paraId="7EB91546" w14:textId="77777777" w:rsidR="00E34BBC" w:rsidRPr="005616AE" w:rsidRDefault="00E34BBC" w:rsidP="00384F0C">
      <w:pPr>
        <w:pStyle w:val="ListParagraph"/>
        <w:numPr>
          <w:ilvl w:val="0"/>
          <w:numId w:val="97"/>
        </w:numPr>
        <w:spacing w:after="0" w:line="256" w:lineRule="auto"/>
      </w:pPr>
      <w:r w:rsidRPr="005616AE">
        <w:t>Total Expenses: $89,986,159.11</w:t>
      </w:r>
    </w:p>
    <w:p w14:paraId="1D721797" w14:textId="77777777" w:rsidR="00E34BBC" w:rsidRPr="005616AE" w:rsidRDefault="00E34BBC" w:rsidP="00384F0C">
      <w:pPr>
        <w:pStyle w:val="ListParagraph"/>
        <w:numPr>
          <w:ilvl w:val="0"/>
          <w:numId w:val="97"/>
        </w:numPr>
        <w:spacing w:after="0" w:line="240" w:lineRule="auto"/>
      </w:pPr>
      <w:r w:rsidRPr="005616AE">
        <w:t>ROI% = (Net Profit/Total Expenses) *100</w:t>
      </w:r>
    </w:p>
    <w:p w14:paraId="3CFFCAC1" w14:textId="77777777" w:rsidR="00E34BBC" w:rsidRPr="005616AE" w:rsidRDefault="00E34BBC" w:rsidP="00384F0C">
      <w:pPr>
        <w:pStyle w:val="ListParagraph"/>
        <w:numPr>
          <w:ilvl w:val="0"/>
          <w:numId w:val="97"/>
        </w:numPr>
        <w:spacing w:after="0" w:line="240" w:lineRule="auto"/>
      </w:pPr>
      <w:r w:rsidRPr="005616AE">
        <w:t>ROI%= ($7,321,893.59/$89,986,159.11) *100</w:t>
      </w:r>
    </w:p>
    <w:p w14:paraId="3C123238" w14:textId="5D6146FB" w:rsidR="00E34BBC" w:rsidRPr="005616AE" w:rsidRDefault="00E34BBC" w:rsidP="00384F0C">
      <w:pPr>
        <w:pStyle w:val="ListParagraph"/>
        <w:numPr>
          <w:ilvl w:val="0"/>
          <w:numId w:val="97"/>
        </w:numPr>
        <w:spacing w:after="0" w:line="240" w:lineRule="auto"/>
      </w:pPr>
      <w:r w:rsidRPr="005616AE">
        <w:t>ROI%=8.1</w:t>
      </w:r>
      <w:r w:rsidR="00541FC8" w:rsidRPr="005616AE">
        <w:t>4</w:t>
      </w:r>
      <w:r w:rsidRPr="005616AE">
        <w:t>%</w:t>
      </w:r>
    </w:p>
    <w:p w14:paraId="211D5B99" w14:textId="77777777" w:rsidR="00E34BBC" w:rsidRPr="005616AE" w:rsidRDefault="00E34BBC" w:rsidP="00004C1A">
      <w:pPr>
        <w:spacing w:after="0" w:line="240" w:lineRule="auto"/>
      </w:pPr>
    </w:p>
    <w:p w14:paraId="5F731E53" w14:textId="77777777" w:rsidR="00541FC8" w:rsidRPr="005616AE" w:rsidRDefault="00541FC8" w:rsidP="00541FC8">
      <w:pPr>
        <w:spacing w:line="276" w:lineRule="auto"/>
        <w:rPr>
          <w:rFonts w:cs="Calibri"/>
        </w:rPr>
      </w:pPr>
      <w:r w:rsidRPr="005616AE">
        <w:rPr>
          <w:rFonts w:cs="Calibri"/>
        </w:rPr>
        <w:t xml:space="preserve">Year 5 marks a significant milestone for the TD Bank and WiTricity project, transitioning from negative ROI of -34.31% in year 3 to a positive return of 8.14% in Year 5. This achievement reflects the culmination of initial investments, operational </w:t>
      </w:r>
      <w:proofErr w:type="gramStart"/>
      <w:r w:rsidRPr="005616AE">
        <w:rPr>
          <w:rFonts w:cs="Calibri"/>
        </w:rPr>
        <w:t>efficiencies</w:t>
      </w:r>
      <w:proofErr w:type="gramEnd"/>
      <w:r w:rsidRPr="005616AE">
        <w:rPr>
          <w:rFonts w:cs="Calibri"/>
        </w:rPr>
        <w:t xml:space="preserve"> and robust revenue growth.</w:t>
      </w:r>
    </w:p>
    <w:p w14:paraId="5E5F45DE" w14:textId="77777777" w:rsidR="00541FC8" w:rsidRPr="005616AE" w:rsidRDefault="00541FC8" w:rsidP="00541FC8">
      <w:pPr>
        <w:spacing w:line="276" w:lineRule="auto"/>
        <w:rPr>
          <w:rFonts w:cs="Calibri"/>
          <w:b/>
          <w:bCs/>
        </w:rPr>
      </w:pPr>
      <w:r w:rsidRPr="005616AE">
        <w:rPr>
          <w:rFonts w:cs="Calibri"/>
          <w:b/>
          <w:bCs/>
        </w:rPr>
        <w:t>Revenue Growth:</w:t>
      </w:r>
    </w:p>
    <w:p w14:paraId="08084F30" w14:textId="77777777" w:rsidR="00541FC8" w:rsidRPr="005616AE" w:rsidRDefault="00541FC8" w:rsidP="00541FC8">
      <w:pPr>
        <w:spacing w:line="276" w:lineRule="auto"/>
        <w:rPr>
          <w:rFonts w:cs="Calibri"/>
        </w:rPr>
      </w:pPr>
      <w:r w:rsidRPr="005616AE">
        <w:rPr>
          <w:rFonts w:cs="Calibri"/>
        </w:rPr>
        <w:t xml:space="preserve">Revenue increased by 41.1% over two years, demonstrating </w:t>
      </w:r>
      <w:proofErr w:type="gramStart"/>
      <w:r w:rsidRPr="005616AE">
        <w:rPr>
          <w:rFonts w:cs="Calibri"/>
        </w:rPr>
        <w:t>strong growth</w:t>
      </w:r>
      <w:proofErr w:type="gramEnd"/>
      <w:r w:rsidRPr="005616AE">
        <w:rPr>
          <w:rFonts w:cs="Calibri"/>
        </w:rPr>
        <w:t xml:space="preserve"> across all major revenue streams as the project gained traction in the EV market.</w:t>
      </w:r>
    </w:p>
    <w:p w14:paraId="41D28961" w14:textId="77777777" w:rsidR="00541FC8" w:rsidRPr="005616AE" w:rsidRDefault="00541FC8" w:rsidP="00541FC8">
      <w:pPr>
        <w:pStyle w:val="ListParagraph"/>
        <w:numPr>
          <w:ilvl w:val="0"/>
          <w:numId w:val="112"/>
        </w:numPr>
        <w:spacing w:line="276" w:lineRule="auto"/>
        <w:rPr>
          <w:rFonts w:cs="Calibri"/>
        </w:rPr>
      </w:pPr>
      <w:r w:rsidRPr="005616AE">
        <w:rPr>
          <w:rFonts w:cs="Calibri"/>
          <w:b/>
          <w:bCs/>
        </w:rPr>
        <w:t>Charging Equipment Sales ($51,840,000):</w:t>
      </w:r>
    </w:p>
    <w:p w14:paraId="44ED16C5" w14:textId="77777777" w:rsidR="00541FC8" w:rsidRPr="005616AE" w:rsidRDefault="00541FC8" w:rsidP="00541FC8">
      <w:pPr>
        <w:spacing w:line="276" w:lineRule="auto"/>
        <w:rPr>
          <w:rFonts w:cs="Calibri"/>
        </w:rPr>
      </w:pPr>
      <w:r w:rsidRPr="005616AE">
        <w:rPr>
          <w:rFonts w:cs="Calibri"/>
        </w:rPr>
        <w:t>Contributing over 52% of total revenue, charging equipment sales continue to grow by 44% growth due to increasing EV adoption and the expanding market presence of WiTricity.</w:t>
      </w:r>
    </w:p>
    <w:p w14:paraId="568F56D0" w14:textId="77777777" w:rsidR="00541FC8" w:rsidRPr="005616AE" w:rsidRDefault="00541FC8" w:rsidP="00541FC8">
      <w:pPr>
        <w:pStyle w:val="ListParagraph"/>
        <w:numPr>
          <w:ilvl w:val="0"/>
          <w:numId w:val="112"/>
        </w:numPr>
        <w:spacing w:line="276" w:lineRule="auto"/>
        <w:rPr>
          <w:rFonts w:cs="Calibri"/>
          <w:b/>
          <w:bCs/>
        </w:rPr>
      </w:pPr>
      <w:r w:rsidRPr="005616AE">
        <w:rPr>
          <w:rFonts w:cs="Calibri"/>
          <w:b/>
          <w:bCs/>
        </w:rPr>
        <w:t>EV Charging Fees ($27,810,000):</w:t>
      </w:r>
    </w:p>
    <w:p w14:paraId="54023BD5" w14:textId="77777777" w:rsidR="00541FC8" w:rsidRPr="005616AE" w:rsidRDefault="00541FC8" w:rsidP="00541FC8">
      <w:pPr>
        <w:spacing w:line="276" w:lineRule="auto"/>
        <w:rPr>
          <w:rFonts w:cs="Calibri"/>
        </w:rPr>
      </w:pPr>
      <w:r w:rsidRPr="005616AE">
        <w:rPr>
          <w:rFonts w:cs="Calibri"/>
        </w:rPr>
        <w:t>This revenue stream rises by 45.6% compared to Year 3 from $19,100,000 to $27,810,000, driven by increased utilisation of the charging network. This reflects higher charging station utilisation as EV adoption continued to rise.</w:t>
      </w:r>
    </w:p>
    <w:p w14:paraId="74BE4526" w14:textId="77777777" w:rsidR="00541FC8" w:rsidRPr="005616AE" w:rsidRDefault="00541FC8" w:rsidP="00541FC8">
      <w:pPr>
        <w:pStyle w:val="ListParagraph"/>
        <w:numPr>
          <w:ilvl w:val="0"/>
          <w:numId w:val="112"/>
        </w:numPr>
        <w:spacing w:line="276" w:lineRule="auto"/>
        <w:rPr>
          <w:rFonts w:cs="Calibri"/>
          <w:b/>
          <w:bCs/>
        </w:rPr>
      </w:pPr>
      <w:r w:rsidRPr="005616AE">
        <w:rPr>
          <w:rFonts w:cs="Calibri"/>
          <w:b/>
          <w:bCs/>
        </w:rPr>
        <w:t>Income from Running Charging Stations ($13,130,000):</w:t>
      </w:r>
    </w:p>
    <w:p w14:paraId="426FBCCA" w14:textId="77777777" w:rsidR="00541FC8" w:rsidRPr="005616AE" w:rsidRDefault="00541FC8" w:rsidP="00541FC8">
      <w:pPr>
        <w:spacing w:line="276" w:lineRule="auto"/>
        <w:rPr>
          <w:rFonts w:cs="Calibri"/>
        </w:rPr>
      </w:pPr>
      <w:r w:rsidRPr="005616AE">
        <w:rPr>
          <w:rFonts w:cs="Calibri"/>
        </w:rPr>
        <w:t>An increase from $9,920,000 in Year 3 to $13,130,000 in Year 5 (32.3% growth). This indicates successful expansion of charging station networks and growing customer traffic.</w:t>
      </w:r>
    </w:p>
    <w:p w14:paraId="53AA6022" w14:textId="77777777" w:rsidR="00541FC8" w:rsidRPr="005616AE" w:rsidRDefault="00541FC8" w:rsidP="00541FC8">
      <w:pPr>
        <w:pStyle w:val="ListParagraph"/>
        <w:numPr>
          <w:ilvl w:val="0"/>
          <w:numId w:val="112"/>
        </w:numPr>
        <w:spacing w:line="276" w:lineRule="auto"/>
        <w:rPr>
          <w:rFonts w:cs="Calibri"/>
          <w:b/>
          <w:bCs/>
        </w:rPr>
      </w:pPr>
      <w:r w:rsidRPr="005616AE">
        <w:rPr>
          <w:rFonts w:cs="Calibri"/>
          <w:b/>
          <w:bCs/>
        </w:rPr>
        <w:t>Third-Party Contracts ($5,860,000):</w:t>
      </w:r>
    </w:p>
    <w:p w14:paraId="4A36CE85" w14:textId="77777777" w:rsidR="00541FC8" w:rsidRPr="005616AE" w:rsidRDefault="00541FC8" w:rsidP="00541FC8">
      <w:pPr>
        <w:spacing w:line="276" w:lineRule="auto"/>
        <w:rPr>
          <w:rFonts w:cs="Calibri"/>
        </w:rPr>
      </w:pPr>
      <w:r w:rsidRPr="005616AE">
        <w:rPr>
          <w:rFonts w:cs="Calibri"/>
        </w:rPr>
        <w:t>Revenue from partnerships and collaborations grows steadily, adding diversification to income streams.</w:t>
      </w:r>
    </w:p>
    <w:p w14:paraId="339D99D0" w14:textId="77777777" w:rsidR="00541FC8" w:rsidRPr="005616AE" w:rsidRDefault="00541FC8" w:rsidP="00541FC8">
      <w:pPr>
        <w:pStyle w:val="ListParagraph"/>
        <w:numPr>
          <w:ilvl w:val="0"/>
          <w:numId w:val="112"/>
        </w:numPr>
        <w:spacing w:line="276" w:lineRule="auto"/>
        <w:rPr>
          <w:rFonts w:cs="Calibri"/>
          <w:b/>
          <w:bCs/>
        </w:rPr>
      </w:pPr>
      <w:r w:rsidRPr="005616AE">
        <w:rPr>
          <w:rFonts w:cs="Calibri"/>
          <w:b/>
          <w:bCs/>
        </w:rPr>
        <w:t>Advertising and Sponsorship ($390,000):</w:t>
      </w:r>
    </w:p>
    <w:p w14:paraId="40227DB4" w14:textId="77777777" w:rsidR="00541FC8" w:rsidRPr="005616AE" w:rsidRDefault="00541FC8" w:rsidP="00541FC8">
      <w:pPr>
        <w:spacing w:line="276" w:lineRule="auto"/>
        <w:rPr>
          <w:rFonts w:cs="Calibri"/>
        </w:rPr>
      </w:pPr>
      <w:r w:rsidRPr="005616AE">
        <w:rPr>
          <w:rFonts w:cs="Calibri"/>
        </w:rPr>
        <w:t>Incremental growth in this area highlights the potential for monetising brand visibility and sponsorships.</w:t>
      </w:r>
    </w:p>
    <w:p w14:paraId="063D44A0" w14:textId="77777777" w:rsidR="00541FC8" w:rsidRPr="005616AE" w:rsidRDefault="00541FC8" w:rsidP="00541FC8">
      <w:pPr>
        <w:spacing w:line="276" w:lineRule="auto"/>
        <w:rPr>
          <w:rFonts w:cs="Calibri"/>
          <w:b/>
          <w:bCs/>
        </w:rPr>
      </w:pPr>
      <w:r w:rsidRPr="005616AE">
        <w:rPr>
          <w:rFonts w:cs="Calibri"/>
          <w:b/>
          <w:bCs/>
        </w:rPr>
        <w:t>Expense Management</w:t>
      </w:r>
    </w:p>
    <w:p w14:paraId="777E669E" w14:textId="77777777" w:rsidR="00541FC8" w:rsidRPr="005616AE" w:rsidRDefault="00541FC8" w:rsidP="00541FC8">
      <w:pPr>
        <w:spacing w:line="276" w:lineRule="auto"/>
        <w:rPr>
          <w:rFonts w:cs="Calibri"/>
        </w:rPr>
      </w:pPr>
      <w:r w:rsidRPr="005616AE">
        <w:rPr>
          <w:rFonts w:cs="Calibri"/>
        </w:rPr>
        <w:t xml:space="preserve">Total expenses decreased by 15.8% between Year 3 and Year 5, </w:t>
      </w:r>
      <w:proofErr w:type="gramStart"/>
      <w:r w:rsidRPr="005616AE">
        <w:rPr>
          <w:rFonts w:cs="Calibri"/>
        </w:rPr>
        <w:t>showcasing</w:t>
      </w:r>
      <w:proofErr w:type="gramEnd"/>
      <w:r w:rsidRPr="005616AE">
        <w:rPr>
          <w:rFonts w:cs="Calibri"/>
        </w:rPr>
        <w:t xml:space="preserve"> the project’s successful cost optimisation as well as operational efficiencies.</w:t>
      </w:r>
    </w:p>
    <w:p w14:paraId="4733B9F4" w14:textId="77777777" w:rsidR="00541FC8" w:rsidRPr="005616AE" w:rsidRDefault="00541FC8" w:rsidP="00541FC8">
      <w:pPr>
        <w:pStyle w:val="ListParagraph"/>
        <w:numPr>
          <w:ilvl w:val="0"/>
          <w:numId w:val="106"/>
        </w:numPr>
        <w:spacing w:before="240" w:line="276" w:lineRule="auto"/>
        <w:rPr>
          <w:rFonts w:cs="Calibri"/>
        </w:rPr>
      </w:pPr>
      <w:r w:rsidRPr="005616AE">
        <w:rPr>
          <w:rFonts w:cs="Calibri"/>
          <w:b/>
          <w:bCs/>
        </w:rPr>
        <w:t>Employee Payroll:</w:t>
      </w:r>
      <w:r w:rsidRPr="005616AE">
        <w:rPr>
          <w:rFonts w:cs="Calibri"/>
        </w:rPr>
        <w:t xml:space="preserve"> Reduced from $19,354,638 in Year 3 to $17,318,821 in Year 5 (10.5% reduction). This reflects workforce stabilisation and process efficiencies.</w:t>
      </w:r>
    </w:p>
    <w:p w14:paraId="2671978A" w14:textId="77777777" w:rsidR="00541FC8" w:rsidRPr="005616AE" w:rsidRDefault="00541FC8" w:rsidP="00541FC8">
      <w:pPr>
        <w:pStyle w:val="ListParagraph"/>
        <w:spacing w:before="240" w:line="276" w:lineRule="auto"/>
        <w:ind w:left="360"/>
        <w:rPr>
          <w:rFonts w:cs="Calibri"/>
        </w:rPr>
      </w:pPr>
    </w:p>
    <w:p w14:paraId="6ECF5110" w14:textId="77777777" w:rsidR="00541FC8" w:rsidRPr="005616AE" w:rsidRDefault="00541FC8" w:rsidP="00541FC8">
      <w:pPr>
        <w:pStyle w:val="ListParagraph"/>
        <w:numPr>
          <w:ilvl w:val="0"/>
          <w:numId w:val="106"/>
        </w:numPr>
        <w:spacing w:before="240" w:line="276" w:lineRule="auto"/>
        <w:rPr>
          <w:rFonts w:cs="Calibri"/>
        </w:rPr>
      </w:pPr>
      <w:r w:rsidRPr="005616AE">
        <w:rPr>
          <w:rFonts w:cs="Calibri"/>
          <w:b/>
          <w:bCs/>
        </w:rPr>
        <w:lastRenderedPageBreak/>
        <w:t>R&amp;D Investments:</w:t>
      </w:r>
      <w:r w:rsidRPr="005616AE">
        <w:rPr>
          <w:rFonts w:cs="Calibri"/>
        </w:rPr>
        <w:t xml:space="preserve"> Declined significantly from $6,303,750 in Year 3 to $4,727,812 in Year 5 (25% reduction). The shift from innovation efforts to maintaining and enhancing existing technology instead of developing </w:t>
      </w:r>
      <w:proofErr w:type="gramStart"/>
      <w:r w:rsidRPr="005616AE">
        <w:rPr>
          <w:rFonts w:cs="Calibri"/>
        </w:rPr>
        <w:t>new solutions</w:t>
      </w:r>
      <w:proofErr w:type="gramEnd"/>
      <w:r w:rsidRPr="005616AE">
        <w:rPr>
          <w:rFonts w:cs="Calibri"/>
        </w:rPr>
        <w:t>.</w:t>
      </w:r>
    </w:p>
    <w:p w14:paraId="2265BB0A" w14:textId="77777777" w:rsidR="00541FC8" w:rsidRPr="005616AE" w:rsidRDefault="00541FC8" w:rsidP="00541FC8">
      <w:pPr>
        <w:pStyle w:val="ListParagraph"/>
        <w:spacing w:line="276" w:lineRule="auto"/>
        <w:rPr>
          <w:rFonts w:cs="Calibri"/>
        </w:rPr>
      </w:pPr>
    </w:p>
    <w:p w14:paraId="33C53B96" w14:textId="77777777" w:rsidR="00541FC8" w:rsidRPr="005616AE" w:rsidRDefault="00541FC8" w:rsidP="00541FC8">
      <w:pPr>
        <w:pStyle w:val="ListParagraph"/>
        <w:numPr>
          <w:ilvl w:val="0"/>
          <w:numId w:val="106"/>
        </w:numPr>
        <w:spacing w:before="240" w:line="276" w:lineRule="auto"/>
        <w:rPr>
          <w:rFonts w:cs="Calibri"/>
          <w:b/>
          <w:bCs/>
        </w:rPr>
      </w:pPr>
      <w:r w:rsidRPr="005616AE">
        <w:rPr>
          <w:rFonts w:cs="Calibri"/>
          <w:b/>
          <w:bCs/>
        </w:rPr>
        <w:t>Marketing and Advertising:</w:t>
      </w:r>
      <w:r w:rsidRPr="005616AE">
        <w:rPr>
          <w:rFonts w:cs="Calibri"/>
        </w:rPr>
        <w:t xml:space="preserve"> Dropped slightly from $17,500,000 in Year 3 to $16,141,482 in Year 5 (7.8% reduction). Earlier campaigns successfully built market presence, indicating efficient use of campaigns to sustain customer acquisition and retention.</w:t>
      </w:r>
    </w:p>
    <w:p w14:paraId="308BB1E0" w14:textId="77777777" w:rsidR="00541FC8" w:rsidRPr="005616AE" w:rsidRDefault="00541FC8" w:rsidP="00541FC8">
      <w:pPr>
        <w:pStyle w:val="ListParagraph"/>
        <w:numPr>
          <w:ilvl w:val="0"/>
          <w:numId w:val="106"/>
        </w:numPr>
        <w:spacing w:before="240" w:line="276" w:lineRule="auto"/>
        <w:rPr>
          <w:rFonts w:cs="Calibri"/>
        </w:rPr>
      </w:pPr>
      <w:r w:rsidRPr="005616AE">
        <w:rPr>
          <w:rFonts w:cs="Calibri"/>
          <w:b/>
          <w:bCs/>
        </w:rPr>
        <w:t>Depreciation (CCA):</w:t>
      </w:r>
      <w:r w:rsidRPr="005616AE">
        <w:rPr>
          <w:rFonts w:cs="Calibri"/>
        </w:rPr>
        <w:t xml:space="preserve"> As initial investments </w:t>
      </w:r>
      <w:proofErr w:type="gramStart"/>
      <w:r w:rsidRPr="005616AE">
        <w:rPr>
          <w:rFonts w:cs="Calibri"/>
        </w:rPr>
        <w:t>were claimed</w:t>
      </w:r>
      <w:proofErr w:type="gramEnd"/>
      <w:r w:rsidRPr="005616AE">
        <w:rPr>
          <w:rFonts w:cs="Calibri"/>
        </w:rPr>
        <w:t>, depreciation expenses declined, further reducing financial strain.</w:t>
      </w:r>
    </w:p>
    <w:p w14:paraId="7A33A3AE" w14:textId="77777777" w:rsidR="00541FC8" w:rsidRPr="005616AE" w:rsidRDefault="00541FC8" w:rsidP="00541FC8">
      <w:pPr>
        <w:pStyle w:val="ListParagraph"/>
        <w:spacing w:before="240" w:line="276" w:lineRule="auto"/>
        <w:ind w:left="360"/>
        <w:rPr>
          <w:rFonts w:cs="Calibri"/>
          <w:b/>
          <w:bCs/>
        </w:rPr>
      </w:pPr>
    </w:p>
    <w:p w14:paraId="2A1B4B17" w14:textId="77777777" w:rsidR="00541FC8" w:rsidRPr="005616AE" w:rsidRDefault="00541FC8" w:rsidP="00541FC8">
      <w:pPr>
        <w:spacing w:before="240" w:line="276" w:lineRule="auto"/>
        <w:rPr>
          <w:rFonts w:cs="Calibri"/>
        </w:rPr>
      </w:pPr>
      <w:r w:rsidRPr="005616AE">
        <w:rPr>
          <w:rFonts w:cs="Calibri"/>
        </w:rPr>
        <w:t xml:space="preserve">The positive ROI indicates that the project is generating returns on its investment, surpassing the breakeven point. This validates the strategic decisions made during the initial investment phase. Year 5 represents the project’s transition to financial stability and profitability. This reflects a mature operational phase, where revenue growth surpasses expenses, validating earlier investments and strategic decisions. The achievement of a positive ROI (8.14%) </w:t>
      </w:r>
      <w:proofErr w:type="gramStart"/>
      <w:r w:rsidRPr="005616AE">
        <w:rPr>
          <w:rFonts w:cs="Calibri"/>
        </w:rPr>
        <w:t>is driven</w:t>
      </w:r>
      <w:proofErr w:type="gramEnd"/>
      <w:r w:rsidRPr="005616AE">
        <w:rPr>
          <w:rFonts w:cs="Calibri"/>
        </w:rPr>
        <w:t xml:space="preserve"> by strong revenue growth, efficient cost management and the maturity of earlier investments. The key takeaway is that the foundational investments and heavy losses in earlier years were a calculated risk that will </w:t>
      </w:r>
      <w:proofErr w:type="gramStart"/>
      <w:r w:rsidRPr="005616AE">
        <w:rPr>
          <w:rFonts w:cs="Calibri"/>
        </w:rPr>
        <w:t>be paid</w:t>
      </w:r>
      <w:proofErr w:type="gramEnd"/>
      <w:r w:rsidRPr="005616AE">
        <w:rPr>
          <w:rFonts w:cs="Calibri"/>
        </w:rPr>
        <w:t xml:space="preserve"> off. The project would be well-positioned for sustained profitability and long-term success in the rapidly expanding EV market. This transformation validates the long-term strategic investment in WiTricity, positioning TD Bank as a leader in the EV infrastructure market and setting the stage for continued success in the growing EV ecosystem.</w:t>
      </w:r>
    </w:p>
    <w:p w14:paraId="0F2DD18C" w14:textId="77777777" w:rsidR="00541FC8" w:rsidRPr="005616AE" w:rsidRDefault="00541FC8" w:rsidP="00541FC8">
      <w:pPr>
        <w:spacing w:before="240" w:line="276" w:lineRule="auto"/>
        <w:rPr>
          <w:rFonts w:cs="Calibri"/>
          <w:b/>
          <w:bCs/>
        </w:rPr>
      </w:pPr>
      <w:r w:rsidRPr="005616AE">
        <w:rPr>
          <w:rFonts w:cs="Calibri"/>
          <w:b/>
          <w:bCs/>
        </w:rPr>
        <w:t>Year 10 ROI: 114.14%</w:t>
      </w:r>
    </w:p>
    <w:p w14:paraId="7E4FBA78" w14:textId="443E118B" w:rsidR="00E34BBC" w:rsidRPr="005616AE" w:rsidRDefault="00E34BBC" w:rsidP="00E94908">
      <w:pPr>
        <w:spacing w:after="0" w:line="256" w:lineRule="auto"/>
      </w:pPr>
      <w:r w:rsidRPr="005616AE">
        <w:rPr>
          <w:b/>
          <w:bCs/>
        </w:rPr>
        <w:t>Calculation</w:t>
      </w:r>
    </w:p>
    <w:p w14:paraId="53B18F25" w14:textId="77777777" w:rsidR="00E34BBC" w:rsidRPr="005616AE" w:rsidRDefault="00E34BBC" w:rsidP="00384F0C">
      <w:pPr>
        <w:pStyle w:val="ListParagraph"/>
        <w:numPr>
          <w:ilvl w:val="0"/>
          <w:numId w:val="98"/>
        </w:numPr>
        <w:spacing w:after="0" w:line="256" w:lineRule="auto"/>
      </w:pPr>
      <w:r w:rsidRPr="005616AE">
        <w:t>Net Profit: $105,249,677.89</w:t>
      </w:r>
    </w:p>
    <w:p w14:paraId="5DCD5A87" w14:textId="77777777" w:rsidR="00E34BBC" w:rsidRPr="005616AE" w:rsidRDefault="00E34BBC" w:rsidP="00384F0C">
      <w:pPr>
        <w:pStyle w:val="ListParagraph"/>
        <w:numPr>
          <w:ilvl w:val="0"/>
          <w:numId w:val="98"/>
        </w:numPr>
        <w:spacing w:after="0" w:line="256" w:lineRule="auto"/>
      </w:pPr>
      <w:r w:rsidRPr="005616AE">
        <w:t>Total Expenses: $−36,645,307.03</w:t>
      </w:r>
    </w:p>
    <w:p w14:paraId="2A16CFF3" w14:textId="77777777" w:rsidR="00E34BBC" w:rsidRPr="005616AE" w:rsidRDefault="00E34BBC" w:rsidP="00384F0C">
      <w:pPr>
        <w:pStyle w:val="ListParagraph"/>
        <w:numPr>
          <w:ilvl w:val="0"/>
          <w:numId w:val="98"/>
        </w:numPr>
        <w:spacing w:after="0" w:line="240" w:lineRule="auto"/>
      </w:pPr>
      <w:r w:rsidRPr="005616AE">
        <w:t>ROI% = (Net Profit/Total Expenses) *100</w:t>
      </w:r>
    </w:p>
    <w:p w14:paraId="48346E20" w14:textId="77777777" w:rsidR="00E34BBC" w:rsidRPr="005616AE" w:rsidRDefault="00E34BBC" w:rsidP="00384F0C">
      <w:pPr>
        <w:pStyle w:val="ListParagraph"/>
        <w:numPr>
          <w:ilvl w:val="0"/>
          <w:numId w:val="98"/>
        </w:numPr>
        <w:spacing w:after="0" w:line="240" w:lineRule="auto"/>
      </w:pPr>
      <w:r w:rsidRPr="005616AE">
        <w:t>ROI%= ($105,249,677.89 /$92,207,927.51) *100</w:t>
      </w:r>
    </w:p>
    <w:p w14:paraId="1E719B17" w14:textId="77777777" w:rsidR="00E34BBC" w:rsidRPr="005616AE" w:rsidRDefault="00E34BBC" w:rsidP="00384F0C">
      <w:pPr>
        <w:pStyle w:val="ListParagraph"/>
        <w:numPr>
          <w:ilvl w:val="0"/>
          <w:numId w:val="98"/>
        </w:numPr>
        <w:spacing w:after="0" w:line="240" w:lineRule="auto"/>
      </w:pPr>
      <w:r w:rsidRPr="005616AE">
        <w:t>ROI%=114.4%</w:t>
      </w:r>
    </w:p>
    <w:p w14:paraId="425A2BA9" w14:textId="77777777" w:rsidR="00541FC8" w:rsidRPr="005616AE" w:rsidRDefault="00541FC8" w:rsidP="00541FC8">
      <w:pPr>
        <w:spacing w:after="0" w:line="256" w:lineRule="auto"/>
        <w:rPr>
          <w:rFonts w:cs="Calibri"/>
        </w:rPr>
      </w:pPr>
    </w:p>
    <w:p w14:paraId="21DF1833" w14:textId="1B7A6AA6" w:rsidR="00541FC8" w:rsidRPr="005616AE" w:rsidRDefault="00541FC8" w:rsidP="00541FC8">
      <w:pPr>
        <w:spacing w:after="0" w:line="256" w:lineRule="auto"/>
      </w:pPr>
      <w:r w:rsidRPr="005616AE">
        <w:rPr>
          <w:rFonts w:cs="Calibri"/>
        </w:rPr>
        <w:t xml:space="preserve">The ROI of 114.14% in Year 10 marks a significant milestone in the WiTricity acquisition project. This achievement reflects the culmination of strategic investments, operational </w:t>
      </w:r>
      <w:proofErr w:type="gramStart"/>
      <w:r w:rsidRPr="005616AE">
        <w:rPr>
          <w:rFonts w:cs="Calibri"/>
        </w:rPr>
        <w:t>maturity</w:t>
      </w:r>
      <w:proofErr w:type="gramEnd"/>
      <w:r w:rsidRPr="005616AE">
        <w:rPr>
          <w:rFonts w:cs="Calibri"/>
        </w:rPr>
        <w:t xml:space="preserve"> and substantial revenue growth over the years. </w:t>
      </w:r>
      <w:r w:rsidRPr="005616AE">
        <w:t>By the tenth year the ROI has significantly increased as the service develops. Long-term client loyalty and brand distinction have strengthened TD's position resulting in a strong ROI and demonstrating the investment's effectiveness.</w:t>
      </w:r>
    </w:p>
    <w:p w14:paraId="06B02EF4" w14:textId="77777777" w:rsidR="00541FC8" w:rsidRPr="005616AE" w:rsidRDefault="00541FC8" w:rsidP="00541FC8">
      <w:pPr>
        <w:spacing w:before="240" w:line="276" w:lineRule="auto"/>
        <w:rPr>
          <w:rFonts w:cs="Calibri"/>
          <w:b/>
          <w:bCs/>
        </w:rPr>
      </w:pPr>
      <w:r w:rsidRPr="005616AE">
        <w:rPr>
          <w:rFonts w:cs="Calibri"/>
          <w:b/>
          <w:bCs/>
        </w:rPr>
        <w:t>Revenue Growth:</w:t>
      </w:r>
    </w:p>
    <w:p w14:paraId="3005F2A0" w14:textId="77777777" w:rsidR="00541FC8" w:rsidRPr="005616AE" w:rsidRDefault="00541FC8" w:rsidP="00541FC8">
      <w:pPr>
        <w:numPr>
          <w:ilvl w:val="0"/>
          <w:numId w:val="107"/>
        </w:numPr>
        <w:spacing w:before="240" w:line="276" w:lineRule="auto"/>
        <w:rPr>
          <w:rFonts w:cs="Calibri"/>
        </w:rPr>
      </w:pPr>
      <w:r w:rsidRPr="005616AE">
        <w:rPr>
          <w:rFonts w:cs="Calibri"/>
          <w:b/>
          <w:bCs/>
        </w:rPr>
        <w:t>Charging Equipment Sales ($129 million):</w:t>
      </w:r>
      <w:r w:rsidRPr="005616AE">
        <w:rPr>
          <w:rFonts w:cs="Calibri"/>
        </w:rPr>
        <w:t xml:space="preserve"> This stream remains the largest contributor, accounting for over 58% of total revenue. The 44% growth in earlier years has compounded to drive this significant figure, reflecting strong market demand for WiTricity’s EV charging technology.</w:t>
      </w:r>
    </w:p>
    <w:p w14:paraId="6F39AF80" w14:textId="77777777" w:rsidR="00541FC8" w:rsidRPr="005616AE" w:rsidRDefault="00541FC8" w:rsidP="00541FC8">
      <w:pPr>
        <w:numPr>
          <w:ilvl w:val="0"/>
          <w:numId w:val="107"/>
        </w:numPr>
        <w:spacing w:before="240" w:line="276" w:lineRule="auto"/>
        <w:rPr>
          <w:rFonts w:cs="Calibri"/>
        </w:rPr>
      </w:pPr>
      <w:r w:rsidRPr="005616AE">
        <w:rPr>
          <w:rFonts w:cs="Calibri"/>
          <w:b/>
          <w:bCs/>
        </w:rPr>
        <w:lastRenderedPageBreak/>
        <w:t>EV Charging Fees ($56.73 million):</w:t>
      </w:r>
      <w:r w:rsidRPr="005616AE">
        <w:rPr>
          <w:rFonts w:cs="Calibri"/>
        </w:rPr>
        <w:t xml:space="preserve"> Continued growth in EV adoption and increased utilisation of charging stations have driven this stream to contribute 25.5% of the total revenue.</w:t>
      </w:r>
    </w:p>
    <w:p w14:paraId="130EB75E" w14:textId="77777777" w:rsidR="00541FC8" w:rsidRPr="005616AE" w:rsidRDefault="00541FC8" w:rsidP="00541FC8">
      <w:pPr>
        <w:numPr>
          <w:ilvl w:val="0"/>
          <w:numId w:val="107"/>
        </w:numPr>
        <w:spacing w:before="240" w:line="276" w:lineRule="auto"/>
        <w:rPr>
          <w:rFonts w:cs="Calibri"/>
        </w:rPr>
      </w:pPr>
      <w:r w:rsidRPr="005616AE">
        <w:rPr>
          <w:rFonts w:cs="Calibri"/>
          <w:b/>
          <w:bCs/>
        </w:rPr>
        <w:t>Income from Running Charging Stations ($26.39 million):</w:t>
      </w:r>
      <w:r w:rsidRPr="005616AE">
        <w:rPr>
          <w:rFonts w:cs="Calibri"/>
        </w:rPr>
        <w:t xml:space="preserve"> As the network of charging stations expanded this revenue stream solidified, </w:t>
      </w:r>
      <w:proofErr w:type="gramStart"/>
      <w:r w:rsidRPr="005616AE">
        <w:rPr>
          <w:rFonts w:cs="Calibri"/>
        </w:rPr>
        <w:t>showcasing</w:t>
      </w:r>
      <w:proofErr w:type="gramEnd"/>
      <w:r w:rsidRPr="005616AE">
        <w:rPr>
          <w:rFonts w:cs="Calibri"/>
        </w:rPr>
        <w:t xml:space="preserve"> sustained customer demand.</w:t>
      </w:r>
    </w:p>
    <w:p w14:paraId="369D39FC" w14:textId="77777777" w:rsidR="00541FC8" w:rsidRPr="005616AE" w:rsidRDefault="00541FC8" w:rsidP="00541FC8">
      <w:pPr>
        <w:numPr>
          <w:ilvl w:val="0"/>
          <w:numId w:val="107"/>
        </w:numPr>
        <w:spacing w:before="240" w:line="276" w:lineRule="auto"/>
        <w:rPr>
          <w:rFonts w:cs="Calibri"/>
        </w:rPr>
      </w:pPr>
      <w:r w:rsidRPr="005616AE">
        <w:rPr>
          <w:rFonts w:cs="Calibri"/>
          <w:b/>
          <w:bCs/>
        </w:rPr>
        <w:t>Third-Party Contracts ($9.41 million):</w:t>
      </w:r>
      <w:r w:rsidRPr="005616AE">
        <w:rPr>
          <w:rFonts w:cs="Calibri"/>
        </w:rPr>
        <w:t xml:space="preserve"> Partnerships and collaborations have provided diversification and additional stability to income streams.</w:t>
      </w:r>
    </w:p>
    <w:p w14:paraId="48C65229" w14:textId="77777777" w:rsidR="00541FC8" w:rsidRPr="005616AE" w:rsidRDefault="00541FC8" w:rsidP="00541FC8">
      <w:pPr>
        <w:numPr>
          <w:ilvl w:val="0"/>
          <w:numId w:val="107"/>
        </w:numPr>
        <w:spacing w:before="240" w:line="276" w:lineRule="auto"/>
        <w:rPr>
          <w:rFonts w:cs="Calibri"/>
        </w:rPr>
      </w:pPr>
      <w:r w:rsidRPr="005616AE">
        <w:rPr>
          <w:rFonts w:cs="Calibri"/>
          <w:b/>
          <w:bCs/>
        </w:rPr>
        <w:t>Advertising and Sponsorship ($680,000):</w:t>
      </w:r>
      <w:r w:rsidRPr="005616AE">
        <w:rPr>
          <w:rFonts w:cs="Calibri"/>
        </w:rPr>
        <w:t xml:space="preserve"> This represents monetisation opportunities through brand visibility and partnerships.</w:t>
      </w:r>
    </w:p>
    <w:p w14:paraId="7B4AD205" w14:textId="77777777" w:rsidR="00541FC8" w:rsidRPr="005616AE" w:rsidRDefault="00541FC8" w:rsidP="00541FC8">
      <w:pPr>
        <w:spacing w:before="240" w:line="276" w:lineRule="auto"/>
        <w:rPr>
          <w:rFonts w:cs="Calibri"/>
        </w:rPr>
      </w:pPr>
      <w:r w:rsidRPr="005616AE">
        <w:rPr>
          <w:rFonts w:cs="Calibri"/>
        </w:rPr>
        <w:t>Revenue streams show a clear upward trajectory over the years, reflecting successful implementation of strategies to scale operations and capture market demand.</w:t>
      </w:r>
    </w:p>
    <w:p w14:paraId="006815F0" w14:textId="77777777" w:rsidR="00541FC8" w:rsidRPr="005616AE" w:rsidRDefault="00541FC8" w:rsidP="00541FC8">
      <w:pPr>
        <w:spacing w:before="240" w:line="276" w:lineRule="auto"/>
        <w:rPr>
          <w:rFonts w:cs="Calibri"/>
          <w:b/>
          <w:bCs/>
        </w:rPr>
      </w:pPr>
      <w:r w:rsidRPr="005616AE">
        <w:rPr>
          <w:rFonts w:cs="Calibri"/>
          <w:b/>
          <w:bCs/>
        </w:rPr>
        <w:t>Expense Management</w:t>
      </w:r>
    </w:p>
    <w:p w14:paraId="341E3F14" w14:textId="77777777" w:rsidR="00541FC8" w:rsidRPr="005616AE" w:rsidRDefault="00541FC8" w:rsidP="00541FC8">
      <w:pPr>
        <w:numPr>
          <w:ilvl w:val="0"/>
          <w:numId w:val="108"/>
        </w:numPr>
        <w:spacing w:before="240" w:line="276" w:lineRule="auto"/>
        <w:rPr>
          <w:rFonts w:cs="Calibri"/>
        </w:rPr>
      </w:pPr>
      <w:r w:rsidRPr="005616AE">
        <w:rPr>
          <w:rFonts w:cs="Calibri"/>
          <w:b/>
          <w:bCs/>
        </w:rPr>
        <w:t>Employee Payroll ($17.08 million):</w:t>
      </w:r>
      <w:r w:rsidRPr="005616AE">
        <w:rPr>
          <w:rFonts w:cs="Calibri"/>
        </w:rPr>
        <w:t xml:space="preserve"> Employee payroll rose due to the need for a larger workforce to manage operations, maintain charging stations and support growing demand for WiTricity’s solutions.</w:t>
      </w:r>
    </w:p>
    <w:p w14:paraId="0766A029" w14:textId="77777777" w:rsidR="00541FC8" w:rsidRPr="005616AE" w:rsidRDefault="00541FC8" w:rsidP="00541FC8">
      <w:pPr>
        <w:numPr>
          <w:ilvl w:val="0"/>
          <w:numId w:val="108"/>
        </w:numPr>
        <w:spacing w:before="240" w:line="276" w:lineRule="auto"/>
        <w:rPr>
          <w:rFonts w:cs="Calibri"/>
        </w:rPr>
      </w:pPr>
      <w:r w:rsidRPr="005616AE">
        <w:rPr>
          <w:rFonts w:cs="Calibri"/>
          <w:b/>
          <w:bCs/>
        </w:rPr>
        <w:t>Marketing and Advertising ($10.64 million):</w:t>
      </w:r>
      <w:r w:rsidRPr="005616AE">
        <w:rPr>
          <w:rFonts w:cs="Calibri"/>
        </w:rPr>
        <w:t xml:space="preserve"> Marketing efforts peaked in the earlier stages and remained substantial in Year 10 to solidify brand recognition.</w:t>
      </w:r>
    </w:p>
    <w:p w14:paraId="071B081C" w14:textId="77777777" w:rsidR="00541FC8" w:rsidRPr="005616AE" w:rsidRDefault="00541FC8" w:rsidP="00541FC8">
      <w:pPr>
        <w:numPr>
          <w:ilvl w:val="0"/>
          <w:numId w:val="108"/>
        </w:numPr>
        <w:spacing w:before="240" w:line="276" w:lineRule="auto"/>
        <w:rPr>
          <w:rFonts w:cs="Calibri"/>
        </w:rPr>
      </w:pPr>
      <w:r w:rsidRPr="005616AE">
        <w:rPr>
          <w:rFonts w:cs="Calibri"/>
          <w:b/>
          <w:bCs/>
        </w:rPr>
        <w:t>R&amp;D Investments ($4.85 million):</w:t>
      </w:r>
      <w:r w:rsidRPr="005616AE">
        <w:rPr>
          <w:rFonts w:cs="Calibri"/>
        </w:rPr>
        <w:t xml:space="preserve"> Focus shifted from major innovation to incremental technology improvements. Continued investments in R&amp;D reflect a focus on improving WiTricity’s technology and maintaining a competitive edge. Enhancements in wireless EV charging solutions, safety standards and efficiency were critical to supporting long-term growth.</w:t>
      </w:r>
    </w:p>
    <w:p w14:paraId="3312CB07" w14:textId="77777777" w:rsidR="00541FC8" w:rsidRPr="005616AE" w:rsidRDefault="00541FC8" w:rsidP="00541FC8">
      <w:pPr>
        <w:numPr>
          <w:ilvl w:val="0"/>
          <w:numId w:val="108"/>
        </w:numPr>
        <w:spacing w:before="240" w:line="276" w:lineRule="auto"/>
        <w:rPr>
          <w:rFonts w:cs="Calibri"/>
        </w:rPr>
      </w:pPr>
      <w:r w:rsidRPr="005616AE">
        <w:rPr>
          <w:rFonts w:cs="Calibri"/>
          <w:b/>
          <w:bCs/>
        </w:rPr>
        <w:t>Depreciation and CCA Benefits:</w:t>
      </w:r>
      <w:r w:rsidRPr="005616AE">
        <w:rPr>
          <w:rFonts w:cs="Calibri"/>
        </w:rPr>
        <w:t xml:space="preserve"> Strategic use of capital cost allowances (e.g., EVCS setup with 30% CCA) has significantly lowered the tax burden, freeing up cash for reinvestment.</w:t>
      </w:r>
    </w:p>
    <w:p w14:paraId="73038F80" w14:textId="77777777" w:rsidR="00541FC8" w:rsidRPr="005616AE" w:rsidRDefault="00541FC8" w:rsidP="00541FC8">
      <w:pPr>
        <w:spacing w:before="240" w:line="276" w:lineRule="auto"/>
        <w:rPr>
          <w:rFonts w:cs="Calibri"/>
        </w:rPr>
      </w:pPr>
      <w:r w:rsidRPr="005616AE">
        <w:rPr>
          <w:rFonts w:cs="Calibri"/>
        </w:rPr>
        <w:t>The stabilisation of expenses and cost reductions in key areas highlight operational maturity as well as effective resource allocation.</w:t>
      </w:r>
    </w:p>
    <w:p w14:paraId="6AA51809" w14:textId="77777777" w:rsidR="00541FC8" w:rsidRPr="005616AE" w:rsidRDefault="00541FC8" w:rsidP="00541FC8">
      <w:pPr>
        <w:spacing w:before="240" w:line="276" w:lineRule="auto"/>
        <w:rPr>
          <w:rFonts w:cs="Calibri"/>
        </w:rPr>
      </w:pPr>
      <w:r w:rsidRPr="005616AE">
        <w:rPr>
          <w:rFonts w:cs="Calibri"/>
        </w:rPr>
        <w:t>The Year 10 ROI of 114.14% reflects the project’s transformation into a highly profitable and scalable business. This ROI trend demonstrates the success of TD Bank’s strategic acquisition of WiTricity, highlighting its ability to capitalise on the rapidly growing EV market. It serves as a proof to the long-term vision and calculated investments made during the initial phases of the project. The achievement of such a high ROI solidifies the project as a cornerstone for sustained profitability and leadership in the EV infrastructure ecosystem.</w:t>
      </w:r>
    </w:p>
    <w:p w14:paraId="1D554FD8" w14:textId="77777777" w:rsidR="00541FC8" w:rsidRPr="005616AE" w:rsidRDefault="00541FC8" w:rsidP="00541FC8">
      <w:pPr>
        <w:spacing w:line="276" w:lineRule="auto"/>
        <w:rPr>
          <w:rFonts w:cs="Calibri"/>
        </w:rPr>
      </w:pPr>
    </w:p>
    <w:p w14:paraId="771936B9" w14:textId="3EC02321" w:rsidR="00541FC8" w:rsidRPr="005616AE" w:rsidRDefault="00541FC8" w:rsidP="00541FC8">
      <w:pPr>
        <w:spacing w:before="240" w:line="276" w:lineRule="auto"/>
        <w:rPr>
          <w:rFonts w:cs="Calibri"/>
          <w:b/>
          <w:bCs/>
        </w:rPr>
      </w:pPr>
      <w:r w:rsidRPr="005616AE">
        <w:rPr>
          <w:rFonts w:cs="Calibri"/>
          <w:b/>
          <w:bCs/>
        </w:rPr>
        <w:lastRenderedPageBreak/>
        <w:t>Year 20 ROI: 448.71%</w:t>
      </w:r>
    </w:p>
    <w:p w14:paraId="463766DB" w14:textId="14D4DB5F" w:rsidR="00E34BBC" w:rsidRPr="005616AE" w:rsidRDefault="00E34BBC" w:rsidP="00E94908">
      <w:pPr>
        <w:spacing w:after="0" w:line="256" w:lineRule="auto"/>
      </w:pPr>
      <w:r w:rsidRPr="005616AE">
        <w:rPr>
          <w:b/>
          <w:bCs/>
        </w:rPr>
        <w:t>Calculation</w:t>
      </w:r>
    </w:p>
    <w:p w14:paraId="5671ABE9" w14:textId="77777777" w:rsidR="00E34BBC" w:rsidRPr="005616AE" w:rsidRDefault="00E34BBC" w:rsidP="00384F0C">
      <w:pPr>
        <w:pStyle w:val="ListParagraph"/>
        <w:numPr>
          <w:ilvl w:val="0"/>
          <w:numId w:val="99"/>
        </w:numPr>
        <w:spacing w:after="0" w:line="256" w:lineRule="auto"/>
      </w:pPr>
      <w:r w:rsidRPr="005616AE">
        <w:t>Net Profit: $322,001,311.48</w:t>
      </w:r>
    </w:p>
    <w:p w14:paraId="61DCE701" w14:textId="77777777" w:rsidR="00E34BBC" w:rsidRPr="005616AE" w:rsidRDefault="00E34BBC" w:rsidP="00384F0C">
      <w:pPr>
        <w:pStyle w:val="ListParagraph"/>
        <w:numPr>
          <w:ilvl w:val="0"/>
          <w:numId w:val="99"/>
        </w:numPr>
        <w:spacing w:after="0" w:line="256" w:lineRule="auto"/>
      </w:pPr>
      <w:r w:rsidRPr="005616AE">
        <w:t>Total Expenses: $71,761,107.37</w:t>
      </w:r>
    </w:p>
    <w:p w14:paraId="7296F7A3" w14:textId="77777777" w:rsidR="00E34BBC" w:rsidRPr="005616AE" w:rsidRDefault="00E34BBC" w:rsidP="00384F0C">
      <w:pPr>
        <w:pStyle w:val="ListParagraph"/>
        <w:numPr>
          <w:ilvl w:val="0"/>
          <w:numId w:val="99"/>
        </w:numPr>
        <w:spacing w:after="0" w:line="240" w:lineRule="auto"/>
      </w:pPr>
      <w:r w:rsidRPr="005616AE">
        <w:t>ROI% = (Net Profit/Total Expenses) *100</w:t>
      </w:r>
    </w:p>
    <w:p w14:paraId="24A72619" w14:textId="77777777" w:rsidR="00E34BBC" w:rsidRPr="005616AE" w:rsidRDefault="00E34BBC" w:rsidP="00384F0C">
      <w:pPr>
        <w:pStyle w:val="ListParagraph"/>
        <w:numPr>
          <w:ilvl w:val="0"/>
          <w:numId w:val="99"/>
        </w:numPr>
        <w:spacing w:after="0" w:line="240" w:lineRule="auto"/>
      </w:pPr>
      <w:r w:rsidRPr="005616AE">
        <w:t>ROI%= ($322,001,311.48 /$71,761,107.37) *100</w:t>
      </w:r>
    </w:p>
    <w:p w14:paraId="3B6D468D" w14:textId="77777777" w:rsidR="00E34BBC" w:rsidRPr="005616AE" w:rsidRDefault="00E34BBC" w:rsidP="00384F0C">
      <w:pPr>
        <w:pStyle w:val="ListParagraph"/>
        <w:numPr>
          <w:ilvl w:val="0"/>
          <w:numId w:val="99"/>
        </w:numPr>
        <w:spacing w:after="0" w:line="240" w:lineRule="auto"/>
      </w:pPr>
      <w:r w:rsidRPr="005616AE">
        <w:t>ROI%=448.7%</w:t>
      </w:r>
    </w:p>
    <w:p w14:paraId="54E4AA6F" w14:textId="77777777" w:rsidR="00200F06" w:rsidRPr="005616AE" w:rsidRDefault="00200F06" w:rsidP="00200F06">
      <w:pPr>
        <w:spacing w:line="276" w:lineRule="auto"/>
        <w:rPr>
          <w:rFonts w:cs="Calibri"/>
        </w:rPr>
      </w:pPr>
    </w:p>
    <w:p w14:paraId="3DC3D5A0" w14:textId="6C107A5C" w:rsidR="00200F06" w:rsidRPr="005616AE" w:rsidRDefault="00200F06" w:rsidP="00200F06">
      <w:pPr>
        <w:spacing w:before="240" w:line="276" w:lineRule="auto"/>
        <w:rPr>
          <w:rFonts w:cs="Calibri"/>
        </w:rPr>
      </w:pPr>
      <w:r w:rsidRPr="005616AE">
        <w:rPr>
          <w:rFonts w:cs="Calibri"/>
        </w:rPr>
        <w:t xml:space="preserve">In Year 20, the ROI reaches a remarkable </w:t>
      </w:r>
      <w:bookmarkStart w:id="46" w:name="_Hlk183209089"/>
      <w:r w:rsidRPr="005616AE">
        <w:rPr>
          <w:rFonts w:cs="Calibri"/>
        </w:rPr>
        <w:t xml:space="preserve">448.71%, </w:t>
      </w:r>
      <w:bookmarkEnd w:id="46"/>
      <w:proofErr w:type="gramStart"/>
      <w:r w:rsidRPr="005616AE">
        <w:rPr>
          <w:rFonts w:cs="Calibri"/>
        </w:rPr>
        <w:t>showcasing</w:t>
      </w:r>
      <w:proofErr w:type="gramEnd"/>
      <w:r w:rsidRPr="005616AE">
        <w:rPr>
          <w:rFonts w:cs="Calibri"/>
        </w:rPr>
        <w:t xml:space="preserve"> the project’s financial maturity and long-term success. This trend reflects significant growth in revenue streams, efficient expense management and the compounding benefits of early-stage investments in infrastructure, </w:t>
      </w:r>
      <w:proofErr w:type="gramStart"/>
      <w:r w:rsidRPr="005616AE">
        <w:rPr>
          <w:rFonts w:cs="Calibri"/>
        </w:rPr>
        <w:t>technology</w:t>
      </w:r>
      <w:proofErr w:type="gramEnd"/>
      <w:r w:rsidRPr="005616AE">
        <w:rPr>
          <w:rFonts w:cs="Calibri"/>
        </w:rPr>
        <w:t xml:space="preserve"> and branding. From Year 10 to Year 20 the ROI </w:t>
      </w:r>
      <w:proofErr w:type="gramStart"/>
      <w:r w:rsidRPr="005616AE">
        <w:rPr>
          <w:rFonts w:cs="Calibri"/>
        </w:rPr>
        <w:t>showcases</w:t>
      </w:r>
      <w:proofErr w:type="gramEnd"/>
      <w:r w:rsidRPr="005616AE">
        <w:rPr>
          <w:rFonts w:cs="Calibri"/>
        </w:rPr>
        <w:t xml:space="preserve"> the project’s transition from a capital-intensive phase to a highly profitable and sustainable venture. This increase underscores the transformation of the project from an emerging venture to a dominant player in the EV charging ecosystem. By Year 20 the project has achieved operational maturity, robust revenue diversification and cost efficiency.</w:t>
      </w:r>
    </w:p>
    <w:p w14:paraId="1CE72874" w14:textId="77777777" w:rsidR="00200F06" w:rsidRPr="005616AE" w:rsidRDefault="00200F06" w:rsidP="00200F06">
      <w:pPr>
        <w:spacing w:before="240" w:line="276" w:lineRule="auto"/>
        <w:rPr>
          <w:rFonts w:cs="Calibri"/>
          <w:b/>
          <w:bCs/>
        </w:rPr>
      </w:pPr>
      <w:r w:rsidRPr="005616AE">
        <w:rPr>
          <w:rFonts w:cs="Calibri"/>
          <w:b/>
          <w:bCs/>
        </w:rPr>
        <w:t xml:space="preserve">Revenue Growth: </w:t>
      </w:r>
    </w:p>
    <w:p w14:paraId="6B07AEFF" w14:textId="77777777" w:rsidR="00200F06" w:rsidRPr="005616AE" w:rsidRDefault="00200F06" w:rsidP="00200F06">
      <w:pPr>
        <w:spacing w:before="240" w:line="276" w:lineRule="auto"/>
        <w:rPr>
          <w:rFonts w:cs="Calibri"/>
        </w:rPr>
      </w:pPr>
      <w:r w:rsidRPr="005616AE">
        <w:rPr>
          <w:rFonts w:cs="Calibri"/>
        </w:rPr>
        <w:t>Total revenue increased to $469.49 million, more than doubling Year 10 figures.</w:t>
      </w:r>
    </w:p>
    <w:p w14:paraId="20D16A12" w14:textId="77777777" w:rsidR="00200F06" w:rsidRPr="005616AE" w:rsidRDefault="00200F06" w:rsidP="00200F06">
      <w:pPr>
        <w:numPr>
          <w:ilvl w:val="0"/>
          <w:numId w:val="109"/>
        </w:numPr>
        <w:spacing w:before="240" w:line="276" w:lineRule="auto"/>
        <w:rPr>
          <w:rFonts w:cs="Calibri"/>
        </w:rPr>
      </w:pPr>
      <w:r w:rsidRPr="005616AE">
        <w:rPr>
          <w:rFonts w:cs="Calibri"/>
          <w:b/>
          <w:bCs/>
        </w:rPr>
        <w:t>Charging Equipment Sales ($249.51 million)</w:t>
      </w:r>
      <w:r w:rsidRPr="005616AE">
        <w:rPr>
          <w:rFonts w:cs="Calibri"/>
        </w:rPr>
        <w:t>: Nearly doubles Year 10 figures, remaining the largest revenue contributor and reflecting sustained demand for advanced EV charging solutions.</w:t>
      </w:r>
    </w:p>
    <w:p w14:paraId="1CDEEAB7" w14:textId="77777777" w:rsidR="00200F06" w:rsidRPr="005616AE" w:rsidRDefault="00200F06" w:rsidP="00200F06">
      <w:pPr>
        <w:numPr>
          <w:ilvl w:val="0"/>
          <w:numId w:val="109"/>
        </w:numPr>
        <w:spacing w:before="240" w:line="276" w:lineRule="auto"/>
        <w:rPr>
          <w:rFonts w:cs="Calibri"/>
        </w:rPr>
      </w:pPr>
      <w:r w:rsidRPr="005616AE">
        <w:rPr>
          <w:rFonts w:cs="Calibri"/>
          <w:b/>
          <w:bCs/>
        </w:rPr>
        <w:t>EV Charging Fees ($132.63 million)</w:t>
      </w:r>
      <w:r w:rsidRPr="005616AE">
        <w:rPr>
          <w:rFonts w:cs="Calibri"/>
        </w:rPr>
        <w:t>: More than doubles, driven by widespread EV adoption and increased utilisation of charging stations.</w:t>
      </w:r>
    </w:p>
    <w:p w14:paraId="2EDF2E78" w14:textId="77777777" w:rsidR="00200F06" w:rsidRPr="005616AE" w:rsidRDefault="00200F06" w:rsidP="00200F06">
      <w:pPr>
        <w:numPr>
          <w:ilvl w:val="0"/>
          <w:numId w:val="109"/>
        </w:numPr>
        <w:spacing w:before="240" w:line="276" w:lineRule="auto"/>
        <w:rPr>
          <w:rFonts w:cs="Calibri"/>
        </w:rPr>
      </w:pPr>
      <w:r w:rsidRPr="005616AE">
        <w:rPr>
          <w:rFonts w:cs="Calibri"/>
          <w:b/>
          <w:bCs/>
        </w:rPr>
        <w:t>Income from Running Charging Stations ($60.76 million)</w:t>
      </w:r>
      <w:r w:rsidRPr="005616AE">
        <w:rPr>
          <w:rFonts w:cs="Calibri"/>
        </w:rPr>
        <w:t>: Over 130% growth, supported by expanded infrastructure and network reliability.</w:t>
      </w:r>
    </w:p>
    <w:p w14:paraId="43069014" w14:textId="77777777" w:rsidR="00200F06" w:rsidRPr="005616AE" w:rsidRDefault="00200F06" w:rsidP="00200F06">
      <w:pPr>
        <w:numPr>
          <w:ilvl w:val="0"/>
          <w:numId w:val="109"/>
        </w:numPr>
        <w:spacing w:before="240" w:line="276" w:lineRule="auto"/>
        <w:rPr>
          <w:rFonts w:cs="Calibri"/>
        </w:rPr>
      </w:pPr>
      <w:r w:rsidRPr="005616AE">
        <w:rPr>
          <w:rFonts w:cs="Calibri"/>
          <w:b/>
          <w:bCs/>
        </w:rPr>
        <w:t>Third-Party Contracts ($24.47 million)</w:t>
      </w:r>
      <w:r w:rsidRPr="005616AE">
        <w:rPr>
          <w:rFonts w:cs="Calibri"/>
        </w:rPr>
        <w:t>: Triples Year 10 contributions, reflecting stronger partnerships and collaboration.</w:t>
      </w:r>
    </w:p>
    <w:p w14:paraId="6DD22AFA" w14:textId="77777777" w:rsidR="00200F06" w:rsidRPr="005616AE" w:rsidRDefault="00200F06" w:rsidP="00200F06">
      <w:pPr>
        <w:numPr>
          <w:ilvl w:val="0"/>
          <w:numId w:val="109"/>
        </w:numPr>
        <w:spacing w:before="240" w:line="276" w:lineRule="auto"/>
        <w:rPr>
          <w:rFonts w:cs="Calibri"/>
        </w:rPr>
      </w:pPr>
      <w:r w:rsidRPr="005616AE">
        <w:rPr>
          <w:rFonts w:cs="Calibri"/>
          <w:b/>
          <w:bCs/>
        </w:rPr>
        <w:t>Advertising and Sponsorship ($2.12 million)</w:t>
      </w:r>
      <w:r w:rsidRPr="005616AE">
        <w:rPr>
          <w:rFonts w:cs="Calibri"/>
        </w:rPr>
        <w:t xml:space="preserve">: Significant growth from $680,000 in Year 10, </w:t>
      </w:r>
      <w:proofErr w:type="gramStart"/>
      <w:r w:rsidRPr="005616AE">
        <w:rPr>
          <w:rFonts w:cs="Calibri"/>
        </w:rPr>
        <w:t>showcasing</w:t>
      </w:r>
      <w:proofErr w:type="gramEnd"/>
      <w:r w:rsidRPr="005616AE">
        <w:rPr>
          <w:rFonts w:cs="Calibri"/>
        </w:rPr>
        <w:t xml:space="preserve"> the monetisation of brand visibility and sponsorship opportunities.</w:t>
      </w:r>
    </w:p>
    <w:p w14:paraId="32C79F40" w14:textId="77777777" w:rsidR="00200F06" w:rsidRPr="005616AE" w:rsidRDefault="00200F06" w:rsidP="00200F06">
      <w:pPr>
        <w:spacing w:before="240" w:line="276" w:lineRule="auto"/>
        <w:rPr>
          <w:rFonts w:cs="Calibri"/>
        </w:rPr>
      </w:pPr>
      <w:r w:rsidRPr="005616AE">
        <w:rPr>
          <w:rFonts w:cs="Calibri"/>
        </w:rPr>
        <w:t>The exponential revenue growth in Year 20 reflects the project’s full market capture, increased consumer base and success in maximising revenue streams that were in growing stages in Year 10.</w:t>
      </w:r>
    </w:p>
    <w:p w14:paraId="2F35196A" w14:textId="77777777" w:rsidR="00200F06" w:rsidRPr="005616AE" w:rsidRDefault="00200F06" w:rsidP="00200F06">
      <w:pPr>
        <w:spacing w:before="240" w:line="276" w:lineRule="auto"/>
        <w:rPr>
          <w:rFonts w:cs="Calibri"/>
          <w:b/>
          <w:bCs/>
        </w:rPr>
      </w:pPr>
      <w:r w:rsidRPr="005616AE">
        <w:rPr>
          <w:rFonts w:cs="Calibri"/>
          <w:b/>
          <w:bCs/>
        </w:rPr>
        <w:t>Expense Management: Operational Efficiency</w:t>
      </w:r>
    </w:p>
    <w:p w14:paraId="231CD612" w14:textId="77777777" w:rsidR="00200F06" w:rsidRPr="005616AE" w:rsidRDefault="00200F06" w:rsidP="00200F06">
      <w:pPr>
        <w:spacing w:before="240" w:line="276" w:lineRule="auto"/>
        <w:rPr>
          <w:rFonts w:cs="Calibri"/>
        </w:rPr>
      </w:pPr>
      <w:r w:rsidRPr="005616AE">
        <w:rPr>
          <w:rFonts w:cs="Calibri"/>
        </w:rPr>
        <w:t xml:space="preserve">Total expenses grew to </w:t>
      </w:r>
      <w:r w:rsidRPr="005616AE">
        <w:rPr>
          <w:rFonts w:cs="Calibri"/>
          <w:b/>
          <w:bCs/>
        </w:rPr>
        <w:t>$71.76 million</w:t>
      </w:r>
      <w:r w:rsidRPr="005616AE">
        <w:rPr>
          <w:rFonts w:cs="Calibri"/>
        </w:rPr>
        <w:t>, reflecting controlled growth despite a more than twofold increase in revenue compared to year 10.</w:t>
      </w:r>
    </w:p>
    <w:p w14:paraId="244D2CDC" w14:textId="77777777" w:rsidR="00200F06" w:rsidRPr="005616AE" w:rsidRDefault="00200F06" w:rsidP="00200F06">
      <w:pPr>
        <w:numPr>
          <w:ilvl w:val="0"/>
          <w:numId w:val="110"/>
        </w:numPr>
        <w:spacing w:before="240" w:line="276" w:lineRule="auto"/>
        <w:rPr>
          <w:rFonts w:cs="Calibri"/>
        </w:rPr>
      </w:pPr>
      <w:r w:rsidRPr="005616AE">
        <w:rPr>
          <w:rFonts w:cs="Calibri"/>
          <w:b/>
          <w:bCs/>
        </w:rPr>
        <w:lastRenderedPageBreak/>
        <w:t>Employee Payroll ($20.52 million)</w:t>
      </w:r>
      <w:r w:rsidRPr="005616AE">
        <w:rPr>
          <w:rFonts w:cs="Calibri"/>
        </w:rPr>
        <w:t xml:space="preserve">: A modest increase of 20%, </w:t>
      </w:r>
      <w:proofErr w:type="gramStart"/>
      <w:r w:rsidRPr="005616AE">
        <w:rPr>
          <w:rFonts w:cs="Calibri"/>
        </w:rPr>
        <w:t>showcasing</w:t>
      </w:r>
      <w:proofErr w:type="gramEnd"/>
      <w:r w:rsidRPr="005616AE">
        <w:rPr>
          <w:rFonts w:cs="Calibri"/>
        </w:rPr>
        <w:t xml:space="preserve"> operational streamlining despite expanded operations.</w:t>
      </w:r>
    </w:p>
    <w:p w14:paraId="3FBEAFDD" w14:textId="77777777" w:rsidR="00200F06" w:rsidRPr="005616AE" w:rsidRDefault="00200F06" w:rsidP="00200F06">
      <w:pPr>
        <w:numPr>
          <w:ilvl w:val="0"/>
          <w:numId w:val="110"/>
        </w:numPr>
        <w:spacing w:before="240" w:line="276" w:lineRule="auto"/>
        <w:rPr>
          <w:rFonts w:cs="Calibri"/>
        </w:rPr>
      </w:pPr>
      <w:r w:rsidRPr="005616AE">
        <w:rPr>
          <w:rFonts w:cs="Calibri"/>
          <w:b/>
          <w:bCs/>
        </w:rPr>
        <w:t>Marketing and Advertising ($2.79 million)</w:t>
      </w:r>
      <w:r w:rsidRPr="005616AE">
        <w:rPr>
          <w:rFonts w:cs="Calibri"/>
        </w:rPr>
        <w:t>: Reduced by 74% compared to Year 10, indicating market establishment and reduced need for more campaigns.</w:t>
      </w:r>
    </w:p>
    <w:p w14:paraId="116D971E" w14:textId="77777777" w:rsidR="00200F06" w:rsidRPr="005616AE" w:rsidRDefault="00200F06" w:rsidP="00200F06">
      <w:pPr>
        <w:numPr>
          <w:ilvl w:val="0"/>
          <w:numId w:val="110"/>
        </w:numPr>
        <w:spacing w:before="240" w:line="276" w:lineRule="auto"/>
        <w:rPr>
          <w:rFonts w:cs="Calibri"/>
        </w:rPr>
      </w:pPr>
      <w:r w:rsidRPr="005616AE">
        <w:rPr>
          <w:rFonts w:cs="Calibri"/>
          <w:b/>
          <w:bCs/>
        </w:rPr>
        <w:t>R&amp;D Investments ($5.10 million)</w:t>
      </w:r>
      <w:r w:rsidRPr="005616AE">
        <w:rPr>
          <w:rFonts w:cs="Calibri"/>
        </w:rPr>
        <w:t>: Slight increase as the focus shifts to incremental improvements in EV charging technology.</w:t>
      </w:r>
    </w:p>
    <w:p w14:paraId="344B079B" w14:textId="77777777" w:rsidR="00200F06" w:rsidRPr="005616AE" w:rsidRDefault="00200F06" w:rsidP="00200F06">
      <w:pPr>
        <w:spacing w:before="240" w:line="276" w:lineRule="auto"/>
        <w:rPr>
          <w:rFonts w:cs="Calibri"/>
        </w:rPr>
      </w:pPr>
      <w:r w:rsidRPr="005616AE">
        <w:rPr>
          <w:rFonts w:cs="Calibri"/>
        </w:rPr>
        <w:t>In Year 20, expenses have grown at a much slower rate compared to revenue, emphasising improved operational efficiency, cost management and economies of scale.</w:t>
      </w:r>
    </w:p>
    <w:p w14:paraId="3D6F9781" w14:textId="77777777" w:rsidR="00200F06" w:rsidRPr="005616AE" w:rsidRDefault="00200F06" w:rsidP="00200F06">
      <w:pPr>
        <w:spacing w:before="240" w:line="276" w:lineRule="auto"/>
        <w:rPr>
          <w:rFonts w:cs="Calibri"/>
        </w:rPr>
      </w:pPr>
      <w:r w:rsidRPr="005616AE">
        <w:rPr>
          <w:rFonts w:cs="Calibri"/>
          <w:b/>
          <w:bCs/>
        </w:rPr>
        <w:t>Growth in Year 20 ROI (448.71%)</w:t>
      </w:r>
      <w:r w:rsidRPr="005616AE">
        <w:rPr>
          <w:rFonts w:cs="Calibri"/>
        </w:rPr>
        <w:t>:</w:t>
      </w:r>
    </w:p>
    <w:p w14:paraId="7D1413AA" w14:textId="77777777" w:rsidR="00200F06" w:rsidRPr="005616AE" w:rsidRDefault="00200F06" w:rsidP="00200F06">
      <w:pPr>
        <w:numPr>
          <w:ilvl w:val="0"/>
          <w:numId w:val="111"/>
        </w:numPr>
        <w:spacing w:before="240" w:line="276" w:lineRule="auto"/>
        <w:rPr>
          <w:rFonts w:cs="Calibri"/>
        </w:rPr>
      </w:pPr>
      <w:r w:rsidRPr="005616AE">
        <w:rPr>
          <w:rFonts w:cs="Calibri"/>
        </w:rPr>
        <w:t>Reflects the maturity of the business, with exponential revenue growth outpacing modest expense increases.</w:t>
      </w:r>
    </w:p>
    <w:p w14:paraId="06435EDE" w14:textId="77777777" w:rsidR="00200F06" w:rsidRPr="005616AE" w:rsidRDefault="00200F06" w:rsidP="00200F06">
      <w:pPr>
        <w:numPr>
          <w:ilvl w:val="0"/>
          <w:numId w:val="111"/>
        </w:numPr>
        <w:spacing w:before="240" w:line="276" w:lineRule="auto"/>
        <w:rPr>
          <w:rFonts w:cs="Calibri"/>
        </w:rPr>
      </w:pPr>
      <w:r w:rsidRPr="005616AE">
        <w:rPr>
          <w:rFonts w:cs="Calibri"/>
        </w:rPr>
        <w:t>Highlights the sustained success of the WiTricity acquisition, strong customer adoption of wireless EV charging solutions and the ability to capitalise on new revenue opportunities such as advertising and partnerships.</w:t>
      </w:r>
    </w:p>
    <w:p w14:paraId="619B12BC" w14:textId="77777777" w:rsidR="00200F06" w:rsidRPr="005616AE" w:rsidRDefault="00200F06" w:rsidP="00200F06">
      <w:pPr>
        <w:numPr>
          <w:ilvl w:val="0"/>
          <w:numId w:val="111"/>
        </w:numPr>
        <w:spacing w:before="240" w:line="276" w:lineRule="auto"/>
        <w:rPr>
          <w:rFonts w:cs="Calibri"/>
        </w:rPr>
      </w:pPr>
      <w:r w:rsidRPr="005616AE">
        <w:rPr>
          <w:rFonts w:cs="Calibri"/>
        </w:rPr>
        <w:t xml:space="preserve">ROI growth </w:t>
      </w:r>
      <w:proofErr w:type="gramStart"/>
      <w:r w:rsidRPr="005616AE">
        <w:rPr>
          <w:rFonts w:cs="Calibri"/>
        </w:rPr>
        <w:t>is supported</w:t>
      </w:r>
      <w:proofErr w:type="gramEnd"/>
      <w:r w:rsidRPr="005616AE">
        <w:rPr>
          <w:rFonts w:cs="Calibri"/>
        </w:rPr>
        <w:t xml:space="preserve"> by optimised costs, expanded revenue streams and a more favourable CCA impact as earlier depreciation claims reduce.</w:t>
      </w:r>
    </w:p>
    <w:p w14:paraId="0539C21B" w14:textId="11222F24" w:rsidR="00200F06" w:rsidRPr="005616AE" w:rsidRDefault="00200F06" w:rsidP="00200F06">
      <w:pPr>
        <w:spacing w:before="240" w:line="276" w:lineRule="auto"/>
        <w:rPr>
          <w:rFonts w:cs="Calibri"/>
        </w:rPr>
      </w:pPr>
      <w:r w:rsidRPr="005616AE">
        <w:rPr>
          <w:rFonts w:cs="Calibri"/>
        </w:rPr>
        <w:t xml:space="preserve">The comparison between Year 10 and Year 20 demonstrates the transformative growth of the acquisition project. While Year 10 highlighted the foundational success and early achievements with an ROI of 114.14%, Year 20’s ROI of 448.71% reflects the peak of strategic investments, operational </w:t>
      </w:r>
      <w:proofErr w:type="gramStart"/>
      <w:r w:rsidRPr="005616AE">
        <w:rPr>
          <w:rFonts w:cs="Calibri"/>
        </w:rPr>
        <w:t>maturity</w:t>
      </w:r>
      <w:proofErr w:type="gramEnd"/>
      <w:r w:rsidRPr="005616AE">
        <w:rPr>
          <w:rFonts w:cs="Calibri"/>
        </w:rPr>
        <w:t xml:space="preserve"> and market dominance. The transition from a scaling phase to a mature, highly profitable business </w:t>
      </w:r>
      <w:proofErr w:type="gramStart"/>
      <w:r w:rsidRPr="005616AE">
        <w:rPr>
          <w:rFonts w:cs="Calibri"/>
        </w:rPr>
        <w:t>showcases</w:t>
      </w:r>
      <w:proofErr w:type="gramEnd"/>
      <w:r w:rsidRPr="005616AE">
        <w:rPr>
          <w:rFonts w:cs="Calibri"/>
        </w:rPr>
        <w:t xml:space="preserve"> the project’s ability to capitalise on the EV market's rapid growth and solidifies its position as a leader in EV infrastructure.</w:t>
      </w:r>
    </w:p>
    <w:p w14:paraId="6A387546" w14:textId="77777777" w:rsidR="00E34BBC" w:rsidRPr="005616AE" w:rsidRDefault="00E34BBC" w:rsidP="00EB6651">
      <w:pPr>
        <w:pStyle w:val="Heading1"/>
        <w:spacing w:after="0"/>
        <w:rPr>
          <w:sz w:val="32"/>
          <w:szCs w:val="32"/>
        </w:rPr>
      </w:pPr>
      <w:bookmarkStart w:id="47" w:name="_Toc183211063"/>
      <w:r w:rsidRPr="005616AE">
        <w:rPr>
          <w:sz w:val="32"/>
          <w:szCs w:val="32"/>
        </w:rPr>
        <w:t>ROI Overview of Space Economy Financing</w:t>
      </w:r>
      <w:bookmarkEnd w:id="47"/>
    </w:p>
    <w:p w14:paraId="12F7E768" w14:textId="77777777" w:rsidR="00E34BBC" w:rsidRPr="005616AE" w:rsidRDefault="00E34BBC" w:rsidP="00EB6651">
      <w:pPr>
        <w:tabs>
          <w:tab w:val="left" w:pos="2664"/>
        </w:tabs>
        <w:spacing w:after="0"/>
      </w:pPr>
      <w:r w:rsidRPr="005616AE">
        <w:t xml:space="preserve">Space Economy Financing provides an alternate investment option that focuses on developing financial solutions for space-related firms while also partnering with the Canadian Space Agency (CSA). While this industry has unquestionable long-term promise the initial ROI is lower and riskier than WiTricity's. The ROI is -30.00% for the first three years due to high startup costs and low profits. By Year 5 it moderates as early-stage accomplishments in aerospace businesses increase ROI to +10.00%. In Year 10 it advances in satellite technology and aircraft innovation boost the ROI to +75.00%. By Year 20 the space economy's maturity which includes development in satellite-based </w:t>
      </w:r>
      <w:proofErr w:type="gramStart"/>
      <w:r w:rsidRPr="005616AE">
        <w:t>logistics</w:t>
      </w:r>
      <w:proofErr w:type="gramEnd"/>
      <w:r w:rsidRPr="005616AE">
        <w:t xml:space="preserve"> and space tourism raises the ROI to +200.00%. This sector's reliance on regulatory advances and technology breakthroughs makes it difficult and more volatile than WiTricity.</w:t>
      </w:r>
    </w:p>
    <w:p w14:paraId="4B75469D" w14:textId="2C2A5791" w:rsidR="00E34BBC" w:rsidRPr="005616AE" w:rsidRDefault="00E34BBC" w:rsidP="00EB6651">
      <w:pPr>
        <w:tabs>
          <w:tab w:val="left" w:pos="2664"/>
        </w:tabs>
        <w:spacing w:after="0"/>
        <w:rPr>
          <w:b/>
          <w:bCs/>
        </w:rPr>
      </w:pPr>
      <w:r w:rsidRPr="005616AE">
        <w:lastRenderedPageBreak/>
        <w:drawing>
          <wp:inline distT="0" distB="0" distL="0" distR="0" wp14:anchorId="108A0296" wp14:editId="1FB98B86">
            <wp:extent cx="4076700" cy="2247900"/>
            <wp:effectExtent l="0" t="0" r="0" b="0"/>
            <wp:docPr id="1693475886" name="Chart 7">
              <a:extLst xmlns:a="http://schemas.openxmlformats.org/drawingml/2006/main">
                <a:ext uri="{FF2B5EF4-FFF2-40B4-BE49-F238E27FC236}">
                  <a16:creationId xmlns:a16="http://schemas.microsoft.com/office/drawing/2014/main" id="{4725312D-CD1D-015E-5546-1F6B85F5C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22D9F6" w14:textId="77777777" w:rsidR="00E34BBC" w:rsidRPr="005616AE" w:rsidRDefault="00E34BBC" w:rsidP="00EB6651">
      <w:pPr>
        <w:pStyle w:val="Heading1"/>
        <w:spacing w:after="0"/>
        <w:rPr>
          <w:sz w:val="32"/>
          <w:szCs w:val="32"/>
        </w:rPr>
      </w:pPr>
      <w:bookmarkStart w:id="48" w:name="_Toc183211064"/>
      <w:r w:rsidRPr="005616AE">
        <w:rPr>
          <w:sz w:val="32"/>
          <w:szCs w:val="32"/>
        </w:rPr>
        <w:t>Comparison Between WiTricity’s ROI% and Space Economy Financing ROI%</w:t>
      </w:r>
      <w:bookmarkEnd w:id="48"/>
    </w:p>
    <w:p w14:paraId="6D10A5E7" w14:textId="08E7540C" w:rsidR="00E34BBC" w:rsidRPr="005616AE" w:rsidRDefault="00E34BBC" w:rsidP="00EB6651">
      <w:pPr>
        <w:tabs>
          <w:tab w:val="left" w:pos="2664"/>
        </w:tabs>
        <w:spacing w:after="0"/>
        <w:rPr>
          <w:b/>
          <w:bCs/>
        </w:rPr>
      </w:pPr>
      <w:r w:rsidRPr="005616AE">
        <w:t xml:space="preserve">When comparing the two choices over various times WiTricity regularly outperforms the other. In the first three years WiTricity's ROI of -15.21% is less negative than Space Economy Financing's -30.00%. It demonstrates a reduced risk in the </w:t>
      </w:r>
      <w:proofErr w:type="gramStart"/>
      <w:r w:rsidRPr="005616AE">
        <w:t>early stages</w:t>
      </w:r>
      <w:proofErr w:type="gramEnd"/>
      <w:r w:rsidRPr="005616AE">
        <w:t>. WiTricity has a far higher ROI of +35.47% than Space Economy's +10.00% as the EV market continues to grow fast by year 5. WiTricity's exponential expansion in the EV sector resulted in a ROI of +187.69% beating the Space Economy's +75.00% by the end of year 10. At the end of 20</w:t>
      </w:r>
      <w:r w:rsidRPr="005616AE">
        <w:rPr>
          <w:vertAlign w:val="superscript"/>
        </w:rPr>
        <w:t>th</w:t>
      </w:r>
      <w:r w:rsidRPr="005616AE">
        <w:t xml:space="preserve"> year WiTricity's ROI has risen to a remarkable +448.71% well exceeding Space Economy's +200.0%. WiTricity's clear route to profitability and minimal volatility strengthen its position as the favo</w:t>
      </w:r>
      <w:r w:rsidR="005616AE" w:rsidRPr="005616AE">
        <w:t>u</w:t>
      </w:r>
      <w:r w:rsidRPr="005616AE">
        <w:t>red alternative.</w:t>
      </w:r>
    </w:p>
    <w:p w14:paraId="32B992B8" w14:textId="77777777" w:rsidR="00E34BBC" w:rsidRPr="005616AE" w:rsidRDefault="00E34BBC" w:rsidP="00EB6651">
      <w:pPr>
        <w:tabs>
          <w:tab w:val="left" w:pos="2664"/>
        </w:tabs>
        <w:spacing w:after="0"/>
      </w:pPr>
    </w:p>
    <w:tbl>
      <w:tblPr>
        <w:tblStyle w:val="TableGrid"/>
        <w:tblpPr w:leftFromText="180" w:rightFromText="180" w:vertAnchor="text" w:horzAnchor="margin" w:tblpY="59"/>
        <w:tblW w:w="0" w:type="auto"/>
        <w:tblInd w:w="0" w:type="dxa"/>
        <w:tblLook w:val="04A0" w:firstRow="1" w:lastRow="0" w:firstColumn="1" w:lastColumn="0" w:noHBand="0" w:noVBand="1"/>
      </w:tblPr>
      <w:tblGrid>
        <w:gridCol w:w="2260"/>
        <w:gridCol w:w="2361"/>
        <w:gridCol w:w="2361"/>
        <w:gridCol w:w="2227"/>
      </w:tblGrid>
      <w:tr w:rsidR="00E34BBC" w:rsidRPr="005616AE" w14:paraId="581F9B95" w14:textId="77777777" w:rsidTr="00E34BBC">
        <w:tc>
          <w:tcPr>
            <w:tcW w:w="2260" w:type="dxa"/>
            <w:tcBorders>
              <w:top w:val="single" w:sz="4" w:space="0" w:color="auto"/>
              <w:left w:val="single" w:sz="4" w:space="0" w:color="auto"/>
              <w:bottom w:val="single" w:sz="4" w:space="0" w:color="auto"/>
              <w:right w:val="single" w:sz="4" w:space="0" w:color="auto"/>
            </w:tcBorders>
            <w:vAlign w:val="center"/>
            <w:hideMark/>
          </w:tcPr>
          <w:p w14:paraId="143E63CE" w14:textId="77777777" w:rsidR="00E34BBC" w:rsidRPr="005616AE" w:rsidRDefault="00E34BBC" w:rsidP="00EB6651">
            <w:pPr>
              <w:tabs>
                <w:tab w:val="left" w:pos="2664"/>
              </w:tabs>
              <w:spacing w:line="240" w:lineRule="auto"/>
            </w:pPr>
            <w:proofErr w:type="gramStart"/>
            <w:r w:rsidRPr="005616AE">
              <w:rPr>
                <w:b/>
                <w:bCs/>
              </w:rPr>
              <w:t>Timeframe</w:t>
            </w:r>
            <w:proofErr w:type="gramEnd"/>
          </w:p>
        </w:tc>
        <w:tc>
          <w:tcPr>
            <w:tcW w:w="2361" w:type="dxa"/>
            <w:tcBorders>
              <w:top w:val="single" w:sz="4" w:space="0" w:color="auto"/>
              <w:left w:val="single" w:sz="4" w:space="0" w:color="auto"/>
              <w:bottom w:val="single" w:sz="4" w:space="0" w:color="auto"/>
              <w:right w:val="single" w:sz="4" w:space="0" w:color="auto"/>
            </w:tcBorders>
            <w:vAlign w:val="center"/>
            <w:hideMark/>
          </w:tcPr>
          <w:p w14:paraId="388789D6" w14:textId="77777777" w:rsidR="00E34BBC" w:rsidRPr="005616AE" w:rsidRDefault="00E34BBC" w:rsidP="00EB6651">
            <w:pPr>
              <w:tabs>
                <w:tab w:val="left" w:pos="2664"/>
              </w:tabs>
              <w:spacing w:line="240" w:lineRule="auto"/>
            </w:pPr>
            <w:r w:rsidRPr="005616AE">
              <w:rPr>
                <w:b/>
                <w:bCs/>
              </w:rPr>
              <w:t>WiTricity ROI (%)</w:t>
            </w:r>
          </w:p>
        </w:tc>
        <w:tc>
          <w:tcPr>
            <w:tcW w:w="2361" w:type="dxa"/>
            <w:tcBorders>
              <w:top w:val="single" w:sz="4" w:space="0" w:color="auto"/>
              <w:left w:val="single" w:sz="4" w:space="0" w:color="auto"/>
              <w:bottom w:val="single" w:sz="4" w:space="0" w:color="auto"/>
              <w:right w:val="single" w:sz="4" w:space="0" w:color="auto"/>
            </w:tcBorders>
            <w:vAlign w:val="center"/>
            <w:hideMark/>
          </w:tcPr>
          <w:p w14:paraId="42BFB2D4" w14:textId="77777777" w:rsidR="00E34BBC" w:rsidRPr="005616AE" w:rsidRDefault="00E34BBC" w:rsidP="00EB6651">
            <w:pPr>
              <w:tabs>
                <w:tab w:val="left" w:pos="2664"/>
              </w:tabs>
              <w:spacing w:line="240" w:lineRule="auto"/>
            </w:pPr>
            <w:r w:rsidRPr="005616AE">
              <w:rPr>
                <w:b/>
                <w:bCs/>
              </w:rPr>
              <w:t>Space Economy ROI (%)</w:t>
            </w:r>
          </w:p>
        </w:tc>
        <w:tc>
          <w:tcPr>
            <w:tcW w:w="2227" w:type="dxa"/>
            <w:tcBorders>
              <w:top w:val="single" w:sz="4" w:space="0" w:color="auto"/>
              <w:left w:val="single" w:sz="4" w:space="0" w:color="auto"/>
              <w:bottom w:val="single" w:sz="4" w:space="0" w:color="auto"/>
              <w:right w:val="single" w:sz="4" w:space="0" w:color="auto"/>
            </w:tcBorders>
            <w:vAlign w:val="center"/>
            <w:hideMark/>
          </w:tcPr>
          <w:p w14:paraId="4F3C51EC" w14:textId="77777777" w:rsidR="00E34BBC" w:rsidRPr="005616AE" w:rsidRDefault="00E34BBC" w:rsidP="00EB6651">
            <w:pPr>
              <w:tabs>
                <w:tab w:val="left" w:pos="2664"/>
              </w:tabs>
              <w:spacing w:line="240" w:lineRule="auto"/>
            </w:pPr>
            <w:r w:rsidRPr="005616AE">
              <w:rPr>
                <w:b/>
                <w:bCs/>
              </w:rPr>
              <w:t>Preferred Option</w:t>
            </w:r>
          </w:p>
        </w:tc>
      </w:tr>
      <w:tr w:rsidR="00E34BBC" w:rsidRPr="005616AE" w14:paraId="6E7DE852" w14:textId="77777777" w:rsidTr="00E34BBC">
        <w:tc>
          <w:tcPr>
            <w:tcW w:w="2260" w:type="dxa"/>
            <w:tcBorders>
              <w:top w:val="single" w:sz="4" w:space="0" w:color="auto"/>
              <w:left w:val="single" w:sz="4" w:space="0" w:color="auto"/>
              <w:bottom w:val="single" w:sz="4" w:space="0" w:color="auto"/>
              <w:right w:val="single" w:sz="4" w:space="0" w:color="auto"/>
            </w:tcBorders>
            <w:hideMark/>
          </w:tcPr>
          <w:p w14:paraId="4FA07C98" w14:textId="77777777" w:rsidR="00E34BBC" w:rsidRPr="005616AE" w:rsidRDefault="00E34BBC" w:rsidP="00EB6651">
            <w:pPr>
              <w:tabs>
                <w:tab w:val="left" w:pos="2664"/>
              </w:tabs>
              <w:spacing w:line="240" w:lineRule="auto"/>
            </w:pPr>
            <w:r w:rsidRPr="005616AE">
              <w:t>1 Year</w:t>
            </w:r>
          </w:p>
        </w:tc>
        <w:tc>
          <w:tcPr>
            <w:tcW w:w="2361" w:type="dxa"/>
            <w:tcBorders>
              <w:top w:val="single" w:sz="4" w:space="0" w:color="auto"/>
              <w:left w:val="single" w:sz="4" w:space="0" w:color="auto"/>
              <w:bottom w:val="single" w:sz="4" w:space="0" w:color="auto"/>
              <w:right w:val="single" w:sz="4" w:space="0" w:color="auto"/>
            </w:tcBorders>
            <w:hideMark/>
          </w:tcPr>
          <w:p w14:paraId="5AD8A869" w14:textId="77777777" w:rsidR="00E34BBC" w:rsidRPr="005616AE" w:rsidRDefault="00E34BBC" w:rsidP="00EB6651">
            <w:pPr>
              <w:tabs>
                <w:tab w:val="left" w:pos="2664"/>
              </w:tabs>
              <w:spacing w:line="240" w:lineRule="auto"/>
            </w:pPr>
            <w:r w:rsidRPr="005616AE">
              <w:t>-44.91%</w:t>
            </w:r>
          </w:p>
        </w:tc>
        <w:tc>
          <w:tcPr>
            <w:tcW w:w="2361" w:type="dxa"/>
            <w:tcBorders>
              <w:top w:val="single" w:sz="4" w:space="0" w:color="auto"/>
              <w:left w:val="single" w:sz="4" w:space="0" w:color="auto"/>
              <w:bottom w:val="single" w:sz="4" w:space="0" w:color="auto"/>
              <w:right w:val="single" w:sz="4" w:space="0" w:color="auto"/>
            </w:tcBorders>
            <w:hideMark/>
          </w:tcPr>
          <w:p w14:paraId="44C1B224" w14:textId="77777777" w:rsidR="00E34BBC" w:rsidRPr="005616AE" w:rsidRDefault="00E34BBC" w:rsidP="00EB6651">
            <w:pPr>
              <w:tabs>
                <w:tab w:val="left" w:pos="2664"/>
              </w:tabs>
              <w:spacing w:line="240" w:lineRule="auto"/>
            </w:pPr>
            <w:r w:rsidRPr="005616AE">
              <w:t>-60%</w:t>
            </w:r>
          </w:p>
        </w:tc>
        <w:tc>
          <w:tcPr>
            <w:tcW w:w="2227" w:type="dxa"/>
            <w:tcBorders>
              <w:top w:val="single" w:sz="4" w:space="0" w:color="auto"/>
              <w:left w:val="single" w:sz="4" w:space="0" w:color="auto"/>
              <w:bottom w:val="single" w:sz="4" w:space="0" w:color="auto"/>
              <w:right w:val="single" w:sz="4" w:space="0" w:color="auto"/>
            </w:tcBorders>
            <w:hideMark/>
          </w:tcPr>
          <w:p w14:paraId="55DBDB6E" w14:textId="77777777" w:rsidR="00E34BBC" w:rsidRPr="005616AE" w:rsidRDefault="00E34BBC" w:rsidP="00EB6651">
            <w:pPr>
              <w:tabs>
                <w:tab w:val="left" w:pos="2664"/>
              </w:tabs>
              <w:spacing w:line="240" w:lineRule="auto"/>
            </w:pPr>
            <w:r w:rsidRPr="005616AE">
              <w:t>WiTricity (Lower initial losses and faster recovery potential)</w:t>
            </w:r>
          </w:p>
        </w:tc>
      </w:tr>
      <w:tr w:rsidR="00E34BBC" w:rsidRPr="005616AE" w14:paraId="68A1355B" w14:textId="77777777" w:rsidTr="00E34BBC">
        <w:tc>
          <w:tcPr>
            <w:tcW w:w="2260" w:type="dxa"/>
            <w:tcBorders>
              <w:top w:val="single" w:sz="4" w:space="0" w:color="auto"/>
              <w:left w:val="single" w:sz="4" w:space="0" w:color="auto"/>
              <w:bottom w:val="single" w:sz="4" w:space="0" w:color="auto"/>
              <w:right w:val="single" w:sz="4" w:space="0" w:color="auto"/>
            </w:tcBorders>
            <w:vAlign w:val="center"/>
            <w:hideMark/>
          </w:tcPr>
          <w:p w14:paraId="6F467810" w14:textId="77777777" w:rsidR="00E34BBC" w:rsidRPr="005616AE" w:rsidRDefault="00E34BBC" w:rsidP="00EB6651">
            <w:pPr>
              <w:tabs>
                <w:tab w:val="left" w:pos="2664"/>
              </w:tabs>
              <w:spacing w:line="240" w:lineRule="auto"/>
            </w:pPr>
            <w:r w:rsidRPr="005616AE">
              <w:t>3 Years</w:t>
            </w:r>
          </w:p>
        </w:tc>
        <w:tc>
          <w:tcPr>
            <w:tcW w:w="2361" w:type="dxa"/>
            <w:tcBorders>
              <w:top w:val="single" w:sz="4" w:space="0" w:color="auto"/>
              <w:left w:val="single" w:sz="4" w:space="0" w:color="auto"/>
              <w:bottom w:val="single" w:sz="4" w:space="0" w:color="auto"/>
              <w:right w:val="single" w:sz="4" w:space="0" w:color="auto"/>
            </w:tcBorders>
            <w:vAlign w:val="center"/>
            <w:hideMark/>
          </w:tcPr>
          <w:p w14:paraId="7D78FBC3" w14:textId="42F2C8A9" w:rsidR="00E34BBC" w:rsidRPr="005616AE" w:rsidRDefault="00E34BBC" w:rsidP="00EB6651">
            <w:pPr>
              <w:tabs>
                <w:tab w:val="left" w:pos="2664"/>
              </w:tabs>
              <w:spacing w:line="240" w:lineRule="auto"/>
            </w:pPr>
            <w:r w:rsidRPr="005616AE">
              <w:t>-</w:t>
            </w:r>
            <w:r w:rsidR="00200F06" w:rsidRPr="005616AE">
              <w:t>34.31</w:t>
            </w:r>
            <w:r w:rsidRPr="005616AE">
              <w:t>%</w:t>
            </w:r>
          </w:p>
        </w:tc>
        <w:tc>
          <w:tcPr>
            <w:tcW w:w="2361" w:type="dxa"/>
            <w:tcBorders>
              <w:top w:val="single" w:sz="4" w:space="0" w:color="auto"/>
              <w:left w:val="single" w:sz="4" w:space="0" w:color="auto"/>
              <w:bottom w:val="single" w:sz="4" w:space="0" w:color="auto"/>
              <w:right w:val="single" w:sz="4" w:space="0" w:color="auto"/>
            </w:tcBorders>
            <w:vAlign w:val="center"/>
            <w:hideMark/>
          </w:tcPr>
          <w:p w14:paraId="255F7515" w14:textId="77777777" w:rsidR="00E34BBC" w:rsidRPr="005616AE" w:rsidRDefault="00E34BBC" w:rsidP="00EB6651">
            <w:pPr>
              <w:tabs>
                <w:tab w:val="left" w:pos="2664"/>
              </w:tabs>
              <w:spacing w:line="240" w:lineRule="auto"/>
            </w:pPr>
            <w:r w:rsidRPr="005616AE">
              <w:t>-30.00%</w:t>
            </w:r>
          </w:p>
        </w:tc>
        <w:tc>
          <w:tcPr>
            <w:tcW w:w="2227" w:type="dxa"/>
            <w:tcBorders>
              <w:top w:val="single" w:sz="4" w:space="0" w:color="auto"/>
              <w:left w:val="single" w:sz="4" w:space="0" w:color="auto"/>
              <w:bottom w:val="single" w:sz="4" w:space="0" w:color="auto"/>
              <w:right w:val="single" w:sz="4" w:space="0" w:color="auto"/>
            </w:tcBorders>
            <w:vAlign w:val="center"/>
            <w:hideMark/>
          </w:tcPr>
          <w:p w14:paraId="5A1B693D" w14:textId="77777777" w:rsidR="00E34BBC" w:rsidRPr="005616AE" w:rsidRDefault="00E34BBC" w:rsidP="00EB6651">
            <w:pPr>
              <w:tabs>
                <w:tab w:val="left" w:pos="2664"/>
              </w:tabs>
              <w:spacing w:line="240" w:lineRule="auto"/>
            </w:pPr>
            <w:r w:rsidRPr="005616AE">
              <w:t>WiTricity (Lower risk and better recovery potential)</w:t>
            </w:r>
          </w:p>
        </w:tc>
      </w:tr>
      <w:tr w:rsidR="00E34BBC" w:rsidRPr="005616AE" w14:paraId="241B6416" w14:textId="77777777" w:rsidTr="00E34BBC">
        <w:tc>
          <w:tcPr>
            <w:tcW w:w="2260" w:type="dxa"/>
            <w:tcBorders>
              <w:top w:val="single" w:sz="4" w:space="0" w:color="auto"/>
              <w:left w:val="single" w:sz="4" w:space="0" w:color="auto"/>
              <w:bottom w:val="single" w:sz="4" w:space="0" w:color="auto"/>
              <w:right w:val="single" w:sz="4" w:space="0" w:color="auto"/>
            </w:tcBorders>
            <w:vAlign w:val="center"/>
            <w:hideMark/>
          </w:tcPr>
          <w:p w14:paraId="0B88C8FE" w14:textId="77777777" w:rsidR="00E34BBC" w:rsidRPr="005616AE" w:rsidRDefault="00E34BBC" w:rsidP="00EB6651">
            <w:pPr>
              <w:tabs>
                <w:tab w:val="left" w:pos="2664"/>
              </w:tabs>
              <w:spacing w:line="240" w:lineRule="auto"/>
            </w:pPr>
            <w:r w:rsidRPr="005616AE">
              <w:t>5 Years</w:t>
            </w:r>
          </w:p>
        </w:tc>
        <w:tc>
          <w:tcPr>
            <w:tcW w:w="2361" w:type="dxa"/>
            <w:tcBorders>
              <w:top w:val="single" w:sz="4" w:space="0" w:color="auto"/>
              <w:left w:val="single" w:sz="4" w:space="0" w:color="auto"/>
              <w:bottom w:val="single" w:sz="4" w:space="0" w:color="auto"/>
              <w:right w:val="single" w:sz="4" w:space="0" w:color="auto"/>
            </w:tcBorders>
            <w:vAlign w:val="center"/>
            <w:hideMark/>
          </w:tcPr>
          <w:p w14:paraId="19935F17" w14:textId="04164A68" w:rsidR="00E34BBC" w:rsidRPr="005616AE" w:rsidRDefault="00E34BBC" w:rsidP="00EB6651">
            <w:pPr>
              <w:tabs>
                <w:tab w:val="left" w:pos="2664"/>
              </w:tabs>
              <w:spacing w:line="240" w:lineRule="auto"/>
            </w:pPr>
            <w:r w:rsidRPr="005616AE">
              <w:t>+</w:t>
            </w:r>
            <w:r w:rsidR="00200F06" w:rsidRPr="005616AE">
              <w:t>8.14</w:t>
            </w:r>
            <w:r w:rsidRPr="005616AE">
              <w:t>%</w:t>
            </w:r>
          </w:p>
        </w:tc>
        <w:tc>
          <w:tcPr>
            <w:tcW w:w="2361" w:type="dxa"/>
            <w:tcBorders>
              <w:top w:val="single" w:sz="4" w:space="0" w:color="auto"/>
              <w:left w:val="single" w:sz="4" w:space="0" w:color="auto"/>
              <w:bottom w:val="single" w:sz="4" w:space="0" w:color="auto"/>
              <w:right w:val="single" w:sz="4" w:space="0" w:color="auto"/>
            </w:tcBorders>
            <w:vAlign w:val="center"/>
            <w:hideMark/>
          </w:tcPr>
          <w:p w14:paraId="45B3AC47" w14:textId="77777777" w:rsidR="00E34BBC" w:rsidRPr="005616AE" w:rsidRDefault="00E34BBC" w:rsidP="00EB6651">
            <w:pPr>
              <w:tabs>
                <w:tab w:val="left" w:pos="2664"/>
              </w:tabs>
              <w:spacing w:line="240" w:lineRule="auto"/>
            </w:pPr>
            <w:r w:rsidRPr="005616AE">
              <w:t>+10.00%</w:t>
            </w:r>
          </w:p>
        </w:tc>
        <w:tc>
          <w:tcPr>
            <w:tcW w:w="2227" w:type="dxa"/>
            <w:tcBorders>
              <w:top w:val="single" w:sz="4" w:space="0" w:color="auto"/>
              <w:left w:val="single" w:sz="4" w:space="0" w:color="auto"/>
              <w:bottom w:val="single" w:sz="4" w:space="0" w:color="auto"/>
              <w:right w:val="single" w:sz="4" w:space="0" w:color="auto"/>
            </w:tcBorders>
            <w:vAlign w:val="center"/>
            <w:hideMark/>
          </w:tcPr>
          <w:p w14:paraId="18E4FF1B" w14:textId="77777777" w:rsidR="00E34BBC" w:rsidRPr="005616AE" w:rsidRDefault="00E34BBC" w:rsidP="00EB6651">
            <w:pPr>
              <w:tabs>
                <w:tab w:val="left" w:pos="2664"/>
              </w:tabs>
              <w:spacing w:line="240" w:lineRule="auto"/>
            </w:pPr>
            <w:r w:rsidRPr="005616AE">
              <w:t>WiTricity (Stronger returns as EV market scales)</w:t>
            </w:r>
          </w:p>
        </w:tc>
      </w:tr>
      <w:tr w:rsidR="00E34BBC" w:rsidRPr="005616AE" w14:paraId="0717D458" w14:textId="77777777" w:rsidTr="00E34BBC">
        <w:tc>
          <w:tcPr>
            <w:tcW w:w="2260" w:type="dxa"/>
            <w:tcBorders>
              <w:top w:val="single" w:sz="4" w:space="0" w:color="auto"/>
              <w:left w:val="single" w:sz="4" w:space="0" w:color="auto"/>
              <w:bottom w:val="single" w:sz="4" w:space="0" w:color="auto"/>
              <w:right w:val="single" w:sz="4" w:space="0" w:color="auto"/>
            </w:tcBorders>
            <w:vAlign w:val="center"/>
            <w:hideMark/>
          </w:tcPr>
          <w:p w14:paraId="49DB5916" w14:textId="77777777" w:rsidR="00E34BBC" w:rsidRPr="005616AE" w:rsidRDefault="00E34BBC" w:rsidP="00EB6651">
            <w:pPr>
              <w:tabs>
                <w:tab w:val="left" w:pos="2664"/>
              </w:tabs>
              <w:spacing w:line="240" w:lineRule="auto"/>
            </w:pPr>
            <w:r w:rsidRPr="005616AE">
              <w:t>10 Years</w:t>
            </w:r>
          </w:p>
        </w:tc>
        <w:tc>
          <w:tcPr>
            <w:tcW w:w="2361" w:type="dxa"/>
            <w:tcBorders>
              <w:top w:val="single" w:sz="4" w:space="0" w:color="auto"/>
              <w:left w:val="single" w:sz="4" w:space="0" w:color="auto"/>
              <w:bottom w:val="single" w:sz="4" w:space="0" w:color="auto"/>
              <w:right w:val="single" w:sz="4" w:space="0" w:color="auto"/>
            </w:tcBorders>
            <w:vAlign w:val="center"/>
            <w:hideMark/>
          </w:tcPr>
          <w:p w14:paraId="7EF58A90" w14:textId="5F26D0D7" w:rsidR="00E34BBC" w:rsidRPr="005616AE" w:rsidRDefault="00E34BBC" w:rsidP="00EB6651">
            <w:pPr>
              <w:tabs>
                <w:tab w:val="left" w:pos="2664"/>
              </w:tabs>
              <w:spacing w:line="240" w:lineRule="auto"/>
            </w:pPr>
            <w:r w:rsidRPr="005616AE">
              <w:t>+</w:t>
            </w:r>
            <w:r w:rsidR="00200F06" w:rsidRPr="005616AE">
              <w:t>114.14</w:t>
            </w:r>
            <w:r w:rsidRPr="005616AE">
              <w:t>%</w:t>
            </w:r>
          </w:p>
        </w:tc>
        <w:tc>
          <w:tcPr>
            <w:tcW w:w="2361" w:type="dxa"/>
            <w:tcBorders>
              <w:top w:val="single" w:sz="4" w:space="0" w:color="auto"/>
              <w:left w:val="single" w:sz="4" w:space="0" w:color="auto"/>
              <w:bottom w:val="single" w:sz="4" w:space="0" w:color="auto"/>
              <w:right w:val="single" w:sz="4" w:space="0" w:color="auto"/>
            </w:tcBorders>
            <w:vAlign w:val="center"/>
            <w:hideMark/>
          </w:tcPr>
          <w:p w14:paraId="2CD1B3E5" w14:textId="77777777" w:rsidR="00E34BBC" w:rsidRPr="005616AE" w:rsidRDefault="00E34BBC" w:rsidP="00EB6651">
            <w:pPr>
              <w:tabs>
                <w:tab w:val="left" w:pos="2664"/>
              </w:tabs>
              <w:spacing w:line="240" w:lineRule="auto"/>
            </w:pPr>
            <w:r w:rsidRPr="005616AE">
              <w:t>+75.00%</w:t>
            </w:r>
          </w:p>
        </w:tc>
        <w:tc>
          <w:tcPr>
            <w:tcW w:w="2227" w:type="dxa"/>
            <w:tcBorders>
              <w:top w:val="single" w:sz="4" w:space="0" w:color="auto"/>
              <w:left w:val="single" w:sz="4" w:space="0" w:color="auto"/>
              <w:bottom w:val="single" w:sz="4" w:space="0" w:color="auto"/>
              <w:right w:val="single" w:sz="4" w:space="0" w:color="auto"/>
            </w:tcBorders>
            <w:vAlign w:val="center"/>
            <w:hideMark/>
          </w:tcPr>
          <w:p w14:paraId="03EF1C28" w14:textId="77777777" w:rsidR="00E34BBC" w:rsidRPr="005616AE" w:rsidRDefault="00E34BBC" w:rsidP="00EB6651">
            <w:pPr>
              <w:tabs>
                <w:tab w:val="left" w:pos="2664"/>
              </w:tabs>
              <w:spacing w:line="240" w:lineRule="auto"/>
            </w:pPr>
            <w:r w:rsidRPr="005616AE">
              <w:t>WiTricity (Exponential growth in EV sector)</w:t>
            </w:r>
          </w:p>
        </w:tc>
      </w:tr>
      <w:tr w:rsidR="00E34BBC" w:rsidRPr="005616AE" w14:paraId="61523DEC" w14:textId="77777777" w:rsidTr="00E34BBC">
        <w:tc>
          <w:tcPr>
            <w:tcW w:w="2260" w:type="dxa"/>
            <w:tcBorders>
              <w:top w:val="single" w:sz="4" w:space="0" w:color="auto"/>
              <w:left w:val="single" w:sz="4" w:space="0" w:color="auto"/>
              <w:bottom w:val="single" w:sz="4" w:space="0" w:color="auto"/>
              <w:right w:val="single" w:sz="4" w:space="0" w:color="auto"/>
            </w:tcBorders>
            <w:vAlign w:val="center"/>
            <w:hideMark/>
          </w:tcPr>
          <w:p w14:paraId="3839F515" w14:textId="77777777" w:rsidR="00E34BBC" w:rsidRPr="005616AE" w:rsidRDefault="00E34BBC" w:rsidP="00EB6651">
            <w:pPr>
              <w:tabs>
                <w:tab w:val="left" w:pos="2664"/>
              </w:tabs>
              <w:spacing w:line="240" w:lineRule="auto"/>
            </w:pPr>
            <w:r w:rsidRPr="005616AE">
              <w:t>20 Years</w:t>
            </w:r>
          </w:p>
        </w:tc>
        <w:tc>
          <w:tcPr>
            <w:tcW w:w="2361" w:type="dxa"/>
            <w:tcBorders>
              <w:top w:val="single" w:sz="4" w:space="0" w:color="auto"/>
              <w:left w:val="single" w:sz="4" w:space="0" w:color="auto"/>
              <w:bottom w:val="single" w:sz="4" w:space="0" w:color="auto"/>
              <w:right w:val="single" w:sz="4" w:space="0" w:color="auto"/>
            </w:tcBorders>
            <w:vAlign w:val="center"/>
            <w:hideMark/>
          </w:tcPr>
          <w:p w14:paraId="227BFA8D" w14:textId="77777777" w:rsidR="00E34BBC" w:rsidRPr="005616AE" w:rsidRDefault="00E34BBC" w:rsidP="00EB6651">
            <w:pPr>
              <w:tabs>
                <w:tab w:val="left" w:pos="2664"/>
              </w:tabs>
              <w:spacing w:line="240" w:lineRule="auto"/>
            </w:pPr>
            <w:r w:rsidRPr="005616AE">
              <w:t>+448.71%</w:t>
            </w:r>
          </w:p>
        </w:tc>
        <w:tc>
          <w:tcPr>
            <w:tcW w:w="2361" w:type="dxa"/>
            <w:tcBorders>
              <w:top w:val="single" w:sz="4" w:space="0" w:color="auto"/>
              <w:left w:val="single" w:sz="4" w:space="0" w:color="auto"/>
              <w:bottom w:val="single" w:sz="4" w:space="0" w:color="auto"/>
              <w:right w:val="single" w:sz="4" w:space="0" w:color="auto"/>
            </w:tcBorders>
            <w:vAlign w:val="center"/>
            <w:hideMark/>
          </w:tcPr>
          <w:p w14:paraId="0947B77C" w14:textId="77777777" w:rsidR="00E34BBC" w:rsidRPr="005616AE" w:rsidRDefault="00E34BBC" w:rsidP="00EB6651">
            <w:pPr>
              <w:tabs>
                <w:tab w:val="left" w:pos="2664"/>
              </w:tabs>
              <w:spacing w:line="240" w:lineRule="auto"/>
            </w:pPr>
            <w:r w:rsidRPr="005616AE">
              <w:t>+200.00%</w:t>
            </w:r>
          </w:p>
        </w:tc>
        <w:tc>
          <w:tcPr>
            <w:tcW w:w="2227" w:type="dxa"/>
            <w:tcBorders>
              <w:top w:val="single" w:sz="4" w:space="0" w:color="auto"/>
              <w:left w:val="single" w:sz="4" w:space="0" w:color="auto"/>
              <w:bottom w:val="single" w:sz="4" w:space="0" w:color="auto"/>
              <w:right w:val="single" w:sz="4" w:space="0" w:color="auto"/>
            </w:tcBorders>
            <w:vAlign w:val="center"/>
            <w:hideMark/>
          </w:tcPr>
          <w:p w14:paraId="1F56D5BC" w14:textId="77777777" w:rsidR="00E34BBC" w:rsidRPr="005616AE" w:rsidRDefault="00E34BBC" w:rsidP="00EB6651">
            <w:pPr>
              <w:tabs>
                <w:tab w:val="left" w:pos="2664"/>
              </w:tabs>
              <w:spacing w:line="240" w:lineRule="auto"/>
            </w:pPr>
            <w:r w:rsidRPr="005616AE">
              <w:t>WiTricity (Superior long-term ROI and lower volatility)</w:t>
            </w:r>
          </w:p>
        </w:tc>
      </w:tr>
    </w:tbl>
    <w:p w14:paraId="2B1E8284" w14:textId="77777777" w:rsidR="00E34BBC" w:rsidRPr="005616AE" w:rsidRDefault="00E34BBC" w:rsidP="00EB6651">
      <w:pPr>
        <w:tabs>
          <w:tab w:val="left" w:pos="2664"/>
        </w:tabs>
        <w:spacing w:after="0"/>
        <w:rPr>
          <w:rFonts w:asciiTheme="minorHAnsi" w:hAnsiTheme="minorHAnsi"/>
          <w:b/>
          <w:bCs/>
        </w:rPr>
      </w:pPr>
    </w:p>
    <w:p w14:paraId="4C81DE7D" w14:textId="2DE1B443" w:rsidR="00E34BBC" w:rsidRPr="005616AE" w:rsidRDefault="00E34BBC" w:rsidP="00EB6651">
      <w:pPr>
        <w:tabs>
          <w:tab w:val="left" w:pos="2664"/>
        </w:tabs>
        <w:spacing w:after="0"/>
        <w:rPr>
          <w:b/>
          <w:bCs/>
        </w:rPr>
      </w:pPr>
      <w:r w:rsidRPr="005616AE">
        <w:lastRenderedPageBreak/>
        <w:drawing>
          <wp:inline distT="0" distB="0" distL="0" distR="0" wp14:anchorId="1991EDAA" wp14:editId="230264CC">
            <wp:extent cx="4314825" cy="2457450"/>
            <wp:effectExtent l="0" t="0" r="9525" b="0"/>
            <wp:docPr id="855187931" name="Chart 6">
              <a:extLst xmlns:a="http://schemas.openxmlformats.org/drawingml/2006/main">
                <a:ext uri="{FF2B5EF4-FFF2-40B4-BE49-F238E27FC236}">
                  <a16:creationId xmlns:a16="http://schemas.microsoft.com/office/drawing/2014/main" id="{D701F9E4-232D-AEE2-B778-085A56FD8D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4147C3" w14:textId="77777777" w:rsidR="00E34BBC" w:rsidRPr="005616AE" w:rsidRDefault="00E34BBC" w:rsidP="00EB6651">
      <w:pPr>
        <w:pStyle w:val="Heading1"/>
        <w:spacing w:after="0"/>
        <w:rPr>
          <w:sz w:val="32"/>
          <w:szCs w:val="32"/>
        </w:rPr>
      </w:pPr>
      <w:bookmarkStart w:id="49" w:name="_Toc183211065"/>
      <w:r w:rsidRPr="005616AE">
        <w:rPr>
          <w:sz w:val="32"/>
          <w:szCs w:val="32"/>
        </w:rPr>
        <w:t xml:space="preserve">Comparison Between WiTricity’s ROI% and </w:t>
      </w:r>
      <w:proofErr w:type="spellStart"/>
      <w:r w:rsidRPr="005616AE">
        <w:rPr>
          <w:sz w:val="32"/>
          <w:szCs w:val="32"/>
        </w:rPr>
        <w:t>TForce</w:t>
      </w:r>
      <w:proofErr w:type="spellEnd"/>
      <w:r w:rsidRPr="005616AE">
        <w:rPr>
          <w:sz w:val="32"/>
          <w:szCs w:val="32"/>
        </w:rPr>
        <w:t xml:space="preserve"> Logistics ROI%</w:t>
      </w:r>
      <w:bookmarkEnd w:id="49"/>
    </w:p>
    <w:p w14:paraId="3C6AE253" w14:textId="77777777" w:rsidR="00E34BBC" w:rsidRPr="005616AE" w:rsidRDefault="00E34BBC" w:rsidP="00EB6651">
      <w:pPr>
        <w:spacing w:after="0"/>
      </w:pPr>
      <w:r w:rsidRPr="005616AE">
        <w:t xml:space="preserve">The comparison of ROI between WiTricity Acquisition and </w:t>
      </w:r>
      <w:proofErr w:type="spellStart"/>
      <w:r w:rsidRPr="005616AE">
        <w:t>TForce</w:t>
      </w:r>
      <w:proofErr w:type="spellEnd"/>
      <w:r w:rsidRPr="005616AE">
        <w:t xml:space="preserve"> alternative solution shows a different benefit based on the time of the investment. Over the span of 1-3 years </w:t>
      </w:r>
      <w:proofErr w:type="spellStart"/>
      <w:r w:rsidRPr="005616AE">
        <w:t>TForce</w:t>
      </w:r>
      <w:proofErr w:type="spellEnd"/>
      <w:r w:rsidRPr="005616AE">
        <w:t xml:space="preserve"> offers steady profits achieving a 5% return on investment in the first year and 7% by the third year. While WiTricity faces negative returns of -25% and -15.21% in its </w:t>
      </w:r>
      <w:proofErr w:type="gramStart"/>
      <w:r w:rsidRPr="005616AE">
        <w:t>early stages</w:t>
      </w:r>
      <w:proofErr w:type="gramEnd"/>
      <w:r w:rsidRPr="005616AE">
        <w:t xml:space="preserve">. WiTricity starts surpassing </w:t>
      </w:r>
      <w:proofErr w:type="spellStart"/>
      <w:r w:rsidRPr="005616AE">
        <w:t>TForce</w:t>
      </w:r>
      <w:proofErr w:type="spellEnd"/>
      <w:r w:rsidRPr="005616AE">
        <w:t xml:space="preserve"> with a 35.47% return on investment in its fifth-year surpassing </w:t>
      </w:r>
      <w:proofErr w:type="spellStart"/>
      <w:r w:rsidRPr="005616AE">
        <w:t>TForce's</w:t>
      </w:r>
      <w:proofErr w:type="spellEnd"/>
      <w:r w:rsidRPr="005616AE">
        <w:t xml:space="preserve"> 12%. WiTricity's returns grow exponentially over the long term of 10-20 years reaching 187.69% and 448.71% at the respective time points. It significantly surpasses </w:t>
      </w:r>
      <w:proofErr w:type="spellStart"/>
      <w:r w:rsidRPr="005616AE">
        <w:t>TForce's</w:t>
      </w:r>
      <w:proofErr w:type="spellEnd"/>
      <w:r w:rsidRPr="005616AE">
        <w:t xml:space="preserve"> steady growth of 25% and 100%. Although </w:t>
      </w:r>
      <w:proofErr w:type="spellStart"/>
      <w:r w:rsidRPr="005616AE">
        <w:t>TForce</w:t>
      </w:r>
      <w:proofErr w:type="spellEnd"/>
      <w:r w:rsidRPr="005616AE">
        <w:t xml:space="preserve"> provides stable and modest returns for revenue diversification. WiTricity's potential to transform and deliver exponential ROI makes it a better option for long-term investment.</w:t>
      </w:r>
    </w:p>
    <w:p w14:paraId="6B7965DD" w14:textId="77777777" w:rsidR="00E34BBC" w:rsidRPr="005616AE" w:rsidRDefault="00E34BBC" w:rsidP="00EB6651">
      <w:pPr>
        <w:pStyle w:val="Heading2"/>
        <w:spacing w:after="0"/>
      </w:pPr>
      <w:bookmarkStart w:id="50" w:name="_Toc183211066"/>
      <w:r w:rsidRPr="005616AE">
        <w:t>Strategic Recommendations</w:t>
      </w:r>
      <w:bookmarkEnd w:id="50"/>
    </w:p>
    <w:p w14:paraId="75F08121" w14:textId="77777777" w:rsidR="009929CF" w:rsidRPr="005616AE" w:rsidRDefault="00E34BBC" w:rsidP="00EB6651">
      <w:pPr>
        <w:spacing w:after="0"/>
      </w:pPr>
      <w:r w:rsidRPr="005616AE">
        <w:rPr>
          <w:b/>
          <w:bCs/>
        </w:rPr>
        <w:t>WiTricity:</w:t>
      </w:r>
      <w:r w:rsidRPr="005616AE">
        <w:t xml:space="preserve"> WiTricity is TD Bank's chosen long-term investment owing to its revolutionary potential, market domination and exponential ROI after 5 years.</w:t>
      </w:r>
    </w:p>
    <w:p w14:paraId="2B45B5B7" w14:textId="3755E9A0" w:rsidR="00E34BBC" w:rsidRPr="005616AE" w:rsidRDefault="00E34BBC" w:rsidP="00EB6651">
      <w:pPr>
        <w:spacing w:after="0"/>
      </w:pPr>
      <w:proofErr w:type="spellStart"/>
      <w:r w:rsidRPr="005616AE">
        <w:rPr>
          <w:b/>
          <w:bCs/>
        </w:rPr>
        <w:t>TForce</w:t>
      </w:r>
      <w:proofErr w:type="spellEnd"/>
      <w:r w:rsidRPr="005616AE">
        <w:rPr>
          <w:b/>
          <w:bCs/>
        </w:rPr>
        <w:t xml:space="preserve"> Acquisition:</w:t>
      </w:r>
      <w:r w:rsidRPr="005616AE">
        <w:t xml:space="preserve"> Suitable for short-term revenue diversification with consistent returns. It can serve as a supplemental </w:t>
      </w:r>
      <w:proofErr w:type="gramStart"/>
      <w:r w:rsidRPr="005616AE">
        <w:t>investment</w:t>
      </w:r>
      <w:proofErr w:type="gramEnd"/>
      <w:r w:rsidRPr="005616AE">
        <w:t xml:space="preserve"> but it lacks WiTricity's great growth potential.</w:t>
      </w:r>
    </w:p>
    <w:tbl>
      <w:tblPr>
        <w:tblStyle w:val="TableGrid"/>
        <w:tblpPr w:leftFromText="180" w:rightFromText="180" w:vertAnchor="text" w:horzAnchor="margin" w:tblpY="131"/>
        <w:tblOverlap w:val="never"/>
        <w:tblW w:w="9067" w:type="dxa"/>
        <w:tblInd w:w="0" w:type="dxa"/>
        <w:tblLook w:val="04A0" w:firstRow="1" w:lastRow="0" w:firstColumn="1" w:lastColumn="0" w:noHBand="0" w:noVBand="1"/>
      </w:tblPr>
      <w:tblGrid>
        <w:gridCol w:w="1292"/>
        <w:gridCol w:w="892"/>
        <w:gridCol w:w="1166"/>
        <w:gridCol w:w="5717"/>
      </w:tblGrid>
      <w:tr w:rsidR="00E34BBC" w:rsidRPr="005616AE" w14:paraId="3289C748" w14:textId="77777777" w:rsidTr="00E34BBC">
        <w:trPr>
          <w:trHeight w:val="986"/>
        </w:trPr>
        <w:tc>
          <w:tcPr>
            <w:tcW w:w="1292" w:type="dxa"/>
            <w:tcBorders>
              <w:top w:val="single" w:sz="4" w:space="0" w:color="auto"/>
              <w:left w:val="single" w:sz="4" w:space="0" w:color="auto"/>
              <w:bottom w:val="single" w:sz="4" w:space="0" w:color="auto"/>
              <w:right w:val="single" w:sz="4" w:space="0" w:color="auto"/>
            </w:tcBorders>
            <w:vAlign w:val="center"/>
            <w:hideMark/>
          </w:tcPr>
          <w:p w14:paraId="2C58ECA6" w14:textId="77777777" w:rsidR="00E34BBC" w:rsidRPr="005616AE" w:rsidRDefault="00E34BBC" w:rsidP="00EB6651">
            <w:pPr>
              <w:spacing w:line="240" w:lineRule="auto"/>
            </w:pPr>
            <w:proofErr w:type="gramStart"/>
            <w:r w:rsidRPr="005616AE">
              <w:rPr>
                <w:b/>
                <w:bCs/>
              </w:rPr>
              <w:t>Timeframe</w:t>
            </w:r>
            <w:proofErr w:type="gramEnd"/>
          </w:p>
        </w:tc>
        <w:tc>
          <w:tcPr>
            <w:tcW w:w="892" w:type="dxa"/>
            <w:tcBorders>
              <w:top w:val="single" w:sz="4" w:space="0" w:color="auto"/>
              <w:left w:val="single" w:sz="4" w:space="0" w:color="auto"/>
              <w:bottom w:val="single" w:sz="4" w:space="0" w:color="auto"/>
              <w:right w:val="single" w:sz="4" w:space="0" w:color="auto"/>
            </w:tcBorders>
            <w:vAlign w:val="center"/>
            <w:hideMark/>
          </w:tcPr>
          <w:p w14:paraId="6A7B5480" w14:textId="77777777" w:rsidR="00E34BBC" w:rsidRPr="005616AE" w:rsidRDefault="00E34BBC" w:rsidP="00EB6651">
            <w:pPr>
              <w:spacing w:line="240" w:lineRule="auto"/>
            </w:pPr>
            <w:proofErr w:type="spellStart"/>
            <w:r w:rsidRPr="005616AE">
              <w:rPr>
                <w:b/>
                <w:bCs/>
              </w:rPr>
              <w:t>TForce</w:t>
            </w:r>
            <w:proofErr w:type="spellEnd"/>
            <w:r w:rsidRPr="005616AE">
              <w:rPr>
                <w:b/>
                <w:bCs/>
              </w:rPr>
              <w:t xml:space="preserve"> ROI (%)</w:t>
            </w:r>
          </w:p>
        </w:tc>
        <w:tc>
          <w:tcPr>
            <w:tcW w:w="1166" w:type="dxa"/>
            <w:tcBorders>
              <w:top w:val="single" w:sz="4" w:space="0" w:color="auto"/>
              <w:left w:val="single" w:sz="4" w:space="0" w:color="auto"/>
              <w:bottom w:val="single" w:sz="4" w:space="0" w:color="auto"/>
              <w:right w:val="single" w:sz="4" w:space="0" w:color="auto"/>
            </w:tcBorders>
            <w:vAlign w:val="center"/>
            <w:hideMark/>
          </w:tcPr>
          <w:p w14:paraId="1865952F" w14:textId="77777777" w:rsidR="00E34BBC" w:rsidRPr="005616AE" w:rsidRDefault="00E34BBC" w:rsidP="00EB6651">
            <w:pPr>
              <w:spacing w:line="240" w:lineRule="auto"/>
            </w:pPr>
            <w:r w:rsidRPr="005616AE">
              <w:rPr>
                <w:b/>
                <w:bCs/>
              </w:rPr>
              <w:t>WiTricity ROI (%)</w:t>
            </w:r>
          </w:p>
        </w:tc>
        <w:tc>
          <w:tcPr>
            <w:tcW w:w="5717" w:type="dxa"/>
            <w:tcBorders>
              <w:top w:val="single" w:sz="4" w:space="0" w:color="auto"/>
              <w:left w:val="single" w:sz="4" w:space="0" w:color="auto"/>
              <w:bottom w:val="single" w:sz="4" w:space="0" w:color="auto"/>
              <w:right w:val="single" w:sz="4" w:space="0" w:color="auto"/>
            </w:tcBorders>
            <w:vAlign w:val="center"/>
            <w:hideMark/>
          </w:tcPr>
          <w:p w14:paraId="0C18E805" w14:textId="77777777" w:rsidR="00E34BBC" w:rsidRPr="005616AE" w:rsidRDefault="00E34BBC" w:rsidP="00EB6651">
            <w:pPr>
              <w:spacing w:line="240" w:lineRule="auto"/>
            </w:pPr>
            <w:r w:rsidRPr="005616AE">
              <w:rPr>
                <w:b/>
                <w:bCs/>
              </w:rPr>
              <w:t>Preferred Option</w:t>
            </w:r>
          </w:p>
        </w:tc>
      </w:tr>
      <w:tr w:rsidR="00E34BBC" w:rsidRPr="005616AE" w14:paraId="644D3E78" w14:textId="77777777" w:rsidTr="00E34BBC">
        <w:tc>
          <w:tcPr>
            <w:tcW w:w="1292" w:type="dxa"/>
            <w:tcBorders>
              <w:top w:val="single" w:sz="4" w:space="0" w:color="auto"/>
              <w:left w:val="single" w:sz="4" w:space="0" w:color="auto"/>
              <w:bottom w:val="single" w:sz="4" w:space="0" w:color="auto"/>
              <w:right w:val="single" w:sz="4" w:space="0" w:color="auto"/>
            </w:tcBorders>
            <w:vAlign w:val="center"/>
            <w:hideMark/>
          </w:tcPr>
          <w:p w14:paraId="6AAEE939" w14:textId="77777777" w:rsidR="00E34BBC" w:rsidRPr="005616AE" w:rsidRDefault="00E34BBC" w:rsidP="00EB6651">
            <w:pPr>
              <w:spacing w:line="240" w:lineRule="auto"/>
            </w:pPr>
            <w:r w:rsidRPr="005616AE">
              <w:t>1 Year</w:t>
            </w:r>
          </w:p>
        </w:tc>
        <w:tc>
          <w:tcPr>
            <w:tcW w:w="892" w:type="dxa"/>
            <w:tcBorders>
              <w:top w:val="single" w:sz="4" w:space="0" w:color="auto"/>
              <w:left w:val="single" w:sz="4" w:space="0" w:color="auto"/>
              <w:bottom w:val="single" w:sz="4" w:space="0" w:color="auto"/>
              <w:right w:val="single" w:sz="4" w:space="0" w:color="auto"/>
            </w:tcBorders>
            <w:vAlign w:val="center"/>
            <w:hideMark/>
          </w:tcPr>
          <w:p w14:paraId="53362844" w14:textId="77777777" w:rsidR="00E34BBC" w:rsidRPr="005616AE" w:rsidRDefault="00E34BBC" w:rsidP="00EB6651">
            <w:pPr>
              <w:spacing w:line="240" w:lineRule="auto"/>
            </w:pPr>
            <w:r w:rsidRPr="005616AE">
              <w:t>+5%</w:t>
            </w:r>
          </w:p>
        </w:tc>
        <w:tc>
          <w:tcPr>
            <w:tcW w:w="1166" w:type="dxa"/>
            <w:tcBorders>
              <w:top w:val="single" w:sz="4" w:space="0" w:color="auto"/>
              <w:left w:val="single" w:sz="4" w:space="0" w:color="auto"/>
              <w:bottom w:val="single" w:sz="4" w:space="0" w:color="auto"/>
              <w:right w:val="single" w:sz="4" w:space="0" w:color="auto"/>
            </w:tcBorders>
            <w:vAlign w:val="center"/>
            <w:hideMark/>
          </w:tcPr>
          <w:p w14:paraId="5FB39C82" w14:textId="20D14246" w:rsidR="00E34BBC" w:rsidRPr="005616AE" w:rsidRDefault="00200F06" w:rsidP="00EB6651">
            <w:pPr>
              <w:spacing w:line="240" w:lineRule="auto"/>
            </w:pPr>
            <w:r w:rsidRPr="005616AE">
              <w:t>-44.91%</w:t>
            </w:r>
          </w:p>
        </w:tc>
        <w:tc>
          <w:tcPr>
            <w:tcW w:w="5717" w:type="dxa"/>
            <w:tcBorders>
              <w:top w:val="single" w:sz="4" w:space="0" w:color="auto"/>
              <w:left w:val="single" w:sz="4" w:space="0" w:color="auto"/>
              <w:bottom w:val="single" w:sz="4" w:space="0" w:color="auto"/>
              <w:right w:val="single" w:sz="4" w:space="0" w:color="auto"/>
            </w:tcBorders>
            <w:vAlign w:val="center"/>
            <w:hideMark/>
          </w:tcPr>
          <w:p w14:paraId="0887FEF9" w14:textId="77777777" w:rsidR="00E34BBC" w:rsidRPr="005616AE" w:rsidRDefault="00E34BBC" w:rsidP="00EB6651">
            <w:pPr>
              <w:spacing w:line="240" w:lineRule="auto"/>
            </w:pPr>
            <w:proofErr w:type="spellStart"/>
            <w:r w:rsidRPr="005616AE">
              <w:t>TForce</w:t>
            </w:r>
            <w:proofErr w:type="spellEnd"/>
            <w:r w:rsidRPr="005616AE">
              <w:t xml:space="preserve"> (Short-term ROI)</w:t>
            </w:r>
          </w:p>
        </w:tc>
      </w:tr>
      <w:tr w:rsidR="00E34BBC" w:rsidRPr="005616AE" w14:paraId="28FB66E1" w14:textId="77777777" w:rsidTr="00E34BBC">
        <w:tc>
          <w:tcPr>
            <w:tcW w:w="1292" w:type="dxa"/>
            <w:tcBorders>
              <w:top w:val="single" w:sz="4" w:space="0" w:color="auto"/>
              <w:left w:val="single" w:sz="4" w:space="0" w:color="auto"/>
              <w:bottom w:val="single" w:sz="4" w:space="0" w:color="auto"/>
              <w:right w:val="single" w:sz="4" w:space="0" w:color="auto"/>
            </w:tcBorders>
            <w:vAlign w:val="center"/>
            <w:hideMark/>
          </w:tcPr>
          <w:p w14:paraId="02625B49" w14:textId="77777777" w:rsidR="00E34BBC" w:rsidRPr="005616AE" w:rsidRDefault="00E34BBC" w:rsidP="00EB6651">
            <w:pPr>
              <w:spacing w:line="240" w:lineRule="auto"/>
            </w:pPr>
            <w:r w:rsidRPr="005616AE">
              <w:t>3 Years</w:t>
            </w:r>
          </w:p>
        </w:tc>
        <w:tc>
          <w:tcPr>
            <w:tcW w:w="892" w:type="dxa"/>
            <w:tcBorders>
              <w:top w:val="single" w:sz="4" w:space="0" w:color="auto"/>
              <w:left w:val="single" w:sz="4" w:space="0" w:color="auto"/>
              <w:bottom w:val="single" w:sz="4" w:space="0" w:color="auto"/>
              <w:right w:val="single" w:sz="4" w:space="0" w:color="auto"/>
            </w:tcBorders>
            <w:vAlign w:val="center"/>
            <w:hideMark/>
          </w:tcPr>
          <w:p w14:paraId="1254C342" w14:textId="77777777" w:rsidR="00E34BBC" w:rsidRPr="005616AE" w:rsidRDefault="00E34BBC" w:rsidP="00EB6651">
            <w:pPr>
              <w:spacing w:line="240" w:lineRule="auto"/>
            </w:pPr>
            <w:r w:rsidRPr="005616AE">
              <w:t>+7%</w:t>
            </w:r>
          </w:p>
        </w:tc>
        <w:tc>
          <w:tcPr>
            <w:tcW w:w="1166" w:type="dxa"/>
            <w:tcBorders>
              <w:top w:val="single" w:sz="4" w:space="0" w:color="auto"/>
              <w:left w:val="single" w:sz="4" w:space="0" w:color="auto"/>
              <w:bottom w:val="single" w:sz="4" w:space="0" w:color="auto"/>
              <w:right w:val="single" w:sz="4" w:space="0" w:color="auto"/>
            </w:tcBorders>
            <w:vAlign w:val="center"/>
            <w:hideMark/>
          </w:tcPr>
          <w:p w14:paraId="58D3763F" w14:textId="0B64530A" w:rsidR="00E34BBC" w:rsidRPr="005616AE" w:rsidRDefault="00E34BBC" w:rsidP="00EB6651">
            <w:pPr>
              <w:spacing w:line="240" w:lineRule="auto"/>
            </w:pPr>
            <w:r w:rsidRPr="005616AE">
              <w:t>-</w:t>
            </w:r>
            <w:r w:rsidR="00200F06" w:rsidRPr="005616AE">
              <w:t>34.31%</w:t>
            </w:r>
          </w:p>
        </w:tc>
        <w:tc>
          <w:tcPr>
            <w:tcW w:w="5717" w:type="dxa"/>
            <w:tcBorders>
              <w:top w:val="single" w:sz="4" w:space="0" w:color="auto"/>
              <w:left w:val="single" w:sz="4" w:space="0" w:color="auto"/>
              <w:bottom w:val="single" w:sz="4" w:space="0" w:color="auto"/>
              <w:right w:val="single" w:sz="4" w:space="0" w:color="auto"/>
            </w:tcBorders>
            <w:vAlign w:val="center"/>
            <w:hideMark/>
          </w:tcPr>
          <w:p w14:paraId="436C335E" w14:textId="77777777" w:rsidR="00E34BBC" w:rsidRPr="005616AE" w:rsidRDefault="00E34BBC" w:rsidP="00EB6651">
            <w:pPr>
              <w:spacing w:line="240" w:lineRule="auto"/>
            </w:pPr>
            <w:proofErr w:type="spellStart"/>
            <w:r w:rsidRPr="005616AE">
              <w:t>TForce</w:t>
            </w:r>
            <w:proofErr w:type="spellEnd"/>
            <w:r w:rsidRPr="005616AE">
              <w:t xml:space="preserve"> (Lower risk)</w:t>
            </w:r>
          </w:p>
        </w:tc>
      </w:tr>
      <w:tr w:rsidR="00E34BBC" w:rsidRPr="005616AE" w14:paraId="489EB858" w14:textId="77777777" w:rsidTr="00E34BBC">
        <w:tc>
          <w:tcPr>
            <w:tcW w:w="1292" w:type="dxa"/>
            <w:tcBorders>
              <w:top w:val="single" w:sz="4" w:space="0" w:color="auto"/>
              <w:left w:val="single" w:sz="4" w:space="0" w:color="auto"/>
              <w:bottom w:val="single" w:sz="4" w:space="0" w:color="auto"/>
              <w:right w:val="single" w:sz="4" w:space="0" w:color="auto"/>
            </w:tcBorders>
            <w:vAlign w:val="center"/>
            <w:hideMark/>
          </w:tcPr>
          <w:p w14:paraId="4FA69563" w14:textId="77777777" w:rsidR="00E34BBC" w:rsidRPr="005616AE" w:rsidRDefault="00E34BBC" w:rsidP="00EB6651">
            <w:pPr>
              <w:spacing w:line="240" w:lineRule="auto"/>
            </w:pPr>
            <w:r w:rsidRPr="005616AE">
              <w:t>5 Years</w:t>
            </w:r>
          </w:p>
        </w:tc>
        <w:tc>
          <w:tcPr>
            <w:tcW w:w="892" w:type="dxa"/>
            <w:tcBorders>
              <w:top w:val="single" w:sz="4" w:space="0" w:color="auto"/>
              <w:left w:val="single" w:sz="4" w:space="0" w:color="auto"/>
              <w:bottom w:val="single" w:sz="4" w:space="0" w:color="auto"/>
              <w:right w:val="single" w:sz="4" w:space="0" w:color="auto"/>
            </w:tcBorders>
            <w:vAlign w:val="center"/>
            <w:hideMark/>
          </w:tcPr>
          <w:p w14:paraId="44BDD407" w14:textId="77777777" w:rsidR="00E34BBC" w:rsidRPr="005616AE" w:rsidRDefault="00E34BBC" w:rsidP="00EB6651">
            <w:pPr>
              <w:spacing w:line="240" w:lineRule="auto"/>
            </w:pPr>
            <w:r w:rsidRPr="005616AE">
              <w:t>+12%</w:t>
            </w:r>
          </w:p>
        </w:tc>
        <w:tc>
          <w:tcPr>
            <w:tcW w:w="1166" w:type="dxa"/>
            <w:tcBorders>
              <w:top w:val="single" w:sz="4" w:space="0" w:color="auto"/>
              <w:left w:val="single" w:sz="4" w:space="0" w:color="auto"/>
              <w:bottom w:val="single" w:sz="4" w:space="0" w:color="auto"/>
              <w:right w:val="single" w:sz="4" w:space="0" w:color="auto"/>
            </w:tcBorders>
            <w:vAlign w:val="center"/>
            <w:hideMark/>
          </w:tcPr>
          <w:p w14:paraId="417BDAF2" w14:textId="14B5BC81" w:rsidR="00E34BBC" w:rsidRPr="005616AE" w:rsidRDefault="00E34BBC" w:rsidP="00EB6651">
            <w:pPr>
              <w:spacing w:line="240" w:lineRule="auto"/>
            </w:pPr>
            <w:r w:rsidRPr="005616AE">
              <w:t>+</w:t>
            </w:r>
            <w:r w:rsidR="00200F06" w:rsidRPr="005616AE">
              <w:t>8.14%</w:t>
            </w:r>
          </w:p>
        </w:tc>
        <w:tc>
          <w:tcPr>
            <w:tcW w:w="5717" w:type="dxa"/>
            <w:tcBorders>
              <w:top w:val="single" w:sz="4" w:space="0" w:color="auto"/>
              <w:left w:val="single" w:sz="4" w:space="0" w:color="auto"/>
              <w:bottom w:val="single" w:sz="4" w:space="0" w:color="auto"/>
              <w:right w:val="single" w:sz="4" w:space="0" w:color="auto"/>
            </w:tcBorders>
            <w:vAlign w:val="center"/>
            <w:hideMark/>
          </w:tcPr>
          <w:p w14:paraId="478B5DEA" w14:textId="77777777" w:rsidR="00E34BBC" w:rsidRPr="005616AE" w:rsidRDefault="00E34BBC" w:rsidP="00EB6651">
            <w:pPr>
              <w:spacing w:line="240" w:lineRule="auto"/>
            </w:pPr>
            <w:r w:rsidRPr="005616AE">
              <w:t>WiTricity (Higher returns)</w:t>
            </w:r>
          </w:p>
        </w:tc>
      </w:tr>
      <w:tr w:rsidR="00E34BBC" w:rsidRPr="005616AE" w14:paraId="72D17F5C" w14:textId="77777777" w:rsidTr="00E34BBC">
        <w:tc>
          <w:tcPr>
            <w:tcW w:w="1292" w:type="dxa"/>
            <w:tcBorders>
              <w:top w:val="single" w:sz="4" w:space="0" w:color="auto"/>
              <w:left w:val="single" w:sz="4" w:space="0" w:color="auto"/>
              <w:bottom w:val="single" w:sz="4" w:space="0" w:color="auto"/>
              <w:right w:val="single" w:sz="4" w:space="0" w:color="auto"/>
            </w:tcBorders>
            <w:vAlign w:val="center"/>
            <w:hideMark/>
          </w:tcPr>
          <w:p w14:paraId="0C12D5BF" w14:textId="77777777" w:rsidR="00E34BBC" w:rsidRPr="005616AE" w:rsidRDefault="00E34BBC" w:rsidP="00EB6651">
            <w:pPr>
              <w:spacing w:line="240" w:lineRule="auto"/>
            </w:pPr>
            <w:r w:rsidRPr="005616AE">
              <w:t>10 Years</w:t>
            </w:r>
          </w:p>
        </w:tc>
        <w:tc>
          <w:tcPr>
            <w:tcW w:w="892" w:type="dxa"/>
            <w:tcBorders>
              <w:top w:val="single" w:sz="4" w:space="0" w:color="auto"/>
              <w:left w:val="single" w:sz="4" w:space="0" w:color="auto"/>
              <w:bottom w:val="single" w:sz="4" w:space="0" w:color="auto"/>
              <w:right w:val="single" w:sz="4" w:space="0" w:color="auto"/>
            </w:tcBorders>
            <w:vAlign w:val="center"/>
            <w:hideMark/>
          </w:tcPr>
          <w:p w14:paraId="499EC8B1" w14:textId="77777777" w:rsidR="00E34BBC" w:rsidRPr="005616AE" w:rsidRDefault="00E34BBC" w:rsidP="00EB6651">
            <w:pPr>
              <w:spacing w:line="240" w:lineRule="auto"/>
            </w:pPr>
            <w:r w:rsidRPr="005616AE">
              <w:t>+25%</w:t>
            </w:r>
          </w:p>
        </w:tc>
        <w:tc>
          <w:tcPr>
            <w:tcW w:w="1166" w:type="dxa"/>
            <w:tcBorders>
              <w:top w:val="single" w:sz="4" w:space="0" w:color="auto"/>
              <w:left w:val="single" w:sz="4" w:space="0" w:color="auto"/>
              <w:bottom w:val="single" w:sz="4" w:space="0" w:color="auto"/>
              <w:right w:val="single" w:sz="4" w:space="0" w:color="auto"/>
            </w:tcBorders>
            <w:vAlign w:val="center"/>
            <w:hideMark/>
          </w:tcPr>
          <w:p w14:paraId="6B861301" w14:textId="65ED8BEF" w:rsidR="00E34BBC" w:rsidRPr="005616AE" w:rsidRDefault="00E34BBC" w:rsidP="00EB6651">
            <w:pPr>
              <w:spacing w:line="240" w:lineRule="auto"/>
            </w:pPr>
            <w:r w:rsidRPr="005616AE">
              <w:t>+</w:t>
            </w:r>
            <w:r w:rsidR="00200F06" w:rsidRPr="005616AE">
              <w:t>114.14%</w:t>
            </w:r>
          </w:p>
        </w:tc>
        <w:tc>
          <w:tcPr>
            <w:tcW w:w="5717" w:type="dxa"/>
            <w:tcBorders>
              <w:top w:val="single" w:sz="4" w:space="0" w:color="auto"/>
              <w:left w:val="single" w:sz="4" w:space="0" w:color="auto"/>
              <w:bottom w:val="single" w:sz="4" w:space="0" w:color="auto"/>
              <w:right w:val="single" w:sz="4" w:space="0" w:color="auto"/>
            </w:tcBorders>
            <w:vAlign w:val="center"/>
            <w:hideMark/>
          </w:tcPr>
          <w:p w14:paraId="1193EC00" w14:textId="77777777" w:rsidR="00E34BBC" w:rsidRPr="005616AE" w:rsidRDefault="00E34BBC" w:rsidP="00EB6651">
            <w:pPr>
              <w:spacing w:line="240" w:lineRule="auto"/>
            </w:pPr>
            <w:r w:rsidRPr="005616AE">
              <w:t>WiTricity (Exponential growth)</w:t>
            </w:r>
          </w:p>
        </w:tc>
      </w:tr>
      <w:tr w:rsidR="00E34BBC" w:rsidRPr="005616AE" w14:paraId="31578943" w14:textId="77777777" w:rsidTr="00E34BBC">
        <w:tc>
          <w:tcPr>
            <w:tcW w:w="1292" w:type="dxa"/>
            <w:tcBorders>
              <w:top w:val="single" w:sz="4" w:space="0" w:color="auto"/>
              <w:left w:val="single" w:sz="4" w:space="0" w:color="auto"/>
              <w:bottom w:val="single" w:sz="4" w:space="0" w:color="auto"/>
              <w:right w:val="single" w:sz="4" w:space="0" w:color="auto"/>
            </w:tcBorders>
            <w:vAlign w:val="center"/>
            <w:hideMark/>
          </w:tcPr>
          <w:p w14:paraId="6A0FD193" w14:textId="77777777" w:rsidR="00E34BBC" w:rsidRPr="005616AE" w:rsidRDefault="00E34BBC" w:rsidP="00EB6651">
            <w:pPr>
              <w:spacing w:line="240" w:lineRule="auto"/>
            </w:pPr>
            <w:r w:rsidRPr="005616AE">
              <w:t>20 Years</w:t>
            </w:r>
          </w:p>
        </w:tc>
        <w:tc>
          <w:tcPr>
            <w:tcW w:w="892" w:type="dxa"/>
            <w:tcBorders>
              <w:top w:val="single" w:sz="4" w:space="0" w:color="auto"/>
              <w:left w:val="single" w:sz="4" w:space="0" w:color="auto"/>
              <w:bottom w:val="single" w:sz="4" w:space="0" w:color="auto"/>
              <w:right w:val="single" w:sz="4" w:space="0" w:color="auto"/>
            </w:tcBorders>
            <w:vAlign w:val="center"/>
            <w:hideMark/>
          </w:tcPr>
          <w:p w14:paraId="7BE7D6A1" w14:textId="77777777" w:rsidR="00E34BBC" w:rsidRPr="005616AE" w:rsidRDefault="00E34BBC" w:rsidP="00EB6651">
            <w:pPr>
              <w:spacing w:line="240" w:lineRule="auto"/>
            </w:pPr>
            <w:r w:rsidRPr="005616AE">
              <w:t>+100%</w:t>
            </w:r>
          </w:p>
        </w:tc>
        <w:tc>
          <w:tcPr>
            <w:tcW w:w="1166" w:type="dxa"/>
            <w:tcBorders>
              <w:top w:val="single" w:sz="4" w:space="0" w:color="auto"/>
              <w:left w:val="single" w:sz="4" w:space="0" w:color="auto"/>
              <w:bottom w:val="single" w:sz="4" w:space="0" w:color="auto"/>
              <w:right w:val="single" w:sz="4" w:space="0" w:color="auto"/>
            </w:tcBorders>
            <w:vAlign w:val="center"/>
            <w:hideMark/>
          </w:tcPr>
          <w:p w14:paraId="0821E3B7" w14:textId="77777777" w:rsidR="00E34BBC" w:rsidRPr="005616AE" w:rsidRDefault="00E34BBC" w:rsidP="00EB6651">
            <w:pPr>
              <w:spacing w:line="240" w:lineRule="auto"/>
            </w:pPr>
            <w:r w:rsidRPr="005616AE">
              <w:t>+448.71%</w:t>
            </w:r>
          </w:p>
        </w:tc>
        <w:tc>
          <w:tcPr>
            <w:tcW w:w="5717" w:type="dxa"/>
            <w:tcBorders>
              <w:top w:val="single" w:sz="4" w:space="0" w:color="auto"/>
              <w:left w:val="single" w:sz="4" w:space="0" w:color="auto"/>
              <w:bottom w:val="single" w:sz="4" w:space="0" w:color="auto"/>
              <w:right w:val="single" w:sz="4" w:space="0" w:color="auto"/>
            </w:tcBorders>
            <w:vAlign w:val="center"/>
            <w:hideMark/>
          </w:tcPr>
          <w:p w14:paraId="17299576" w14:textId="77777777" w:rsidR="00E34BBC" w:rsidRPr="005616AE" w:rsidRDefault="00E34BBC" w:rsidP="00EB6651">
            <w:pPr>
              <w:spacing w:line="240" w:lineRule="auto"/>
            </w:pPr>
            <w:r w:rsidRPr="005616AE">
              <w:t>WiTricity (Dominant ROI)</w:t>
            </w:r>
          </w:p>
        </w:tc>
      </w:tr>
    </w:tbl>
    <w:p w14:paraId="0639AE6D" w14:textId="77777777" w:rsidR="00E34BBC" w:rsidRPr="005616AE" w:rsidRDefault="00E34BBC" w:rsidP="00EB6651">
      <w:pPr>
        <w:spacing w:after="0"/>
        <w:rPr>
          <w:rFonts w:asciiTheme="minorHAnsi" w:hAnsiTheme="minorHAnsi"/>
        </w:rPr>
      </w:pPr>
    </w:p>
    <w:p w14:paraId="6DE55254" w14:textId="6528D090" w:rsidR="00E34BBC" w:rsidRPr="005616AE" w:rsidRDefault="00E34BBC" w:rsidP="00EB6651">
      <w:pPr>
        <w:spacing w:after="0"/>
      </w:pPr>
      <w:r w:rsidRPr="005616AE">
        <w:lastRenderedPageBreak/>
        <w:drawing>
          <wp:inline distT="0" distB="0" distL="0" distR="0" wp14:anchorId="0E575CF1" wp14:editId="7D1D3936">
            <wp:extent cx="3971925" cy="2266950"/>
            <wp:effectExtent l="0" t="0" r="9525" b="0"/>
            <wp:docPr id="33571181" name="Chart 5">
              <a:extLst xmlns:a="http://schemas.openxmlformats.org/drawingml/2006/main">
                <a:ext uri="{FF2B5EF4-FFF2-40B4-BE49-F238E27FC236}">
                  <a16:creationId xmlns:a16="http://schemas.microsoft.com/office/drawing/2014/main" id="{6033AA1D-BDAF-4E49-E586-5F1B66784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944C57" w14:textId="77777777" w:rsidR="00E34BBC" w:rsidRPr="005616AE" w:rsidRDefault="00E34BBC" w:rsidP="00EB6651">
      <w:pPr>
        <w:spacing w:after="0"/>
      </w:pPr>
      <w:r w:rsidRPr="005616AE">
        <w:t xml:space="preserve"> </w:t>
      </w:r>
    </w:p>
    <w:p w14:paraId="014167C5" w14:textId="77777777" w:rsidR="00E34BBC" w:rsidRPr="005616AE" w:rsidRDefault="00E34BBC" w:rsidP="00EB6651">
      <w:pPr>
        <w:tabs>
          <w:tab w:val="left" w:pos="2664"/>
        </w:tabs>
        <w:spacing w:after="0"/>
        <w:rPr>
          <w:b/>
          <w:bCs/>
        </w:rPr>
      </w:pPr>
      <w:r w:rsidRPr="005616AE">
        <w:rPr>
          <w:b/>
          <w:bCs/>
        </w:rPr>
        <w:t>Recommendations</w:t>
      </w:r>
    </w:p>
    <w:p w14:paraId="4536B2F4" w14:textId="77777777" w:rsidR="00E34BBC" w:rsidRPr="005616AE" w:rsidRDefault="00E34BBC" w:rsidP="00384F0C">
      <w:pPr>
        <w:pStyle w:val="ListParagraph"/>
        <w:numPr>
          <w:ilvl w:val="0"/>
          <w:numId w:val="75"/>
        </w:numPr>
        <w:tabs>
          <w:tab w:val="left" w:pos="2664"/>
        </w:tabs>
        <w:spacing w:after="0" w:line="256" w:lineRule="auto"/>
      </w:pPr>
      <w:r w:rsidRPr="005616AE">
        <w:rPr>
          <w:b/>
          <w:bCs/>
        </w:rPr>
        <w:t>Solution1- WiTricity’s Wireless Charging Technology</w:t>
      </w:r>
    </w:p>
    <w:p w14:paraId="5E7C11EF" w14:textId="77777777" w:rsidR="00E34BBC" w:rsidRPr="005616AE" w:rsidRDefault="00E34BBC" w:rsidP="00EB6651">
      <w:pPr>
        <w:pStyle w:val="ListParagraph"/>
        <w:tabs>
          <w:tab w:val="left" w:pos="2664"/>
        </w:tabs>
        <w:spacing w:after="0"/>
        <w:ind w:left="360"/>
      </w:pPr>
      <w:r w:rsidRPr="005616AE">
        <w:t xml:space="preserve">WiTricity's wireless charging technology aligns with TD Bank's dedication to sustainable finance and green innovation on providing a reliable and impactful return on investment. By investing in WiTricity the TD Bank establishes itself as a top player in the fast-growing EV industry. This investment supports the bank's ESG objectives and improves its image as an innovative and environmentally aware financial establishment. The solid financial reasoning guarantees strong returns in the medium and long-term competitive advantage along with </w:t>
      </w:r>
      <w:proofErr w:type="gramStart"/>
      <w:r w:rsidRPr="005616AE">
        <w:t>some</w:t>
      </w:r>
      <w:proofErr w:type="gramEnd"/>
      <w:r w:rsidRPr="005616AE">
        <w:t xml:space="preserve"> profitability.</w:t>
      </w:r>
    </w:p>
    <w:p w14:paraId="3BB9CB07" w14:textId="77777777" w:rsidR="00981716" w:rsidRPr="005616AE" w:rsidRDefault="00E34BBC" w:rsidP="00384F0C">
      <w:pPr>
        <w:pStyle w:val="ListParagraph"/>
        <w:numPr>
          <w:ilvl w:val="0"/>
          <w:numId w:val="75"/>
        </w:numPr>
        <w:tabs>
          <w:tab w:val="left" w:pos="2664"/>
        </w:tabs>
        <w:spacing w:after="0" w:line="256" w:lineRule="auto"/>
      </w:pPr>
      <w:r w:rsidRPr="005616AE">
        <w:rPr>
          <w:b/>
          <w:bCs/>
        </w:rPr>
        <w:t>Solution 2 - Financing for Space Economy</w:t>
      </w:r>
    </w:p>
    <w:p w14:paraId="58C8D437" w14:textId="25B33C58" w:rsidR="00E34BBC" w:rsidRPr="005616AE" w:rsidRDefault="00E34BBC" w:rsidP="00EB6651">
      <w:pPr>
        <w:pStyle w:val="ListParagraph"/>
        <w:tabs>
          <w:tab w:val="left" w:pos="2664"/>
        </w:tabs>
        <w:spacing w:after="0" w:line="256" w:lineRule="auto"/>
        <w:ind w:left="360"/>
      </w:pPr>
      <w:r w:rsidRPr="005616AE">
        <w:t>If there are unexpected issues with WiTricity the Space Economy Financing can be a suitable backup option. This choice allows TD Bank to tap into a promising market segment with considerable long-term strategic importance. By working with the Canadian Space Agency (CSA) and developing speciali</w:t>
      </w:r>
      <w:r w:rsidR="00B37AFD" w:rsidRPr="005616AE">
        <w:t>s</w:t>
      </w:r>
      <w:r w:rsidRPr="005616AE">
        <w:t xml:space="preserve">ed financial services for aerospace companies where TD can position itself as a significant player in this </w:t>
      </w:r>
      <w:proofErr w:type="gramStart"/>
      <w:r w:rsidRPr="005616AE">
        <w:t>cutting-edge</w:t>
      </w:r>
      <w:proofErr w:type="gramEnd"/>
      <w:r w:rsidRPr="005616AE">
        <w:t xml:space="preserve"> industry. Despite being riskier this investment offers the opportunity to diversify income sources and establish a presence in a high-growth industry.</w:t>
      </w:r>
    </w:p>
    <w:p w14:paraId="592A3414" w14:textId="77777777" w:rsidR="00981716" w:rsidRPr="005616AE" w:rsidRDefault="00E34BBC" w:rsidP="00384F0C">
      <w:pPr>
        <w:pStyle w:val="ListParagraph"/>
        <w:numPr>
          <w:ilvl w:val="0"/>
          <w:numId w:val="75"/>
        </w:numPr>
        <w:spacing w:after="0" w:line="240" w:lineRule="auto"/>
      </w:pPr>
      <w:r w:rsidRPr="005616AE">
        <w:rPr>
          <w:b/>
          <w:bCs/>
        </w:rPr>
        <w:t xml:space="preserve">Solution 3: </w:t>
      </w:r>
      <w:proofErr w:type="spellStart"/>
      <w:r w:rsidRPr="005616AE">
        <w:rPr>
          <w:b/>
          <w:bCs/>
        </w:rPr>
        <w:t>TForce</w:t>
      </w:r>
      <w:proofErr w:type="spellEnd"/>
      <w:r w:rsidRPr="005616AE">
        <w:rPr>
          <w:b/>
          <w:bCs/>
        </w:rPr>
        <w:t xml:space="preserve"> Acquisition</w:t>
      </w:r>
    </w:p>
    <w:p w14:paraId="2B822C61" w14:textId="7CA4F56D" w:rsidR="00E34BBC" w:rsidRPr="005616AE" w:rsidRDefault="00E34BBC" w:rsidP="00EB6651">
      <w:pPr>
        <w:pStyle w:val="ListParagraph"/>
        <w:spacing w:after="0" w:line="240" w:lineRule="auto"/>
        <w:ind w:left="360"/>
      </w:pPr>
      <w:r w:rsidRPr="005616AE">
        <w:t xml:space="preserve">As another strategic alternative is acquiring </w:t>
      </w:r>
      <w:proofErr w:type="spellStart"/>
      <w:r w:rsidRPr="005616AE">
        <w:t>TForce</w:t>
      </w:r>
      <w:proofErr w:type="spellEnd"/>
      <w:r w:rsidRPr="005616AE">
        <w:t xml:space="preserve"> Logistics allows TD Bank to diversify its income sources by combining financial services and </w:t>
      </w:r>
      <w:proofErr w:type="gramStart"/>
      <w:r w:rsidRPr="005616AE">
        <w:t>logistics</w:t>
      </w:r>
      <w:proofErr w:type="gramEnd"/>
      <w:r w:rsidRPr="005616AE">
        <w:t xml:space="preserve">. This collaboration allows TD to use </w:t>
      </w:r>
      <w:proofErr w:type="spellStart"/>
      <w:r w:rsidRPr="005616AE">
        <w:t>TForce's</w:t>
      </w:r>
      <w:proofErr w:type="spellEnd"/>
      <w:r w:rsidRPr="005616AE">
        <w:t xml:space="preserve"> e-commerce </w:t>
      </w:r>
      <w:proofErr w:type="gramStart"/>
      <w:r w:rsidRPr="005616AE">
        <w:t>logistics</w:t>
      </w:r>
      <w:proofErr w:type="gramEnd"/>
      <w:r w:rsidRPr="005616AE">
        <w:t xml:space="preserve"> experience while offering bespoke financial products like as supply chain finance and payment solutions. </w:t>
      </w:r>
      <w:proofErr w:type="spellStart"/>
      <w:r w:rsidRPr="005616AE">
        <w:t>TForce's</w:t>
      </w:r>
      <w:proofErr w:type="spellEnd"/>
      <w:r w:rsidRPr="005616AE">
        <w:t xml:space="preserve"> operational efficiency may be improved further by implementing green </w:t>
      </w:r>
      <w:proofErr w:type="gramStart"/>
      <w:r w:rsidRPr="005616AE">
        <w:t>logistics</w:t>
      </w:r>
      <w:proofErr w:type="gramEnd"/>
      <w:r w:rsidRPr="005616AE">
        <w:t xml:space="preserve"> initiatives such as electric delivery vans and moneti</w:t>
      </w:r>
      <w:r w:rsidR="00B37AFD" w:rsidRPr="005616AE">
        <w:t>s</w:t>
      </w:r>
      <w:r w:rsidRPr="005616AE">
        <w:t xml:space="preserve">ing supply chain analytics data. By entering the fast-increasing </w:t>
      </w:r>
      <w:proofErr w:type="gramStart"/>
      <w:r w:rsidRPr="005616AE">
        <w:t>logistics</w:t>
      </w:r>
      <w:proofErr w:type="gramEnd"/>
      <w:r w:rsidRPr="005616AE">
        <w:t xml:space="preserve"> area TD Bank can diversify its income base and produce an annual growth </w:t>
      </w:r>
      <w:proofErr w:type="spellStart"/>
      <w:r w:rsidRPr="005616AE">
        <w:t>o f</w:t>
      </w:r>
      <w:proofErr w:type="spellEnd"/>
      <w:r w:rsidRPr="005616AE">
        <w:t xml:space="preserve"> 8-12%. It improves its position as a finance and </w:t>
      </w:r>
      <w:proofErr w:type="gramStart"/>
      <w:r w:rsidRPr="005616AE">
        <w:t>logistics</w:t>
      </w:r>
      <w:proofErr w:type="gramEnd"/>
      <w:r w:rsidRPr="005616AE">
        <w:t xml:space="preserve"> industry leader.</w:t>
      </w:r>
    </w:p>
    <w:p w14:paraId="0035F7F8" w14:textId="77777777" w:rsidR="009929CF" w:rsidRPr="005616AE" w:rsidRDefault="009929CF" w:rsidP="00EB6651">
      <w:pPr>
        <w:pStyle w:val="ListParagraph"/>
        <w:spacing w:after="0" w:line="240" w:lineRule="auto"/>
        <w:ind w:left="360"/>
      </w:pPr>
    </w:p>
    <w:p w14:paraId="2D748E77" w14:textId="77777777" w:rsidR="009929CF" w:rsidRPr="005616AE" w:rsidRDefault="009929CF" w:rsidP="00EB6651">
      <w:pPr>
        <w:pStyle w:val="ListParagraph"/>
        <w:spacing w:after="0" w:line="240" w:lineRule="auto"/>
        <w:ind w:left="360"/>
      </w:pPr>
    </w:p>
    <w:p w14:paraId="64C2E181" w14:textId="52F35CD2" w:rsidR="009B1EBC" w:rsidRPr="005616AE" w:rsidRDefault="009B1EBC" w:rsidP="009B1EBC">
      <w:pPr>
        <w:pStyle w:val="Heading1"/>
        <w:rPr>
          <w:rFonts w:ascii="Calibri" w:hAnsi="Calibri" w:cs="Calibri"/>
        </w:rPr>
      </w:pPr>
      <w:bookmarkStart w:id="51" w:name="_Toc183211067"/>
      <w:r w:rsidRPr="005616AE">
        <w:rPr>
          <w:rFonts w:ascii="Calibri" w:hAnsi="Calibri" w:cs="Calibri"/>
        </w:rPr>
        <w:lastRenderedPageBreak/>
        <w:t>Risk Log</w:t>
      </w:r>
      <w:bookmarkEnd w:id="51"/>
    </w:p>
    <w:p w14:paraId="1906E9CF" w14:textId="77777777" w:rsidR="00BD1FE7" w:rsidRPr="005616AE" w:rsidRDefault="00BD1FE7" w:rsidP="00D56B69">
      <w:pPr>
        <w:pStyle w:val="Heading3"/>
        <w:rPr>
          <w:rFonts w:cs="Calibri"/>
        </w:rPr>
      </w:pPr>
      <w:bookmarkStart w:id="52" w:name="_Toc183211068"/>
      <w:r w:rsidRPr="005616AE">
        <w:rPr>
          <w:rFonts w:cs="Calibri"/>
        </w:rPr>
        <w:t>Technological</w:t>
      </w:r>
      <w:bookmarkEnd w:id="52"/>
    </w:p>
    <w:p w14:paraId="39446159" w14:textId="77777777" w:rsidR="00BD1FE7" w:rsidRPr="005616AE" w:rsidRDefault="00BD1FE7" w:rsidP="00D2391D">
      <w:pPr>
        <w:spacing w:after="0"/>
        <w:rPr>
          <w:rFonts w:cs="Calibri"/>
        </w:rPr>
      </w:pPr>
      <w:r w:rsidRPr="005616AE">
        <w:rPr>
          <w:rFonts w:cs="Calibri"/>
        </w:rPr>
        <w:t xml:space="preserve">Technological risks include issues with WiTricity's wireless EV charging technology, integration with TD Bank's existing systems and the possibility of expiry. These dangers stem from reliance on new but complex technology that must work flawlessly with a variety of EV models, harsh </w:t>
      </w:r>
      <w:proofErr w:type="gramStart"/>
      <w:r w:rsidRPr="005616AE">
        <w:rPr>
          <w:rFonts w:cs="Calibri"/>
        </w:rPr>
        <w:t>conditions</w:t>
      </w:r>
      <w:proofErr w:type="gramEnd"/>
      <w:r w:rsidRPr="005616AE">
        <w:rPr>
          <w:rFonts w:cs="Calibri"/>
        </w:rPr>
        <w:t> and changing market demands.</w:t>
      </w:r>
    </w:p>
    <w:tbl>
      <w:tblPr>
        <w:tblStyle w:val="TableGrid"/>
        <w:tblW w:w="0" w:type="auto"/>
        <w:tblInd w:w="0" w:type="dxa"/>
        <w:tblLook w:val="04A0" w:firstRow="1" w:lastRow="0" w:firstColumn="1" w:lastColumn="0" w:noHBand="0" w:noVBand="1"/>
      </w:tblPr>
      <w:tblGrid>
        <w:gridCol w:w="635"/>
        <w:gridCol w:w="3141"/>
        <w:gridCol w:w="999"/>
        <w:gridCol w:w="1250"/>
        <w:gridCol w:w="3325"/>
      </w:tblGrid>
      <w:tr w:rsidR="00BD1FE7" w:rsidRPr="005616AE" w14:paraId="657685C8" w14:textId="77777777" w:rsidTr="0016543C">
        <w:tc>
          <w:tcPr>
            <w:tcW w:w="831" w:type="dxa"/>
          </w:tcPr>
          <w:p w14:paraId="0F576130" w14:textId="77777777" w:rsidR="00BD1FE7" w:rsidRPr="005616AE" w:rsidRDefault="00BD1FE7" w:rsidP="00A74F00">
            <w:pPr>
              <w:spacing w:after="160"/>
              <w:jc w:val="center"/>
              <w:rPr>
                <w:rFonts w:cs="Calibri"/>
                <w:b/>
                <w:bCs/>
              </w:rPr>
            </w:pPr>
            <w:r w:rsidRPr="005616AE">
              <w:rPr>
                <w:rFonts w:cs="Calibri"/>
                <w:b/>
                <w:bCs/>
              </w:rPr>
              <w:t>Risk ID</w:t>
            </w:r>
          </w:p>
        </w:tc>
        <w:tc>
          <w:tcPr>
            <w:tcW w:w="2943" w:type="dxa"/>
          </w:tcPr>
          <w:p w14:paraId="2638175A" w14:textId="77777777" w:rsidR="00BD1FE7" w:rsidRPr="005616AE" w:rsidRDefault="00BD1FE7" w:rsidP="00A74F00">
            <w:pPr>
              <w:spacing w:after="160"/>
              <w:jc w:val="center"/>
              <w:rPr>
                <w:rFonts w:cs="Calibri"/>
                <w:b/>
                <w:bCs/>
              </w:rPr>
            </w:pPr>
            <w:r w:rsidRPr="005616AE">
              <w:rPr>
                <w:rFonts w:cs="Calibri"/>
                <w:b/>
                <w:bCs/>
              </w:rPr>
              <w:t>Risk Description</w:t>
            </w:r>
          </w:p>
        </w:tc>
        <w:tc>
          <w:tcPr>
            <w:tcW w:w="1118" w:type="dxa"/>
          </w:tcPr>
          <w:p w14:paraId="50E491EA" w14:textId="77777777" w:rsidR="00BD1FE7" w:rsidRPr="005616AE" w:rsidRDefault="00BD1FE7" w:rsidP="00A74F00">
            <w:pPr>
              <w:spacing w:after="160"/>
              <w:jc w:val="center"/>
              <w:rPr>
                <w:rFonts w:cs="Calibri"/>
                <w:b/>
                <w:bCs/>
              </w:rPr>
            </w:pPr>
            <w:r w:rsidRPr="005616AE">
              <w:rPr>
                <w:rFonts w:cs="Calibri"/>
                <w:b/>
                <w:bCs/>
              </w:rPr>
              <w:t>Impact</w:t>
            </w:r>
          </w:p>
        </w:tc>
        <w:tc>
          <w:tcPr>
            <w:tcW w:w="1400" w:type="dxa"/>
          </w:tcPr>
          <w:p w14:paraId="6BBE9D04" w14:textId="77777777" w:rsidR="00BD1FE7" w:rsidRPr="005616AE" w:rsidRDefault="00BD1FE7" w:rsidP="00A74F00">
            <w:pPr>
              <w:spacing w:after="160"/>
              <w:jc w:val="center"/>
              <w:rPr>
                <w:rFonts w:cs="Calibri"/>
                <w:b/>
                <w:bCs/>
              </w:rPr>
            </w:pPr>
            <w:r w:rsidRPr="005616AE">
              <w:rPr>
                <w:rFonts w:cs="Calibri"/>
                <w:b/>
                <w:bCs/>
              </w:rPr>
              <w:t>Probability</w:t>
            </w:r>
          </w:p>
        </w:tc>
        <w:tc>
          <w:tcPr>
            <w:tcW w:w="3058" w:type="dxa"/>
          </w:tcPr>
          <w:p w14:paraId="0A9A8895" w14:textId="77777777" w:rsidR="00BD1FE7" w:rsidRPr="005616AE" w:rsidRDefault="00BD1FE7" w:rsidP="00A74F00">
            <w:pPr>
              <w:spacing w:after="160"/>
              <w:jc w:val="center"/>
              <w:rPr>
                <w:rFonts w:cs="Calibri"/>
                <w:b/>
                <w:bCs/>
              </w:rPr>
            </w:pPr>
            <w:r w:rsidRPr="005616AE">
              <w:rPr>
                <w:rFonts w:cs="Calibri"/>
                <w:b/>
                <w:bCs/>
              </w:rPr>
              <w:t>Mitigation Strategy</w:t>
            </w:r>
          </w:p>
        </w:tc>
      </w:tr>
      <w:tr w:rsidR="00BD1FE7" w:rsidRPr="005616AE" w14:paraId="1E970C1B" w14:textId="77777777" w:rsidTr="0016543C">
        <w:tc>
          <w:tcPr>
            <w:tcW w:w="831" w:type="dxa"/>
          </w:tcPr>
          <w:p w14:paraId="0EF738B4" w14:textId="77777777" w:rsidR="00BD1FE7" w:rsidRPr="005616AE" w:rsidRDefault="00BD1FE7" w:rsidP="00FB209E">
            <w:pPr>
              <w:spacing w:after="160"/>
              <w:rPr>
                <w:rFonts w:cs="Calibri"/>
              </w:rPr>
            </w:pPr>
            <w:r w:rsidRPr="005616AE">
              <w:rPr>
                <w:rFonts w:cs="Calibri"/>
              </w:rPr>
              <w:t>T1</w:t>
            </w:r>
          </w:p>
        </w:tc>
        <w:tc>
          <w:tcPr>
            <w:tcW w:w="2943" w:type="dxa"/>
            <w:tcBorders>
              <w:top w:val="single" w:sz="2" w:space="0" w:color="auto"/>
              <w:left w:val="single" w:sz="6" w:space="0" w:color="auto"/>
              <w:bottom w:val="single" w:sz="6" w:space="0" w:color="auto"/>
              <w:right w:val="single" w:sz="2" w:space="0" w:color="auto"/>
            </w:tcBorders>
            <w:shd w:val="clear" w:color="auto" w:fill="FFFFFF"/>
            <w:vAlign w:val="bottom"/>
          </w:tcPr>
          <w:p w14:paraId="3D470C36" w14:textId="77777777" w:rsidR="00BD1FE7" w:rsidRPr="005616AE" w:rsidRDefault="00BD1FE7" w:rsidP="00FB209E">
            <w:pPr>
              <w:spacing w:after="160"/>
              <w:rPr>
                <w:rFonts w:cs="Calibri"/>
              </w:rPr>
            </w:pPr>
            <w:r w:rsidRPr="005616AE">
              <w:rPr>
                <w:rFonts w:cs="Calibri"/>
              </w:rPr>
              <w:t>Integration challenges between WiTricity’s wireless EV charging system and TD Bank’s existing infrastructure.</w:t>
            </w:r>
          </w:p>
        </w:tc>
        <w:tc>
          <w:tcPr>
            <w:tcW w:w="1118" w:type="dxa"/>
            <w:tcBorders>
              <w:top w:val="single" w:sz="2" w:space="0" w:color="auto"/>
              <w:left w:val="single" w:sz="6" w:space="0" w:color="auto"/>
              <w:bottom w:val="single" w:sz="6" w:space="0" w:color="auto"/>
              <w:right w:val="single" w:sz="2" w:space="0" w:color="auto"/>
            </w:tcBorders>
            <w:shd w:val="clear" w:color="auto" w:fill="FFFFFF"/>
            <w:vAlign w:val="bottom"/>
          </w:tcPr>
          <w:p w14:paraId="69AC3DA5" w14:textId="77777777" w:rsidR="00BD1FE7" w:rsidRPr="005616AE" w:rsidRDefault="00BD1FE7" w:rsidP="00FB209E">
            <w:pPr>
              <w:spacing w:after="160"/>
              <w:rPr>
                <w:rFonts w:cs="Calibri"/>
              </w:rPr>
            </w:pPr>
            <w:r w:rsidRPr="005616AE">
              <w:rPr>
                <w:rFonts w:cs="Calibri"/>
              </w:rPr>
              <w:t>High</w:t>
            </w:r>
          </w:p>
        </w:tc>
        <w:tc>
          <w:tcPr>
            <w:tcW w:w="1400" w:type="dxa"/>
            <w:tcBorders>
              <w:top w:val="single" w:sz="2" w:space="0" w:color="auto"/>
              <w:left w:val="single" w:sz="6" w:space="0" w:color="auto"/>
              <w:bottom w:val="single" w:sz="6" w:space="0" w:color="auto"/>
              <w:right w:val="single" w:sz="2" w:space="0" w:color="auto"/>
            </w:tcBorders>
            <w:shd w:val="clear" w:color="auto" w:fill="FFFFFF"/>
            <w:vAlign w:val="bottom"/>
          </w:tcPr>
          <w:p w14:paraId="0FC5CE77" w14:textId="77777777" w:rsidR="00BD1FE7" w:rsidRPr="005616AE" w:rsidRDefault="00BD1FE7" w:rsidP="00FB209E">
            <w:pPr>
              <w:spacing w:after="160"/>
              <w:rPr>
                <w:rFonts w:cs="Calibri"/>
              </w:rPr>
            </w:pPr>
            <w:r w:rsidRPr="005616AE">
              <w:rPr>
                <w:rFonts w:cs="Calibri"/>
              </w:rPr>
              <w:t>Medium</w:t>
            </w:r>
          </w:p>
        </w:tc>
        <w:tc>
          <w:tcPr>
            <w:tcW w:w="3058" w:type="dxa"/>
            <w:tcBorders>
              <w:top w:val="single" w:sz="2" w:space="0" w:color="auto"/>
              <w:left w:val="single" w:sz="6" w:space="0" w:color="auto"/>
              <w:bottom w:val="single" w:sz="6" w:space="0" w:color="auto"/>
              <w:right w:val="single" w:sz="6" w:space="0" w:color="auto"/>
            </w:tcBorders>
            <w:shd w:val="clear" w:color="auto" w:fill="FFFFFF"/>
            <w:vAlign w:val="bottom"/>
          </w:tcPr>
          <w:p w14:paraId="328E77CF" w14:textId="77777777" w:rsidR="00BD1FE7" w:rsidRPr="005616AE" w:rsidRDefault="00BD1FE7" w:rsidP="00FB209E">
            <w:pPr>
              <w:spacing w:after="160"/>
              <w:rPr>
                <w:rFonts w:cs="Calibri"/>
              </w:rPr>
            </w:pPr>
            <w:r w:rsidRPr="005616AE">
              <w:rPr>
                <w:rFonts w:cs="Calibri"/>
              </w:rPr>
              <w:t xml:space="preserve">Conduct phased integration with extensive testing to identify compatibility issues early. Allocate a </w:t>
            </w:r>
            <w:proofErr w:type="gramStart"/>
            <w:r w:rsidRPr="005616AE">
              <w:rPr>
                <w:rFonts w:cs="Calibri"/>
              </w:rPr>
              <w:t>dedicated</w:t>
            </w:r>
            <w:proofErr w:type="gramEnd"/>
            <w:r w:rsidRPr="005616AE">
              <w:rPr>
                <w:rFonts w:cs="Calibri"/>
              </w:rPr>
              <w:t xml:space="preserve"> technical team.</w:t>
            </w:r>
          </w:p>
        </w:tc>
      </w:tr>
      <w:tr w:rsidR="00BD1FE7" w:rsidRPr="005616AE" w14:paraId="7FDB167D" w14:textId="77777777" w:rsidTr="0016543C">
        <w:tc>
          <w:tcPr>
            <w:tcW w:w="831" w:type="dxa"/>
          </w:tcPr>
          <w:p w14:paraId="23B81B5C" w14:textId="77777777" w:rsidR="00BD1FE7" w:rsidRPr="005616AE" w:rsidRDefault="00BD1FE7" w:rsidP="00FB209E">
            <w:pPr>
              <w:spacing w:after="160"/>
              <w:rPr>
                <w:rFonts w:cs="Calibri"/>
              </w:rPr>
            </w:pPr>
            <w:r w:rsidRPr="005616AE">
              <w:rPr>
                <w:rFonts w:cs="Calibri"/>
              </w:rPr>
              <w:t>T2</w:t>
            </w:r>
          </w:p>
        </w:tc>
        <w:tc>
          <w:tcPr>
            <w:tcW w:w="2943" w:type="dxa"/>
            <w:tcBorders>
              <w:top w:val="single" w:sz="2" w:space="0" w:color="auto"/>
              <w:left w:val="single" w:sz="6" w:space="0" w:color="auto"/>
              <w:bottom w:val="single" w:sz="6" w:space="0" w:color="auto"/>
              <w:right w:val="single" w:sz="2" w:space="0" w:color="auto"/>
            </w:tcBorders>
            <w:shd w:val="clear" w:color="auto" w:fill="FFFFFF"/>
            <w:vAlign w:val="bottom"/>
          </w:tcPr>
          <w:p w14:paraId="68FE710F" w14:textId="77777777" w:rsidR="00BD1FE7" w:rsidRPr="005616AE" w:rsidRDefault="00BD1FE7" w:rsidP="00FB209E">
            <w:pPr>
              <w:spacing w:after="160"/>
              <w:rPr>
                <w:rFonts w:cs="Calibri"/>
              </w:rPr>
            </w:pPr>
            <w:r w:rsidRPr="005616AE">
              <w:rPr>
                <w:rFonts w:cs="Calibri"/>
              </w:rPr>
              <w:t>Technology obsolescence due to rapid advancements in wireless EV charging systems.</w:t>
            </w:r>
          </w:p>
        </w:tc>
        <w:tc>
          <w:tcPr>
            <w:tcW w:w="1118" w:type="dxa"/>
            <w:tcBorders>
              <w:top w:val="single" w:sz="2" w:space="0" w:color="auto"/>
              <w:left w:val="single" w:sz="6" w:space="0" w:color="auto"/>
              <w:bottom w:val="single" w:sz="6" w:space="0" w:color="auto"/>
              <w:right w:val="single" w:sz="2" w:space="0" w:color="auto"/>
            </w:tcBorders>
            <w:shd w:val="clear" w:color="auto" w:fill="FFFFFF"/>
            <w:vAlign w:val="bottom"/>
          </w:tcPr>
          <w:p w14:paraId="04444816" w14:textId="77777777" w:rsidR="00BD1FE7" w:rsidRPr="005616AE" w:rsidRDefault="00BD1FE7" w:rsidP="00FB209E">
            <w:pPr>
              <w:spacing w:after="160"/>
              <w:rPr>
                <w:rFonts w:cs="Calibri"/>
              </w:rPr>
            </w:pPr>
            <w:r w:rsidRPr="005616AE">
              <w:rPr>
                <w:rFonts w:cs="Calibri"/>
              </w:rPr>
              <w:t>Medium</w:t>
            </w:r>
          </w:p>
        </w:tc>
        <w:tc>
          <w:tcPr>
            <w:tcW w:w="1400" w:type="dxa"/>
            <w:tcBorders>
              <w:top w:val="single" w:sz="2" w:space="0" w:color="auto"/>
              <w:left w:val="single" w:sz="6" w:space="0" w:color="auto"/>
              <w:bottom w:val="single" w:sz="6" w:space="0" w:color="auto"/>
              <w:right w:val="single" w:sz="2" w:space="0" w:color="auto"/>
            </w:tcBorders>
            <w:shd w:val="clear" w:color="auto" w:fill="FFFFFF"/>
            <w:vAlign w:val="bottom"/>
          </w:tcPr>
          <w:p w14:paraId="4A8E1C3A" w14:textId="77777777" w:rsidR="00BD1FE7" w:rsidRPr="005616AE" w:rsidRDefault="00BD1FE7" w:rsidP="00FB209E">
            <w:pPr>
              <w:spacing w:after="160"/>
              <w:rPr>
                <w:rFonts w:cs="Calibri"/>
              </w:rPr>
            </w:pPr>
            <w:r w:rsidRPr="005616AE">
              <w:rPr>
                <w:rFonts w:cs="Calibri"/>
              </w:rPr>
              <w:t>Medium</w:t>
            </w:r>
          </w:p>
        </w:tc>
        <w:tc>
          <w:tcPr>
            <w:tcW w:w="3058" w:type="dxa"/>
            <w:tcBorders>
              <w:top w:val="single" w:sz="2" w:space="0" w:color="auto"/>
              <w:left w:val="single" w:sz="6" w:space="0" w:color="auto"/>
              <w:bottom w:val="single" w:sz="6" w:space="0" w:color="auto"/>
              <w:right w:val="single" w:sz="6" w:space="0" w:color="auto"/>
            </w:tcBorders>
            <w:shd w:val="clear" w:color="auto" w:fill="FFFFFF"/>
            <w:vAlign w:val="bottom"/>
          </w:tcPr>
          <w:p w14:paraId="48DDCBAA" w14:textId="77777777" w:rsidR="00BD1FE7" w:rsidRPr="005616AE" w:rsidRDefault="00BD1FE7" w:rsidP="00FB209E">
            <w:pPr>
              <w:spacing w:after="160"/>
              <w:rPr>
                <w:rFonts w:cs="Calibri"/>
              </w:rPr>
            </w:pPr>
            <w:r w:rsidRPr="005616AE">
              <w:rPr>
                <w:rFonts w:cs="Calibri"/>
              </w:rPr>
              <w:t>Regularly monitor emerging technologies and allocate R&amp;D resources for technology upgrades.</w:t>
            </w:r>
          </w:p>
        </w:tc>
      </w:tr>
      <w:tr w:rsidR="00BD1FE7" w:rsidRPr="005616AE" w14:paraId="4A49DFF5" w14:textId="77777777" w:rsidTr="0016543C">
        <w:tc>
          <w:tcPr>
            <w:tcW w:w="831" w:type="dxa"/>
          </w:tcPr>
          <w:p w14:paraId="12FAC288" w14:textId="77777777" w:rsidR="00BD1FE7" w:rsidRPr="005616AE" w:rsidRDefault="00BD1FE7" w:rsidP="00FB209E">
            <w:pPr>
              <w:spacing w:after="160"/>
              <w:rPr>
                <w:rFonts w:cs="Calibri"/>
              </w:rPr>
            </w:pPr>
            <w:r w:rsidRPr="005616AE">
              <w:rPr>
                <w:rFonts w:cs="Calibri"/>
              </w:rPr>
              <w:t>T3</w:t>
            </w:r>
          </w:p>
        </w:tc>
        <w:tc>
          <w:tcPr>
            <w:tcW w:w="2943" w:type="dxa"/>
            <w:tcBorders>
              <w:top w:val="single" w:sz="2" w:space="0" w:color="auto"/>
              <w:left w:val="single" w:sz="6" w:space="0" w:color="auto"/>
              <w:bottom w:val="single" w:sz="6" w:space="0" w:color="auto"/>
              <w:right w:val="single" w:sz="2" w:space="0" w:color="auto"/>
            </w:tcBorders>
            <w:shd w:val="clear" w:color="auto" w:fill="FFFFFF"/>
            <w:vAlign w:val="bottom"/>
          </w:tcPr>
          <w:p w14:paraId="39059E78" w14:textId="77777777" w:rsidR="00BD1FE7" w:rsidRPr="005616AE" w:rsidRDefault="00BD1FE7" w:rsidP="00FB209E">
            <w:pPr>
              <w:spacing w:after="160"/>
              <w:rPr>
                <w:rFonts w:cs="Calibri"/>
              </w:rPr>
            </w:pPr>
            <w:r w:rsidRPr="005616AE">
              <w:rPr>
                <w:rFonts w:cs="Calibri"/>
              </w:rPr>
              <w:t>Hardware failures or malfunctions in deployed charging systems.</w:t>
            </w:r>
          </w:p>
        </w:tc>
        <w:tc>
          <w:tcPr>
            <w:tcW w:w="1118" w:type="dxa"/>
            <w:tcBorders>
              <w:top w:val="single" w:sz="2" w:space="0" w:color="auto"/>
              <w:left w:val="single" w:sz="6" w:space="0" w:color="auto"/>
              <w:bottom w:val="single" w:sz="6" w:space="0" w:color="auto"/>
              <w:right w:val="single" w:sz="2" w:space="0" w:color="auto"/>
            </w:tcBorders>
            <w:shd w:val="clear" w:color="auto" w:fill="FFFFFF"/>
            <w:vAlign w:val="bottom"/>
          </w:tcPr>
          <w:p w14:paraId="279D2AE0" w14:textId="77777777" w:rsidR="00BD1FE7" w:rsidRPr="005616AE" w:rsidRDefault="00BD1FE7" w:rsidP="00FB209E">
            <w:pPr>
              <w:spacing w:after="160"/>
              <w:rPr>
                <w:rFonts w:cs="Calibri"/>
              </w:rPr>
            </w:pPr>
            <w:r w:rsidRPr="005616AE">
              <w:rPr>
                <w:rFonts w:cs="Calibri"/>
              </w:rPr>
              <w:t>High</w:t>
            </w:r>
          </w:p>
        </w:tc>
        <w:tc>
          <w:tcPr>
            <w:tcW w:w="1400" w:type="dxa"/>
            <w:tcBorders>
              <w:top w:val="single" w:sz="2" w:space="0" w:color="auto"/>
              <w:left w:val="single" w:sz="6" w:space="0" w:color="auto"/>
              <w:bottom w:val="single" w:sz="6" w:space="0" w:color="auto"/>
              <w:right w:val="single" w:sz="2" w:space="0" w:color="auto"/>
            </w:tcBorders>
            <w:shd w:val="clear" w:color="auto" w:fill="FFFFFF"/>
            <w:vAlign w:val="bottom"/>
          </w:tcPr>
          <w:p w14:paraId="53829F94" w14:textId="77777777" w:rsidR="00BD1FE7" w:rsidRPr="005616AE" w:rsidRDefault="00BD1FE7" w:rsidP="00FB209E">
            <w:pPr>
              <w:spacing w:after="160"/>
              <w:rPr>
                <w:rFonts w:cs="Calibri"/>
              </w:rPr>
            </w:pPr>
            <w:r w:rsidRPr="005616AE">
              <w:rPr>
                <w:rFonts w:cs="Calibri"/>
              </w:rPr>
              <w:t>Low</w:t>
            </w:r>
          </w:p>
        </w:tc>
        <w:tc>
          <w:tcPr>
            <w:tcW w:w="3058" w:type="dxa"/>
            <w:tcBorders>
              <w:top w:val="single" w:sz="2" w:space="0" w:color="auto"/>
              <w:left w:val="single" w:sz="6" w:space="0" w:color="auto"/>
              <w:bottom w:val="single" w:sz="6" w:space="0" w:color="auto"/>
              <w:right w:val="single" w:sz="6" w:space="0" w:color="auto"/>
            </w:tcBorders>
            <w:shd w:val="clear" w:color="auto" w:fill="FFFFFF"/>
            <w:vAlign w:val="bottom"/>
          </w:tcPr>
          <w:p w14:paraId="5530C030" w14:textId="77777777" w:rsidR="00BD1FE7" w:rsidRPr="005616AE" w:rsidRDefault="00BD1FE7" w:rsidP="00FB209E">
            <w:pPr>
              <w:spacing w:after="160"/>
              <w:rPr>
                <w:rFonts w:cs="Calibri"/>
              </w:rPr>
            </w:pPr>
            <w:r w:rsidRPr="005616AE">
              <w:rPr>
                <w:rFonts w:cs="Calibri"/>
              </w:rPr>
              <w:t>Implement preventive maintenance schedules and maintain an inventory of critical hardware components for quick replacement.</w:t>
            </w:r>
          </w:p>
        </w:tc>
      </w:tr>
      <w:tr w:rsidR="00BD1FE7" w:rsidRPr="005616AE" w14:paraId="4473BCCF" w14:textId="77777777" w:rsidTr="0016543C">
        <w:tc>
          <w:tcPr>
            <w:tcW w:w="831" w:type="dxa"/>
          </w:tcPr>
          <w:p w14:paraId="0F2190C6" w14:textId="77777777" w:rsidR="00BD1FE7" w:rsidRPr="005616AE" w:rsidRDefault="00BD1FE7" w:rsidP="00FB209E">
            <w:pPr>
              <w:spacing w:after="160"/>
              <w:rPr>
                <w:rFonts w:cs="Calibri"/>
              </w:rPr>
            </w:pPr>
            <w:r w:rsidRPr="005616AE">
              <w:rPr>
                <w:rFonts w:cs="Calibri"/>
              </w:rPr>
              <w:t>T4</w:t>
            </w:r>
          </w:p>
        </w:tc>
        <w:tc>
          <w:tcPr>
            <w:tcW w:w="2943" w:type="dxa"/>
            <w:tcBorders>
              <w:top w:val="single" w:sz="2" w:space="0" w:color="auto"/>
              <w:left w:val="single" w:sz="6" w:space="0" w:color="auto"/>
              <w:bottom w:val="single" w:sz="6" w:space="0" w:color="auto"/>
              <w:right w:val="single" w:sz="2" w:space="0" w:color="auto"/>
            </w:tcBorders>
            <w:shd w:val="clear" w:color="auto" w:fill="FFFFFF"/>
            <w:vAlign w:val="bottom"/>
          </w:tcPr>
          <w:p w14:paraId="15BBBC72" w14:textId="77777777" w:rsidR="00BD1FE7" w:rsidRPr="005616AE" w:rsidRDefault="00BD1FE7" w:rsidP="00FB209E">
            <w:pPr>
              <w:spacing w:after="160"/>
              <w:rPr>
                <w:rFonts w:cs="Calibri"/>
              </w:rPr>
            </w:pPr>
            <w:r w:rsidRPr="005616AE">
              <w:rPr>
                <w:rFonts w:cs="Calibri"/>
              </w:rPr>
              <w:t>Software bugs in the TD app affecting the user experience with charging systems.</w:t>
            </w:r>
          </w:p>
        </w:tc>
        <w:tc>
          <w:tcPr>
            <w:tcW w:w="1118" w:type="dxa"/>
            <w:tcBorders>
              <w:top w:val="single" w:sz="2" w:space="0" w:color="auto"/>
              <w:left w:val="single" w:sz="6" w:space="0" w:color="auto"/>
              <w:bottom w:val="single" w:sz="6" w:space="0" w:color="auto"/>
              <w:right w:val="single" w:sz="2" w:space="0" w:color="auto"/>
            </w:tcBorders>
            <w:shd w:val="clear" w:color="auto" w:fill="FFFFFF"/>
            <w:vAlign w:val="bottom"/>
          </w:tcPr>
          <w:p w14:paraId="5E3923F3" w14:textId="77777777" w:rsidR="00BD1FE7" w:rsidRPr="005616AE" w:rsidRDefault="00BD1FE7" w:rsidP="00FB209E">
            <w:pPr>
              <w:spacing w:after="160"/>
              <w:rPr>
                <w:rFonts w:cs="Calibri"/>
              </w:rPr>
            </w:pPr>
            <w:r w:rsidRPr="005616AE">
              <w:rPr>
                <w:rFonts w:cs="Calibri"/>
              </w:rPr>
              <w:t>Medium</w:t>
            </w:r>
          </w:p>
        </w:tc>
        <w:tc>
          <w:tcPr>
            <w:tcW w:w="1400" w:type="dxa"/>
            <w:tcBorders>
              <w:top w:val="single" w:sz="2" w:space="0" w:color="auto"/>
              <w:left w:val="single" w:sz="6" w:space="0" w:color="auto"/>
              <w:bottom w:val="single" w:sz="6" w:space="0" w:color="auto"/>
              <w:right w:val="single" w:sz="2" w:space="0" w:color="auto"/>
            </w:tcBorders>
            <w:shd w:val="clear" w:color="auto" w:fill="FFFFFF"/>
            <w:vAlign w:val="bottom"/>
          </w:tcPr>
          <w:p w14:paraId="51250681" w14:textId="77777777" w:rsidR="00BD1FE7" w:rsidRPr="005616AE" w:rsidRDefault="00BD1FE7" w:rsidP="00FB209E">
            <w:pPr>
              <w:spacing w:after="160"/>
              <w:rPr>
                <w:rFonts w:cs="Calibri"/>
              </w:rPr>
            </w:pPr>
            <w:r w:rsidRPr="005616AE">
              <w:rPr>
                <w:rFonts w:cs="Calibri"/>
              </w:rPr>
              <w:t>Medium</w:t>
            </w:r>
          </w:p>
        </w:tc>
        <w:tc>
          <w:tcPr>
            <w:tcW w:w="3058" w:type="dxa"/>
            <w:tcBorders>
              <w:top w:val="single" w:sz="2" w:space="0" w:color="auto"/>
              <w:left w:val="single" w:sz="6" w:space="0" w:color="auto"/>
              <w:bottom w:val="single" w:sz="6" w:space="0" w:color="auto"/>
              <w:right w:val="single" w:sz="6" w:space="0" w:color="auto"/>
            </w:tcBorders>
            <w:shd w:val="clear" w:color="auto" w:fill="FFFFFF"/>
            <w:vAlign w:val="bottom"/>
          </w:tcPr>
          <w:p w14:paraId="14776BEA" w14:textId="77777777" w:rsidR="00BD1FE7" w:rsidRPr="005616AE" w:rsidRDefault="00BD1FE7" w:rsidP="00FB209E">
            <w:pPr>
              <w:spacing w:after="160"/>
              <w:rPr>
                <w:rFonts w:cs="Calibri"/>
              </w:rPr>
            </w:pPr>
            <w:r w:rsidRPr="005616AE">
              <w:rPr>
                <w:rFonts w:cs="Calibri"/>
              </w:rPr>
              <w:t>Conduct comprehensive testing and implement continuous app monitoring with quick bug resolution protocols.</w:t>
            </w:r>
          </w:p>
        </w:tc>
      </w:tr>
      <w:tr w:rsidR="00BD1FE7" w:rsidRPr="005616AE" w14:paraId="6D542736" w14:textId="77777777" w:rsidTr="0016543C">
        <w:tc>
          <w:tcPr>
            <w:tcW w:w="831" w:type="dxa"/>
          </w:tcPr>
          <w:p w14:paraId="271F3202" w14:textId="77777777" w:rsidR="00BD1FE7" w:rsidRPr="005616AE" w:rsidRDefault="00BD1FE7" w:rsidP="00FB209E">
            <w:pPr>
              <w:spacing w:after="160"/>
              <w:rPr>
                <w:rFonts w:cs="Calibri"/>
              </w:rPr>
            </w:pPr>
            <w:r w:rsidRPr="005616AE">
              <w:rPr>
                <w:rFonts w:cs="Calibri"/>
              </w:rPr>
              <w:t>T5</w:t>
            </w:r>
          </w:p>
        </w:tc>
        <w:tc>
          <w:tcPr>
            <w:tcW w:w="2943" w:type="dxa"/>
            <w:tcBorders>
              <w:top w:val="single" w:sz="2" w:space="0" w:color="auto"/>
              <w:left w:val="single" w:sz="6" w:space="0" w:color="auto"/>
              <w:bottom w:val="single" w:sz="6" w:space="0" w:color="auto"/>
              <w:right w:val="single" w:sz="2" w:space="0" w:color="auto"/>
            </w:tcBorders>
            <w:shd w:val="clear" w:color="auto" w:fill="FFFFFF"/>
            <w:vAlign w:val="bottom"/>
          </w:tcPr>
          <w:p w14:paraId="72CE4446" w14:textId="77777777" w:rsidR="00BD1FE7" w:rsidRPr="005616AE" w:rsidRDefault="00BD1FE7" w:rsidP="00FB209E">
            <w:pPr>
              <w:spacing w:after="160"/>
              <w:rPr>
                <w:rFonts w:cs="Calibri"/>
              </w:rPr>
            </w:pPr>
            <w:r w:rsidRPr="005616AE">
              <w:rPr>
                <w:rFonts w:cs="Calibri"/>
              </w:rPr>
              <w:t>Dependency on WiTricity's technology vendors for hardware/software support causing delays.</w:t>
            </w:r>
          </w:p>
        </w:tc>
        <w:tc>
          <w:tcPr>
            <w:tcW w:w="1118" w:type="dxa"/>
            <w:tcBorders>
              <w:top w:val="single" w:sz="2" w:space="0" w:color="auto"/>
              <w:left w:val="single" w:sz="6" w:space="0" w:color="auto"/>
              <w:bottom w:val="single" w:sz="6" w:space="0" w:color="auto"/>
              <w:right w:val="single" w:sz="2" w:space="0" w:color="auto"/>
            </w:tcBorders>
            <w:shd w:val="clear" w:color="auto" w:fill="FFFFFF"/>
            <w:vAlign w:val="bottom"/>
          </w:tcPr>
          <w:p w14:paraId="6E1E318E" w14:textId="77777777" w:rsidR="00BD1FE7" w:rsidRPr="005616AE" w:rsidRDefault="00BD1FE7" w:rsidP="00FB209E">
            <w:pPr>
              <w:spacing w:after="160"/>
              <w:rPr>
                <w:rFonts w:cs="Calibri"/>
              </w:rPr>
            </w:pPr>
            <w:r w:rsidRPr="005616AE">
              <w:rPr>
                <w:rFonts w:cs="Calibri"/>
              </w:rPr>
              <w:t>High</w:t>
            </w:r>
          </w:p>
        </w:tc>
        <w:tc>
          <w:tcPr>
            <w:tcW w:w="1400" w:type="dxa"/>
            <w:tcBorders>
              <w:top w:val="single" w:sz="2" w:space="0" w:color="auto"/>
              <w:left w:val="single" w:sz="6" w:space="0" w:color="auto"/>
              <w:bottom w:val="single" w:sz="6" w:space="0" w:color="auto"/>
              <w:right w:val="single" w:sz="2" w:space="0" w:color="auto"/>
            </w:tcBorders>
            <w:shd w:val="clear" w:color="auto" w:fill="FFFFFF"/>
            <w:vAlign w:val="bottom"/>
          </w:tcPr>
          <w:p w14:paraId="176005CE" w14:textId="77777777" w:rsidR="00BD1FE7" w:rsidRPr="005616AE" w:rsidRDefault="00BD1FE7" w:rsidP="00FB209E">
            <w:pPr>
              <w:spacing w:after="160"/>
              <w:rPr>
                <w:rFonts w:cs="Calibri"/>
              </w:rPr>
            </w:pPr>
            <w:r w:rsidRPr="005616AE">
              <w:rPr>
                <w:rFonts w:cs="Calibri"/>
              </w:rPr>
              <w:t>Medium</w:t>
            </w:r>
          </w:p>
        </w:tc>
        <w:tc>
          <w:tcPr>
            <w:tcW w:w="3058" w:type="dxa"/>
            <w:tcBorders>
              <w:top w:val="single" w:sz="2" w:space="0" w:color="auto"/>
              <w:left w:val="single" w:sz="6" w:space="0" w:color="auto"/>
              <w:bottom w:val="single" w:sz="6" w:space="0" w:color="auto"/>
              <w:right w:val="single" w:sz="6" w:space="0" w:color="auto"/>
            </w:tcBorders>
            <w:shd w:val="clear" w:color="auto" w:fill="FFFFFF"/>
            <w:vAlign w:val="bottom"/>
          </w:tcPr>
          <w:p w14:paraId="59CB74FE" w14:textId="77777777" w:rsidR="00BD1FE7" w:rsidRPr="005616AE" w:rsidRDefault="00BD1FE7" w:rsidP="00FB209E">
            <w:pPr>
              <w:spacing w:after="160"/>
              <w:rPr>
                <w:rFonts w:cs="Calibri"/>
              </w:rPr>
            </w:pPr>
            <w:r w:rsidRPr="005616AE">
              <w:rPr>
                <w:rFonts w:cs="Calibri"/>
              </w:rPr>
              <w:t>Diversify suppliers and establish service-level agreements (SLAs) with clear response times.</w:t>
            </w:r>
          </w:p>
        </w:tc>
      </w:tr>
      <w:tr w:rsidR="00BD1FE7" w:rsidRPr="005616AE" w14:paraId="2C5C2410" w14:textId="77777777" w:rsidTr="0016543C">
        <w:tc>
          <w:tcPr>
            <w:tcW w:w="831" w:type="dxa"/>
          </w:tcPr>
          <w:p w14:paraId="507134E2" w14:textId="77777777" w:rsidR="00BD1FE7" w:rsidRPr="005616AE" w:rsidRDefault="00BD1FE7" w:rsidP="00FB209E">
            <w:pPr>
              <w:spacing w:after="160"/>
              <w:rPr>
                <w:rFonts w:cs="Calibri"/>
              </w:rPr>
            </w:pPr>
            <w:r w:rsidRPr="005616AE">
              <w:rPr>
                <w:rFonts w:cs="Calibri"/>
              </w:rPr>
              <w:t>T6</w:t>
            </w:r>
          </w:p>
        </w:tc>
        <w:tc>
          <w:tcPr>
            <w:tcW w:w="2943" w:type="dxa"/>
            <w:tcBorders>
              <w:top w:val="single" w:sz="2" w:space="0" w:color="auto"/>
              <w:left w:val="single" w:sz="6" w:space="0" w:color="auto"/>
              <w:bottom w:val="single" w:sz="2" w:space="0" w:color="auto"/>
              <w:right w:val="single" w:sz="2" w:space="0" w:color="auto"/>
            </w:tcBorders>
            <w:shd w:val="clear" w:color="auto" w:fill="FFFFFF"/>
            <w:vAlign w:val="bottom"/>
          </w:tcPr>
          <w:p w14:paraId="22069C18" w14:textId="77777777" w:rsidR="00BD1FE7" w:rsidRPr="005616AE" w:rsidRDefault="00BD1FE7" w:rsidP="00FB209E">
            <w:pPr>
              <w:spacing w:after="160"/>
              <w:rPr>
                <w:rFonts w:cs="Calibri"/>
              </w:rPr>
            </w:pPr>
            <w:r w:rsidRPr="005616AE">
              <w:rPr>
                <w:rFonts w:cs="Calibri"/>
              </w:rPr>
              <w:t>Integration downtime during system transitions disrupting operations.</w:t>
            </w:r>
          </w:p>
        </w:tc>
        <w:tc>
          <w:tcPr>
            <w:tcW w:w="1118" w:type="dxa"/>
            <w:tcBorders>
              <w:top w:val="single" w:sz="2" w:space="0" w:color="auto"/>
              <w:left w:val="single" w:sz="6" w:space="0" w:color="auto"/>
              <w:bottom w:val="single" w:sz="2" w:space="0" w:color="auto"/>
              <w:right w:val="single" w:sz="2" w:space="0" w:color="auto"/>
            </w:tcBorders>
            <w:shd w:val="clear" w:color="auto" w:fill="FFFFFF"/>
            <w:vAlign w:val="bottom"/>
          </w:tcPr>
          <w:p w14:paraId="729EFDF6" w14:textId="77777777" w:rsidR="00BD1FE7" w:rsidRPr="005616AE" w:rsidRDefault="00BD1FE7" w:rsidP="00FB209E">
            <w:pPr>
              <w:spacing w:after="160"/>
              <w:rPr>
                <w:rFonts w:cs="Calibri"/>
              </w:rPr>
            </w:pPr>
            <w:r w:rsidRPr="005616AE">
              <w:rPr>
                <w:rFonts w:cs="Calibri"/>
              </w:rPr>
              <w:t>Medium</w:t>
            </w:r>
          </w:p>
        </w:tc>
        <w:tc>
          <w:tcPr>
            <w:tcW w:w="1400" w:type="dxa"/>
            <w:tcBorders>
              <w:top w:val="single" w:sz="2" w:space="0" w:color="auto"/>
              <w:left w:val="single" w:sz="6" w:space="0" w:color="auto"/>
              <w:bottom w:val="single" w:sz="2" w:space="0" w:color="auto"/>
              <w:right w:val="single" w:sz="2" w:space="0" w:color="auto"/>
            </w:tcBorders>
            <w:shd w:val="clear" w:color="auto" w:fill="FFFFFF"/>
            <w:vAlign w:val="bottom"/>
          </w:tcPr>
          <w:p w14:paraId="5881BDE0" w14:textId="77777777" w:rsidR="00BD1FE7" w:rsidRPr="005616AE" w:rsidRDefault="00BD1FE7" w:rsidP="00FB209E">
            <w:pPr>
              <w:spacing w:after="160"/>
              <w:rPr>
                <w:rFonts w:cs="Calibri"/>
              </w:rPr>
            </w:pPr>
            <w:r w:rsidRPr="005616AE">
              <w:rPr>
                <w:rFonts w:cs="Calibri"/>
              </w:rPr>
              <w:t>Medium</w:t>
            </w:r>
          </w:p>
        </w:tc>
        <w:tc>
          <w:tcPr>
            <w:tcW w:w="3058" w:type="dxa"/>
            <w:tcBorders>
              <w:top w:val="single" w:sz="2" w:space="0" w:color="auto"/>
              <w:left w:val="single" w:sz="6" w:space="0" w:color="auto"/>
              <w:bottom w:val="single" w:sz="2" w:space="0" w:color="auto"/>
              <w:right w:val="single" w:sz="6" w:space="0" w:color="auto"/>
            </w:tcBorders>
            <w:shd w:val="clear" w:color="auto" w:fill="FFFFFF"/>
            <w:vAlign w:val="bottom"/>
          </w:tcPr>
          <w:p w14:paraId="045E2FCB" w14:textId="77777777" w:rsidR="00BD1FE7" w:rsidRPr="005616AE" w:rsidRDefault="00BD1FE7" w:rsidP="00FB209E">
            <w:pPr>
              <w:spacing w:after="160"/>
              <w:rPr>
                <w:rFonts w:cs="Calibri"/>
              </w:rPr>
            </w:pPr>
            <w:r w:rsidRPr="005616AE">
              <w:rPr>
                <w:rFonts w:cs="Calibri"/>
              </w:rPr>
              <w:t>Schedule upgrades during off-peak hours and develop rollback plans for quick recovery.</w:t>
            </w:r>
          </w:p>
        </w:tc>
      </w:tr>
      <w:tr w:rsidR="00BD1FE7" w:rsidRPr="005616AE" w14:paraId="0EED629F" w14:textId="77777777" w:rsidTr="0016543C">
        <w:tc>
          <w:tcPr>
            <w:tcW w:w="0" w:type="auto"/>
            <w:hideMark/>
          </w:tcPr>
          <w:p w14:paraId="65E03ED2" w14:textId="77777777" w:rsidR="00BD1FE7" w:rsidRPr="005616AE" w:rsidRDefault="00BD1FE7" w:rsidP="00FB209E">
            <w:pPr>
              <w:spacing w:after="160"/>
              <w:rPr>
                <w:rFonts w:cs="Calibri"/>
              </w:rPr>
            </w:pPr>
            <w:r w:rsidRPr="005616AE">
              <w:rPr>
                <w:rFonts w:cs="Calibri"/>
              </w:rPr>
              <w:t>T7</w:t>
            </w:r>
          </w:p>
        </w:tc>
        <w:tc>
          <w:tcPr>
            <w:tcW w:w="0" w:type="auto"/>
            <w:hideMark/>
          </w:tcPr>
          <w:p w14:paraId="66D6E34A" w14:textId="77777777" w:rsidR="00BD1FE7" w:rsidRPr="005616AE" w:rsidRDefault="00BD1FE7" w:rsidP="00FB209E">
            <w:pPr>
              <w:spacing w:after="160"/>
              <w:rPr>
                <w:rFonts w:cs="Calibri"/>
              </w:rPr>
            </w:pPr>
            <w:r w:rsidRPr="005616AE">
              <w:rPr>
                <w:rFonts w:cs="Calibri"/>
              </w:rPr>
              <w:t>Lack of interoperability of WiTricity’s technology with existing EV models.</w:t>
            </w:r>
          </w:p>
        </w:tc>
        <w:tc>
          <w:tcPr>
            <w:tcW w:w="0" w:type="auto"/>
            <w:hideMark/>
          </w:tcPr>
          <w:p w14:paraId="5CDA8864" w14:textId="77777777" w:rsidR="00BD1FE7" w:rsidRPr="005616AE" w:rsidRDefault="00BD1FE7" w:rsidP="00FB209E">
            <w:pPr>
              <w:spacing w:after="160"/>
              <w:rPr>
                <w:rFonts w:cs="Calibri"/>
              </w:rPr>
            </w:pPr>
            <w:r w:rsidRPr="005616AE">
              <w:rPr>
                <w:rFonts w:cs="Calibri"/>
              </w:rPr>
              <w:t>High</w:t>
            </w:r>
          </w:p>
        </w:tc>
        <w:tc>
          <w:tcPr>
            <w:tcW w:w="0" w:type="auto"/>
            <w:hideMark/>
          </w:tcPr>
          <w:p w14:paraId="46AF3D7E" w14:textId="77777777" w:rsidR="00BD1FE7" w:rsidRPr="005616AE" w:rsidRDefault="00BD1FE7" w:rsidP="00FB209E">
            <w:pPr>
              <w:spacing w:after="160"/>
              <w:rPr>
                <w:rFonts w:cs="Calibri"/>
              </w:rPr>
            </w:pPr>
            <w:r w:rsidRPr="005616AE">
              <w:rPr>
                <w:rFonts w:cs="Calibri"/>
              </w:rPr>
              <w:t>Medium</w:t>
            </w:r>
          </w:p>
        </w:tc>
        <w:tc>
          <w:tcPr>
            <w:tcW w:w="0" w:type="auto"/>
            <w:hideMark/>
          </w:tcPr>
          <w:p w14:paraId="4BD6EA75" w14:textId="77777777" w:rsidR="00BD1FE7" w:rsidRPr="005616AE" w:rsidRDefault="00BD1FE7" w:rsidP="00FB209E">
            <w:pPr>
              <w:spacing w:after="160"/>
              <w:rPr>
                <w:rFonts w:cs="Calibri"/>
              </w:rPr>
            </w:pPr>
            <w:r w:rsidRPr="005616AE">
              <w:rPr>
                <w:rFonts w:cs="Calibri"/>
              </w:rPr>
              <w:t>Conduct rigorous compatibility testing with a broad range of EV brands and collaborate with manufacturers.</w:t>
            </w:r>
          </w:p>
        </w:tc>
      </w:tr>
      <w:tr w:rsidR="00BD1FE7" w:rsidRPr="005616AE" w14:paraId="23AA7B2E" w14:textId="77777777" w:rsidTr="0016543C">
        <w:tc>
          <w:tcPr>
            <w:tcW w:w="0" w:type="auto"/>
            <w:hideMark/>
          </w:tcPr>
          <w:p w14:paraId="43ED389D" w14:textId="77777777" w:rsidR="00BD1FE7" w:rsidRPr="005616AE" w:rsidRDefault="00BD1FE7" w:rsidP="00FB209E">
            <w:pPr>
              <w:spacing w:after="160"/>
              <w:rPr>
                <w:rFonts w:cs="Calibri"/>
              </w:rPr>
            </w:pPr>
            <w:r w:rsidRPr="005616AE">
              <w:rPr>
                <w:rFonts w:cs="Calibri"/>
              </w:rPr>
              <w:lastRenderedPageBreak/>
              <w:t>T8</w:t>
            </w:r>
          </w:p>
        </w:tc>
        <w:tc>
          <w:tcPr>
            <w:tcW w:w="0" w:type="auto"/>
            <w:hideMark/>
          </w:tcPr>
          <w:p w14:paraId="7EA1CA7B" w14:textId="77777777" w:rsidR="00BD1FE7" w:rsidRPr="005616AE" w:rsidRDefault="00BD1FE7" w:rsidP="00FB209E">
            <w:pPr>
              <w:spacing w:after="160"/>
              <w:rPr>
                <w:rFonts w:cs="Calibri"/>
              </w:rPr>
            </w:pPr>
            <w:r w:rsidRPr="005616AE">
              <w:rPr>
                <w:rFonts w:cs="Calibri"/>
              </w:rPr>
              <w:t>Performance degradation of wireless charging systems under extreme weather conditions.</w:t>
            </w:r>
          </w:p>
        </w:tc>
        <w:tc>
          <w:tcPr>
            <w:tcW w:w="0" w:type="auto"/>
            <w:hideMark/>
          </w:tcPr>
          <w:p w14:paraId="1FE1BCA8" w14:textId="77777777" w:rsidR="00BD1FE7" w:rsidRPr="005616AE" w:rsidRDefault="00BD1FE7" w:rsidP="00FB209E">
            <w:pPr>
              <w:spacing w:after="160"/>
              <w:rPr>
                <w:rFonts w:cs="Calibri"/>
              </w:rPr>
            </w:pPr>
            <w:r w:rsidRPr="005616AE">
              <w:rPr>
                <w:rFonts w:cs="Calibri"/>
              </w:rPr>
              <w:t>Medium</w:t>
            </w:r>
          </w:p>
        </w:tc>
        <w:tc>
          <w:tcPr>
            <w:tcW w:w="0" w:type="auto"/>
            <w:hideMark/>
          </w:tcPr>
          <w:p w14:paraId="320F4921" w14:textId="77777777" w:rsidR="00BD1FE7" w:rsidRPr="005616AE" w:rsidRDefault="00BD1FE7" w:rsidP="00FB209E">
            <w:pPr>
              <w:spacing w:after="160"/>
              <w:rPr>
                <w:rFonts w:cs="Calibri"/>
              </w:rPr>
            </w:pPr>
            <w:r w:rsidRPr="005616AE">
              <w:rPr>
                <w:rFonts w:cs="Calibri"/>
              </w:rPr>
              <w:t>Medium</w:t>
            </w:r>
          </w:p>
        </w:tc>
        <w:tc>
          <w:tcPr>
            <w:tcW w:w="0" w:type="auto"/>
            <w:hideMark/>
          </w:tcPr>
          <w:p w14:paraId="0F755780" w14:textId="77777777" w:rsidR="00BD1FE7" w:rsidRPr="005616AE" w:rsidRDefault="00BD1FE7" w:rsidP="00FB209E">
            <w:pPr>
              <w:spacing w:after="160"/>
              <w:rPr>
                <w:rFonts w:cs="Calibri"/>
              </w:rPr>
            </w:pPr>
            <w:r w:rsidRPr="005616AE">
              <w:rPr>
                <w:rFonts w:cs="Calibri"/>
              </w:rPr>
              <w:t>Design systems with weather-resistant components and perform real-world testing in extreme climates.</w:t>
            </w:r>
          </w:p>
        </w:tc>
      </w:tr>
      <w:tr w:rsidR="00BD1FE7" w:rsidRPr="005616AE" w14:paraId="48F458F4" w14:textId="77777777" w:rsidTr="0016543C">
        <w:tc>
          <w:tcPr>
            <w:tcW w:w="0" w:type="auto"/>
            <w:hideMark/>
          </w:tcPr>
          <w:p w14:paraId="5E445798" w14:textId="77777777" w:rsidR="00BD1FE7" w:rsidRPr="005616AE" w:rsidRDefault="00BD1FE7" w:rsidP="00FB209E">
            <w:pPr>
              <w:spacing w:after="160"/>
              <w:rPr>
                <w:rFonts w:cs="Calibri"/>
              </w:rPr>
            </w:pPr>
            <w:r w:rsidRPr="005616AE">
              <w:rPr>
                <w:rFonts w:cs="Calibri"/>
              </w:rPr>
              <w:t>T9</w:t>
            </w:r>
          </w:p>
        </w:tc>
        <w:tc>
          <w:tcPr>
            <w:tcW w:w="0" w:type="auto"/>
            <w:hideMark/>
          </w:tcPr>
          <w:p w14:paraId="7EE151C9" w14:textId="77777777" w:rsidR="00BD1FE7" w:rsidRPr="005616AE" w:rsidRDefault="00BD1FE7" w:rsidP="00FB209E">
            <w:pPr>
              <w:spacing w:after="160"/>
              <w:rPr>
                <w:rFonts w:cs="Calibri"/>
              </w:rPr>
            </w:pPr>
            <w:r w:rsidRPr="005616AE">
              <w:rPr>
                <w:rFonts w:cs="Calibri"/>
              </w:rPr>
              <w:t>Latency in wireless energy transfer impacting charging efficiency.</w:t>
            </w:r>
          </w:p>
        </w:tc>
        <w:tc>
          <w:tcPr>
            <w:tcW w:w="0" w:type="auto"/>
            <w:hideMark/>
          </w:tcPr>
          <w:p w14:paraId="250B779E" w14:textId="77777777" w:rsidR="00BD1FE7" w:rsidRPr="005616AE" w:rsidRDefault="00BD1FE7" w:rsidP="00FB209E">
            <w:pPr>
              <w:spacing w:after="160"/>
              <w:rPr>
                <w:rFonts w:cs="Calibri"/>
              </w:rPr>
            </w:pPr>
            <w:r w:rsidRPr="005616AE">
              <w:rPr>
                <w:rFonts w:cs="Calibri"/>
              </w:rPr>
              <w:t>Medium</w:t>
            </w:r>
          </w:p>
        </w:tc>
        <w:tc>
          <w:tcPr>
            <w:tcW w:w="0" w:type="auto"/>
            <w:hideMark/>
          </w:tcPr>
          <w:p w14:paraId="43F8BBF2" w14:textId="77777777" w:rsidR="00BD1FE7" w:rsidRPr="005616AE" w:rsidRDefault="00BD1FE7" w:rsidP="00FB209E">
            <w:pPr>
              <w:spacing w:after="160"/>
              <w:rPr>
                <w:rFonts w:cs="Calibri"/>
              </w:rPr>
            </w:pPr>
            <w:r w:rsidRPr="005616AE">
              <w:rPr>
                <w:rFonts w:cs="Calibri"/>
              </w:rPr>
              <w:t>Medium</w:t>
            </w:r>
          </w:p>
        </w:tc>
        <w:tc>
          <w:tcPr>
            <w:tcW w:w="0" w:type="auto"/>
            <w:hideMark/>
          </w:tcPr>
          <w:p w14:paraId="384EFAB2" w14:textId="18BFEC12" w:rsidR="00BD1FE7" w:rsidRPr="005616AE" w:rsidRDefault="00BD1FE7" w:rsidP="00FB209E">
            <w:pPr>
              <w:spacing w:after="160"/>
              <w:rPr>
                <w:rFonts w:cs="Calibri"/>
              </w:rPr>
            </w:pPr>
            <w:r w:rsidRPr="005616AE">
              <w:rPr>
                <w:rFonts w:cs="Calibri"/>
              </w:rPr>
              <w:t>Enhance system design with advanced algorithms to optimi</w:t>
            </w:r>
            <w:r w:rsidR="00B37AFD" w:rsidRPr="005616AE">
              <w:rPr>
                <w:rFonts w:cs="Calibri"/>
              </w:rPr>
              <w:t>s</w:t>
            </w:r>
            <w:r w:rsidRPr="005616AE">
              <w:rPr>
                <w:rFonts w:cs="Calibri"/>
              </w:rPr>
              <w:t>e energy transfer and minimi</w:t>
            </w:r>
            <w:r w:rsidR="00B37AFD" w:rsidRPr="005616AE">
              <w:rPr>
                <w:rFonts w:cs="Calibri"/>
              </w:rPr>
              <w:t>s</w:t>
            </w:r>
            <w:r w:rsidRPr="005616AE">
              <w:rPr>
                <w:rFonts w:cs="Calibri"/>
              </w:rPr>
              <w:t>e latency.</w:t>
            </w:r>
          </w:p>
        </w:tc>
      </w:tr>
      <w:tr w:rsidR="00BD1FE7" w:rsidRPr="005616AE" w14:paraId="7D19FDC4" w14:textId="77777777" w:rsidTr="0016543C">
        <w:tc>
          <w:tcPr>
            <w:tcW w:w="0" w:type="auto"/>
            <w:hideMark/>
          </w:tcPr>
          <w:p w14:paraId="61055DC2" w14:textId="77777777" w:rsidR="00BD1FE7" w:rsidRPr="005616AE" w:rsidRDefault="00BD1FE7" w:rsidP="00FB209E">
            <w:pPr>
              <w:spacing w:after="160"/>
              <w:rPr>
                <w:rFonts w:cs="Calibri"/>
              </w:rPr>
            </w:pPr>
            <w:r w:rsidRPr="005616AE">
              <w:rPr>
                <w:rFonts w:cs="Calibri"/>
              </w:rPr>
              <w:t>T10</w:t>
            </w:r>
          </w:p>
        </w:tc>
        <w:tc>
          <w:tcPr>
            <w:tcW w:w="0" w:type="auto"/>
            <w:hideMark/>
          </w:tcPr>
          <w:p w14:paraId="25EAC281" w14:textId="77777777" w:rsidR="00BD1FE7" w:rsidRPr="005616AE" w:rsidRDefault="00BD1FE7" w:rsidP="00FB209E">
            <w:pPr>
              <w:spacing w:after="160"/>
              <w:rPr>
                <w:rFonts w:cs="Calibri"/>
              </w:rPr>
            </w:pPr>
            <w:r w:rsidRPr="005616AE">
              <w:rPr>
                <w:rFonts w:cs="Calibri"/>
              </w:rPr>
              <w:t>Dependency on patented technology limiting ability to innovate further.</w:t>
            </w:r>
          </w:p>
        </w:tc>
        <w:tc>
          <w:tcPr>
            <w:tcW w:w="0" w:type="auto"/>
            <w:hideMark/>
          </w:tcPr>
          <w:p w14:paraId="3A349F56" w14:textId="77777777" w:rsidR="00BD1FE7" w:rsidRPr="005616AE" w:rsidRDefault="00BD1FE7" w:rsidP="00FB209E">
            <w:pPr>
              <w:spacing w:after="160"/>
              <w:rPr>
                <w:rFonts w:cs="Calibri"/>
              </w:rPr>
            </w:pPr>
            <w:r w:rsidRPr="005616AE">
              <w:rPr>
                <w:rFonts w:cs="Calibri"/>
              </w:rPr>
              <w:t>High</w:t>
            </w:r>
          </w:p>
        </w:tc>
        <w:tc>
          <w:tcPr>
            <w:tcW w:w="0" w:type="auto"/>
            <w:hideMark/>
          </w:tcPr>
          <w:p w14:paraId="0FD1833B" w14:textId="77777777" w:rsidR="00BD1FE7" w:rsidRPr="005616AE" w:rsidRDefault="00BD1FE7" w:rsidP="00FB209E">
            <w:pPr>
              <w:spacing w:after="160"/>
              <w:rPr>
                <w:rFonts w:cs="Calibri"/>
              </w:rPr>
            </w:pPr>
            <w:r w:rsidRPr="005616AE">
              <w:rPr>
                <w:rFonts w:cs="Calibri"/>
              </w:rPr>
              <w:t>Medium</w:t>
            </w:r>
          </w:p>
        </w:tc>
        <w:tc>
          <w:tcPr>
            <w:tcW w:w="0" w:type="auto"/>
            <w:hideMark/>
          </w:tcPr>
          <w:p w14:paraId="73A431DE" w14:textId="77777777" w:rsidR="00BD1FE7" w:rsidRPr="005616AE" w:rsidRDefault="00BD1FE7" w:rsidP="00FB209E">
            <w:pPr>
              <w:spacing w:after="160"/>
              <w:rPr>
                <w:rFonts w:cs="Calibri"/>
              </w:rPr>
            </w:pPr>
            <w:r w:rsidRPr="005616AE">
              <w:rPr>
                <w:rFonts w:cs="Calibri"/>
              </w:rPr>
              <w:t>Explore licensing opportunities for complementary technologies and invest in R&amp;D to develop proprietary solutions.</w:t>
            </w:r>
          </w:p>
        </w:tc>
      </w:tr>
    </w:tbl>
    <w:p w14:paraId="69294C99" w14:textId="77777777" w:rsidR="00BD1FE7" w:rsidRPr="005616AE" w:rsidRDefault="00BD1FE7" w:rsidP="00BD1FE7">
      <w:pPr>
        <w:rPr>
          <w:rFonts w:cs="Calibri"/>
        </w:rPr>
      </w:pPr>
    </w:p>
    <w:p w14:paraId="706C8848" w14:textId="77777777" w:rsidR="00BD1FE7" w:rsidRPr="005616AE" w:rsidRDefault="00BD1FE7" w:rsidP="00490438">
      <w:pPr>
        <w:pStyle w:val="Heading3"/>
        <w:rPr>
          <w:rFonts w:cs="Calibri"/>
        </w:rPr>
      </w:pPr>
      <w:bookmarkStart w:id="53" w:name="_Toc183211069"/>
      <w:r w:rsidRPr="005616AE">
        <w:rPr>
          <w:rFonts w:cs="Calibri"/>
        </w:rPr>
        <w:t>Operational</w:t>
      </w:r>
      <w:bookmarkEnd w:id="53"/>
    </w:p>
    <w:p w14:paraId="0EB53848" w14:textId="77777777" w:rsidR="00BD1FE7" w:rsidRPr="005616AE" w:rsidRDefault="00BD1FE7" w:rsidP="00BD1FE7">
      <w:pPr>
        <w:rPr>
          <w:rFonts w:cs="Calibri"/>
        </w:rPr>
      </w:pPr>
      <w:r w:rsidRPr="005616AE">
        <w:rPr>
          <w:rFonts w:cs="Calibri"/>
        </w:rPr>
        <w:t>Operational risks are the day-to-day problems of expanding WiTricity's infrastructure, maintaining supply chain efficiency and aligning with TD Bank's strategic goals. These risks include staffing, logistical challenges and guaranteeing constant service quality during the deployment and growth phases.</w:t>
      </w:r>
    </w:p>
    <w:tbl>
      <w:tblPr>
        <w:tblStyle w:val="TableGrid"/>
        <w:tblW w:w="0" w:type="auto"/>
        <w:jc w:val="center"/>
        <w:tblInd w:w="0" w:type="dxa"/>
        <w:tblLook w:val="04A0" w:firstRow="1" w:lastRow="0" w:firstColumn="1" w:lastColumn="0" w:noHBand="0" w:noVBand="1"/>
      </w:tblPr>
      <w:tblGrid>
        <w:gridCol w:w="655"/>
        <w:gridCol w:w="2920"/>
        <w:gridCol w:w="1010"/>
        <w:gridCol w:w="1257"/>
        <w:gridCol w:w="3508"/>
      </w:tblGrid>
      <w:tr w:rsidR="00BD1FE7" w:rsidRPr="005616AE" w14:paraId="5A6F853E" w14:textId="77777777" w:rsidTr="00A86B53">
        <w:trPr>
          <w:jc w:val="center"/>
        </w:trPr>
        <w:tc>
          <w:tcPr>
            <w:tcW w:w="878" w:type="dxa"/>
          </w:tcPr>
          <w:p w14:paraId="593CDB07" w14:textId="77777777" w:rsidR="00BD1FE7" w:rsidRPr="005616AE" w:rsidRDefault="00BD1FE7" w:rsidP="00A74F00">
            <w:pPr>
              <w:spacing w:after="160"/>
              <w:jc w:val="center"/>
              <w:rPr>
                <w:rFonts w:cs="Calibri"/>
                <w:b/>
                <w:bCs/>
              </w:rPr>
            </w:pPr>
            <w:r w:rsidRPr="005616AE">
              <w:rPr>
                <w:rFonts w:cs="Calibri"/>
                <w:b/>
                <w:bCs/>
              </w:rPr>
              <w:t>Risk ID</w:t>
            </w:r>
          </w:p>
        </w:tc>
        <w:tc>
          <w:tcPr>
            <w:tcW w:w="2708" w:type="dxa"/>
          </w:tcPr>
          <w:p w14:paraId="0EAB7037" w14:textId="77777777" w:rsidR="00BD1FE7" w:rsidRPr="005616AE" w:rsidRDefault="00BD1FE7" w:rsidP="00A74F00">
            <w:pPr>
              <w:spacing w:after="160"/>
              <w:jc w:val="center"/>
              <w:rPr>
                <w:rFonts w:cs="Calibri"/>
                <w:b/>
                <w:bCs/>
              </w:rPr>
            </w:pPr>
            <w:r w:rsidRPr="005616AE">
              <w:rPr>
                <w:rFonts w:cs="Calibri"/>
                <w:b/>
                <w:bCs/>
              </w:rPr>
              <w:t>Risk Description</w:t>
            </w:r>
          </w:p>
        </w:tc>
        <w:tc>
          <w:tcPr>
            <w:tcW w:w="1138" w:type="dxa"/>
          </w:tcPr>
          <w:p w14:paraId="61FCAB32" w14:textId="77777777" w:rsidR="00BD1FE7" w:rsidRPr="005616AE" w:rsidRDefault="00BD1FE7" w:rsidP="00A74F00">
            <w:pPr>
              <w:spacing w:after="160"/>
              <w:jc w:val="center"/>
              <w:rPr>
                <w:rFonts w:cs="Calibri"/>
                <w:b/>
                <w:bCs/>
              </w:rPr>
            </w:pPr>
            <w:r w:rsidRPr="005616AE">
              <w:rPr>
                <w:rFonts w:cs="Calibri"/>
                <w:b/>
                <w:bCs/>
              </w:rPr>
              <w:t>Impact</w:t>
            </w:r>
          </w:p>
        </w:tc>
        <w:tc>
          <w:tcPr>
            <w:tcW w:w="1398" w:type="dxa"/>
          </w:tcPr>
          <w:p w14:paraId="3540865D" w14:textId="77777777" w:rsidR="00BD1FE7" w:rsidRPr="005616AE" w:rsidRDefault="00BD1FE7" w:rsidP="00A74F00">
            <w:pPr>
              <w:spacing w:after="160"/>
              <w:jc w:val="center"/>
              <w:rPr>
                <w:rFonts w:cs="Calibri"/>
                <w:b/>
                <w:bCs/>
              </w:rPr>
            </w:pPr>
            <w:r w:rsidRPr="005616AE">
              <w:rPr>
                <w:rFonts w:cs="Calibri"/>
                <w:b/>
                <w:bCs/>
              </w:rPr>
              <w:t>Probability</w:t>
            </w:r>
          </w:p>
        </w:tc>
        <w:tc>
          <w:tcPr>
            <w:tcW w:w="3228" w:type="dxa"/>
          </w:tcPr>
          <w:p w14:paraId="076F7887" w14:textId="77777777" w:rsidR="00BD1FE7" w:rsidRPr="005616AE" w:rsidRDefault="00BD1FE7" w:rsidP="00A74F00">
            <w:pPr>
              <w:spacing w:after="160"/>
              <w:jc w:val="center"/>
              <w:rPr>
                <w:rFonts w:cs="Calibri"/>
                <w:b/>
                <w:bCs/>
              </w:rPr>
            </w:pPr>
            <w:r w:rsidRPr="005616AE">
              <w:rPr>
                <w:rFonts w:cs="Calibri"/>
                <w:b/>
                <w:bCs/>
              </w:rPr>
              <w:t>Mitigation Strategy</w:t>
            </w:r>
          </w:p>
        </w:tc>
      </w:tr>
      <w:tr w:rsidR="00BD1FE7" w:rsidRPr="005616AE" w14:paraId="50BB78AF" w14:textId="77777777" w:rsidTr="00A86B53">
        <w:trPr>
          <w:jc w:val="center"/>
        </w:trPr>
        <w:tc>
          <w:tcPr>
            <w:tcW w:w="878" w:type="dxa"/>
          </w:tcPr>
          <w:p w14:paraId="03579031" w14:textId="77777777" w:rsidR="00BD1FE7" w:rsidRPr="005616AE" w:rsidRDefault="00BD1FE7" w:rsidP="00BD1FE7">
            <w:pPr>
              <w:spacing w:after="160"/>
              <w:rPr>
                <w:rFonts w:cs="Calibri"/>
              </w:rPr>
            </w:pPr>
            <w:r w:rsidRPr="005616AE">
              <w:rPr>
                <w:rFonts w:cs="Calibri"/>
              </w:rPr>
              <w:t>O1</w:t>
            </w:r>
          </w:p>
        </w:tc>
        <w:tc>
          <w:tcPr>
            <w:tcW w:w="2708" w:type="dxa"/>
            <w:tcBorders>
              <w:top w:val="single" w:sz="2" w:space="0" w:color="auto"/>
              <w:left w:val="single" w:sz="6" w:space="0" w:color="auto"/>
              <w:bottom w:val="single" w:sz="6" w:space="0" w:color="auto"/>
              <w:right w:val="single" w:sz="2" w:space="0" w:color="auto"/>
            </w:tcBorders>
            <w:shd w:val="clear" w:color="auto" w:fill="FFFFFF"/>
            <w:vAlign w:val="bottom"/>
          </w:tcPr>
          <w:p w14:paraId="51435428" w14:textId="77777777" w:rsidR="00BD1FE7" w:rsidRPr="005616AE" w:rsidRDefault="00BD1FE7" w:rsidP="00BD1FE7">
            <w:pPr>
              <w:spacing w:after="160"/>
              <w:rPr>
                <w:rFonts w:cs="Calibri"/>
              </w:rPr>
            </w:pPr>
            <w:r w:rsidRPr="005616AE">
              <w:rPr>
                <w:rFonts w:cs="Calibri"/>
              </w:rPr>
              <w:t>Inefficiencies in scaling WiTricity’s supply chain to meet increasing demands.</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1F0070C1" w14:textId="77777777" w:rsidR="00BD1FE7" w:rsidRPr="005616AE" w:rsidRDefault="00BD1FE7" w:rsidP="00BD1FE7">
            <w:pPr>
              <w:spacing w:after="160"/>
              <w:rPr>
                <w:rFonts w:cs="Calibri"/>
              </w:rPr>
            </w:pPr>
            <w:r w:rsidRPr="005616AE">
              <w:rPr>
                <w:rFonts w:cs="Calibri"/>
              </w:rPr>
              <w:t>High</w:t>
            </w:r>
          </w:p>
        </w:tc>
        <w:tc>
          <w:tcPr>
            <w:tcW w:w="1398" w:type="dxa"/>
            <w:tcBorders>
              <w:top w:val="single" w:sz="2" w:space="0" w:color="auto"/>
              <w:left w:val="single" w:sz="6" w:space="0" w:color="auto"/>
              <w:bottom w:val="single" w:sz="6" w:space="0" w:color="auto"/>
              <w:right w:val="single" w:sz="2" w:space="0" w:color="auto"/>
            </w:tcBorders>
            <w:shd w:val="clear" w:color="auto" w:fill="FFFFFF"/>
            <w:vAlign w:val="bottom"/>
          </w:tcPr>
          <w:p w14:paraId="6EF25701" w14:textId="77777777" w:rsidR="00BD1FE7" w:rsidRPr="005616AE" w:rsidRDefault="00BD1FE7" w:rsidP="00BD1FE7">
            <w:pPr>
              <w:spacing w:after="160"/>
              <w:rPr>
                <w:rFonts w:cs="Calibri"/>
              </w:rPr>
            </w:pPr>
            <w:r w:rsidRPr="005616AE">
              <w:rPr>
                <w:rFonts w:cs="Calibri"/>
              </w:rPr>
              <w:t>Medium</w:t>
            </w:r>
          </w:p>
        </w:tc>
        <w:tc>
          <w:tcPr>
            <w:tcW w:w="3228" w:type="dxa"/>
            <w:tcBorders>
              <w:top w:val="single" w:sz="2" w:space="0" w:color="auto"/>
              <w:left w:val="single" w:sz="6" w:space="0" w:color="auto"/>
              <w:bottom w:val="single" w:sz="6" w:space="0" w:color="auto"/>
              <w:right w:val="single" w:sz="6" w:space="0" w:color="auto"/>
            </w:tcBorders>
            <w:shd w:val="clear" w:color="auto" w:fill="FFFFFF"/>
            <w:vAlign w:val="bottom"/>
          </w:tcPr>
          <w:p w14:paraId="6200B8B9" w14:textId="77777777" w:rsidR="00BD1FE7" w:rsidRPr="005616AE" w:rsidRDefault="00BD1FE7" w:rsidP="00BD1FE7">
            <w:pPr>
              <w:spacing w:after="160"/>
              <w:rPr>
                <w:rFonts w:cs="Calibri"/>
              </w:rPr>
            </w:pPr>
            <w:r w:rsidRPr="005616AE">
              <w:rPr>
                <w:rFonts w:cs="Calibri"/>
              </w:rPr>
              <w:t xml:space="preserve">Conduct supply chain audits to identify bottlenecks. Establish partnerships with </w:t>
            </w:r>
            <w:proofErr w:type="gramStart"/>
            <w:r w:rsidRPr="005616AE">
              <w:rPr>
                <w:rFonts w:cs="Calibri"/>
              </w:rPr>
              <w:t>reliable</w:t>
            </w:r>
            <w:proofErr w:type="gramEnd"/>
            <w:r w:rsidRPr="005616AE">
              <w:rPr>
                <w:rFonts w:cs="Calibri"/>
              </w:rPr>
              <w:t xml:space="preserve"> suppliers.</w:t>
            </w:r>
          </w:p>
        </w:tc>
      </w:tr>
      <w:tr w:rsidR="00BD1FE7" w:rsidRPr="005616AE" w14:paraId="0319B867" w14:textId="77777777" w:rsidTr="00A86B53">
        <w:trPr>
          <w:jc w:val="center"/>
        </w:trPr>
        <w:tc>
          <w:tcPr>
            <w:tcW w:w="878" w:type="dxa"/>
          </w:tcPr>
          <w:p w14:paraId="4311A57E" w14:textId="77777777" w:rsidR="00BD1FE7" w:rsidRPr="005616AE" w:rsidRDefault="00BD1FE7" w:rsidP="00BD1FE7">
            <w:pPr>
              <w:spacing w:after="160"/>
              <w:rPr>
                <w:rFonts w:cs="Calibri"/>
              </w:rPr>
            </w:pPr>
            <w:r w:rsidRPr="005616AE">
              <w:rPr>
                <w:rFonts w:cs="Calibri"/>
              </w:rPr>
              <w:t>O2</w:t>
            </w:r>
          </w:p>
        </w:tc>
        <w:tc>
          <w:tcPr>
            <w:tcW w:w="2708" w:type="dxa"/>
            <w:tcBorders>
              <w:top w:val="single" w:sz="2" w:space="0" w:color="auto"/>
              <w:left w:val="single" w:sz="6" w:space="0" w:color="auto"/>
              <w:bottom w:val="single" w:sz="6" w:space="0" w:color="auto"/>
              <w:right w:val="single" w:sz="2" w:space="0" w:color="auto"/>
            </w:tcBorders>
            <w:shd w:val="clear" w:color="auto" w:fill="FFFFFF"/>
            <w:vAlign w:val="bottom"/>
          </w:tcPr>
          <w:p w14:paraId="1706BD66" w14:textId="77777777" w:rsidR="00BD1FE7" w:rsidRPr="005616AE" w:rsidRDefault="00BD1FE7" w:rsidP="00BD1FE7">
            <w:pPr>
              <w:spacing w:after="160"/>
              <w:rPr>
                <w:rFonts w:cs="Calibri"/>
              </w:rPr>
            </w:pPr>
            <w:r w:rsidRPr="005616AE">
              <w:rPr>
                <w:rFonts w:cs="Calibri"/>
              </w:rPr>
              <w:t>Insufficient skilled personnel to manage and maintain new infrastructure.</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789CB7BC" w14:textId="77777777" w:rsidR="00BD1FE7" w:rsidRPr="005616AE" w:rsidRDefault="00BD1FE7" w:rsidP="00BD1FE7">
            <w:pPr>
              <w:spacing w:after="160"/>
              <w:rPr>
                <w:rFonts w:cs="Calibri"/>
              </w:rPr>
            </w:pPr>
            <w:r w:rsidRPr="005616AE">
              <w:rPr>
                <w:rFonts w:cs="Calibri"/>
              </w:rPr>
              <w:t>High</w:t>
            </w:r>
          </w:p>
        </w:tc>
        <w:tc>
          <w:tcPr>
            <w:tcW w:w="1398" w:type="dxa"/>
            <w:tcBorders>
              <w:top w:val="single" w:sz="2" w:space="0" w:color="auto"/>
              <w:left w:val="single" w:sz="6" w:space="0" w:color="auto"/>
              <w:bottom w:val="single" w:sz="6" w:space="0" w:color="auto"/>
              <w:right w:val="single" w:sz="2" w:space="0" w:color="auto"/>
            </w:tcBorders>
            <w:shd w:val="clear" w:color="auto" w:fill="FFFFFF"/>
            <w:vAlign w:val="bottom"/>
          </w:tcPr>
          <w:p w14:paraId="2F41A4A7" w14:textId="77777777" w:rsidR="00BD1FE7" w:rsidRPr="005616AE" w:rsidRDefault="00BD1FE7" w:rsidP="00BD1FE7">
            <w:pPr>
              <w:spacing w:after="160"/>
              <w:rPr>
                <w:rFonts w:cs="Calibri"/>
              </w:rPr>
            </w:pPr>
            <w:r w:rsidRPr="005616AE">
              <w:rPr>
                <w:rFonts w:cs="Calibri"/>
              </w:rPr>
              <w:t>Medium</w:t>
            </w:r>
          </w:p>
        </w:tc>
        <w:tc>
          <w:tcPr>
            <w:tcW w:w="3228" w:type="dxa"/>
            <w:tcBorders>
              <w:top w:val="single" w:sz="2" w:space="0" w:color="auto"/>
              <w:left w:val="single" w:sz="6" w:space="0" w:color="auto"/>
              <w:bottom w:val="single" w:sz="6" w:space="0" w:color="auto"/>
              <w:right w:val="single" w:sz="6" w:space="0" w:color="auto"/>
            </w:tcBorders>
            <w:shd w:val="clear" w:color="auto" w:fill="FFFFFF"/>
            <w:vAlign w:val="bottom"/>
          </w:tcPr>
          <w:p w14:paraId="0456702A" w14:textId="77777777" w:rsidR="00BD1FE7" w:rsidRPr="005616AE" w:rsidRDefault="00BD1FE7" w:rsidP="00BD1FE7">
            <w:pPr>
              <w:spacing w:after="160"/>
              <w:rPr>
                <w:rFonts w:cs="Calibri"/>
              </w:rPr>
            </w:pPr>
            <w:r w:rsidRPr="005616AE">
              <w:rPr>
                <w:rFonts w:cs="Calibri"/>
              </w:rPr>
              <w:t>Conduct training programs for existing staff and recruit specialists as needed.</w:t>
            </w:r>
          </w:p>
        </w:tc>
      </w:tr>
      <w:tr w:rsidR="00BD1FE7" w:rsidRPr="005616AE" w14:paraId="6F31C8EA" w14:textId="77777777" w:rsidTr="00A86B53">
        <w:trPr>
          <w:jc w:val="center"/>
        </w:trPr>
        <w:tc>
          <w:tcPr>
            <w:tcW w:w="878" w:type="dxa"/>
          </w:tcPr>
          <w:p w14:paraId="0CC4034A" w14:textId="77777777" w:rsidR="00BD1FE7" w:rsidRPr="005616AE" w:rsidRDefault="00BD1FE7" w:rsidP="00BD1FE7">
            <w:pPr>
              <w:spacing w:after="160"/>
              <w:rPr>
                <w:rFonts w:cs="Calibri"/>
              </w:rPr>
            </w:pPr>
            <w:r w:rsidRPr="005616AE">
              <w:rPr>
                <w:rFonts w:cs="Calibri"/>
              </w:rPr>
              <w:t>O3</w:t>
            </w:r>
          </w:p>
        </w:tc>
        <w:tc>
          <w:tcPr>
            <w:tcW w:w="2708" w:type="dxa"/>
            <w:tcBorders>
              <w:top w:val="single" w:sz="2" w:space="0" w:color="auto"/>
              <w:left w:val="single" w:sz="6" w:space="0" w:color="auto"/>
              <w:bottom w:val="single" w:sz="6" w:space="0" w:color="auto"/>
              <w:right w:val="single" w:sz="2" w:space="0" w:color="auto"/>
            </w:tcBorders>
            <w:shd w:val="clear" w:color="auto" w:fill="FFFFFF"/>
            <w:vAlign w:val="bottom"/>
          </w:tcPr>
          <w:p w14:paraId="56BEE661" w14:textId="77777777" w:rsidR="00BD1FE7" w:rsidRPr="005616AE" w:rsidRDefault="00BD1FE7" w:rsidP="00BD1FE7">
            <w:pPr>
              <w:spacing w:after="160"/>
              <w:rPr>
                <w:rFonts w:cs="Calibri"/>
              </w:rPr>
            </w:pPr>
            <w:r w:rsidRPr="005616AE">
              <w:rPr>
                <w:rFonts w:cs="Calibri"/>
              </w:rPr>
              <w:t>Delays in project execution due to unforeseen technical or operational issues.</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7499066B" w14:textId="77777777" w:rsidR="00BD1FE7" w:rsidRPr="005616AE" w:rsidRDefault="00BD1FE7" w:rsidP="00BD1FE7">
            <w:pPr>
              <w:spacing w:after="160"/>
              <w:rPr>
                <w:rFonts w:cs="Calibri"/>
              </w:rPr>
            </w:pPr>
            <w:r w:rsidRPr="005616AE">
              <w:rPr>
                <w:rFonts w:cs="Calibri"/>
              </w:rPr>
              <w:t>High</w:t>
            </w:r>
          </w:p>
        </w:tc>
        <w:tc>
          <w:tcPr>
            <w:tcW w:w="1398" w:type="dxa"/>
            <w:tcBorders>
              <w:top w:val="single" w:sz="2" w:space="0" w:color="auto"/>
              <w:left w:val="single" w:sz="6" w:space="0" w:color="auto"/>
              <w:bottom w:val="single" w:sz="6" w:space="0" w:color="auto"/>
              <w:right w:val="single" w:sz="2" w:space="0" w:color="auto"/>
            </w:tcBorders>
            <w:shd w:val="clear" w:color="auto" w:fill="FFFFFF"/>
            <w:vAlign w:val="bottom"/>
          </w:tcPr>
          <w:p w14:paraId="2D983D12" w14:textId="77777777" w:rsidR="00BD1FE7" w:rsidRPr="005616AE" w:rsidRDefault="00BD1FE7" w:rsidP="00BD1FE7">
            <w:pPr>
              <w:spacing w:after="160"/>
              <w:rPr>
                <w:rFonts w:cs="Calibri"/>
              </w:rPr>
            </w:pPr>
            <w:r w:rsidRPr="005616AE">
              <w:rPr>
                <w:rFonts w:cs="Calibri"/>
              </w:rPr>
              <w:t>Medium</w:t>
            </w:r>
          </w:p>
        </w:tc>
        <w:tc>
          <w:tcPr>
            <w:tcW w:w="3228" w:type="dxa"/>
            <w:tcBorders>
              <w:top w:val="single" w:sz="2" w:space="0" w:color="auto"/>
              <w:left w:val="single" w:sz="6" w:space="0" w:color="auto"/>
              <w:bottom w:val="single" w:sz="6" w:space="0" w:color="auto"/>
              <w:right w:val="single" w:sz="6" w:space="0" w:color="auto"/>
            </w:tcBorders>
            <w:shd w:val="clear" w:color="auto" w:fill="FFFFFF"/>
            <w:vAlign w:val="bottom"/>
          </w:tcPr>
          <w:p w14:paraId="446B9B4E" w14:textId="77777777" w:rsidR="00BD1FE7" w:rsidRPr="005616AE" w:rsidRDefault="00BD1FE7" w:rsidP="00BD1FE7">
            <w:pPr>
              <w:spacing w:after="160"/>
              <w:rPr>
                <w:rFonts w:cs="Calibri"/>
              </w:rPr>
            </w:pPr>
            <w:r w:rsidRPr="005616AE">
              <w:rPr>
                <w:rFonts w:cs="Calibri"/>
              </w:rPr>
              <w:t>Include time buffers in the project timeline and create detailed contingency plans.</w:t>
            </w:r>
          </w:p>
        </w:tc>
      </w:tr>
      <w:tr w:rsidR="00BD1FE7" w:rsidRPr="005616AE" w14:paraId="6A90C37D" w14:textId="77777777" w:rsidTr="00A86B53">
        <w:trPr>
          <w:jc w:val="center"/>
        </w:trPr>
        <w:tc>
          <w:tcPr>
            <w:tcW w:w="878" w:type="dxa"/>
          </w:tcPr>
          <w:p w14:paraId="63F5A115" w14:textId="77777777" w:rsidR="00BD1FE7" w:rsidRPr="005616AE" w:rsidRDefault="00BD1FE7" w:rsidP="00BD1FE7">
            <w:pPr>
              <w:spacing w:after="160"/>
              <w:rPr>
                <w:rFonts w:cs="Calibri"/>
              </w:rPr>
            </w:pPr>
            <w:r w:rsidRPr="005616AE">
              <w:rPr>
                <w:rFonts w:cs="Calibri"/>
              </w:rPr>
              <w:t>O4</w:t>
            </w:r>
          </w:p>
        </w:tc>
        <w:tc>
          <w:tcPr>
            <w:tcW w:w="2708" w:type="dxa"/>
            <w:tcBorders>
              <w:top w:val="single" w:sz="2" w:space="0" w:color="auto"/>
              <w:left w:val="single" w:sz="6" w:space="0" w:color="auto"/>
              <w:bottom w:val="single" w:sz="6" w:space="0" w:color="auto"/>
              <w:right w:val="single" w:sz="2" w:space="0" w:color="auto"/>
            </w:tcBorders>
            <w:shd w:val="clear" w:color="auto" w:fill="FFFFFF"/>
            <w:vAlign w:val="bottom"/>
          </w:tcPr>
          <w:p w14:paraId="61318801" w14:textId="77777777" w:rsidR="00BD1FE7" w:rsidRPr="005616AE" w:rsidRDefault="00BD1FE7" w:rsidP="00BD1FE7">
            <w:pPr>
              <w:spacing w:after="160"/>
              <w:rPr>
                <w:rFonts w:cs="Calibri"/>
              </w:rPr>
            </w:pPr>
            <w:r w:rsidRPr="005616AE">
              <w:rPr>
                <w:rFonts w:cs="Calibri"/>
              </w:rPr>
              <w:t>Misalignment between WiTricity’s operations and TD Bank’s strategic goals.</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443B8559" w14:textId="77777777" w:rsidR="00BD1FE7" w:rsidRPr="005616AE" w:rsidRDefault="00BD1FE7" w:rsidP="00BD1FE7">
            <w:pPr>
              <w:spacing w:after="160"/>
              <w:rPr>
                <w:rFonts w:cs="Calibri"/>
              </w:rPr>
            </w:pPr>
            <w:r w:rsidRPr="005616AE">
              <w:rPr>
                <w:rFonts w:cs="Calibri"/>
              </w:rPr>
              <w:t>Medium</w:t>
            </w:r>
          </w:p>
        </w:tc>
        <w:tc>
          <w:tcPr>
            <w:tcW w:w="1398" w:type="dxa"/>
            <w:tcBorders>
              <w:top w:val="single" w:sz="2" w:space="0" w:color="auto"/>
              <w:left w:val="single" w:sz="6" w:space="0" w:color="auto"/>
              <w:bottom w:val="single" w:sz="6" w:space="0" w:color="auto"/>
              <w:right w:val="single" w:sz="2" w:space="0" w:color="auto"/>
            </w:tcBorders>
            <w:shd w:val="clear" w:color="auto" w:fill="FFFFFF"/>
            <w:vAlign w:val="bottom"/>
          </w:tcPr>
          <w:p w14:paraId="3A779241" w14:textId="77777777" w:rsidR="00BD1FE7" w:rsidRPr="005616AE" w:rsidRDefault="00BD1FE7" w:rsidP="00BD1FE7">
            <w:pPr>
              <w:spacing w:after="160"/>
              <w:rPr>
                <w:rFonts w:cs="Calibri"/>
              </w:rPr>
            </w:pPr>
            <w:r w:rsidRPr="005616AE">
              <w:rPr>
                <w:rFonts w:cs="Calibri"/>
              </w:rPr>
              <w:t>Low</w:t>
            </w:r>
          </w:p>
        </w:tc>
        <w:tc>
          <w:tcPr>
            <w:tcW w:w="3228" w:type="dxa"/>
            <w:tcBorders>
              <w:top w:val="single" w:sz="2" w:space="0" w:color="auto"/>
              <w:left w:val="single" w:sz="6" w:space="0" w:color="auto"/>
              <w:bottom w:val="single" w:sz="6" w:space="0" w:color="auto"/>
              <w:right w:val="single" w:sz="6" w:space="0" w:color="auto"/>
            </w:tcBorders>
            <w:shd w:val="clear" w:color="auto" w:fill="FFFFFF"/>
            <w:vAlign w:val="bottom"/>
          </w:tcPr>
          <w:p w14:paraId="1832A92C" w14:textId="77777777" w:rsidR="00BD1FE7" w:rsidRPr="005616AE" w:rsidRDefault="00BD1FE7" w:rsidP="00BD1FE7">
            <w:pPr>
              <w:spacing w:after="160"/>
              <w:rPr>
                <w:rFonts w:cs="Calibri"/>
              </w:rPr>
            </w:pPr>
            <w:r w:rsidRPr="005616AE">
              <w:rPr>
                <w:rFonts w:cs="Calibri"/>
              </w:rPr>
              <w:t>Conduct regular alignment meetings and maintain shared goals through cross-functional collaboration.</w:t>
            </w:r>
          </w:p>
        </w:tc>
      </w:tr>
      <w:tr w:rsidR="00BD1FE7" w:rsidRPr="005616AE" w14:paraId="7738CB00" w14:textId="77777777" w:rsidTr="00A86B53">
        <w:trPr>
          <w:jc w:val="center"/>
        </w:trPr>
        <w:tc>
          <w:tcPr>
            <w:tcW w:w="878" w:type="dxa"/>
          </w:tcPr>
          <w:p w14:paraId="4EA88FB1" w14:textId="77777777" w:rsidR="00BD1FE7" w:rsidRPr="005616AE" w:rsidRDefault="00BD1FE7" w:rsidP="00BD1FE7">
            <w:pPr>
              <w:spacing w:after="160"/>
              <w:rPr>
                <w:rFonts w:cs="Calibri"/>
              </w:rPr>
            </w:pPr>
            <w:r w:rsidRPr="005616AE">
              <w:rPr>
                <w:rFonts w:cs="Calibri"/>
              </w:rPr>
              <w:t>O5</w:t>
            </w:r>
          </w:p>
        </w:tc>
        <w:tc>
          <w:tcPr>
            <w:tcW w:w="2708" w:type="dxa"/>
            <w:tcBorders>
              <w:top w:val="single" w:sz="2" w:space="0" w:color="auto"/>
              <w:left w:val="single" w:sz="6" w:space="0" w:color="auto"/>
              <w:bottom w:val="single" w:sz="6" w:space="0" w:color="auto"/>
              <w:right w:val="single" w:sz="2" w:space="0" w:color="auto"/>
            </w:tcBorders>
            <w:shd w:val="clear" w:color="auto" w:fill="FFFFFF"/>
            <w:vAlign w:val="bottom"/>
          </w:tcPr>
          <w:p w14:paraId="339D47C0" w14:textId="77777777" w:rsidR="00BD1FE7" w:rsidRPr="005616AE" w:rsidRDefault="00BD1FE7" w:rsidP="00BD1FE7">
            <w:pPr>
              <w:spacing w:after="160"/>
              <w:rPr>
                <w:rFonts w:cs="Calibri"/>
              </w:rPr>
            </w:pPr>
            <w:r w:rsidRPr="005616AE">
              <w:rPr>
                <w:rFonts w:cs="Calibri"/>
              </w:rPr>
              <w:t>Logistical delays in shipping or installation of EV charging equipment.</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33D67169" w14:textId="77777777" w:rsidR="00BD1FE7" w:rsidRPr="005616AE" w:rsidRDefault="00BD1FE7" w:rsidP="00BD1FE7">
            <w:pPr>
              <w:spacing w:after="160"/>
              <w:rPr>
                <w:rFonts w:cs="Calibri"/>
              </w:rPr>
            </w:pPr>
            <w:r w:rsidRPr="005616AE">
              <w:rPr>
                <w:rFonts w:cs="Calibri"/>
              </w:rPr>
              <w:t>High</w:t>
            </w:r>
          </w:p>
        </w:tc>
        <w:tc>
          <w:tcPr>
            <w:tcW w:w="1398" w:type="dxa"/>
            <w:tcBorders>
              <w:top w:val="single" w:sz="2" w:space="0" w:color="auto"/>
              <w:left w:val="single" w:sz="6" w:space="0" w:color="auto"/>
              <w:bottom w:val="single" w:sz="6" w:space="0" w:color="auto"/>
              <w:right w:val="single" w:sz="2" w:space="0" w:color="auto"/>
            </w:tcBorders>
            <w:shd w:val="clear" w:color="auto" w:fill="FFFFFF"/>
            <w:vAlign w:val="bottom"/>
          </w:tcPr>
          <w:p w14:paraId="44C988C2" w14:textId="77777777" w:rsidR="00BD1FE7" w:rsidRPr="005616AE" w:rsidRDefault="00BD1FE7" w:rsidP="00BD1FE7">
            <w:pPr>
              <w:spacing w:after="160"/>
              <w:rPr>
                <w:rFonts w:cs="Calibri"/>
              </w:rPr>
            </w:pPr>
            <w:r w:rsidRPr="005616AE">
              <w:rPr>
                <w:rFonts w:cs="Calibri"/>
              </w:rPr>
              <w:t>Medium</w:t>
            </w:r>
          </w:p>
        </w:tc>
        <w:tc>
          <w:tcPr>
            <w:tcW w:w="3228" w:type="dxa"/>
            <w:tcBorders>
              <w:top w:val="single" w:sz="2" w:space="0" w:color="auto"/>
              <w:left w:val="single" w:sz="6" w:space="0" w:color="auto"/>
              <w:bottom w:val="single" w:sz="6" w:space="0" w:color="auto"/>
              <w:right w:val="single" w:sz="6" w:space="0" w:color="auto"/>
            </w:tcBorders>
            <w:shd w:val="clear" w:color="auto" w:fill="FFFFFF"/>
            <w:vAlign w:val="bottom"/>
          </w:tcPr>
          <w:p w14:paraId="02905C7D" w14:textId="77777777" w:rsidR="00BD1FE7" w:rsidRPr="005616AE" w:rsidRDefault="00BD1FE7" w:rsidP="00BD1FE7">
            <w:pPr>
              <w:spacing w:after="160"/>
              <w:rPr>
                <w:rFonts w:cs="Calibri"/>
              </w:rPr>
            </w:pPr>
            <w:r w:rsidRPr="005616AE">
              <w:rPr>
                <w:rFonts w:cs="Calibri"/>
              </w:rPr>
              <w:t>Maintain buffer inventories and establish alternate shipping arrangements for critical components.</w:t>
            </w:r>
          </w:p>
        </w:tc>
      </w:tr>
      <w:tr w:rsidR="00BD1FE7" w:rsidRPr="005616AE" w14:paraId="2A7BD552" w14:textId="77777777" w:rsidTr="00A86B53">
        <w:trPr>
          <w:jc w:val="center"/>
        </w:trPr>
        <w:tc>
          <w:tcPr>
            <w:tcW w:w="878" w:type="dxa"/>
          </w:tcPr>
          <w:p w14:paraId="58D0A38E" w14:textId="77777777" w:rsidR="00BD1FE7" w:rsidRPr="005616AE" w:rsidRDefault="00BD1FE7" w:rsidP="00BD1FE7">
            <w:pPr>
              <w:spacing w:after="160"/>
              <w:rPr>
                <w:rFonts w:cs="Calibri"/>
              </w:rPr>
            </w:pPr>
            <w:r w:rsidRPr="005616AE">
              <w:rPr>
                <w:rFonts w:cs="Calibri"/>
              </w:rPr>
              <w:lastRenderedPageBreak/>
              <w:t>O6</w:t>
            </w:r>
          </w:p>
        </w:tc>
        <w:tc>
          <w:tcPr>
            <w:tcW w:w="2708" w:type="dxa"/>
            <w:tcBorders>
              <w:top w:val="single" w:sz="2" w:space="0" w:color="auto"/>
              <w:left w:val="single" w:sz="6" w:space="0" w:color="auto"/>
              <w:bottom w:val="single" w:sz="2" w:space="0" w:color="auto"/>
              <w:right w:val="single" w:sz="2" w:space="0" w:color="auto"/>
            </w:tcBorders>
            <w:shd w:val="clear" w:color="auto" w:fill="FFFFFF"/>
            <w:vAlign w:val="bottom"/>
          </w:tcPr>
          <w:p w14:paraId="571F665C" w14:textId="77777777" w:rsidR="00BD1FE7" w:rsidRPr="005616AE" w:rsidRDefault="00BD1FE7" w:rsidP="00BD1FE7">
            <w:pPr>
              <w:spacing w:after="160"/>
              <w:rPr>
                <w:rFonts w:cs="Calibri"/>
              </w:rPr>
            </w:pPr>
            <w:r w:rsidRPr="005616AE">
              <w:rPr>
                <w:rFonts w:cs="Calibri"/>
              </w:rPr>
              <w:t>Customer support overload post-launch due to a surge in queries.</w:t>
            </w:r>
          </w:p>
        </w:tc>
        <w:tc>
          <w:tcPr>
            <w:tcW w:w="1138" w:type="dxa"/>
            <w:tcBorders>
              <w:top w:val="single" w:sz="2" w:space="0" w:color="auto"/>
              <w:left w:val="single" w:sz="6" w:space="0" w:color="auto"/>
              <w:bottom w:val="single" w:sz="2" w:space="0" w:color="auto"/>
              <w:right w:val="single" w:sz="2" w:space="0" w:color="auto"/>
            </w:tcBorders>
            <w:shd w:val="clear" w:color="auto" w:fill="FFFFFF"/>
            <w:vAlign w:val="bottom"/>
          </w:tcPr>
          <w:p w14:paraId="6AA6C736" w14:textId="77777777" w:rsidR="00BD1FE7" w:rsidRPr="005616AE" w:rsidRDefault="00BD1FE7" w:rsidP="00BD1FE7">
            <w:pPr>
              <w:spacing w:after="160"/>
              <w:rPr>
                <w:rFonts w:cs="Calibri"/>
              </w:rPr>
            </w:pPr>
            <w:r w:rsidRPr="005616AE">
              <w:rPr>
                <w:rFonts w:cs="Calibri"/>
              </w:rPr>
              <w:t>High</w:t>
            </w:r>
          </w:p>
        </w:tc>
        <w:tc>
          <w:tcPr>
            <w:tcW w:w="1398" w:type="dxa"/>
            <w:tcBorders>
              <w:top w:val="single" w:sz="2" w:space="0" w:color="auto"/>
              <w:left w:val="single" w:sz="6" w:space="0" w:color="auto"/>
              <w:bottom w:val="single" w:sz="2" w:space="0" w:color="auto"/>
              <w:right w:val="single" w:sz="2" w:space="0" w:color="auto"/>
            </w:tcBorders>
            <w:shd w:val="clear" w:color="auto" w:fill="FFFFFF"/>
            <w:vAlign w:val="bottom"/>
          </w:tcPr>
          <w:p w14:paraId="1B35631F" w14:textId="77777777" w:rsidR="00BD1FE7" w:rsidRPr="005616AE" w:rsidRDefault="00BD1FE7" w:rsidP="00BD1FE7">
            <w:pPr>
              <w:spacing w:after="160"/>
              <w:rPr>
                <w:rFonts w:cs="Calibri"/>
              </w:rPr>
            </w:pPr>
            <w:r w:rsidRPr="005616AE">
              <w:rPr>
                <w:rFonts w:cs="Calibri"/>
              </w:rPr>
              <w:t>Medium</w:t>
            </w:r>
          </w:p>
        </w:tc>
        <w:tc>
          <w:tcPr>
            <w:tcW w:w="3228" w:type="dxa"/>
            <w:tcBorders>
              <w:top w:val="single" w:sz="2" w:space="0" w:color="auto"/>
              <w:left w:val="single" w:sz="6" w:space="0" w:color="auto"/>
              <w:bottom w:val="single" w:sz="2" w:space="0" w:color="auto"/>
              <w:right w:val="single" w:sz="6" w:space="0" w:color="auto"/>
            </w:tcBorders>
            <w:shd w:val="clear" w:color="auto" w:fill="FFFFFF"/>
            <w:vAlign w:val="bottom"/>
          </w:tcPr>
          <w:p w14:paraId="6A286371" w14:textId="77777777" w:rsidR="00BD1FE7" w:rsidRPr="005616AE" w:rsidRDefault="00BD1FE7" w:rsidP="00BD1FE7">
            <w:pPr>
              <w:spacing w:after="160"/>
              <w:rPr>
                <w:rFonts w:cs="Calibri"/>
              </w:rPr>
            </w:pPr>
            <w:r w:rsidRPr="005616AE">
              <w:rPr>
                <w:rFonts w:cs="Calibri"/>
              </w:rPr>
              <w:t xml:space="preserve">Train staff in advance and deploy AI chatbots to </w:t>
            </w:r>
            <w:proofErr w:type="gramStart"/>
            <w:r w:rsidRPr="005616AE">
              <w:rPr>
                <w:rFonts w:cs="Calibri"/>
              </w:rPr>
              <w:t>handle</w:t>
            </w:r>
            <w:proofErr w:type="gramEnd"/>
            <w:r w:rsidRPr="005616AE">
              <w:rPr>
                <w:rFonts w:cs="Calibri"/>
              </w:rPr>
              <w:t xml:space="preserve"> initial customer interactions.</w:t>
            </w:r>
          </w:p>
        </w:tc>
      </w:tr>
      <w:tr w:rsidR="00BD1FE7" w:rsidRPr="005616AE" w14:paraId="43C101E4" w14:textId="77777777" w:rsidTr="00A86B53">
        <w:trPr>
          <w:jc w:val="center"/>
        </w:trPr>
        <w:tc>
          <w:tcPr>
            <w:tcW w:w="0" w:type="auto"/>
            <w:hideMark/>
          </w:tcPr>
          <w:p w14:paraId="6BB37A83" w14:textId="77777777" w:rsidR="00BD1FE7" w:rsidRPr="005616AE" w:rsidRDefault="00BD1FE7" w:rsidP="00BD1FE7">
            <w:pPr>
              <w:spacing w:after="160"/>
              <w:rPr>
                <w:rFonts w:cs="Calibri"/>
              </w:rPr>
            </w:pPr>
            <w:r w:rsidRPr="005616AE">
              <w:rPr>
                <w:rFonts w:cs="Calibri"/>
              </w:rPr>
              <w:t>O7</w:t>
            </w:r>
          </w:p>
        </w:tc>
        <w:tc>
          <w:tcPr>
            <w:tcW w:w="0" w:type="auto"/>
            <w:hideMark/>
          </w:tcPr>
          <w:p w14:paraId="5F6FD79E" w14:textId="77777777" w:rsidR="00BD1FE7" w:rsidRPr="005616AE" w:rsidRDefault="00BD1FE7" w:rsidP="00BD1FE7">
            <w:pPr>
              <w:spacing w:after="160"/>
              <w:rPr>
                <w:rFonts w:cs="Calibri"/>
              </w:rPr>
            </w:pPr>
            <w:r w:rsidRPr="005616AE">
              <w:rPr>
                <w:rFonts w:cs="Calibri"/>
              </w:rPr>
              <w:t>Limited availability of skilled technicians to install and maintain wireless chargers.</w:t>
            </w:r>
          </w:p>
        </w:tc>
        <w:tc>
          <w:tcPr>
            <w:tcW w:w="0" w:type="auto"/>
            <w:hideMark/>
          </w:tcPr>
          <w:p w14:paraId="60AFB51E" w14:textId="77777777" w:rsidR="00BD1FE7" w:rsidRPr="005616AE" w:rsidRDefault="00BD1FE7" w:rsidP="00BD1FE7">
            <w:pPr>
              <w:spacing w:after="160"/>
              <w:rPr>
                <w:rFonts w:cs="Calibri"/>
              </w:rPr>
            </w:pPr>
            <w:r w:rsidRPr="005616AE">
              <w:rPr>
                <w:rFonts w:cs="Calibri"/>
              </w:rPr>
              <w:t>High</w:t>
            </w:r>
          </w:p>
        </w:tc>
        <w:tc>
          <w:tcPr>
            <w:tcW w:w="0" w:type="auto"/>
            <w:hideMark/>
          </w:tcPr>
          <w:p w14:paraId="4FC42F3E" w14:textId="77777777" w:rsidR="00BD1FE7" w:rsidRPr="005616AE" w:rsidRDefault="00BD1FE7" w:rsidP="00BD1FE7">
            <w:pPr>
              <w:spacing w:after="160"/>
              <w:rPr>
                <w:rFonts w:cs="Calibri"/>
              </w:rPr>
            </w:pPr>
            <w:r w:rsidRPr="005616AE">
              <w:rPr>
                <w:rFonts w:cs="Calibri"/>
              </w:rPr>
              <w:t>Medium</w:t>
            </w:r>
          </w:p>
        </w:tc>
        <w:tc>
          <w:tcPr>
            <w:tcW w:w="0" w:type="auto"/>
            <w:hideMark/>
          </w:tcPr>
          <w:p w14:paraId="34553437" w14:textId="6C6DE85B" w:rsidR="00BD1FE7" w:rsidRPr="005616AE" w:rsidRDefault="00BD1FE7" w:rsidP="00BD1FE7">
            <w:pPr>
              <w:spacing w:after="160"/>
              <w:rPr>
                <w:rFonts w:cs="Calibri"/>
              </w:rPr>
            </w:pPr>
            <w:r w:rsidRPr="005616AE">
              <w:rPr>
                <w:rFonts w:cs="Calibri"/>
              </w:rPr>
              <w:t>Partner with training institutions to develop speciali</w:t>
            </w:r>
            <w:r w:rsidR="00B37AFD" w:rsidRPr="005616AE">
              <w:rPr>
                <w:rFonts w:cs="Calibri"/>
              </w:rPr>
              <w:t>s</w:t>
            </w:r>
            <w:r w:rsidRPr="005616AE">
              <w:rPr>
                <w:rFonts w:cs="Calibri"/>
              </w:rPr>
              <w:t>ed skill programs for EV infrastructure technicians.</w:t>
            </w:r>
          </w:p>
        </w:tc>
      </w:tr>
      <w:tr w:rsidR="00BD1FE7" w:rsidRPr="005616AE" w14:paraId="33F10C44" w14:textId="77777777" w:rsidTr="00A86B53">
        <w:trPr>
          <w:jc w:val="center"/>
        </w:trPr>
        <w:tc>
          <w:tcPr>
            <w:tcW w:w="0" w:type="auto"/>
            <w:hideMark/>
          </w:tcPr>
          <w:p w14:paraId="5E724E7C" w14:textId="77777777" w:rsidR="00BD1FE7" w:rsidRPr="005616AE" w:rsidRDefault="00BD1FE7" w:rsidP="00BD1FE7">
            <w:pPr>
              <w:spacing w:after="160"/>
              <w:rPr>
                <w:rFonts w:cs="Calibri"/>
              </w:rPr>
            </w:pPr>
            <w:r w:rsidRPr="005616AE">
              <w:rPr>
                <w:rFonts w:cs="Calibri"/>
              </w:rPr>
              <w:t>O8</w:t>
            </w:r>
          </w:p>
        </w:tc>
        <w:tc>
          <w:tcPr>
            <w:tcW w:w="0" w:type="auto"/>
            <w:hideMark/>
          </w:tcPr>
          <w:p w14:paraId="6239CFE6" w14:textId="77777777" w:rsidR="00BD1FE7" w:rsidRPr="005616AE" w:rsidRDefault="00BD1FE7" w:rsidP="00BD1FE7">
            <w:pPr>
              <w:spacing w:after="160"/>
              <w:rPr>
                <w:rFonts w:cs="Calibri"/>
              </w:rPr>
            </w:pPr>
            <w:r w:rsidRPr="005616AE">
              <w:rPr>
                <w:rFonts w:cs="Calibri"/>
              </w:rPr>
              <w:t>Supply chain disruptions delaying the production of core components for chargers.</w:t>
            </w:r>
          </w:p>
        </w:tc>
        <w:tc>
          <w:tcPr>
            <w:tcW w:w="0" w:type="auto"/>
            <w:hideMark/>
          </w:tcPr>
          <w:p w14:paraId="5EE99720" w14:textId="77777777" w:rsidR="00BD1FE7" w:rsidRPr="005616AE" w:rsidRDefault="00BD1FE7" w:rsidP="00BD1FE7">
            <w:pPr>
              <w:spacing w:after="160"/>
              <w:rPr>
                <w:rFonts w:cs="Calibri"/>
              </w:rPr>
            </w:pPr>
            <w:r w:rsidRPr="005616AE">
              <w:rPr>
                <w:rFonts w:cs="Calibri"/>
              </w:rPr>
              <w:t>High</w:t>
            </w:r>
          </w:p>
        </w:tc>
        <w:tc>
          <w:tcPr>
            <w:tcW w:w="0" w:type="auto"/>
            <w:hideMark/>
          </w:tcPr>
          <w:p w14:paraId="42578808" w14:textId="77777777" w:rsidR="00BD1FE7" w:rsidRPr="005616AE" w:rsidRDefault="00BD1FE7" w:rsidP="00BD1FE7">
            <w:pPr>
              <w:spacing w:after="160"/>
              <w:rPr>
                <w:rFonts w:cs="Calibri"/>
              </w:rPr>
            </w:pPr>
            <w:r w:rsidRPr="005616AE">
              <w:rPr>
                <w:rFonts w:cs="Calibri"/>
              </w:rPr>
              <w:t>Medium</w:t>
            </w:r>
          </w:p>
        </w:tc>
        <w:tc>
          <w:tcPr>
            <w:tcW w:w="0" w:type="auto"/>
            <w:hideMark/>
          </w:tcPr>
          <w:p w14:paraId="330A79D7" w14:textId="77777777" w:rsidR="00BD1FE7" w:rsidRPr="005616AE" w:rsidRDefault="00BD1FE7" w:rsidP="00BD1FE7">
            <w:pPr>
              <w:spacing w:after="160"/>
              <w:rPr>
                <w:rFonts w:cs="Calibri"/>
              </w:rPr>
            </w:pPr>
            <w:r w:rsidRPr="005616AE">
              <w:rPr>
                <w:rFonts w:cs="Calibri"/>
              </w:rPr>
              <w:t>Build relationships with multiple suppliers and maintain buffer inventory for critical components.</w:t>
            </w:r>
          </w:p>
        </w:tc>
      </w:tr>
      <w:tr w:rsidR="00BD1FE7" w:rsidRPr="005616AE" w14:paraId="2A7CA0D9" w14:textId="77777777" w:rsidTr="00A86B53">
        <w:trPr>
          <w:jc w:val="center"/>
        </w:trPr>
        <w:tc>
          <w:tcPr>
            <w:tcW w:w="0" w:type="auto"/>
            <w:hideMark/>
          </w:tcPr>
          <w:p w14:paraId="41705A67" w14:textId="77777777" w:rsidR="00BD1FE7" w:rsidRPr="005616AE" w:rsidRDefault="00BD1FE7" w:rsidP="00BD1FE7">
            <w:pPr>
              <w:spacing w:after="160"/>
              <w:rPr>
                <w:rFonts w:cs="Calibri"/>
              </w:rPr>
            </w:pPr>
            <w:r w:rsidRPr="005616AE">
              <w:rPr>
                <w:rFonts w:cs="Calibri"/>
              </w:rPr>
              <w:t>O9</w:t>
            </w:r>
          </w:p>
        </w:tc>
        <w:tc>
          <w:tcPr>
            <w:tcW w:w="0" w:type="auto"/>
            <w:hideMark/>
          </w:tcPr>
          <w:p w14:paraId="0E49091F" w14:textId="77777777" w:rsidR="00BD1FE7" w:rsidRPr="005616AE" w:rsidRDefault="00BD1FE7" w:rsidP="00BD1FE7">
            <w:pPr>
              <w:spacing w:after="160"/>
              <w:rPr>
                <w:rFonts w:cs="Calibri"/>
              </w:rPr>
            </w:pPr>
            <w:r w:rsidRPr="005616AE">
              <w:rPr>
                <w:rFonts w:cs="Calibri"/>
              </w:rPr>
              <w:t>Operational failures during the scaling phase leading to inconsistent service quality.</w:t>
            </w:r>
          </w:p>
        </w:tc>
        <w:tc>
          <w:tcPr>
            <w:tcW w:w="0" w:type="auto"/>
            <w:hideMark/>
          </w:tcPr>
          <w:p w14:paraId="22EFACBA" w14:textId="77777777" w:rsidR="00BD1FE7" w:rsidRPr="005616AE" w:rsidRDefault="00BD1FE7" w:rsidP="00BD1FE7">
            <w:pPr>
              <w:spacing w:after="160"/>
              <w:rPr>
                <w:rFonts w:cs="Calibri"/>
              </w:rPr>
            </w:pPr>
            <w:r w:rsidRPr="005616AE">
              <w:rPr>
                <w:rFonts w:cs="Calibri"/>
              </w:rPr>
              <w:t>Medium</w:t>
            </w:r>
          </w:p>
        </w:tc>
        <w:tc>
          <w:tcPr>
            <w:tcW w:w="0" w:type="auto"/>
            <w:hideMark/>
          </w:tcPr>
          <w:p w14:paraId="5FC21377" w14:textId="77777777" w:rsidR="00BD1FE7" w:rsidRPr="005616AE" w:rsidRDefault="00BD1FE7" w:rsidP="00BD1FE7">
            <w:pPr>
              <w:spacing w:after="160"/>
              <w:rPr>
                <w:rFonts w:cs="Calibri"/>
              </w:rPr>
            </w:pPr>
            <w:r w:rsidRPr="005616AE">
              <w:rPr>
                <w:rFonts w:cs="Calibri"/>
              </w:rPr>
              <w:t>Medium</w:t>
            </w:r>
          </w:p>
        </w:tc>
        <w:tc>
          <w:tcPr>
            <w:tcW w:w="0" w:type="auto"/>
            <w:hideMark/>
          </w:tcPr>
          <w:p w14:paraId="3371A967" w14:textId="77777777" w:rsidR="00BD1FE7" w:rsidRPr="005616AE" w:rsidRDefault="00BD1FE7" w:rsidP="00BD1FE7">
            <w:pPr>
              <w:spacing w:after="160"/>
              <w:rPr>
                <w:rFonts w:cs="Calibri"/>
              </w:rPr>
            </w:pPr>
            <w:r w:rsidRPr="005616AE">
              <w:rPr>
                <w:rFonts w:cs="Calibri"/>
              </w:rPr>
              <w:t>Develop detailed operational standard procedures and implement real-time monitoring tools.</w:t>
            </w:r>
          </w:p>
        </w:tc>
      </w:tr>
      <w:tr w:rsidR="00BD1FE7" w:rsidRPr="005616AE" w14:paraId="1EA69AE2" w14:textId="77777777" w:rsidTr="00A86B53">
        <w:trPr>
          <w:jc w:val="center"/>
        </w:trPr>
        <w:tc>
          <w:tcPr>
            <w:tcW w:w="0" w:type="auto"/>
            <w:hideMark/>
          </w:tcPr>
          <w:p w14:paraId="0A3362CD" w14:textId="77777777" w:rsidR="00BD1FE7" w:rsidRPr="005616AE" w:rsidRDefault="00BD1FE7" w:rsidP="00BD1FE7">
            <w:pPr>
              <w:spacing w:after="160"/>
              <w:rPr>
                <w:rFonts w:cs="Calibri"/>
              </w:rPr>
            </w:pPr>
            <w:r w:rsidRPr="005616AE">
              <w:rPr>
                <w:rFonts w:cs="Calibri"/>
              </w:rPr>
              <w:t>O10</w:t>
            </w:r>
          </w:p>
        </w:tc>
        <w:tc>
          <w:tcPr>
            <w:tcW w:w="0" w:type="auto"/>
            <w:hideMark/>
          </w:tcPr>
          <w:p w14:paraId="70620E43" w14:textId="77777777" w:rsidR="00BD1FE7" w:rsidRPr="005616AE" w:rsidRDefault="00BD1FE7" w:rsidP="00BD1FE7">
            <w:pPr>
              <w:spacing w:after="160"/>
              <w:rPr>
                <w:rFonts w:cs="Calibri"/>
              </w:rPr>
            </w:pPr>
            <w:r w:rsidRPr="005616AE">
              <w:rPr>
                <w:rFonts w:cs="Calibri"/>
              </w:rPr>
              <w:t>Over-reliance on specific geographic markets for initial rollouts.</w:t>
            </w:r>
          </w:p>
        </w:tc>
        <w:tc>
          <w:tcPr>
            <w:tcW w:w="0" w:type="auto"/>
            <w:hideMark/>
          </w:tcPr>
          <w:p w14:paraId="7CCA1E97" w14:textId="77777777" w:rsidR="00BD1FE7" w:rsidRPr="005616AE" w:rsidRDefault="00BD1FE7" w:rsidP="00BD1FE7">
            <w:pPr>
              <w:spacing w:after="160"/>
              <w:rPr>
                <w:rFonts w:cs="Calibri"/>
              </w:rPr>
            </w:pPr>
            <w:r w:rsidRPr="005616AE">
              <w:rPr>
                <w:rFonts w:cs="Calibri"/>
              </w:rPr>
              <w:t>Medium</w:t>
            </w:r>
          </w:p>
        </w:tc>
        <w:tc>
          <w:tcPr>
            <w:tcW w:w="0" w:type="auto"/>
            <w:hideMark/>
          </w:tcPr>
          <w:p w14:paraId="7104899A" w14:textId="77777777" w:rsidR="00BD1FE7" w:rsidRPr="005616AE" w:rsidRDefault="00BD1FE7" w:rsidP="00BD1FE7">
            <w:pPr>
              <w:spacing w:after="160"/>
              <w:rPr>
                <w:rFonts w:cs="Calibri"/>
              </w:rPr>
            </w:pPr>
            <w:r w:rsidRPr="005616AE">
              <w:rPr>
                <w:rFonts w:cs="Calibri"/>
              </w:rPr>
              <w:t>Medium</w:t>
            </w:r>
          </w:p>
        </w:tc>
        <w:tc>
          <w:tcPr>
            <w:tcW w:w="0" w:type="auto"/>
            <w:hideMark/>
          </w:tcPr>
          <w:p w14:paraId="561FD7CC" w14:textId="77777777" w:rsidR="00BD1FE7" w:rsidRPr="005616AE" w:rsidRDefault="00BD1FE7" w:rsidP="00BD1FE7">
            <w:pPr>
              <w:spacing w:after="160"/>
              <w:rPr>
                <w:rFonts w:cs="Calibri"/>
              </w:rPr>
            </w:pPr>
            <w:r w:rsidRPr="005616AE">
              <w:rPr>
                <w:rFonts w:cs="Calibri"/>
              </w:rPr>
              <w:t>Diversify deployment locations to reduce dependency on a single market and assess regional adoption readiness.</w:t>
            </w:r>
          </w:p>
        </w:tc>
      </w:tr>
    </w:tbl>
    <w:p w14:paraId="7890878C" w14:textId="77777777" w:rsidR="00BD1FE7" w:rsidRPr="005616AE" w:rsidRDefault="00BD1FE7" w:rsidP="00BD1FE7">
      <w:pPr>
        <w:rPr>
          <w:rFonts w:cs="Calibri"/>
        </w:rPr>
      </w:pPr>
    </w:p>
    <w:p w14:paraId="5BACEF95" w14:textId="77777777" w:rsidR="00BD1FE7" w:rsidRPr="005616AE" w:rsidRDefault="00BD1FE7" w:rsidP="00BD1FE7">
      <w:pPr>
        <w:rPr>
          <w:rFonts w:cs="Calibri"/>
        </w:rPr>
      </w:pPr>
    </w:p>
    <w:p w14:paraId="14700C5C" w14:textId="77777777" w:rsidR="00BD1FE7" w:rsidRPr="005616AE" w:rsidRDefault="00BD1FE7" w:rsidP="00490438">
      <w:pPr>
        <w:pStyle w:val="Heading3"/>
        <w:rPr>
          <w:rFonts w:cs="Calibri"/>
        </w:rPr>
      </w:pPr>
      <w:bookmarkStart w:id="54" w:name="_Toc183211070"/>
      <w:r w:rsidRPr="005616AE">
        <w:rPr>
          <w:rFonts w:cs="Calibri"/>
        </w:rPr>
        <w:t>Regulatory and Compliance</w:t>
      </w:r>
      <w:bookmarkEnd w:id="54"/>
    </w:p>
    <w:p w14:paraId="2996E81C" w14:textId="77777777" w:rsidR="00BD1FE7" w:rsidRPr="005616AE" w:rsidRDefault="00BD1FE7" w:rsidP="00BD1FE7">
      <w:pPr>
        <w:rPr>
          <w:rFonts w:cs="Calibri"/>
        </w:rPr>
      </w:pPr>
      <w:r w:rsidRPr="005616AE">
        <w:rPr>
          <w:rFonts w:cs="Calibri"/>
        </w:rPr>
        <w:t xml:space="preserve">Regulatory issues arise from the requirement to comply to a diverse set of municipal, </w:t>
      </w:r>
      <w:proofErr w:type="gramStart"/>
      <w:r w:rsidRPr="005616AE">
        <w:rPr>
          <w:rFonts w:cs="Calibri"/>
        </w:rPr>
        <w:t>national</w:t>
      </w:r>
      <w:proofErr w:type="gramEnd"/>
      <w:r w:rsidRPr="005616AE">
        <w:rPr>
          <w:rFonts w:cs="Calibri"/>
        </w:rPr>
        <w:t xml:space="preserve"> and international rules governing EV infrastructure, electromagnetic radiation restrictions along with data privacy. Noncompliance can result in penalties, </w:t>
      </w:r>
      <w:proofErr w:type="gramStart"/>
      <w:r w:rsidRPr="005616AE">
        <w:rPr>
          <w:rFonts w:cs="Calibri"/>
        </w:rPr>
        <w:t>delays</w:t>
      </w:r>
      <w:proofErr w:type="gramEnd"/>
      <w:r w:rsidRPr="005616AE">
        <w:rPr>
          <w:rFonts w:cs="Calibri"/>
        </w:rPr>
        <w:t> and reputational damage thus it is vital to manage these risks proactively.</w:t>
      </w:r>
    </w:p>
    <w:tbl>
      <w:tblPr>
        <w:tblStyle w:val="TableGrid"/>
        <w:tblW w:w="0" w:type="auto"/>
        <w:jc w:val="center"/>
        <w:tblInd w:w="0" w:type="dxa"/>
        <w:tblLook w:val="04A0" w:firstRow="1" w:lastRow="0" w:firstColumn="1" w:lastColumn="0" w:noHBand="0" w:noVBand="1"/>
      </w:tblPr>
      <w:tblGrid>
        <w:gridCol w:w="643"/>
        <w:gridCol w:w="3129"/>
        <w:gridCol w:w="1017"/>
        <w:gridCol w:w="1255"/>
        <w:gridCol w:w="3306"/>
      </w:tblGrid>
      <w:tr w:rsidR="00BD1FE7" w:rsidRPr="005616AE" w14:paraId="5CBB760F" w14:textId="77777777" w:rsidTr="002E558F">
        <w:trPr>
          <w:jc w:val="center"/>
        </w:trPr>
        <w:tc>
          <w:tcPr>
            <w:tcW w:w="848" w:type="dxa"/>
          </w:tcPr>
          <w:p w14:paraId="1D5346FA" w14:textId="77777777" w:rsidR="00BD1FE7" w:rsidRPr="005616AE" w:rsidRDefault="00BD1FE7" w:rsidP="00F46334">
            <w:pPr>
              <w:spacing w:after="160"/>
              <w:jc w:val="center"/>
              <w:rPr>
                <w:rFonts w:cs="Calibri"/>
                <w:b/>
                <w:bCs/>
              </w:rPr>
            </w:pPr>
            <w:r w:rsidRPr="005616AE">
              <w:rPr>
                <w:rFonts w:cs="Calibri"/>
                <w:b/>
                <w:bCs/>
              </w:rPr>
              <w:t>Risk ID</w:t>
            </w:r>
          </w:p>
        </w:tc>
        <w:tc>
          <w:tcPr>
            <w:tcW w:w="2880" w:type="dxa"/>
          </w:tcPr>
          <w:p w14:paraId="1ED69F44" w14:textId="77777777" w:rsidR="00BD1FE7" w:rsidRPr="005616AE" w:rsidRDefault="00BD1FE7" w:rsidP="00F46334">
            <w:pPr>
              <w:spacing w:after="160"/>
              <w:jc w:val="center"/>
              <w:rPr>
                <w:rFonts w:cs="Calibri"/>
                <w:b/>
                <w:bCs/>
              </w:rPr>
            </w:pPr>
            <w:r w:rsidRPr="005616AE">
              <w:rPr>
                <w:rFonts w:cs="Calibri"/>
                <w:b/>
                <w:bCs/>
              </w:rPr>
              <w:t>Risk Description</w:t>
            </w:r>
          </w:p>
        </w:tc>
        <w:tc>
          <w:tcPr>
            <w:tcW w:w="1193" w:type="dxa"/>
          </w:tcPr>
          <w:p w14:paraId="2AA8C141" w14:textId="77777777" w:rsidR="00BD1FE7" w:rsidRPr="005616AE" w:rsidRDefault="00BD1FE7" w:rsidP="00F46334">
            <w:pPr>
              <w:spacing w:after="160"/>
              <w:jc w:val="center"/>
              <w:rPr>
                <w:rFonts w:cs="Calibri"/>
                <w:b/>
                <w:bCs/>
              </w:rPr>
            </w:pPr>
            <w:r w:rsidRPr="005616AE">
              <w:rPr>
                <w:rFonts w:cs="Calibri"/>
                <w:b/>
                <w:bCs/>
              </w:rPr>
              <w:t>Impact</w:t>
            </w:r>
          </w:p>
        </w:tc>
        <w:tc>
          <w:tcPr>
            <w:tcW w:w="1408" w:type="dxa"/>
          </w:tcPr>
          <w:p w14:paraId="270AB461" w14:textId="77777777" w:rsidR="00BD1FE7" w:rsidRPr="005616AE" w:rsidRDefault="00BD1FE7" w:rsidP="00F46334">
            <w:pPr>
              <w:spacing w:after="160"/>
              <w:jc w:val="center"/>
              <w:rPr>
                <w:rFonts w:cs="Calibri"/>
                <w:b/>
                <w:bCs/>
              </w:rPr>
            </w:pPr>
            <w:r w:rsidRPr="005616AE">
              <w:rPr>
                <w:rFonts w:cs="Calibri"/>
                <w:b/>
                <w:bCs/>
              </w:rPr>
              <w:t>Probability</w:t>
            </w:r>
          </w:p>
        </w:tc>
        <w:tc>
          <w:tcPr>
            <w:tcW w:w="3021" w:type="dxa"/>
          </w:tcPr>
          <w:p w14:paraId="60B6B7F1" w14:textId="77777777" w:rsidR="00BD1FE7" w:rsidRPr="005616AE" w:rsidRDefault="00BD1FE7" w:rsidP="00F46334">
            <w:pPr>
              <w:spacing w:after="160"/>
              <w:jc w:val="center"/>
              <w:rPr>
                <w:rFonts w:cs="Calibri"/>
                <w:b/>
                <w:bCs/>
              </w:rPr>
            </w:pPr>
            <w:r w:rsidRPr="005616AE">
              <w:rPr>
                <w:rFonts w:cs="Calibri"/>
                <w:b/>
                <w:bCs/>
              </w:rPr>
              <w:t>Mitigation Strategy</w:t>
            </w:r>
          </w:p>
        </w:tc>
      </w:tr>
      <w:tr w:rsidR="00BD1FE7" w:rsidRPr="005616AE" w14:paraId="2245A579" w14:textId="77777777" w:rsidTr="002E558F">
        <w:trPr>
          <w:jc w:val="center"/>
        </w:trPr>
        <w:tc>
          <w:tcPr>
            <w:tcW w:w="848" w:type="dxa"/>
          </w:tcPr>
          <w:p w14:paraId="1EAD11AA" w14:textId="77777777" w:rsidR="00BD1FE7" w:rsidRPr="005616AE" w:rsidRDefault="00BD1FE7" w:rsidP="00BD1FE7">
            <w:pPr>
              <w:spacing w:after="160"/>
              <w:rPr>
                <w:rFonts w:cs="Calibri"/>
              </w:rPr>
            </w:pPr>
            <w:r w:rsidRPr="005616AE">
              <w:rPr>
                <w:rFonts w:cs="Calibri"/>
              </w:rPr>
              <w:t>C1</w:t>
            </w:r>
          </w:p>
        </w:tc>
        <w:tc>
          <w:tcPr>
            <w:tcW w:w="2880" w:type="dxa"/>
            <w:tcBorders>
              <w:top w:val="single" w:sz="2" w:space="0" w:color="auto"/>
              <w:left w:val="single" w:sz="6" w:space="0" w:color="auto"/>
              <w:bottom w:val="single" w:sz="6" w:space="0" w:color="auto"/>
              <w:right w:val="single" w:sz="2" w:space="0" w:color="auto"/>
            </w:tcBorders>
            <w:shd w:val="clear" w:color="auto" w:fill="FFFFFF"/>
            <w:vAlign w:val="bottom"/>
          </w:tcPr>
          <w:p w14:paraId="708B7608" w14:textId="77777777" w:rsidR="00BD1FE7" w:rsidRPr="005616AE" w:rsidRDefault="00BD1FE7" w:rsidP="00BD1FE7">
            <w:pPr>
              <w:spacing w:after="160"/>
              <w:rPr>
                <w:rFonts w:cs="Calibri"/>
              </w:rPr>
            </w:pPr>
            <w:r w:rsidRPr="005616AE">
              <w:rPr>
                <w:rFonts w:cs="Calibri"/>
              </w:rPr>
              <w:t>Non-compliance with EV infrastructure regulations.</w:t>
            </w:r>
          </w:p>
        </w:tc>
        <w:tc>
          <w:tcPr>
            <w:tcW w:w="1193" w:type="dxa"/>
            <w:tcBorders>
              <w:top w:val="single" w:sz="2" w:space="0" w:color="auto"/>
              <w:left w:val="single" w:sz="6" w:space="0" w:color="auto"/>
              <w:bottom w:val="single" w:sz="6" w:space="0" w:color="auto"/>
              <w:right w:val="single" w:sz="2" w:space="0" w:color="auto"/>
            </w:tcBorders>
            <w:shd w:val="clear" w:color="auto" w:fill="FFFFFF"/>
            <w:vAlign w:val="bottom"/>
          </w:tcPr>
          <w:p w14:paraId="313BF17D" w14:textId="77777777" w:rsidR="00BD1FE7" w:rsidRPr="005616AE" w:rsidRDefault="00BD1FE7" w:rsidP="00BD1FE7">
            <w:pPr>
              <w:spacing w:after="160"/>
              <w:rPr>
                <w:rFonts w:cs="Calibri"/>
              </w:rPr>
            </w:pPr>
            <w:r w:rsidRPr="005616AE">
              <w:rPr>
                <w:rFonts w:cs="Calibri"/>
              </w:rPr>
              <w:t>High</w:t>
            </w:r>
          </w:p>
        </w:tc>
        <w:tc>
          <w:tcPr>
            <w:tcW w:w="1408" w:type="dxa"/>
            <w:tcBorders>
              <w:top w:val="single" w:sz="2" w:space="0" w:color="auto"/>
              <w:left w:val="single" w:sz="6" w:space="0" w:color="auto"/>
              <w:bottom w:val="single" w:sz="6" w:space="0" w:color="auto"/>
              <w:right w:val="single" w:sz="2" w:space="0" w:color="auto"/>
            </w:tcBorders>
            <w:shd w:val="clear" w:color="auto" w:fill="FFFFFF"/>
            <w:vAlign w:val="bottom"/>
          </w:tcPr>
          <w:p w14:paraId="63AC277E" w14:textId="77777777" w:rsidR="00BD1FE7" w:rsidRPr="005616AE" w:rsidRDefault="00BD1FE7" w:rsidP="00BD1FE7">
            <w:pPr>
              <w:spacing w:after="160"/>
              <w:rPr>
                <w:rFonts w:cs="Calibri"/>
              </w:rPr>
            </w:pPr>
            <w:r w:rsidRPr="005616AE">
              <w:rPr>
                <w:rFonts w:cs="Calibri"/>
              </w:rPr>
              <w:t>Medium</w:t>
            </w:r>
          </w:p>
        </w:tc>
        <w:tc>
          <w:tcPr>
            <w:tcW w:w="3021" w:type="dxa"/>
            <w:tcBorders>
              <w:top w:val="single" w:sz="2" w:space="0" w:color="auto"/>
              <w:left w:val="single" w:sz="6" w:space="0" w:color="auto"/>
              <w:bottom w:val="single" w:sz="6" w:space="0" w:color="auto"/>
              <w:right w:val="single" w:sz="6" w:space="0" w:color="auto"/>
            </w:tcBorders>
            <w:shd w:val="clear" w:color="auto" w:fill="FFFFFF"/>
            <w:vAlign w:val="bottom"/>
          </w:tcPr>
          <w:p w14:paraId="5E73F9DE" w14:textId="77777777" w:rsidR="00BD1FE7" w:rsidRPr="005616AE" w:rsidRDefault="00BD1FE7" w:rsidP="00BD1FE7">
            <w:pPr>
              <w:spacing w:after="160"/>
              <w:rPr>
                <w:rFonts w:cs="Calibri"/>
              </w:rPr>
            </w:pPr>
            <w:r w:rsidRPr="005616AE">
              <w:rPr>
                <w:rFonts w:cs="Calibri"/>
              </w:rPr>
              <w:t>Engage regulatory experts early and develop a checklist of legal requirements for compliance.</w:t>
            </w:r>
          </w:p>
        </w:tc>
      </w:tr>
      <w:tr w:rsidR="00BD1FE7" w:rsidRPr="005616AE" w14:paraId="2BD92486" w14:textId="77777777" w:rsidTr="002E558F">
        <w:trPr>
          <w:jc w:val="center"/>
        </w:trPr>
        <w:tc>
          <w:tcPr>
            <w:tcW w:w="848" w:type="dxa"/>
          </w:tcPr>
          <w:p w14:paraId="64E9D50B" w14:textId="77777777" w:rsidR="00BD1FE7" w:rsidRPr="005616AE" w:rsidRDefault="00BD1FE7" w:rsidP="00BD1FE7">
            <w:pPr>
              <w:spacing w:after="160"/>
              <w:rPr>
                <w:rFonts w:cs="Calibri"/>
              </w:rPr>
            </w:pPr>
            <w:r w:rsidRPr="005616AE">
              <w:rPr>
                <w:rFonts w:cs="Calibri"/>
              </w:rPr>
              <w:t>C2</w:t>
            </w:r>
          </w:p>
        </w:tc>
        <w:tc>
          <w:tcPr>
            <w:tcW w:w="2880" w:type="dxa"/>
            <w:tcBorders>
              <w:top w:val="single" w:sz="2" w:space="0" w:color="auto"/>
              <w:left w:val="single" w:sz="6" w:space="0" w:color="auto"/>
              <w:bottom w:val="single" w:sz="6" w:space="0" w:color="auto"/>
              <w:right w:val="single" w:sz="2" w:space="0" w:color="auto"/>
            </w:tcBorders>
            <w:shd w:val="clear" w:color="auto" w:fill="FFFFFF"/>
            <w:vAlign w:val="bottom"/>
          </w:tcPr>
          <w:p w14:paraId="799EE8C6" w14:textId="77777777" w:rsidR="00BD1FE7" w:rsidRPr="005616AE" w:rsidRDefault="00BD1FE7" w:rsidP="00BD1FE7">
            <w:pPr>
              <w:spacing w:after="160"/>
              <w:rPr>
                <w:rFonts w:cs="Calibri"/>
              </w:rPr>
            </w:pPr>
            <w:r w:rsidRPr="005616AE">
              <w:rPr>
                <w:rFonts w:cs="Calibri"/>
              </w:rPr>
              <w:t>Delays in obtaining required permits and licenses for installation.</w:t>
            </w:r>
          </w:p>
        </w:tc>
        <w:tc>
          <w:tcPr>
            <w:tcW w:w="1193" w:type="dxa"/>
            <w:tcBorders>
              <w:top w:val="single" w:sz="2" w:space="0" w:color="auto"/>
              <w:left w:val="single" w:sz="6" w:space="0" w:color="auto"/>
              <w:bottom w:val="single" w:sz="6" w:space="0" w:color="auto"/>
              <w:right w:val="single" w:sz="2" w:space="0" w:color="auto"/>
            </w:tcBorders>
            <w:shd w:val="clear" w:color="auto" w:fill="FFFFFF"/>
            <w:vAlign w:val="bottom"/>
          </w:tcPr>
          <w:p w14:paraId="6054F5B4" w14:textId="77777777" w:rsidR="00BD1FE7" w:rsidRPr="005616AE" w:rsidRDefault="00BD1FE7" w:rsidP="00BD1FE7">
            <w:pPr>
              <w:spacing w:after="160"/>
              <w:rPr>
                <w:rFonts w:cs="Calibri"/>
              </w:rPr>
            </w:pPr>
            <w:r w:rsidRPr="005616AE">
              <w:rPr>
                <w:rFonts w:cs="Calibri"/>
              </w:rPr>
              <w:t>High</w:t>
            </w:r>
          </w:p>
        </w:tc>
        <w:tc>
          <w:tcPr>
            <w:tcW w:w="1408" w:type="dxa"/>
            <w:tcBorders>
              <w:top w:val="single" w:sz="2" w:space="0" w:color="auto"/>
              <w:left w:val="single" w:sz="6" w:space="0" w:color="auto"/>
              <w:bottom w:val="single" w:sz="6" w:space="0" w:color="auto"/>
              <w:right w:val="single" w:sz="2" w:space="0" w:color="auto"/>
            </w:tcBorders>
            <w:shd w:val="clear" w:color="auto" w:fill="FFFFFF"/>
            <w:vAlign w:val="bottom"/>
          </w:tcPr>
          <w:p w14:paraId="3662EB4F" w14:textId="77777777" w:rsidR="00BD1FE7" w:rsidRPr="005616AE" w:rsidRDefault="00BD1FE7" w:rsidP="00BD1FE7">
            <w:pPr>
              <w:spacing w:after="160"/>
              <w:rPr>
                <w:rFonts w:cs="Calibri"/>
              </w:rPr>
            </w:pPr>
            <w:r w:rsidRPr="005616AE">
              <w:rPr>
                <w:rFonts w:cs="Calibri"/>
              </w:rPr>
              <w:t>Medium</w:t>
            </w:r>
          </w:p>
        </w:tc>
        <w:tc>
          <w:tcPr>
            <w:tcW w:w="3021" w:type="dxa"/>
            <w:tcBorders>
              <w:top w:val="single" w:sz="2" w:space="0" w:color="auto"/>
              <w:left w:val="single" w:sz="6" w:space="0" w:color="auto"/>
              <w:bottom w:val="single" w:sz="6" w:space="0" w:color="auto"/>
              <w:right w:val="single" w:sz="6" w:space="0" w:color="auto"/>
            </w:tcBorders>
            <w:shd w:val="clear" w:color="auto" w:fill="FFFFFF"/>
            <w:vAlign w:val="bottom"/>
          </w:tcPr>
          <w:p w14:paraId="0BEA0547" w14:textId="77777777" w:rsidR="00BD1FE7" w:rsidRPr="005616AE" w:rsidRDefault="00BD1FE7" w:rsidP="00BD1FE7">
            <w:pPr>
              <w:spacing w:after="160"/>
              <w:rPr>
                <w:rFonts w:cs="Calibri"/>
              </w:rPr>
            </w:pPr>
            <w:r w:rsidRPr="005616AE">
              <w:rPr>
                <w:rFonts w:cs="Calibri"/>
              </w:rPr>
              <w:t>Start the permitting process early and maintain clear communication with regulatory bodies.</w:t>
            </w:r>
          </w:p>
        </w:tc>
      </w:tr>
      <w:tr w:rsidR="00BD1FE7" w:rsidRPr="005616AE" w14:paraId="1F18530B" w14:textId="77777777" w:rsidTr="002E558F">
        <w:trPr>
          <w:jc w:val="center"/>
        </w:trPr>
        <w:tc>
          <w:tcPr>
            <w:tcW w:w="848" w:type="dxa"/>
          </w:tcPr>
          <w:p w14:paraId="445AF734" w14:textId="77777777" w:rsidR="00BD1FE7" w:rsidRPr="005616AE" w:rsidRDefault="00BD1FE7" w:rsidP="00BD1FE7">
            <w:pPr>
              <w:spacing w:after="160"/>
              <w:rPr>
                <w:rFonts w:cs="Calibri"/>
              </w:rPr>
            </w:pPr>
            <w:r w:rsidRPr="005616AE">
              <w:rPr>
                <w:rFonts w:cs="Calibri"/>
              </w:rPr>
              <w:t>C3</w:t>
            </w:r>
          </w:p>
        </w:tc>
        <w:tc>
          <w:tcPr>
            <w:tcW w:w="2880" w:type="dxa"/>
            <w:tcBorders>
              <w:top w:val="single" w:sz="2" w:space="0" w:color="auto"/>
              <w:left w:val="single" w:sz="6" w:space="0" w:color="auto"/>
              <w:bottom w:val="single" w:sz="6" w:space="0" w:color="auto"/>
              <w:right w:val="single" w:sz="2" w:space="0" w:color="auto"/>
            </w:tcBorders>
            <w:shd w:val="clear" w:color="auto" w:fill="FFFFFF"/>
            <w:vAlign w:val="bottom"/>
          </w:tcPr>
          <w:p w14:paraId="70CA6D84" w14:textId="77777777" w:rsidR="00BD1FE7" w:rsidRPr="005616AE" w:rsidRDefault="00BD1FE7" w:rsidP="00BD1FE7">
            <w:pPr>
              <w:spacing w:after="160"/>
              <w:rPr>
                <w:rFonts w:cs="Calibri"/>
              </w:rPr>
            </w:pPr>
            <w:r w:rsidRPr="005616AE">
              <w:rPr>
                <w:rFonts w:cs="Calibri"/>
              </w:rPr>
              <w:t>Non-compliance with environmental standards.</w:t>
            </w:r>
          </w:p>
        </w:tc>
        <w:tc>
          <w:tcPr>
            <w:tcW w:w="1193" w:type="dxa"/>
            <w:tcBorders>
              <w:top w:val="single" w:sz="2" w:space="0" w:color="auto"/>
              <w:left w:val="single" w:sz="6" w:space="0" w:color="auto"/>
              <w:bottom w:val="single" w:sz="6" w:space="0" w:color="auto"/>
              <w:right w:val="single" w:sz="2" w:space="0" w:color="auto"/>
            </w:tcBorders>
            <w:shd w:val="clear" w:color="auto" w:fill="FFFFFF"/>
            <w:vAlign w:val="bottom"/>
          </w:tcPr>
          <w:p w14:paraId="20D842D0" w14:textId="77777777" w:rsidR="00BD1FE7" w:rsidRPr="005616AE" w:rsidRDefault="00BD1FE7" w:rsidP="00BD1FE7">
            <w:pPr>
              <w:spacing w:after="160"/>
              <w:rPr>
                <w:rFonts w:cs="Calibri"/>
              </w:rPr>
            </w:pPr>
            <w:r w:rsidRPr="005616AE">
              <w:rPr>
                <w:rFonts w:cs="Calibri"/>
              </w:rPr>
              <w:t>Medium</w:t>
            </w:r>
          </w:p>
        </w:tc>
        <w:tc>
          <w:tcPr>
            <w:tcW w:w="1408" w:type="dxa"/>
            <w:tcBorders>
              <w:top w:val="single" w:sz="2" w:space="0" w:color="auto"/>
              <w:left w:val="single" w:sz="6" w:space="0" w:color="auto"/>
              <w:bottom w:val="single" w:sz="6" w:space="0" w:color="auto"/>
              <w:right w:val="single" w:sz="2" w:space="0" w:color="auto"/>
            </w:tcBorders>
            <w:shd w:val="clear" w:color="auto" w:fill="FFFFFF"/>
            <w:vAlign w:val="bottom"/>
          </w:tcPr>
          <w:p w14:paraId="2387E1BB" w14:textId="77777777" w:rsidR="00BD1FE7" w:rsidRPr="005616AE" w:rsidRDefault="00BD1FE7" w:rsidP="00BD1FE7">
            <w:pPr>
              <w:spacing w:after="160"/>
              <w:rPr>
                <w:rFonts w:cs="Calibri"/>
              </w:rPr>
            </w:pPr>
            <w:r w:rsidRPr="005616AE">
              <w:rPr>
                <w:rFonts w:cs="Calibri"/>
              </w:rPr>
              <w:t>Medium</w:t>
            </w:r>
          </w:p>
        </w:tc>
        <w:tc>
          <w:tcPr>
            <w:tcW w:w="3021" w:type="dxa"/>
            <w:tcBorders>
              <w:top w:val="single" w:sz="2" w:space="0" w:color="auto"/>
              <w:left w:val="single" w:sz="6" w:space="0" w:color="auto"/>
              <w:bottom w:val="single" w:sz="6" w:space="0" w:color="auto"/>
              <w:right w:val="single" w:sz="6" w:space="0" w:color="auto"/>
            </w:tcBorders>
            <w:shd w:val="clear" w:color="auto" w:fill="FFFFFF"/>
            <w:vAlign w:val="bottom"/>
          </w:tcPr>
          <w:p w14:paraId="2EEB974E" w14:textId="77777777" w:rsidR="00BD1FE7" w:rsidRPr="005616AE" w:rsidRDefault="00BD1FE7" w:rsidP="00BD1FE7">
            <w:pPr>
              <w:spacing w:after="160"/>
              <w:rPr>
                <w:rFonts w:cs="Calibri"/>
              </w:rPr>
            </w:pPr>
            <w:r w:rsidRPr="005616AE">
              <w:rPr>
                <w:rFonts w:cs="Calibri"/>
              </w:rPr>
              <w:t>Consult sustainability experts to ensure all installations align with environmental guidelines.</w:t>
            </w:r>
          </w:p>
        </w:tc>
      </w:tr>
      <w:tr w:rsidR="00BD1FE7" w:rsidRPr="005616AE" w14:paraId="589DD0B2" w14:textId="77777777" w:rsidTr="002E558F">
        <w:trPr>
          <w:jc w:val="center"/>
        </w:trPr>
        <w:tc>
          <w:tcPr>
            <w:tcW w:w="848" w:type="dxa"/>
          </w:tcPr>
          <w:p w14:paraId="0336A052" w14:textId="77777777" w:rsidR="00BD1FE7" w:rsidRPr="005616AE" w:rsidRDefault="00BD1FE7" w:rsidP="00BD1FE7">
            <w:pPr>
              <w:spacing w:after="160"/>
              <w:rPr>
                <w:rFonts w:cs="Calibri"/>
              </w:rPr>
            </w:pPr>
            <w:r w:rsidRPr="005616AE">
              <w:rPr>
                <w:rFonts w:cs="Calibri"/>
              </w:rPr>
              <w:lastRenderedPageBreak/>
              <w:t>C4</w:t>
            </w:r>
          </w:p>
        </w:tc>
        <w:tc>
          <w:tcPr>
            <w:tcW w:w="2880" w:type="dxa"/>
            <w:tcBorders>
              <w:top w:val="single" w:sz="2" w:space="0" w:color="auto"/>
              <w:left w:val="single" w:sz="6" w:space="0" w:color="auto"/>
              <w:bottom w:val="single" w:sz="6" w:space="0" w:color="auto"/>
              <w:right w:val="single" w:sz="2" w:space="0" w:color="auto"/>
            </w:tcBorders>
            <w:shd w:val="clear" w:color="auto" w:fill="FFFFFF"/>
            <w:vAlign w:val="bottom"/>
          </w:tcPr>
          <w:p w14:paraId="61B11CAA" w14:textId="77777777" w:rsidR="00BD1FE7" w:rsidRPr="005616AE" w:rsidRDefault="00BD1FE7" w:rsidP="00BD1FE7">
            <w:pPr>
              <w:spacing w:after="160"/>
              <w:rPr>
                <w:rFonts w:cs="Calibri"/>
              </w:rPr>
            </w:pPr>
            <w:r w:rsidRPr="005616AE">
              <w:rPr>
                <w:rFonts w:cs="Calibri"/>
              </w:rPr>
              <w:t>Failure to meet customer data protection and privacy regulations.</w:t>
            </w:r>
          </w:p>
        </w:tc>
        <w:tc>
          <w:tcPr>
            <w:tcW w:w="1193" w:type="dxa"/>
            <w:tcBorders>
              <w:top w:val="single" w:sz="2" w:space="0" w:color="auto"/>
              <w:left w:val="single" w:sz="6" w:space="0" w:color="auto"/>
              <w:bottom w:val="single" w:sz="6" w:space="0" w:color="auto"/>
              <w:right w:val="single" w:sz="2" w:space="0" w:color="auto"/>
            </w:tcBorders>
            <w:shd w:val="clear" w:color="auto" w:fill="FFFFFF"/>
            <w:vAlign w:val="bottom"/>
          </w:tcPr>
          <w:p w14:paraId="62A58C69" w14:textId="77777777" w:rsidR="00BD1FE7" w:rsidRPr="005616AE" w:rsidRDefault="00BD1FE7" w:rsidP="00BD1FE7">
            <w:pPr>
              <w:spacing w:after="160"/>
              <w:rPr>
                <w:rFonts w:cs="Calibri"/>
              </w:rPr>
            </w:pPr>
            <w:r w:rsidRPr="005616AE">
              <w:rPr>
                <w:rFonts w:cs="Calibri"/>
              </w:rPr>
              <w:t>High</w:t>
            </w:r>
          </w:p>
        </w:tc>
        <w:tc>
          <w:tcPr>
            <w:tcW w:w="1408" w:type="dxa"/>
            <w:tcBorders>
              <w:top w:val="single" w:sz="2" w:space="0" w:color="auto"/>
              <w:left w:val="single" w:sz="6" w:space="0" w:color="auto"/>
              <w:bottom w:val="single" w:sz="6" w:space="0" w:color="auto"/>
              <w:right w:val="single" w:sz="2" w:space="0" w:color="auto"/>
            </w:tcBorders>
            <w:shd w:val="clear" w:color="auto" w:fill="FFFFFF"/>
            <w:vAlign w:val="bottom"/>
          </w:tcPr>
          <w:p w14:paraId="04088325" w14:textId="77777777" w:rsidR="00BD1FE7" w:rsidRPr="005616AE" w:rsidRDefault="00BD1FE7" w:rsidP="00BD1FE7">
            <w:pPr>
              <w:spacing w:after="160"/>
              <w:rPr>
                <w:rFonts w:cs="Calibri"/>
              </w:rPr>
            </w:pPr>
            <w:r w:rsidRPr="005616AE">
              <w:rPr>
                <w:rFonts w:cs="Calibri"/>
              </w:rPr>
              <w:t>Medium</w:t>
            </w:r>
          </w:p>
        </w:tc>
        <w:tc>
          <w:tcPr>
            <w:tcW w:w="3021" w:type="dxa"/>
            <w:tcBorders>
              <w:top w:val="single" w:sz="2" w:space="0" w:color="auto"/>
              <w:left w:val="single" w:sz="6" w:space="0" w:color="auto"/>
              <w:bottom w:val="single" w:sz="6" w:space="0" w:color="auto"/>
              <w:right w:val="single" w:sz="6" w:space="0" w:color="auto"/>
            </w:tcBorders>
            <w:shd w:val="clear" w:color="auto" w:fill="FFFFFF"/>
            <w:vAlign w:val="bottom"/>
          </w:tcPr>
          <w:p w14:paraId="559BE49A" w14:textId="77777777" w:rsidR="00BD1FE7" w:rsidRPr="005616AE" w:rsidRDefault="00BD1FE7" w:rsidP="00BD1FE7">
            <w:pPr>
              <w:spacing w:after="160"/>
              <w:rPr>
                <w:rFonts w:cs="Calibri"/>
              </w:rPr>
            </w:pPr>
            <w:r w:rsidRPr="005616AE">
              <w:rPr>
                <w:rFonts w:cs="Calibri"/>
              </w:rPr>
              <w:t>Conduct regular audits and ensure adherence to privacy standards, such as GDPR or local equivalents.</w:t>
            </w:r>
          </w:p>
        </w:tc>
      </w:tr>
      <w:tr w:rsidR="00BD1FE7" w:rsidRPr="005616AE" w14:paraId="073CA39D" w14:textId="77777777" w:rsidTr="002E558F">
        <w:trPr>
          <w:jc w:val="center"/>
        </w:trPr>
        <w:tc>
          <w:tcPr>
            <w:tcW w:w="848" w:type="dxa"/>
          </w:tcPr>
          <w:p w14:paraId="395C13F5" w14:textId="77777777" w:rsidR="00BD1FE7" w:rsidRPr="005616AE" w:rsidRDefault="00BD1FE7" w:rsidP="00BD1FE7">
            <w:pPr>
              <w:spacing w:after="160"/>
              <w:rPr>
                <w:rFonts w:cs="Calibri"/>
              </w:rPr>
            </w:pPr>
            <w:r w:rsidRPr="005616AE">
              <w:rPr>
                <w:rFonts w:cs="Calibri"/>
              </w:rPr>
              <w:t>C5</w:t>
            </w:r>
          </w:p>
        </w:tc>
        <w:tc>
          <w:tcPr>
            <w:tcW w:w="2880" w:type="dxa"/>
          </w:tcPr>
          <w:p w14:paraId="1C7668EF" w14:textId="77777777" w:rsidR="00BD1FE7" w:rsidRPr="005616AE" w:rsidRDefault="00BD1FE7" w:rsidP="00BD1FE7">
            <w:pPr>
              <w:spacing w:after="160"/>
              <w:rPr>
                <w:rFonts w:cs="Calibri"/>
              </w:rPr>
            </w:pPr>
            <w:r w:rsidRPr="005616AE">
              <w:rPr>
                <w:rFonts w:cs="Calibri"/>
              </w:rPr>
              <w:t>Variance in international EV infrastructure regulations complicating scaling efforts.</w:t>
            </w:r>
          </w:p>
        </w:tc>
        <w:tc>
          <w:tcPr>
            <w:tcW w:w="1193" w:type="dxa"/>
          </w:tcPr>
          <w:p w14:paraId="05A464E1" w14:textId="77777777" w:rsidR="00BD1FE7" w:rsidRPr="005616AE" w:rsidRDefault="00BD1FE7" w:rsidP="00BD1FE7">
            <w:pPr>
              <w:spacing w:after="160"/>
              <w:rPr>
                <w:rFonts w:cs="Calibri"/>
              </w:rPr>
            </w:pPr>
            <w:r w:rsidRPr="005616AE">
              <w:rPr>
                <w:rFonts w:cs="Calibri"/>
              </w:rPr>
              <w:t>Medium</w:t>
            </w:r>
          </w:p>
        </w:tc>
        <w:tc>
          <w:tcPr>
            <w:tcW w:w="1408" w:type="dxa"/>
          </w:tcPr>
          <w:p w14:paraId="0EBECD3B" w14:textId="77777777" w:rsidR="00BD1FE7" w:rsidRPr="005616AE" w:rsidRDefault="00BD1FE7" w:rsidP="00BD1FE7">
            <w:pPr>
              <w:spacing w:after="160"/>
              <w:rPr>
                <w:rFonts w:cs="Calibri"/>
              </w:rPr>
            </w:pPr>
            <w:r w:rsidRPr="005616AE">
              <w:rPr>
                <w:rFonts w:cs="Calibri"/>
              </w:rPr>
              <w:t>Medium</w:t>
            </w:r>
          </w:p>
        </w:tc>
        <w:tc>
          <w:tcPr>
            <w:tcW w:w="3021" w:type="dxa"/>
          </w:tcPr>
          <w:p w14:paraId="48D3FA78" w14:textId="44A9309C" w:rsidR="00BD1FE7" w:rsidRPr="005616AE" w:rsidRDefault="00BD1FE7" w:rsidP="00BD1FE7">
            <w:pPr>
              <w:spacing w:after="160"/>
              <w:rPr>
                <w:rFonts w:cs="Calibri"/>
              </w:rPr>
            </w:pPr>
            <w:r w:rsidRPr="005616AE">
              <w:rPr>
                <w:rFonts w:cs="Calibri"/>
              </w:rPr>
              <w:t>Hire local compliance consultants for each region and standardi</w:t>
            </w:r>
            <w:r w:rsidR="00B37AFD" w:rsidRPr="005616AE">
              <w:rPr>
                <w:rFonts w:cs="Calibri"/>
              </w:rPr>
              <w:t>s</w:t>
            </w:r>
            <w:r w:rsidRPr="005616AE">
              <w:rPr>
                <w:rFonts w:cs="Calibri"/>
              </w:rPr>
              <w:t>e requirements during planning.</w:t>
            </w:r>
          </w:p>
        </w:tc>
      </w:tr>
      <w:tr w:rsidR="00D61DCD" w:rsidRPr="005616AE" w14:paraId="0298B41A" w14:textId="77777777" w:rsidTr="002E558F">
        <w:trPr>
          <w:jc w:val="center"/>
        </w:trPr>
        <w:tc>
          <w:tcPr>
            <w:tcW w:w="0" w:type="auto"/>
            <w:hideMark/>
          </w:tcPr>
          <w:p w14:paraId="3C5D8598" w14:textId="77777777" w:rsidR="00BD1FE7" w:rsidRPr="005616AE" w:rsidRDefault="00BD1FE7" w:rsidP="00BD1FE7">
            <w:pPr>
              <w:spacing w:after="160"/>
              <w:rPr>
                <w:rFonts w:cs="Calibri"/>
              </w:rPr>
            </w:pPr>
            <w:r w:rsidRPr="005616AE">
              <w:rPr>
                <w:rFonts w:cs="Calibri"/>
              </w:rPr>
              <w:t>C6</w:t>
            </w:r>
          </w:p>
        </w:tc>
        <w:tc>
          <w:tcPr>
            <w:tcW w:w="0" w:type="auto"/>
            <w:hideMark/>
          </w:tcPr>
          <w:p w14:paraId="6ADADD9A" w14:textId="77777777" w:rsidR="00BD1FE7" w:rsidRPr="005616AE" w:rsidRDefault="00BD1FE7" w:rsidP="00BD1FE7">
            <w:pPr>
              <w:spacing w:after="160"/>
              <w:rPr>
                <w:rFonts w:cs="Calibri"/>
              </w:rPr>
            </w:pPr>
            <w:r w:rsidRPr="005616AE">
              <w:rPr>
                <w:rFonts w:cs="Calibri"/>
              </w:rPr>
              <w:t>Changes in government policies or subsidies for EV infrastructure reducing project profitability.</w:t>
            </w:r>
          </w:p>
        </w:tc>
        <w:tc>
          <w:tcPr>
            <w:tcW w:w="0" w:type="auto"/>
            <w:hideMark/>
          </w:tcPr>
          <w:p w14:paraId="69743E6D" w14:textId="77777777" w:rsidR="00BD1FE7" w:rsidRPr="005616AE" w:rsidRDefault="00BD1FE7" w:rsidP="00BD1FE7">
            <w:pPr>
              <w:spacing w:after="160"/>
              <w:rPr>
                <w:rFonts w:cs="Calibri"/>
              </w:rPr>
            </w:pPr>
            <w:r w:rsidRPr="005616AE">
              <w:rPr>
                <w:rFonts w:cs="Calibri"/>
              </w:rPr>
              <w:t>High</w:t>
            </w:r>
          </w:p>
        </w:tc>
        <w:tc>
          <w:tcPr>
            <w:tcW w:w="0" w:type="auto"/>
            <w:hideMark/>
          </w:tcPr>
          <w:p w14:paraId="2B8BC194" w14:textId="77777777" w:rsidR="00BD1FE7" w:rsidRPr="005616AE" w:rsidRDefault="00BD1FE7" w:rsidP="00BD1FE7">
            <w:pPr>
              <w:spacing w:after="160"/>
              <w:rPr>
                <w:rFonts w:cs="Calibri"/>
              </w:rPr>
            </w:pPr>
            <w:r w:rsidRPr="005616AE">
              <w:rPr>
                <w:rFonts w:cs="Calibri"/>
              </w:rPr>
              <w:t>Medium</w:t>
            </w:r>
          </w:p>
        </w:tc>
        <w:tc>
          <w:tcPr>
            <w:tcW w:w="0" w:type="auto"/>
            <w:hideMark/>
          </w:tcPr>
          <w:p w14:paraId="2B8E0669" w14:textId="77777777" w:rsidR="00BD1FE7" w:rsidRPr="005616AE" w:rsidRDefault="00BD1FE7" w:rsidP="00BD1FE7">
            <w:pPr>
              <w:spacing w:after="160"/>
              <w:rPr>
                <w:rFonts w:cs="Calibri"/>
              </w:rPr>
            </w:pPr>
            <w:r w:rsidRPr="005616AE">
              <w:rPr>
                <w:rFonts w:cs="Calibri"/>
              </w:rPr>
              <w:t>Monitor policy changes and establish contingency plans to adapt business models accordingly.</w:t>
            </w:r>
          </w:p>
        </w:tc>
      </w:tr>
      <w:tr w:rsidR="00D61DCD" w:rsidRPr="005616AE" w14:paraId="23826341" w14:textId="77777777" w:rsidTr="002E558F">
        <w:trPr>
          <w:jc w:val="center"/>
        </w:trPr>
        <w:tc>
          <w:tcPr>
            <w:tcW w:w="0" w:type="auto"/>
            <w:hideMark/>
          </w:tcPr>
          <w:p w14:paraId="374207A3" w14:textId="77777777" w:rsidR="00BD1FE7" w:rsidRPr="005616AE" w:rsidRDefault="00BD1FE7" w:rsidP="00BD1FE7">
            <w:pPr>
              <w:spacing w:after="160"/>
              <w:rPr>
                <w:rFonts w:cs="Calibri"/>
              </w:rPr>
            </w:pPr>
            <w:r w:rsidRPr="005616AE">
              <w:rPr>
                <w:rFonts w:cs="Calibri"/>
              </w:rPr>
              <w:t>C7</w:t>
            </w:r>
          </w:p>
        </w:tc>
        <w:tc>
          <w:tcPr>
            <w:tcW w:w="0" w:type="auto"/>
            <w:hideMark/>
          </w:tcPr>
          <w:p w14:paraId="7B2BC8E9" w14:textId="77777777" w:rsidR="00BD1FE7" w:rsidRPr="005616AE" w:rsidRDefault="00BD1FE7" w:rsidP="00BD1FE7">
            <w:pPr>
              <w:spacing w:after="160"/>
              <w:rPr>
                <w:rFonts w:cs="Calibri"/>
              </w:rPr>
            </w:pPr>
            <w:r w:rsidRPr="005616AE">
              <w:rPr>
                <w:rFonts w:cs="Calibri"/>
              </w:rPr>
              <w:t>Intellectual property disputes over wireless charging patents.</w:t>
            </w:r>
          </w:p>
        </w:tc>
        <w:tc>
          <w:tcPr>
            <w:tcW w:w="0" w:type="auto"/>
            <w:hideMark/>
          </w:tcPr>
          <w:p w14:paraId="59C79B8A" w14:textId="77777777" w:rsidR="00BD1FE7" w:rsidRPr="005616AE" w:rsidRDefault="00BD1FE7" w:rsidP="00BD1FE7">
            <w:pPr>
              <w:spacing w:after="160"/>
              <w:rPr>
                <w:rFonts w:cs="Calibri"/>
              </w:rPr>
            </w:pPr>
            <w:r w:rsidRPr="005616AE">
              <w:rPr>
                <w:rFonts w:cs="Calibri"/>
              </w:rPr>
              <w:t>High</w:t>
            </w:r>
          </w:p>
        </w:tc>
        <w:tc>
          <w:tcPr>
            <w:tcW w:w="0" w:type="auto"/>
            <w:hideMark/>
          </w:tcPr>
          <w:p w14:paraId="59A6D193" w14:textId="77777777" w:rsidR="00BD1FE7" w:rsidRPr="005616AE" w:rsidRDefault="00BD1FE7" w:rsidP="00BD1FE7">
            <w:pPr>
              <w:spacing w:after="160"/>
              <w:rPr>
                <w:rFonts w:cs="Calibri"/>
              </w:rPr>
            </w:pPr>
            <w:r w:rsidRPr="005616AE">
              <w:rPr>
                <w:rFonts w:cs="Calibri"/>
              </w:rPr>
              <w:t>Low</w:t>
            </w:r>
          </w:p>
        </w:tc>
        <w:tc>
          <w:tcPr>
            <w:tcW w:w="0" w:type="auto"/>
            <w:hideMark/>
          </w:tcPr>
          <w:p w14:paraId="6FC2E970" w14:textId="77777777" w:rsidR="00BD1FE7" w:rsidRPr="005616AE" w:rsidRDefault="00BD1FE7" w:rsidP="00BD1FE7">
            <w:pPr>
              <w:spacing w:after="160"/>
              <w:rPr>
                <w:rFonts w:cs="Calibri"/>
              </w:rPr>
            </w:pPr>
            <w:r w:rsidRPr="005616AE">
              <w:rPr>
                <w:rFonts w:cs="Calibri"/>
              </w:rPr>
              <w:t>Conduct thorough due diligence on WiTricity’s patent portfolio and consult legal experts for risk mitigation.</w:t>
            </w:r>
          </w:p>
        </w:tc>
      </w:tr>
      <w:tr w:rsidR="00D61DCD" w:rsidRPr="005616AE" w14:paraId="6730B08F" w14:textId="77777777" w:rsidTr="002E558F">
        <w:trPr>
          <w:jc w:val="center"/>
        </w:trPr>
        <w:tc>
          <w:tcPr>
            <w:tcW w:w="0" w:type="auto"/>
            <w:hideMark/>
          </w:tcPr>
          <w:p w14:paraId="5C2667F0" w14:textId="77777777" w:rsidR="00BD1FE7" w:rsidRPr="005616AE" w:rsidRDefault="00BD1FE7" w:rsidP="00BD1FE7">
            <w:pPr>
              <w:spacing w:after="160"/>
              <w:rPr>
                <w:rFonts w:cs="Calibri"/>
              </w:rPr>
            </w:pPr>
            <w:r w:rsidRPr="005616AE">
              <w:rPr>
                <w:rFonts w:cs="Calibri"/>
              </w:rPr>
              <w:t>C8</w:t>
            </w:r>
          </w:p>
        </w:tc>
        <w:tc>
          <w:tcPr>
            <w:tcW w:w="0" w:type="auto"/>
            <w:hideMark/>
          </w:tcPr>
          <w:p w14:paraId="486E4C49" w14:textId="77777777" w:rsidR="00BD1FE7" w:rsidRPr="005616AE" w:rsidRDefault="00BD1FE7" w:rsidP="00BD1FE7">
            <w:pPr>
              <w:spacing w:after="160"/>
              <w:rPr>
                <w:rFonts w:cs="Calibri"/>
              </w:rPr>
            </w:pPr>
            <w:r w:rsidRPr="005616AE">
              <w:rPr>
                <w:rFonts w:cs="Calibri"/>
              </w:rPr>
              <w:t>Complexity in meeting international standards for electromagnetic radiation limits.</w:t>
            </w:r>
          </w:p>
        </w:tc>
        <w:tc>
          <w:tcPr>
            <w:tcW w:w="0" w:type="auto"/>
            <w:hideMark/>
          </w:tcPr>
          <w:p w14:paraId="4A716E27" w14:textId="77777777" w:rsidR="00BD1FE7" w:rsidRPr="005616AE" w:rsidRDefault="00BD1FE7" w:rsidP="00BD1FE7">
            <w:pPr>
              <w:spacing w:after="160"/>
              <w:rPr>
                <w:rFonts w:cs="Calibri"/>
              </w:rPr>
            </w:pPr>
            <w:r w:rsidRPr="005616AE">
              <w:rPr>
                <w:rFonts w:cs="Calibri"/>
              </w:rPr>
              <w:t>Medium</w:t>
            </w:r>
          </w:p>
        </w:tc>
        <w:tc>
          <w:tcPr>
            <w:tcW w:w="0" w:type="auto"/>
            <w:hideMark/>
          </w:tcPr>
          <w:p w14:paraId="7C9B9BA4" w14:textId="77777777" w:rsidR="00BD1FE7" w:rsidRPr="005616AE" w:rsidRDefault="00BD1FE7" w:rsidP="00BD1FE7">
            <w:pPr>
              <w:spacing w:after="160"/>
              <w:rPr>
                <w:rFonts w:cs="Calibri"/>
              </w:rPr>
            </w:pPr>
            <w:r w:rsidRPr="005616AE">
              <w:rPr>
                <w:rFonts w:cs="Calibri"/>
              </w:rPr>
              <w:t>Medium</w:t>
            </w:r>
          </w:p>
        </w:tc>
        <w:tc>
          <w:tcPr>
            <w:tcW w:w="0" w:type="auto"/>
            <w:hideMark/>
          </w:tcPr>
          <w:p w14:paraId="78AEDBBC" w14:textId="77777777" w:rsidR="00BD1FE7" w:rsidRPr="005616AE" w:rsidRDefault="00BD1FE7" w:rsidP="00BD1FE7">
            <w:pPr>
              <w:spacing w:after="160"/>
              <w:rPr>
                <w:rFonts w:cs="Calibri"/>
              </w:rPr>
            </w:pPr>
            <w:r w:rsidRPr="005616AE">
              <w:rPr>
                <w:rFonts w:cs="Calibri"/>
              </w:rPr>
              <w:t>Work with regulatory bodies to ensure compliance and conduct internal testing for emissions standards.</w:t>
            </w:r>
          </w:p>
        </w:tc>
      </w:tr>
      <w:tr w:rsidR="00D61DCD" w:rsidRPr="005616AE" w14:paraId="57FE041A" w14:textId="77777777" w:rsidTr="002E558F">
        <w:trPr>
          <w:jc w:val="center"/>
        </w:trPr>
        <w:tc>
          <w:tcPr>
            <w:tcW w:w="0" w:type="auto"/>
            <w:hideMark/>
          </w:tcPr>
          <w:p w14:paraId="51F24221" w14:textId="77777777" w:rsidR="00BD1FE7" w:rsidRPr="005616AE" w:rsidRDefault="00BD1FE7" w:rsidP="00BD1FE7">
            <w:pPr>
              <w:spacing w:after="160"/>
              <w:rPr>
                <w:rFonts w:cs="Calibri"/>
              </w:rPr>
            </w:pPr>
            <w:r w:rsidRPr="005616AE">
              <w:rPr>
                <w:rFonts w:cs="Calibri"/>
              </w:rPr>
              <w:t>C9</w:t>
            </w:r>
          </w:p>
        </w:tc>
        <w:tc>
          <w:tcPr>
            <w:tcW w:w="0" w:type="auto"/>
            <w:hideMark/>
          </w:tcPr>
          <w:p w14:paraId="55DFC035" w14:textId="77777777" w:rsidR="00BD1FE7" w:rsidRPr="005616AE" w:rsidRDefault="00BD1FE7" w:rsidP="00BD1FE7">
            <w:pPr>
              <w:spacing w:after="160"/>
              <w:rPr>
                <w:rFonts w:cs="Calibri"/>
              </w:rPr>
            </w:pPr>
            <w:r w:rsidRPr="005616AE">
              <w:rPr>
                <w:rFonts w:cs="Calibri"/>
              </w:rPr>
              <w:t>Barriers to entry in new regions due to local utility regulations.</w:t>
            </w:r>
          </w:p>
        </w:tc>
        <w:tc>
          <w:tcPr>
            <w:tcW w:w="0" w:type="auto"/>
            <w:hideMark/>
          </w:tcPr>
          <w:p w14:paraId="03DD9164" w14:textId="77777777" w:rsidR="00BD1FE7" w:rsidRPr="005616AE" w:rsidRDefault="00BD1FE7" w:rsidP="00BD1FE7">
            <w:pPr>
              <w:spacing w:after="160"/>
              <w:rPr>
                <w:rFonts w:cs="Calibri"/>
              </w:rPr>
            </w:pPr>
            <w:r w:rsidRPr="005616AE">
              <w:rPr>
                <w:rFonts w:cs="Calibri"/>
              </w:rPr>
              <w:t>Medium</w:t>
            </w:r>
          </w:p>
        </w:tc>
        <w:tc>
          <w:tcPr>
            <w:tcW w:w="0" w:type="auto"/>
            <w:hideMark/>
          </w:tcPr>
          <w:p w14:paraId="661F5E86" w14:textId="77777777" w:rsidR="00BD1FE7" w:rsidRPr="005616AE" w:rsidRDefault="00BD1FE7" w:rsidP="00BD1FE7">
            <w:pPr>
              <w:spacing w:after="160"/>
              <w:rPr>
                <w:rFonts w:cs="Calibri"/>
              </w:rPr>
            </w:pPr>
            <w:r w:rsidRPr="005616AE">
              <w:rPr>
                <w:rFonts w:cs="Calibri"/>
              </w:rPr>
              <w:t>Medium</w:t>
            </w:r>
          </w:p>
        </w:tc>
        <w:tc>
          <w:tcPr>
            <w:tcW w:w="0" w:type="auto"/>
            <w:hideMark/>
          </w:tcPr>
          <w:p w14:paraId="5C7A3988" w14:textId="77777777" w:rsidR="00BD1FE7" w:rsidRPr="005616AE" w:rsidRDefault="00BD1FE7" w:rsidP="00BD1FE7">
            <w:pPr>
              <w:spacing w:after="160"/>
              <w:rPr>
                <w:rFonts w:cs="Calibri"/>
              </w:rPr>
            </w:pPr>
            <w:r w:rsidRPr="005616AE">
              <w:rPr>
                <w:rFonts w:cs="Calibri"/>
              </w:rPr>
              <w:t>Partner with local entities and utility companies to navigate regulatory frameworks.</w:t>
            </w:r>
          </w:p>
        </w:tc>
      </w:tr>
    </w:tbl>
    <w:p w14:paraId="46F03049" w14:textId="77777777" w:rsidR="00BD1FE7" w:rsidRPr="005616AE" w:rsidRDefault="00BD1FE7" w:rsidP="00BD1FE7">
      <w:pPr>
        <w:rPr>
          <w:rFonts w:cs="Calibri"/>
        </w:rPr>
      </w:pPr>
    </w:p>
    <w:p w14:paraId="07794E5E" w14:textId="77777777" w:rsidR="00BD1FE7" w:rsidRPr="005616AE" w:rsidRDefault="00BD1FE7" w:rsidP="00490438">
      <w:pPr>
        <w:pStyle w:val="Heading3"/>
        <w:rPr>
          <w:rFonts w:cs="Calibri"/>
        </w:rPr>
      </w:pPr>
      <w:bookmarkStart w:id="55" w:name="_Toc183211071"/>
      <w:r w:rsidRPr="005616AE">
        <w:rPr>
          <w:rFonts w:cs="Calibri"/>
        </w:rPr>
        <w:t>Market</w:t>
      </w:r>
      <w:bookmarkEnd w:id="55"/>
    </w:p>
    <w:p w14:paraId="53C02A90" w14:textId="77777777" w:rsidR="00BD1FE7" w:rsidRPr="005616AE" w:rsidRDefault="00BD1FE7" w:rsidP="00BD1FE7">
      <w:pPr>
        <w:rPr>
          <w:rFonts w:cs="Calibri"/>
        </w:rPr>
      </w:pPr>
      <w:r w:rsidRPr="005616AE">
        <w:rPr>
          <w:rFonts w:cs="Calibri"/>
        </w:rPr>
        <w:t xml:space="preserve">Market risks include customer acceptance, competitive </w:t>
      </w:r>
      <w:proofErr w:type="gramStart"/>
      <w:r w:rsidRPr="005616AE">
        <w:rPr>
          <w:rFonts w:cs="Calibri"/>
        </w:rPr>
        <w:t>dynamics</w:t>
      </w:r>
      <w:proofErr w:type="gramEnd"/>
      <w:r w:rsidRPr="005616AE">
        <w:rPr>
          <w:rFonts w:cs="Calibri"/>
        </w:rPr>
        <w:t> and demand for wireless charging solutions. Consumer perceptions, adoption costs and competition from competing electric vehicle charging systems all have an impact on these concerns. Addressing these issues is critical to maintaining market sustainability and growth.</w:t>
      </w:r>
    </w:p>
    <w:tbl>
      <w:tblPr>
        <w:tblStyle w:val="TableGrid"/>
        <w:tblW w:w="0" w:type="auto"/>
        <w:tblInd w:w="0" w:type="dxa"/>
        <w:tblLook w:val="04A0" w:firstRow="1" w:lastRow="0" w:firstColumn="1" w:lastColumn="0" w:noHBand="0" w:noVBand="1"/>
      </w:tblPr>
      <w:tblGrid>
        <w:gridCol w:w="646"/>
        <w:gridCol w:w="3196"/>
        <w:gridCol w:w="1007"/>
        <w:gridCol w:w="1258"/>
        <w:gridCol w:w="3243"/>
      </w:tblGrid>
      <w:tr w:rsidR="00BD1FE7" w:rsidRPr="005616AE" w14:paraId="133DB56D" w14:textId="77777777" w:rsidTr="00F70F81">
        <w:tc>
          <w:tcPr>
            <w:tcW w:w="858" w:type="dxa"/>
          </w:tcPr>
          <w:p w14:paraId="0E2DBBEB" w14:textId="77777777" w:rsidR="00BD1FE7" w:rsidRPr="005616AE" w:rsidRDefault="00BD1FE7" w:rsidP="00F70F81">
            <w:pPr>
              <w:spacing w:after="160"/>
              <w:jc w:val="center"/>
              <w:rPr>
                <w:rFonts w:cs="Calibri"/>
                <w:b/>
                <w:bCs/>
              </w:rPr>
            </w:pPr>
            <w:r w:rsidRPr="005616AE">
              <w:rPr>
                <w:rFonts w:cs="Calibri"/>
                <w:b/>
                <w:bCs/>
              </w:rPr>
              <w:t>Risk ID</w:t>
            </w:r>
          </w:p>
        </w:tc>
        <w:tc>
          <w:tcPr>
            <w:tcW w:w="2925" w:type="dxa"/>
          </w:tcPr>
          <w:p w14:paraId="0B8EE58A" w14:textId="77777777" w:rsidR="00BD1FE7" w:rsidRPr="005616AE" w:rsidRDefault="00BD1FE7" w:rsidP="00F70F81">
            <w:pPr>
              <w:spacing w:after="160"/>
              <w:jc w:val="center"/>
              <w:rPr>
                <w:rFonts w:cs="Calibri"/>
                <w:b/>
                <w:bCs/>
              </w:rPr>
            </w:pPr>
            <w:r w:rsidRPr="005616AE">
              <w:rPr>
                <w:rFonts w:cs="Calibri"/>
                <w:b/>
                <w:bCs/>
              </w:rPr>
              <w:t>Risk Description</w:t>
            </w:r>
          </w:p>
        </w:tc>
        <w:tc>
          <w:tcPr>
            <w:tcW w:w="1138" w:type="dxa"/>
          </w:tcPr>
          <w:p w14:paraId="04089755" w14:textId="77777777" w:rsidR="00BD1FE7" w:rsidRPr="005616AE" w:rsidRDefault="00BD1FE7" w:rsidP="00F70F81">
            <w:pPr>
              <w:spacing w:after="160"/>
              <w:jc w:val="center"/>
              <w:rPr>
                <w:rFonts w:cs="Calibri"/>
                <w:b/>
                <w:bCs/>
              </w:rPr>
            </w:pPr>
            <w:r w:rsidRPr="005616AE">
              <w:rPr>
                <w:rFonts w:cs="Calibri"/>
                <w:b/>
                <w:bCs/>
              </w:rPr>
              <w:t>Impact</w:t>
            </w:r>
          </w:p>
        </w:tc>
        <w:tc>
          <w:tcPr>
            <w:tcW w:w="1413" w:type="dxa"/>
          </w:tcPr>
          <w:p w14:paraId="58A25432" w14:textId="77777777" w:rsidR="00BD1FE7" w:rsidRPr="005616AE" w:rsidRDefault="00BD1FE7" w:rsidP="00F70F81">
            <w:pPr>
              <w:spacing w:after="160"/>
              <w:jc w:val="center"/>
              <w:rPr>
                <w:rFonts w:cs="Calibri"/>
                <w:b/>
                <w:bCs/>
              </w:rPr>
            </w:pPr>
            <w:r w:rsidRPr="005616AE">
              <w:rPr>
                <w:rFonts w:cs="Calibri"/>
                <w:b/>
                <w:bCs/>
              </w:rPr>
              <w:t>Probability</w:t>
            </w:r>
          </w:p>
        </w:tc>
        <w:tc>
          <w:tcPr>
            <w:tcW w:w="3016" w:type="dxa"/>
          </w:tcPr>
          <w:p w14:paraId="6684E478" w14:textId="77777777" w:rsidR="00BD1FE7" w:rsidRPr="005616AE" w:rsidRDefault="00BD1FE7" w:rsidP="00F70F81">
            <w:pPr>
              <w:spacing w:after="160"/>
              <w:jc w:val="center"/>
              <w:rPr>
                <w:rFonts w:cs="Calibri"/>
                <w:b/>
                <w:bCs/>
              </w:rPr>
            </w:pPr>
            <w:r w:rsidRPr="005616AE">
              <w:rPr>
                <w:rFonts w:cs="Calibri"/>
                <w:b/>
                <w:bCs/>
              </w:rPr>
              <w:t>Mitigation Strategy</w:t>
            </w:r>
          </w:p>
        </w:tc>
      </w:tr>
      <w:tr w:rsidR="00BD1FE7" w:rsidRPr="005616AE" w14:paraId="0E25DCCD" w14:textId="77777777" w:rsidTr="00F70F81">
        <w:tc>
          <w:tcPr>
            <w:tcW w:w="858" w:type="dxa"/>
          </w:tcPr>
          <w:p w14:paraId="4165C44E" w14:textId="77777777" w:rsidR="00BD1FE7" w:rsidRPr="005616AE" w:rsidRDefault="00BD1FE7" w:rsidP="00BD1FE7">
            <w:pPr>
              <w:spacing w:after="160"/>
              <w:rPr>
                <w:rFonts w:cs="Calibri"/>
              </w:rPr>
            </w:pPr>
            <w:r w:rsidRPr="005616AE">
              <w:rPr>
                <w:rFonts w:cs="Calibri"/>
              </w:rPr>
              <w:t>M1</w:t>
            </w:r>
          </w:p>
        </w:tc>
        <w:tc>
          <w:tcPr>
            <w:tcW w:w="2925" w:type="dxa"/>
            <w:tcBorders>
              <w:top w:val="single" w:sz="2" w:space="0" w:color="auto"/>
              <w:left w:val="single" w:sz="6" w:space="0" w:color="auto"/>
              <w:bottom w:val="single" w:sz="6" w:space="0" w:color="auto"/>
              <w:right w:val="single" w:sz="2" w:space="0" w:color="auto"/>
            </w:tcBorders>
            <w:shd w:val="clear" w:color="auto" w:fill="FFFFFF"/>
            <w:vAlign w:val="bottom"/>
          </w:tcPr>
          <w:p w14:paraId="7828B687" w14:textId="77777777" w:rsidR="00BD1FE7" w:rsidRPr="005616AE" w:rsidRDefault="00BD1FE7" w:rsidP="00BD1FE7">
            <w:pPr>
              <w:spacing w:after="160"/>
              <w:rPr>
                <w:rFonts w:cs="Calibri"/>
              </w:rPr>
            </w:pPr>
            <w:r w:rsidRPr="005616AE">
              <w:rPr>
                <w:rFonts w:cs="Calibri"/>
              </w:rPr>
              <w:t>Low customer adoption of wireless EV charging due to lack of awareness.</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4CEF6336" w14:textId="77777777" w:rsidR="00BD1FE7" w:rsidRPr="005616AE" w:rsidRDefault="00BD1FE7" w:rsidP="00BD1FE7">
            <w:pPr>
              <w:spacing w:after="160"/>
              <w:rPr>
                <w:rFonts w:cs="Calibri"/>
              </w:rPr>
            </w:pPr>
            <w:r w:rsidRPr="005616AE">
              <w:rPr>
                <w:rFonts w:cs="Calibri"/>
              </w:rPr>
              <w:t>Medium</w:t>
            </w:r>
          </w:p>
        </w:tc>
        <w:tc>
          <w:tcPr>
            <w:tcW w:w="1413" w:type="dxa"/>
            <w:tcBorders>
              <w:top w:val="single" w:sz="2" w:space="0" w:color="auto"/>
              <w:left w:val="single" w:sz="6" w:space="0" w:color="auto"/>
              <w:bottom w:val="single" w:sz="6" w:space="0" w:color="auto"/>
              <w:right w:val="single" w:sz="2" w:space="0" w:color="auto"/>
            </w:tcBorders>
            <w:shd w:val="clear" w:color="auto" w:fill="FFFFFF"/>
            <w:vAlign w:val="bottom"/>
          </w:tcPr>
          <w:p w14:paraId="16BDE65C" w14:textId="77777777" w:rsidR="00BD1FE7" w:rsidRPr="005616AE" w:rsidRDefault="00BD1FE7" w:rsidP="00BD1FE7">
            <w:pPr>
              <w:spacing w:after="160"/>
              <w:rPr>
                <w:rFonts w:cs="Calibri"/>
              </w:rPr>
            </w:pPr>
            <w:r w:rsidRPr="005616AE">
              <w:rPr>
                <w:rFonts w:cs="Calibri"/>
              </w:rPr>
              <w:t>High</w:t>
            </w:r>
          </w:p>
        </w:tc>
        <w:tc>
          <w:tcPr>
            <w:tcW w:w="3016" w:type="dxa"/>
            <w:tcBorders>
              <w:top w:val="single" w:sz="2" w:space="0" w:color="auto"/>
              <w:left w:val="single" w:sz="6" w:space="0" w:color="auto"/>
              <w:bottom w:val="single" w:sz="6" w:space="0" w:color="auto"/>
              <w:right w:val="single" w:sz="6" w:space="0" w:color="auto"/>
            </w:tcBorders>
            <w:shd w:val="clear" w:color="auto" w:fill="FFFFFF"/>
            <w:vAlign w:val="bottom"/>
          </w:tcPr>
          <w:p w14:paraId="0E3B25CD" w14:textId="77777777" w:rsidR="00BD1FE7" w:rsidRPr="005616AE" w:rsidRDefault="00BD1FE7" w:rsidP="00BD1FE7">
            <w:pPr>
              <w:spacing w:after="160"/>
              <w:rPr>
                <w:rFonts w:cs="Calibri"/>
              </w:rPr>
            </w:pPr>
            <w:r w:rsidRPr="005616AE">
              <w:rPr>
                <w:rFonts w:cs="Calibri"/>
              </w:rPr>
              <w:t xml:space="preserve">Launch educational campaigns </w:t>
            </w:r>
            <w:proofErr w:type="gramStart"/>
            <w:r w:rsidRPr="005616AE">
              <w:rPr>
                <w:rFonts w:cs="Calibri"/>
              </w:rPr>
              <w:t>showcasing</w:t>
            </w:r>
            <w:proofErr w:type="gramEnd"/>
            <w:r w:rsidRPr="005616AE">
              <w:rPr>
                <w:rFonts w:cs="Calibri"/>
              </w:rPr>
              <w:t xml:space="preserve"> the benefits and safety of wireless EV charging systems.</w:t>
            </w:r>
          </w:p>
        </w:tc>
      </w:tr>
      <w:tr w:rsidR="00BD1FE7" w:rsidRPr="005616AE" w14:paraId="49208BAB" w14:textId="77777777" w:rsidTr="00F70F81">
        <w:tc>
          <w:tcPr>
            <w:tcW w:w="858" w:type="dxa"/>
          </w:tcPr>
          <w:p w14:paraId="5D946835" w14:textId="77777777" w:rsidR="00BD1FE7" w:rsidRPr="005616AE" w:rsidRDefault="00BD1FE7" w:rsidP="00BD1FE7">
            <w:pPr>
              <w:spacing w:after="160"/>
              <w:rPr>
                <w:rFonts w:cs="Calibri"/>
              </w:rPr>
            </w:pPr>
            <w:r w:rsidRPr="005616AE">
              <w:rPr>
                <w:rFonts w:cs="Calibri"/>
              </w:rPr>
              <w:t>M2</w:t>
            </w:r>
          </w:p>
        </w:tc>
        <w:tc>
          <w:tcPr>
            <w:tcW w:w="2925" w:type="dxa"/>
            <w:tcBorders>
              <w:top w:val="single" w:sz="2" w:space="0" w:color="auto"/>
              <w:left w:val="single" w:sz="6" w:space="0" w:color="auto"/>
              <w:bottom w:val="single" w:sz="6" w:space="0" w:color="auto"/>
              <w:right w:val="single" w:sz="2" w:space="0" w:color="auto"/>
            </w:tcBorders>
            <w:shd w:val="clear" w:color="auto" w:fill="FFFFFF"/>
            <w:vAlign w:val="bottom"/>
          </w:tcPr>
          <w:p w14:paraId="216E9AE3" w14:textId="77777777" w:rsidR="00BD1FE7" w:rsidRPr="005616AE" w:rsidRDefault="00BD1FE7" w:rsidP="00BD1FE7">
            <w:pPr>
              <w:spacing w:after="160"/>
              <w:rPr>
                <w:rFonts w:cs="Calibri"/>
              </w:rPr>
            </w:pPr>
            <w:r w:rsidRPr="005616AE">
              <w:rPr>
                <w:rFonts w:cs="Calibri"/>
              </w:rPr>
              <w:t>Competition from advanced or cost-effective EV charging alternatives.</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2B38C3F1" w14:textId="77777777" w:rsidR="00BD1FE7" w:rsidRPr="005616AE" w:rsidRDefault="00BD1FE7" w:rsidP="00BD1FE7">
            <w:pPr>
              <w:spacing w:after="160"/>
              <w:rPr>
                <w:rFonts w:cs="Calibri"/>
              </w:rPr>
            </w:pPr>
            <w:r w:rsidRPr="005616AE">
              <w:rPr>
                <w:rFonts w:cs="Calibri"/>
              </w:rPr>
              <w:t>High</w:t>
            </w:r>
          </w:p>
        </w:tc>
        <w:tc>
          <w:tcPr>
            <w:tcW w:w="1413" w:type="dxa"/>
            <w:tcBorders>
              <w:top w:val="single" w:sz="2" w:space="0" w:color="auto"/>
              <w:left w:val="single" w:sz="6" w:space="0" w:color="auto"/>
              <w:bottom w:val="single" w:sz="6" w:space="0" w:color="auto"/>
              <w:right w:val="single" w:sz="2" w:space="0" w:color="auto"/>
            </w:tcBorders>
            <w:shd w:val="clear" w:color="auto" w:fill="FFFFFF"/>
            <w:vAlign w:val="bottom"/>
          </w:tcPr>
          <w:p w14:paraId="3BC1C759" w14:textId="77777777" w:rsidR="00BD1FE7" w:rsidRPr="005616AE" w:rsidRDefault="00BD1FE7" w:rsidP="00BD1FE7">
            <w:pPr>
              <w:spacing w:after="160"/>
              <w:rPr>
                <w:rFonts w:cs="Calibri"/>
              </w:rPr>
            </w:pPr>
            <w:r w:rsidRPr="005616AE">
              <w:rPr>
                <w:rFonts w:cs="Calibri"/>
              </w:rPr>
              <w:t>Medium</w:t>
            </w:r>
          </w:p>
        </w:tc>
        <w:tc>
          <w:tcPr>
            <w:tcW w:w="3016" w:type="dxa"/>
            <w:tcBorders>
              <w:top w:val="single" w:sz="2" w:space="0" w:color="auto"/>
              <w:left w:val="single" w:sz="6" w:space="0" w:color="auto"/>
              <w:bottom w:val="single" w:sz="6" w:space="0" w:color="auto"/>
              <w:right w:val="single" w:sz="6" w:space="0" w:color="auto"/>
            </w:tcBorders>
            <w:shd w:val="clear" w:color="auto" w:fill="FFFFFF"/>
            <w:vAlign w:val="bottom"/>
          </w:tcPr>
          <w:p w14:paraId="14097029" w14:textId="77777777" w:rsidR="00BD1FE7" w:rsidRPr="005616AE" w:rsidRDefault="00BD1FE7" w:rsidP="00BD1FE7">
            <w:pPr>
              <w:spacing w:after="160"/>
              <w:rPr>
                <w:rFonts w:cs="Calibri"/>
              </w:rPr>
            </w:pPr>
            <w:r w:rsidRPr="005616AE">
              <w:rPr>
                <w:rFonts w:cs="Calibri"/>
              </w:rPr>
              <w:t>Regularly monitor competitors and adapt pricing or features to remain competitive.</w:t>
            </w:r>
          </w:p>
        </w:tc>
      </w:tr>
      <w:tr w:rsidR="00BD1FE7" w:rsidRPr="005616AE" w14:paraId="5BCED997" w14:textId="77777777" w:rsidTr="00F70F81">
        <w:tc>
          <w:tcPr>
            <w:tcW w:w="858" w:type="dxa"/>
          </w:tcPr>
          <w:p w14:paraId="009AF07F" w14:textId="77777777" w:rsidR="00BD1FE7" w:rsidRPr="005616AE" w:rsidRDefault="00BD1FE7" w:rsidP="00BD1FE7">
            <w:pPr>
              <w:spacing w:after="160"/>
              <w:rPr>
                <w:rFonts w:cs="Calibri"/>
              </w:rPr>
            </w:pPr>
            <w:r w:rsidRPr="005616AE">
              <w:rPr>
                <w:rFonts w:cs="Calibri"/>
              </w:rPr>
              <w:lastRenderedPageBreak/>
              <w:t>M3</w:t>
            </w:r>
          </w:p>
        </w:tc>
        <w:tc>
          <w:tcPr>
            <w:tcW w:w="2925" w:type="dxa"/>
            <w:tcBorders>
              <w:top w:val="single" w:sz="2" w:space="0" w:color="auto"/>
              <w:left w:val="single" w:sz="6" w:space="0" w:color="auto"/>
              <w:bottom w:val="single" w:sz="6" w:space="0" w:color="auto"/>
              <w:right w:val="single" w:sz="2" w:space="0" w:color="auto"/>
            </w:tcBorders>
            <w:shd w:val="clear" w:color="auto" w:fill="FFFFFF"/>
            <w:vAlign w:val="bottom"/>
          </w:tcPr>
          <w:p w14:paraId="5308F5A7" w14:textId="77777777" w:rsidR="00BD1FE7" w:rsidRPr="005616AE" w:rsidRDefault="00BD1FE7" w:rsidP="00BD1FE7">
            <w:pPr>
              <w:spacing w:after="160"/>
              <w:rPr>
                <w:rFonts w:cs="Calibri"/>
              </w:rPr>
            </w:pPr>
            <w:r w:rsidRPr="005616AE">
              <w:rPr>
                <w:rFonts w:cs="Calibri"/>
              </w:rPr>
              <w:t>Resistance from automotive manufacturers to adopt WiTricity’s technology.</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19C4E662" w14:textId="77777777" w:rsidR="00BD1FE7" w:rsidRPr="005616AE" w:rsidRDefault="00BD1FE7" w:rsidP="00BD1FE7">
            <w:pPr>
              <w:spacing w:after="160"/>
              <w:rPr>
                <w:rFonts w:cs="Calibri"/>
              </w:rPr>
            </w:pPr>
            <w:r w:rsidRPr="005616AE">
              <w:rPr>
                <w:rFonts w:cs="Calibri"/>
              </w:rPr>
              <w:t>High</w:t>
            </w:r>
          </w:p>
        </w:tc>
        <w:tc>
          <w:tcPr>
            <w:tcW w:w="1413" w:type="dxa"/>
            <w:tcBorders>
              <w:top w:val="single" w:sz="2" w:space="0" w:color="auto"/>
              <w:left w:val="single" w:sz="6" w:space="0" w:color="auto"/>
              <w:bottom w:val="single" w:sz="6" w:space="0" w:color="auto"/>
              <w:right w:val="single" w:sz="2" w:space="0" w:color="auto"/>
            </w:tcBorders>
            <w:shd w:val="clear" w:color="auto" w:fill="FFFFFF"/>
            <w:vAlign w:val="bottom"/>
          </w:tcPr>
          <w:p w14:paraId="31C6ECF5" w14:textId="77777777" w:rsidR="00BD1FE7" w:rsidRPr="005616AE" w:rsidRDefault="00BD1FE7" w:rsidP="00BD1FE7">
            <w:pPr>
              <w:spacing w:after="160"/>
              <w:rPr>
                <w:rFonts w:cs="Calibri"/>
              </w:rPr>
            </w:pPr>
            <w:r w:rsidRPr="005616AE">
              <w:rPr>
                <w:rFonts w:cs="Calibri"/>
              </w:rPr>
              <w:t>Medium</w:t>
            </w:r>
          </w:p>
        </w:tc>
        <w:tc>
          <w:tcPr>
            <w:tcW w:w="3016" w:type="dxa"/>
            <w:tcBorders>
              <w:top w:val="single" w:sz="2" w:space="0" w:color="auto"/>
              <w:left w:val="single" w:sz="6" w:space="0" w:color="auto"/>
              <w:bottom w:val="single" w:sz="6" w:space="0" w:color="auto"/>
              <w:right w:val="single" w:sz="6" w:space="0" w:color="auto"/>
            </w:tcBorders>
            <w:shd w:val="clear" w:color="auto" w:fill="FFFFFF"/>
            <w:vAlign w:val="bottom"/>
          </w:tcPr>
          <w:p w14:paraId="377D450D" w14:textId="77777777" w:rsidR="00BD1FE7" w:rsidRPr="005616AE" w:rsidRDefault="00BD1FE7" w:rsidP="00BD1FE7">
            <w:pPr>
              <w:spacing w:after="160"/>
              <w:rPr>
                <w:rFonts w:cs="Calibri"/>
              </w:rPr>
            </w:pPr>
            <w:r w:rsidRPr="005616AE">
              <w:rPr>
                <w:rFonts w:cs="Calibri"/>
              </w:rPr>
              <w:t>Collaborate with key manufacturers to promote compatibility and co-develop industry standards.</w:t>
            </w:r>
          </w:p>
        </w:tc>
      </w:tr>
      <w:tr w:rsidR="00BD1FE7" w:rsidRPr="005616AE" w14:paraId="05D92CE3" w14:textId="77777777" w:rsidTr="00F70F81">
        <w:tc>
          <w:tcPr>
            <w:tcW w:w="858" w:type="dxa"/>
          </w:tcPr>
          <w:p w14:paraId="297E55D7" w14:textId="77777777" w:rsidR="00BD1FE7" w:rsidRPr="005616AE" w:rsidRDefault="00BD1FE7" w:rsidP="00BD1FE7">
            <w:pPr>
              <w:spacing w:after="160"/>
              <w:rPr>
                <w:rFonts w:cs="Calibri"/>
              </w:rPr>
            </w:pPr>
            <w:r w:rsidRPr="005616AE">
              <w:rPr>
                <w:rFonts w:cs="Calibri"/>
              </w:rPr>
              <w:t>M4</w:t>
            </w:r>
          </w:p>
        </w:tc>
        <w:tc>
          <w:tcPr>
            <w:tcW w:w="2925" w:type="dxa"/>
            <w:tcBorders>
              <w:top w:val="single" w:sz="2" w:space="0" w:color="auto"/>
              <w:left w:val="single" w:sz="6" w:space="0" w:color="auto"/>
              <w:bottom w:val="single" w:sz="6" w:space="0" w:color="auto"/>
              <w:right w:val="single" w:sz="2" w:space="0" w:color="auto"/>
            </w:tcBorders>
            <w:shd w:val="clear" w:color="auto" w:fill="FFFFFF"/>
            <w:vAlign w:val="bottom"/>
          </w:tcPr>
          <w:p w14:paraId="6EAFE6BB" w14:textId="77777777" w:rsidR="00BD1FE7" w:rsidRPr="005616AE" w:rsidRDefault="00BD1FE7" w:rsidP="00BD1FE7">
            <w:pPr>
              <w:spacing w:after="160"/>
              <w:rPr>
                <w:rFonts w:cs="Calibri"/>
              </w:rPr>
            </w:pPr>
            <w:r w:rsidRPr="005616AE">
              <w:rPr>
                <w:rFonts w:cs="Calibri"/>
              </w:rPr>
              <w:t>Insufficient engagement from TD Bank’s customers in adopting the EV charging service.</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6D3374AA" w14:textId="77777777" w:rsidR="00BD1FE7" w:rsidRPr="005616AE" w:rsidRDefault="00BD1FE7" w:rsidP="00BD1FE7">
            <w:pPr>
              <w:spacing w:after="160"/>
              <w:rPr>
                <w:rFonts w:cs="Calibri"/>
              </w:rPr>
            </w:pPr>
            <w:r w:rsidRPr="005616AE">
              <w:rPr>
                <w:rFonts w:cs="Calibri"/>
              </w:rPr>
              <w:t>Medium</w:t>
            </w:r>
          </w:p>
        </w:tc>
        <w:tc>
          <w:tcPr>
            <w:tcW w:w="1413" w:type="dxa"/>
            <w:tcBorders>
              <w:top w:val="single" w:sz="2" w:space="0" w:color="auto"/>
              <w:left w:val="single" w:sz="6" w:space="0" w:color="auto"/>
              <w:bottom w:val="single" w:sz="6" w:space="0" w:color="auto"/>
              <w:right w:val="single" w:sz="2" w:space="0" w:color="auto"/>
            </w:tcBorders>
            <w:shd w:val="clear" w:color="auto" w:fill="FFFFFF"/>
            <w:vAlign w:val="bottom"/>
          </w:tcPr>
          <w:p w14:paraId="6A0F8AC7" w14:textId="77777777" w:rsidR="00BD1FE7" w:rsidRPr="005616AE" w:rsidRDefault="00BD1FE7" w:rsidP="00BD1FE7">
            <w:pPr>
              <w:spacing w:after="160"/>
              <w:rPr>
                <w:rFonts w:cs="Calibri"/>
              </w:rPr>
            </w:pPr>
            <w:r w:rsidRPr="005616AE">
              <w:rPr>
                <w:rFonts w:cs="Calibri"/>
              </w:rPr>
              <w:t>Medium</w:t>
            </w:r>
          </w:p>
        </w:tc>
        <w:tc>
          <w:tcPr>
            <w:tcW w:w="3016" w:type="dxa"/>
            <w:tcBorders>
              <w:top w:val="single" w:sz="2" w:space="0" w:color="auto"/>
              <w:left w:val="single" w:sz="6" w:space="0" w:color="auto"/>
              <w:bottom w:val="single" w:sz="6" w:space="0" w:color="auto"/>
              <w:right w:val="single" w:sz="6" w:space="0" w:color="auto"/>
            </w:tcBorders>
            <w:shd w:val="clear" w:color="auto" w:fill="FFFFFF"/>
            <w:vAlign w:val="bottom"/>
          </w:tcPr>
          <w:p w14:paraId="714BD938" w14:textId="77777777" w:rsidR="00BD1FE7" w:rsidRPr="005616AE" w:rsidRDefault="00BD1FE7" w:rsidP="00BD1FE7">
            <w:pPr>
              <w:spacing w:after="160"/>
              <w:rPr>
                <w:rFonts w:cs="Calibri"/>
              </w:rPr>
            </w:pPr>
            <w:r w:rsidRPr="005616AE">
              <w:rPr>
                <w:rFonts w:cs="Calibri"/>
              </w:rPr>
              <w:t>Provide incentives such as loyalty rewards for customers using the wireless charging service.</w:t>
            </w:r>
          </w:p>
        </w:tc>
      </w:tr>
      <w:tr w:rsidR="00BD1FE7" w:rsidRPr="005616AE" w14:paraId="0939B309" w14:textId="77777777" w:rsidTr="00F70F81">
        <w:tc>
          <w:tcPr>
            <w:tcW w:w="858" w:type="dxa"/>
          </w:tcPr>
          <w:p w14:paraId="779BB789" w14:textId="77777777" w:rsidR="00BD1FE7" w:rsidRPr="005616AE" w:rsidRDefault="00BD1FE7" w:rsidP="00BD1FE7">
            <w:pPr>
              <w:spacing w:after="160"/>
              <w:rPr>
                <w:rFonts w:cs="Calibri"/>
              </w:rPr>
            </w:pPr>
            <w:r w:rsidRPr="005616AE">
              <w:rPr>
                <w:rFonts w:cs="Calibri"/>
              </w:rPr>
              <w:t>M5</w:t>
            </w:r>
          </w:p>
        </w:tc>
        <w:tc>
          <w:tcPr>
            <w:tcW w:w="2925" w:type="dxa"/>
            <w:tcBorders>
              <w:top w:val="single" w:sz="2" w:space="0" w:color="auto"/>
              <w:left w:val="single" w:sz="6" w:space="0" w:color="auto"/>
              <w:bottom w:val="single" w:sz="6" w:space="0" w:color="auto"/>
              <w:right w:val="single" w:sz="2" w:space="0" w:color="auto"/>
            </w:tcBorders>
            <w:shd w:val="clear" w:color="auto" w:fill="FFFFFF"/>
            <w:vAlign w:val="bottom"/>
          </w:tcPr>
          <w:p w14:paraId="2BDCF004" w14:textId="77777777" w:rsidR="00BD1FE7" w:rsidRPr="005616AE" w:rsidRDefault="00BD1FE7" w:rsidP="00BD1FE7">
            <w:pPr>
              <w:spacing w:after="160"/>
              <w:rPr>
                <w:rFonts w:cs="Calibri"/>
              </w:rPr>
            </w:pPr>
            <w:r w:rsidRPr="005616AE">
              <w:rPr>
                <w:rFonts w:cs="Calibri"/>
              </w:rPr>
              <w:t>Customer switching costs making transition from traditional chargers difficult.</w:t>
            </w:r>
          </w:p>
        </w:tc>
        <w:tc>
          <w:tcPr>
            <w:tcW w:w="1138" w:type="dxa"/>
            <w:tcBorders>
              <w:top w:val="single" w:sz="2" w:space="0" w:color="auto"/>
              <w:left w:val="single" w:sz="6" w:space="0" w:color="auto"/>
              <w:bottom w:val="single" w:sz="6" w:space="0" w:color="auto"/>
              <w:right w:val="single" w:sz="2" w:space="0" w:color="auto"/>
            </w:tcBorders>
            <w:shd w:val="clear" w:color="auto" w:fill="FFFFFF"/>
            <w:vAlign w:val="bottom"/>
          </w:tcPr>
          <w:p w14:paraId="55F09CFF" w14:textId="77777777" w:rsidR="00BD1FE7" w:rsidRPr="005616AE" w:rsidRDefault="00BD1FE7" w:rsidP="00BD1FE7">
            <w:pPr>
              <w:spacing w:after="160"/>
              <w:rPr>
                <w:rFonts w:cs="Calibri"/>
              </w:rPr>
            </w:pPr>
            <w:r w:rsidRPr="005616AE">
              <w:rPr>
                <w:rFonts w:cs="Calibri"/>
              </w:rPr>
              <w:t>Medium</w:t>
            </w:r>
          </w:p>
        </w:tc>
        <w:tc>
          <w:tcPr>
            <w:tcW w:w="1413" w:type="dxa"/>
            <w:tcBorders>
              <w:top w:val="single" w:sz="2" w:space="0" w:color="auto"/>
              <w:left w:val="single" w:sz="6" w:space="0" w:color="auto"/>
              <w:bottom w:val="single" w:sz="6" w:space="0" w:color="auto"/>
              <w:right w:val="single" w:sz="2" w:space="0" w:color="auto"/>
            </w:tcBorders>
            <w:shd w:val="clear" w:color="auto" w:fill="FFFFFF"/>
            <w:vAlign w:val="bottom"/>
          </w:tcPr>
          <w:p w14:paraId="0AC3D0C9" w14:textId="77777777" w:rsidR="00BD1FE7" w:rsidRPr="005616AE" w:rsidRDefault="00BD1FE7" w:rsidP="00BD1FE7">
            <w:pPr>
              <w:spacing w:after="160"/>
              <w:rPr>
                <w:rFonts w:cs="Calibri"/>
              </w:rPr>
            </w:pPr>
            <w:r w:rsidRPr="005616AE">
              <w:rPr>
                <w:rFonts w:cs="Calibri"/>
              </w:rPr>
              <w:t>Medium</w:t>
            </w:r>
          </w:p>
        </w:tc>
        <w:tc>
          <w:tcPr>
            <w:tcW w:w="3016" w:type="dxa"/>
            <w:tcBorders>
              <w:top w:val="single" w:sz="2" w:space="0" w:color="auto"/>
              <w:left w:val="single" w:sz="6" w:space="0" w:color="auto"/>
              <w:bottom w:val="single" w:sz="6" w:space="0" w:color="auto"/>
              <w:right w:val="single" w:sz="6" w:space="0" w:color="auto"/>
            </w:tcBorders>
            <w:shd w:val="clear" w:color="auto" w:fill="FFFFFF"/>
            <w:vAlign w:val="bottom"/>
          </w:tcPr>
          <w:p w14:paraId="152D62F3" w14:textId="77777777" w:rsidR="00BD1FE7" w:rsidRPr="005616AE" w:rsidRDefault="00BD1FE7" w:rsidP="00BD1FE7">
            <w:pPr>
              <w:spacing w:after="160"/>
              <w:rPr>
                <w:rFonts w:cs="Calibri"/>
              </w:rPr>
            </w:pPr>
            <w:r w:rsidRPr="005616AE">
              <w:rPr>
                <w:rFonts w:cs="Calibri"/>
              </w:rPr>
              <w:t>Offer trials and competitive pricing to reduce perceived switching barriers.</w:t>
            </w:r>
          </w:p>
        </w:tc>
      </w:tr>
      <w:tr w:rsidR="00D61DCD" w:rsidRPr="005616AE" w14:paraId="5F32EA40" w14:textId="77777777" w:rsidTr="00F70F81">
        <w:tc>
          <w:tcPr>
            <w:tcW w:w="0" w:type="auto"/>
            <w:hideMark/>
          </w:tcPr>
          <w:p w14:paraId="059620F0" w14:textId="77777777" w:rsidR="00BD1FE7" w:rsidRPr="005616AE" w:rsidRDefault="00BD1FE7" w:rsidP="00BD1FE7">
            <w:pPr>
              <w:spacing w:after="160"/>
              <w:rPr>
                <w:rFonts w:cs="Calibri"/>
              </w:rPr>
            </w:pPr>
            <w:r w:rsidRPr="005616AE">
              <w:rPr>
                <w:rFonts w:cs="Calibri"/>
              </w:rPr>
              <w:t>M6</w:t>
            </w:r>
          </w:p>
        </w:tc>
        <w:tc>
          <w:tcPr>
            <w:tcW w:w="0" w:type="auto"/>
            <w:hideMark/>
          </w:tcPr>
          <w:p w14:paraId="6B7A414B" w14:textId="77777777" w:rsidR="00BD1FE7" w:rsidRPr="005616AE" w:rsidRDefault="00BD1FE7" w:rsidP="00BD1FE7">
            <w:pPr>
              <w:spacing w:after="160"/>
              <w:rPr>
                <w:rFonts w:cs="Calibri"/>
              </w:rPr>
            </w:pPr>
            <w:r w:rsidRPr="005616AE">
              <w:rPr>
                <w:rFonts w:cs="Calibri"/>
              </w:rPr>
              <w:t>Consumer perception of wireless charging being less efficient compared to traditional plug-in systems.</w:t>
            </w:r>
          </w:p>
        </w:tc>
        <w:tc>
          <w:tcPr>
            <w:tcW w:w="0" w:type="auto"/>
            <w:hideMark/>
          </w:tcPr>
          <w:p w14:paraId="4C27DD98" w14:textId="77777777" w:rsidR="00BD1FE7" w:rsidRPr="005616AE" w:rsidRDefault="00BD1FE7" w:rsidP="00BD1FE7">
            <w:pPr>
              <w:spacing w:after="160"/>
              <w:rPr>
                <w:rFonts w:cs="Calibri"/>
              </w:rPr>
            </w:pPr>
            <w:r w:rsidRPr="005616AE">
              <w:rPr>
                <w:rFonts w:cs="Calibri"/>
              </w:rPr>
              <w:t>Medium</w:t>
            </w:r>
          </w:p>
        </w:tc>
        <w:tc>
          <w:tcPr>
            <w:tcW w:w="0" w:type="auto"/>
            <w:hideMark/>
          </w:tcPr>
          <w:p w14:paraId="306CFA18" w14:textId="77777777" w:rsidR="00BD1FE7" w:rsidRPr="005616AE" w:rsidRDefault="00BD1FE7" w:rsidP="00BD1FE7">
            <w:pPr>
              <w:spacing w:after="160"/>
              <w:rPr>
                <w:rFonts w:cs="Calibri"/>
              </w:rPr>
            </w:pPr>
            <w:r w:rsidRPr="005616AE">
              <w:rPr>
                <w:rFonts w:cs="Calibri"/>
              </w:rPr>
              <w:t>High</w:t>
            </w:r>
          </w:p>
        </w:tc>
        <w:tc>
          <w:tcPr>
            <w:tcW w:w="0" w:type="auto"/>
            <w:hideMark/>
          </w:tcPr>
          <w:p w14:paraId="5FC33772" w14:textId="77777777" w:rsidR="00BD1FE7" w:rsidRPr="005616AE" w:rsidRDefault="00BD1FE7" w:rsidP="00BD1FE7">
            <w:pPr>
              <w:spacing w:after="160"/>
              <w:rPr>
                <w:rFonts w:cs="Calibri"/>
              </w:rPr>
            </w:pPr>
            <w:r w:rsidRPr="005616AE">
              <w:rPr>
                <w:rFonts w:cs="Calibri"/>
              </w:rPr>
              <w:t>Launch marketing campaigns with data on efficiency and reliability to counter misconceptions.</w:t>
            </w:r>
          </w:p>
        </w:tc>
      </w:tr>
      <w:tr w:rsidR="00D61DCD" w:rsidRPr="005616AE" w14:paraId="55E5B898" w14:textId="77777777" w:rsidTr="00F70F81">
        <w:tc>
          <w:tcPr>
            <w:tcW w:w="0" w:type="auto"/>
            <w:hideMark/>
          </w:tcPr>
          <w:p w14:paraId="3F519149" w14:textId="77777777" w:rsidR="00BD1FE7" w:rsidRPr="005616AE" w:rsidRDefault="00BD1FE7" w:rsidP="00BD1FE7">
            <w:pPr>
              <w:spacing w:after="160"/>
              <w:rPr>
                <w:rFonts w:cs="Calibri"/>
              </w:rPr>
            </w:pPr>
            <w:r w:rsidRPr="005616AE">
              <w:rPr>
                <w:rFonts w:cs="Calibri"/>
              </w:rPr>
              <w:t>M7</w:t>
            </w:r>
          </w:p>
        </w:tc>
        <w:tc>
          <w:tcPr>
            <w:tcW w:w="0" w:type="auto"/>
            <w:hideMark/>
          </w:tcPr>
          <w:p w14:paraId="373F76E9" w14:textId="77777777" w:rsidR="00BD1FE7" w:rsidRPr="005616AE" w:rsidRDefault="00BD1FE7" w:rsidP="00BD1FE7">
            <w:pPr>
              <w:spacing w:after="160"/>
              <w:rPr>
                <w:rFonts w:cs="Calibri"/>
              </w:rPr>
            </w:pPr>
            <w:r w:rsidRPr="005616AE">
              <w:rPr>
                <w:rFonts w:cs="Calibri"/>
              </w:rPr>
              <w:t>Slow adoption of wireless charging due to high initial cost for consumers or fleet operators.</w:t>
            </w:r>
          </w:p>
        </w:tc>
        <w:tc>
          <w:tcPr>
            <w:tcW w:w="0" w:type="auto"/>
            <w:hideMark/>
          </w:tcPr>
          <w:p w14:paraId="18C196DF" w14:textId="77777777" w:rsidR="00BD1FE7" w:rsidRPr="005616AE" w:rsidRDefault="00BD1FE7" w:rsidP="00BD1FE7">
            <w:pPr>
              <w:spacing w:after="160"/>
              <w:rPr>
                <w:rFonts w:cs="Calibri"/>
              </w:rPr>
            </w:pPr>
            <w:r w:rsidRPr="005616AE">
              <w:rPr>
                <w:rFonts w:cs="Calibri"/>
              </w:rPr>
              <w:t>High</w:t>
            </w:r>
          </w:p>
        </w:tc>
        <w:tc>
          <w:tcPr>
            <w:tcW w:w="0" w:type="auto"/>
            <w:hideMark/>
          </w:tcPr>
          <w:p w14:paraId="55C5B4C3" w14:textId="77777777" w:rsidR="00BD1FE7" w:rsidRPr="005616AE" w:rsidRDefault="00BD1FE7" w:rsidP="00BD1FE7">
            <w:pPr>
              <w:spacing w:after="160"/>
              <w:rPr>
                <w:rFonts w:cs="Calibri"/>
              </w:rPr>
            </w:pPr>
            <w:r w:rsidRPr="005616AE">
              <w:rPr>
                <w:rFonts w:cs="Calibri"/>
              </w:rPr>
              <w:t>Medium</w:t>
            </w:r>
          </w:p>
        </w:tc>
        <w:tc>
          <w:tcPr>
            <w:tcW w:w="0" w:type="auto"/>
            <w:hideMark/>
          </w:tcPr>
          <w:p w14:paraId="1CB48F2F" w14:textId="3D0DBD57" w:rsidR="00BD1FE7" w:rsidRPr="005616AE" w:rsidRDefault="00BD1FE7" w:rsidP="00BD1FE7">
            <w:pPr>
              <w:spacing w:after="160"/>
              <w:rPr>
                <w:rFonts w:cs="Calibri"/>
              </w:rPr>
            </w:pPr>
            <w:r w:rsidRPr="005616AE">
              <w:rPr>
                <w:rFonts w:cs="Calibri"/>
              </w:rPr>
              <w:t>Offer competitive pricing or subsidies for early adopters to incentivi</w:t>
            </w:r>
            <w:r w:rsidR="00CA213C" w:rsidRPr="005616AE">
              <w:rPr>
                <w:rFonts w:cs="Calibri"/>
              </w:rPr>
              <w:t>s</w:t>
            </w:r>
            <w:r w:rsidRPr="005616AE">
              <w:rPr>
                <w:rFonts w:cs="Calibri"/>
              </w:rPr>
              <w:t>e uptake.</w:t>
            </w:r>
          </w:p>
        </w:tc>
      </w:tr>
      <w:tr w:rsidR="00D61DCD" w:rsidRPr="005616AE" w14:paraId="7B637D88" w14:textId="77777777" w:rsidTr="00F70F81">
        <w:tc>
          <w:tcPr>
            <w:tcW w:w="0" w:type="auto"/>
            <w:hideMark/>
          </w:tcPr>
          <w:p w14:paraId="68E773BC" w14:textId="77777777" w:rsidR="00BD1FE7" w:rsidRPr="005616AE" w:rsidRDefault="00BD1FE7" w:rsidP="00BD1FE7">
            <w:pPr>
              <w:spacing w:after="160"/>
              <w:rPr>
                <w:rFonts w:cs="Calibri"/>
              </w:rPr>
            </w:pPr>
            <w:r w:rsidRPr="005616AE">
              <w:rPr>
                <w:rFonts w:cs="Calibri"/>
              </w:rPr>
              <w:t>M8</w:t>
            </w:r>
          </w:p>
        </w:tc>
        <w:tc>
          <w:tcPr>
            <w:tcW w:w="0" w:type="auto"/>
            <w:hideMark/>
          </w:tcPr>
          <w:p w14:paraId="124FEF4E" w14:textId="77777777" w:rsidR="00BD1FE7" w:rsidRPr="005616AE" w:rsidRDefault="00BD1FE7" w:rsidP="00BD1FE7">
            <w:pPr>
              <w:spacing w:after="160"/>
              <w:rPr>
                <w:rFonts w:cs="Calibri"/>
              </w:rPr>
            </w:pPr>
            <w:r w:rsidRPr="005616AE">
              <w:rPr>
                <w:rFonts w:cs="Calibri"/>
              </w:rPr>
              <w:t xml:space="preserve">Emerging competition from </w:t>
            </w:r>
            <w:proofErr w:type="gramStart"/>
            <w:r w:rsidRPr="005616AE">
              <w:rPr>
                <w:rFonts w:cs="Calibri"/>
              </w:rPr>
              <w:t>new players</w:t>
            </w:r>
            <w:proofErr w:type="gramEnd"/>
            <w:r w:rsidRPr="005616AE">
              <w:rPr>
                <w:rFonts w:cs="Calibri"/>
              </w:rPr>
              <w:t xml:space="preserve"> or technologies in the wireless charging space.</w:t>
            </w:r>
          </w:p>
        </w:tc>
        <w:tc>
          <w:tcPr>
            <w:tcW w:w="0" w:type="auto"/>
            <w:hideMark/>
          </w:tcPr>
          <w:p w14:paraId="1F9C4E6B" w14:textId="77777777" w:rsidR="00BD1FE7" w:rsidRPr="005616AE" w:rsidRDefault="00BD1FE7" w:rsidP="00BD1FE7">
            <w:pPr>
              <w:spacing w:after="160"/>
              <w:rPr>
                <w:rFonts w:cs="Calibri"/>
              </w:rPr>
            </w:pPr>
            <w:r w:rsidRPr="005616AE">
              <w:rPr>
                <w:rFonts w:cs="Calibri"/>
              </w:rPr>
              <w:t>High</w:t>
            </w:r>
          </w:p>
        </w:tc>
        <w:tc>
          <w:tcPr>
            <w:tcW w:w="0" w:type="auto"/>
            <w:hideMark/>
          </w:tcPr>
          <w:p w14:paraId="4A79127F" w14:textId="77777777" w:rsidR="00BD1FE7" w:rsidRPr="005616AE" w:rsidRDefault="00BD1FE7" w:rsidP="00BD1FE7">
            <w:pPr>
              <w:spacing w:after="160"/>
              <w:rPr>
                <w:rFonts w:cs="Calibri"/>
              </w:rPr>
            </w:pPr>
            <w:r w:rsidRPr="005616AE">
              <w:rPr>
                <w:rFonts w:cs="Calibri"/>
              </w:rPr>
              <w:t>Medium</w:t>
            </w:r>
          </w:p>
        </w:tc>
        <w:tc>
          <w:tcPr>
            <w:tcW w:w="0" w:type="auto"/>
            <w:hideMark/>
          </w:tcPr>
          <w:p w14:paraId="21C771BF" w14:textId="61C36C02" w:rsidR="00BD1FE7" w:rsidRPr="005616AE" w:rsidRDefault="00BD1FE7" w:rsidP="00BD1FE7">
            <w:pPr>
              <w:spacing w:after="160"/>
              <w:rPr>
                <w:rFonts w:cs="Calibri"/>
              </w:rPr>
            </w:pPr>
            <w:r w:rsidRPr="005616AE">
              <w:rPr>
                <w:rFonts w:cs="Calibri"/>
              </w:rPr>
              <w:t>Regularly analy</w:t>
            </w:r>
            <w:r w:rsidR="00CA213C" w:rsidRPr="005616AE">
              <w:rPr>
                <w:rFonts w:cs="Calibri"/>
              </w:rPr>
              <w:t>s</w:t>
            </w:r>
            <w:r w:rsidRPr="005616AE">
              <w:rPr>
                <w:rFonts w:cs="Calibri"/>
              </w:rPr>
              <w:t>e market trends and adapt offerings to maintain competitive positioning.</w:t>
            </w:r>
          </w:p>
        </w:tc>
      </w:tr>
      <w:tr w:rsidR="00D61DCD" w:rsidRPr="005616AE" w14:paraId="534EACF1" w14:textId="77777777" w:rsidTr="00F70F81">
        <w:tc>
          <w:tcPr>
            <w:tcW w:w="0" w:type="auto"/>
            <w:hideMark/>
          </w:tcPr>
          <w:p w14:paraId="32D3BFBF" w14:textId="77777777" w:rsidR="00BD1FE7" w:rsidRPr="005616AE" w:rsidRDefault="00BD1FE7" w:rsidP="00BD1FE7">
            <w:pPr>
              <w:spacing w:after="160"/>
              <w:rPr>
                <w:rFonts w:cs="Calibri"/>
              </w:rPr>
            </w:pPr>
            <w:r w:rsidRPr="005616AE">
              <w:rPr>
                <w:rFonts w:cs="Calibri"/>
              </w:rPr>
              <w:t>M9</w:t>
            </w:r>
          </w:p>
        </w:tc>
        <w:tc>
          <w:tcPr>
            <w:tcW w:w="0" w:type="auto"/>
            <w:hideMark/>
          </w:tcPr>
          <w:p w14:paraId="006FC740" w14:textId="02066BD7" w:rsidR="00BD1FE7" w:rsidRPr="005616AE" w:rsidRDefault="00BD1FE7" w:rsidP="00BD1FE7">
            <w:pPr>
              <w:spacing w:after="160"/>
              <w:rPr>
                <w:rFonts w:cs="Calibri"/>
              </w:rPr>
            </w:pPr>
            <w:r w:rsidRPr="005616AE">
              <w:rPr>
                <w:rFonts w:cs="Calibri"/>
              </w:rPr>
              <w:t>Limited adoption by fleet operators who rely on centrali</w:t>
            </w:r>
            <w:r w:rsidR="00CA213C" w:rsidRPr="005616AE">
              <w:rPr>
                <w:rFonts w:cs="Calibri"/>
              </w:rPr>
              <w:t>s</w:t>
            </w:r>
            <w:r w:rsidRPr="005616AE">
              <w:rPr>
                <w:rFonts w:cs="Calibri"/>
              </w:rPr>
              <w:t>ed charging hubs.</w:t>
            </w:r>
          </w:p>
        </w:tc>
        <w:tc>
          <w:tcPr>
            <w:tcW w:w="0" w:type="auto"/>
            <w:hideMark/>
          </w:tcPr>
          <w:p w14:paraId="5B3B92F4" w14:textId="77777777" w:rsidR="00BD1FE7" w:rsidRPr="005616AE" w:rsidRDefault="00BD1FE7" w:rsidP="00BD1FE7">
            <w:pPr>
              <w:spacing w:after="160"/>
              <w:rPr>
                <w:rFonts w:cs="Calibri"/>
              </w:rPr>
            </w:pPr>
            <w:r w:rsidRPr="005616AE">
              <w:rPr>
                <w:rFonts w:cs="Calibri"/>
              </w:rPr>
              <w:t>Medium</w:t>
            </w:r>
          </w:p>
        </w:tc>
        <w:tc>
          <w:tcPr>
            <w:tcW w:w="0" w:type="auto"/>
            <w:hideMark/>
          </w:tcPr>
          <w:p w14:paraId="17817708" w14:textId="77777777" w:rsidR="00BD1FE7" w:rsidRPr="005616AE" w:rsidRDefault="00BD1FE7" w:rsidP="00BD1FE7">
            <w:pPr>
              <w:spacing w:after="160"/>
              <w:rPr>
                <w:rFonts w:cs="Calibri"/>
              </w:rPr>
            </w:pPr>
            <w:r w:rsidRPr="005616AE">
              <w:rPr>
                <w:rFonts w:cs="Calibri"/>
              </w:rPr>
              <w:t>Medium</w:t>
            </w:r>
          </w:p>
        </w:tc>
        <w:tc>
          <w:tcPr>
            <w:tcW w:w="0" w:type="auto"/>
            <w:hideMark/>
          </w:tcPr>
          <w:p w14:paraId="5CC02B6C" w14:textId="70B4A460" w:rsidR="00BD1FE7" w:rsidRPr="005616AE" w:rsidRDefault="00BD1FE7" w:rsidP="00BD1FE7">
            <w:pPr>
              <w:spacing w:after="160"/>
              <w:rPr>
                <w:rFonts w:cs="Calibri"/>
              </w:rPr>
            </w:pPr>
            <w:r w:rsidRPr="005616AE">
              <w:rPr>
                <w:rFonts w:cs="Calibri"/>
              </w:rPr>
              <w:t>Develop solutions for fleet-specific needs such as scalable charging hubs using wireless technology.</w:t>
            </w:r>
          </w:p>
        </w:tc>
      </w:tr>
    </w:tbl>
    <w:p w14:paraId="0C4D8A2C" w14:textId="77777777" w:rsidR="00BD1FE7" w:rsidRPr="005616AE" w:rsidRDefault="00BD1FE7" w:rsidP="00BD1FE7">
      <w:pPr>
        <w:rPr>
          <w:rFonts w:cs="Calibri"/>
        </w:rPr>
      </w:pPr>
    </w:p>
    <w:p w14:paraId="15BA6DB0" w14:textId="77777777" w:rsidR="00BD1FE7" w:rsidRPr="005616AE" w:rsidRDefault="00BD1FE7" w:rsidP="00490438">
      <w:pPr>
        <w:pStyle w:val="Heading3"/>
        <w:rPr>
          <w:rFonts w:cs="Calibri"/>
        </w:rPr>
      </w:pPr>
      <w:bookmarkStart w:id="56" w:name="_Toc183211072"/>
      <w:r w:rsidRPr="005616AE">
        <w:rPr>
          <w:rFonts w:cs="Calibri"/>
        </w:rPr>
        <w:t>Financial</w:t>
      </w:r>
      <w:bookmarkEnd w:id="56"/>
    </w:p>
    <w:p w14:paraId="2C0EB927" w14:textId="36D2FA72" w:rsidR="00BD1FE7" w:rsidRPr="005616AE" w:rsidRDefault="00BD1FE7" w:rsidP="00BD1FE7">
      <w:pPr>
        <w:rPr>
          <w:rFonts w:cs="Calibri"/>
        </w:rPr>
      </w:pPr>
      <w:r w:rsidRPr="005616AE">
        <w:rPr>
          <w:rFonts w:cs="Calibri"/>
        </w:rPr>
        <w:t xml:space="preserve">Financial risks include the possibility of cost delays, questionable </w:t>
      </w:r>
      <w:proofErr w:type="gramStart"/>
      <w:r w:rsidRPr="005616AE">
        <w:rPr>
          <w:rFonts w:cs="Calibri"/>
        </w:rPr>
        <w:t>ROI</w:t>
      </w:r>
      <w:proofErr w:type="gramEnd"/>
      <w:r w:rsidRPr="005616AE">
        <w:rPr>
          <w:rFonts w:cs="Calibri"/>
        </w:rPr>
        <w:t xml:space="preserve"> and protracted payback times due to </w:t>
      </w:r>
      <w:r w:rsidR="00303B6D" w:rsidRPr="005616AE">
        <w:rPr>
          <w:rFonts w:cs="Calibri"/>
        </w:rPr>
        <w:t>slower than expected</w:t>
      </w:r>
      <w:r w:rsidRPr="005616AE">
        <w:rPr>
          <w:rFonts w:cs="Calibri"/>
        </w:rPr>
        <w:t xml:space="preserve"> market acceptance or unexpected expenses. If not properly </w:t>
      </w:r>
      <w:proofErr w:type="gramStart"/>
      <w:r w:rsidRPr="005616AE">
        <w:rPr>
          <w:rFonts w:cs="Calibri"/>
        </w:rPr>
        <w:t>handled</w:t>
      </w:r>
      <w:proofErr w:type="gramEnd"/>
      <w:r w:rsidRPr="005616AE">
        <w:rPr>
          <w:rFonts w:cs="Calibri"/>
        </w:rPr>
        <w:t> these risks can put a strain on project budgets and profitability.</w:t>
      </w:r>
    </w:p>
    <w:tbl>
      <w:tblPr>
        <w:tblStyle w:val="TableGrid"/>
        <w:tblW w:w="0" w:type="auto"/>
        <w:jc w:val="center"/>
        <w:tblInd w:w="0" w:type="dxa"/>
        <w:tblLook w:val="04A0" w:firstRow="1" w:lastRow="0" w:firstColumn="1" w:lastColumn="0" w:noHBand="0" w:noVBand="1"/>
      </w:tblPr>
      <w:tblGrid>
        <w:gridCol w:w="648"/>
        <w:gridCol w:w="3009"/>
        <w:gridCol w:w="1009"/>
        <w:gridCol w:w="1259"/>
        <w:gridCol w:w="3425"/>
      </w:tblGrid>
      <w:tr w:rsidR="00BD1FE7" w:rsidRPr="005616AE" w14:paraId="2C3478BA" w14:textId="77777777" w:rsidTr="002E558F">
        <w:trPr>
          <w:jc w:val="center"/>
        </w:trPr>
        <w:tc>
          <w:tcPr>
            <w:tcW w:w="866" w:type="dxa"/>
          </w:tcPr>
          <w:p w14:paraId="4BE1DA32" w14:textId="77777777" w:rsidR="00BD1FE7" w:rsidRPr="005616AE" w:rsidRDefault="00BD1FE7" w:rsidP="00F46334">
            <w:pPr>
              <w:spacing w:after="160"/>
              <w:jc w:val="center"/>
              <w:rPr>
                <w:rFonts w:cs="Calibri"/>
                <w:b/>
                <w:bCs/>
              </w:rPr>
            </w:pPr>
            <w:r w:rsidRPr="005616AE">
              <w:rPr>
                <w:rFonts w:cs="Calibri"/>
                <w:b/>
                <w:bCs/>
              </w:rPr>
              <w:t>Risk ID</w:t>
            </w:r>
          </w:p>
        </w:tc>
        <w:tc>
          <w:tcPr>
            <w:tcW w:w="2794" w:type="dxa"/>
          </w:tcPr>
          <w:p w14:paraId="327C7F84" w14:textId="77777777" w:rsidR="00BD1FE7" w:rsidRPr="005616AE" w:rsidRDefault="00BD1FE7" w:rsidP="00F46334">
            <w:pPr>
              <w:spacing w:after="160"/>
              <w:jc w:val="center"/>
              <w:rPr>
                <w:rFonts w:cs="Calibri"/>
                <w:b/>
                <w:bCs/>
              </w:rPr>
            </w:pPr>
            <w:r w:rsidRPr="005616AE">
              <w:rPr>
                <w:rFonts w:cs="Calibri"/>
                <w:b/>
                <w:bCs/>
              </w:rPr>
              <w:t>Risk Description</w:t>
            </w:r>
          </w:p>
        </w:tc>
        <w:tc>
          <w:tcPr>
            <w:tcW w:w="1144" w:type="dxa"/>
          </w:tcPr>
          <w:p w14:paraId="6D34AC23" w14:textId="77777777" w:rsidR="00BD1FE7" w:rsidRPr="005616AE" w:rsidRDefault="00BD1FE7" w:rsidP="00F46334">
            <w:pPr>
              <w:spacing w:after="160"/>
              <w:jc w:val="center"/>
              <w:rPr>
                <w:rFonts w:cs="Calibri"/>
                <w:b/>
                <w:bCs/>
              </w:rPr>
            </w:pPr>
            <w:r w:rsidRPr="005616AE">
              <w:rPr>
                <w:rFonts w:cs="Calibri"/>
                <w:b/>
                <w:bCs/>
              </w:rPr>
              <w:t>Impact</w:t>
            </w:r>
          </w:p>
        </w:tc>
        <w:tc>
          <w:tcPr>
            <w:tcW w:w="1416" w:type="dxa"/>
          </w:tcPr>
          <w:p w14:paraId="18BCBBF8" w14:textId="77777777" w:rsidR="00BD1FE7" w:rsidRPr="005616AE" w:rsidRDefault="00BD1FE7" w:rsidP="00F46334">
            <w:pPr>
              <w:spacing w:after="160"/>
              <w:jc w:val="center"/>
              <w:rPr>
                <w:rFonts w:cs="Calibri"/>
                <w:b/>
                <w:bCs/>
              </w:rPr>
            </w:pPr>
            <w:r w:rsidRPr="005616AE">
              <w:rPr>
                <w:rFonts w:cs="Calibri"/>
                <w:b/>
                <w:bCs/>
              </w:rPr>
              <w:t>Probability</w:t>
            </w:r>
          </w:p>
        </w:tc>
        <w:tc>
          <w:tcPr>
            <w:tcW w:w="3130" w:type="dxa"/>
          </w:tcPr>
          <w:p w14:paraId="1B83D94F" w14:textId="77777777" w:rsidR="00BD1FE7" w:rsidRPr="005616AE" w:rsidRDefault="00BD1FE7" w:rsidP="00F46334">
            <w:pPr>
              <w:spacing w:after="160"/>
              <w:jc w:val="center"/>
              <w:rPr>
                <w:rFonts w:cs="Calibri"/>
                <w:b/>
                <w:bCs/>
              </w:rPr>
            </w:pPr>
            <w:r w:rsidRPr="005616AE">
              <w:rPr>
                <w:rFonts w:cs="Calibri"/>
                <w:b/>
                <w:bCs/>
              </w:rPr>
              <w:t>Mitigation Strategy</w:t>
            </w:r>
          </w:p>
        </w:tc>
      </w:tr>
      <w:tr w:rsidR="00BD1FE7" w:rsidRPr="005616AE" w14:paraId="4028E29B" w14:textId="77777777" w:rsidTr="002E558F">
        <w:trPr>
          <w:jc w:val="center"/>
        </w:trPr>
        <w:tc>
          <w:tcPr>
            <w:tcW w:w="866" w:type="dxa"/>
          </w:tcPr>
          <w:p w14:paraId="740846EB" w14:textId="77777777" w:rsidR="00BD1FE7" w:rsidRPr="005616AE" w:rsidRDefault="00BD1FE7" w:rsidP="00BD1FE7">
            <w:pPr>
              <w:spacing w:after="160"/>
              <w:rPr>
                <w:rFonts w:cs="Calibri"/>
              </w:rPr>
            </w:pPr>
            <w:r w:rsidRPr="005616AE">
              <w:rPr>
                <w:rFonts w:cs="Calibri"/>
              </w:rPr>
              <w:t>F1</w:t>
            </w:r>
          </w:p>
        </w:tc>
        <w:tc>
          <w:tcPr>
            <w:tcW w:w="2794" w:type="dxa"/>
            <w:tcBorders>
              <w:top w:val="single" w:sz="2" w:space="0" w:color="auto"/>
              <w:left w:val="single" w:sz="6" w:space="0" w:color="auto"/>
              <w:bottom w:val="single" w:sz="6" w:space="0" w:color="auto"/>
              <w:right w:val="single" w:sz="2" w:space="0" w:color="auto"/>
            </w:tcBorders>
            <w:shd w:val="clear" w:color="auto" w:fill="FFFFFF"/>
            <w:vAlign w:val="bottom"/>
          </w:tcPr>
          <w:p w14:paraId="7C958CEB" w14:textId="77777777" w:rsidR="00BD1FE7" w:rsidRPr="005616AE" w:rsidRDefault="00BD1FE7" w:rsidP="00BD1FE7">
            <w:pPr>
              <w:spacing w:after="160"/>
              <w:rPr>
                <w:rFonts w:cs="Calibri"/>
              </w:rPr>
            </w:pPr>
            <w:r w:rsidRPr="005616AE">
              <w:rPr>
                <w:rFonts w:cs="Calibri"/>
              </w:rPr>
              <w:t>High initial capital investment with uncertain ROI.</w:t>
            </w:r>
          </w:p>
        </w:tc>
        <w:tc>
          <w:tcPr>
            <w:tcW w:w="1144" w:type="dxa"/>
            <w:tcBorders>
              <w:top w:val="single" w:sz="2" w:space="0" w:color="auto"/>
              <w:left w:val="single" w:sz="6" w:space="0" w:color="auto"/>
              <w:bottom w:val="single" w:sz="6" w:space="0" w:color="auto"/>
              <w:right w:val="single" w:sz="2" w:space="0" w:color="auto"/>
            </w:tcBorders>
            <w:shd w:val="clear" w:color="auto" w:fill="FFFFFF"/>
            <w:vAlign w:val="bottom"/>
          </w:tcPr>
          <w:p w14:paraId="104C14C7" w14:textId="77777777" w:rsidR="00BD1FE7" w:rsidRPr="005616AE" w:rsidRDefault="00BD1FE7" w:rsidP="00BD1FE7">
            <w:pPr>
              <w:spacing w:after="160"/>
              <w:rPr>
                <w:rFonts w:cs="Calibri"/>
              </w:rPr>
            </w:pPr>
            <w:r w:rsidRPr="005616AE">
              <w:rPr>
                <w:rFonts w:cs="Calibri"/>
              </w:rPr>
              <w:t>High</w:t>
            </w:r>
          </w:p>
        </w:tc>
        <w:tc>
          <w:tcPr>
            <w:tcW w:w="1416" w:type="dxa"/>
            <w:tcBorders>
              <w:top w:val="single" w:sz="2" w:space="0" w:color="auto"/>
              <w:left w:val="single" w:sz="6" w:space="0" w:color="auto"/>
              <w:bottom w:val="single" w:sz="6" w:space="0" w:color="auto"/>
              <w:right w:val="single" w:sz="2" w:space="0" w:color="auto"/>
            </w:tcBorders>
            <w:shd w:val="clear" w:color="auto" w:fill="FFFFFF"/>
            <w:vAlign w:val="bottom"/>
          </w:tcPr>
          <w:p w14:paraId="51C5BE14" w14:textId="77777777" w:rsidR="00BD1FE7" w:rsidRPr="005616AE" w:rsidRDefault="00BD1FE7" w:rsidP="00BD1FE7">
            <w:pPr>
              <w:spacing w:after="160"/>
              <w:rPr>
                <w:rFonts w:cs="Calibri"/>
              </w:rPr>
            </w:pPr>
            <w:r w:rsidRPr="005616AE">
              <w:rPr>
                <w:rFonts w:cs="Calibri"/>
              </w:rPr>
              <w:t>Medium</w:t>
            </w:r>
          </w:p>
        </w:tc>
        <w:tc>
          <w:tcPr>
            <w:tcW w:w="3130" w:type="dxa"/>
            <w:tcBorders>
              <w:top w:val="single" w:sz="2" w:space="0" w:color="auto"/>
              <w:left w:val="single" w:sz="6" w:space="0" w:color="auto"/>
              <w:bottom w:val="single" w:sz="6" w:space="0" w:color="auto"/>
              <w:right w:val="single" w:sz="6" w:space="0" w:color="auto"/>
            </w:tcBorders>
            <w:shd w:val="clear" w:color="auto" w:fill="FFFFFF"/>
            <w:vAlign w:val="bottom"/>
          </w:tcPr>
          <w:p w14:paraId="2A19F06A" w14:textId="77777777" w:rsidR="00BD1FE7" w:rsidRPr="005616AE" w:rsidRDefault="00BD1FE7" w:rsidP="00BD1FE7">
            <w:pPr>
              <w:spacing w:after="160"/>
              <w:rPr>
                <w:rFonts w:cs="Calibri"/>
              </w:rPr>
            </w:pPr>
            <w:r w:rsidRPr="005616AE">
              <w:rPr>
                <w:rFonts w:cs="Calibri"/>
              </w:rPr>
              <w:t>Start with pilot programs to validate financial assumptions and maintain contingency reserves.</w:t>
            </w:r>
          </w:p>
        </w:tc>
      </w:tr>
      <w:tr w:rsidR="00BD1FE7" w:rsidRPr="005616AE" w14:paraId="6AE55185" w14:textId="77777777" w:rsidTr="002E558F">
        <w:trPr>
          <w:jc w:val="center"/>
        </w:trPr>
        <w:tc>
          <w:tcPr>
            <w:tcW w:w="866" w:type="dxa"/>
          </w:tcPr>
          <w:p w14:paraId="7B8A34D0" w14:textId="77777777" w:rsidR="00BD1FE7" w:rsidRPr="005616AE" w:rsidRDefault="00BD1FE7" w:rsidP="00BD1FE7">
            <w:pPr>
              <w:spacing w:after="160"/>
              <w:rPr>
                <w:rFonts w:cs="Calibri"/>
              </w:rPr>
            </w:pPr>
            <w:r w:rsidRPr="005616AE">
              <w:rPr>
                <w:rFonts w:cs="Calibri"/>
              </w:rPr>
              <w:t>F2</w:t>
            </w:r>
          </w:p>
        </w:tc>
        <w:tc>
          <w:tcPr>
            <w:tcW w:w="2794" w:type="dxa"/>
            <w:tcBorders>
              <w:top w:val="single" w:sz="2" w:space="0" w:color="auto"/>
              <w:left w:val="single" w:sz="6" w:space="0" w:color="auto"/>
              <w:bottom w:val="single" w:sz="6" w:space="0" w:color="auto"/>
              <w:right w:val="single" w:sz="2" w:space="0" w:color="auto"/>
            </w:tcBorders>
            <w:shd w:val="clear" w:color="auto" w:fill="FFFFFF"/>
            <w:vAlign w:val="bottom"/>
          </w:tcPr>
          <w:p w14:paraId="00190DF9" w14:textId="77777777" w:rsidR="00BD1FE7" w:rsidRPr="005616AE" w:rsidRDefault="00BD1FE7" w:rsidP="00BD1FE7">
            <w:pPr>
              <w:spacing w:after="160"/>
              <w:rPr>
                <w:rFonts w:cs="Calibri"/>
              </w:rPr>
            </w:pPr>
            <w:r w:rsidRPr="005616AE">
              <w:rPr>
                <w:rFonts w:cs="Calibri"/>
              </w:rPr>
              <w:t>Lower-than-expected revenue generation from EV charging services.</w:t>
            </w:r>
          </w:p>
        </w:tc>
        <w:tc>
          <w:tcPr>
            <w:tcW w:w="1144" w:type="dxa"/>
            <w:tcBorders>
              <w:top w:val="single" w:sz="2" w:space="0" w:color="auto"/>
              <w:left w:val="single" w:sz="6" w:space="0" w:color="auto"/>
              <w:bottom w:val="single" w:sz="6" w:space="0" w:color="auto"/>
              <w:right w:val="single" w:sz="2" w:space="0" w:color="auto"/>
            </w:tcBorders>
            <w:shd w:val="clear" w:color="auto" w:fill="FFFFFF"/>
            <w:vAlign w:val="bottom"/>
          </w:tcPr>
          <w:p w14:paraId="5C39A70D" w14:textId="77777777" w:rsidR="00BD1FE7" w:rsidRPr="005616AE" w:rsidRDefault="00BD1FE7" w:rsidP="00BD1FE7">
            <w:pPr>
              <w:spacing w:after="160"/>
              <w:rPr>
                <w:rFonts w:cs="Calibri"/>
              </w:rPr>
            </w:pPr>
            <w:r w:rsidRPr="005616AE">
              <w:rPr>
                <w:rFonts w:cs="Calibri"/>
              </w:rPr>
              <w:t>High</w:t>
            </w:r>
          </w:p>
        </w:tc>
        <w:tc>
          <w:tcPr>
            <w:tcW w:w="1416" w:type="dxa"/>
            <w:tcBorders>
              <w:top w:val="single" w:sz="2" w:space="0" w:color="auto"/>
              <w:left w:val="single" w:sz="6" w:space="0" w:color="auto"/>
              <w:bottom w:val="single" w:sz="6" w:space="0" w:color="auto"/>
              <w:right w:val="single" w:sz="2" w:space="0" w:color="auto"/>
            </w:tcBorders>
            <w:shd w:val="clear" w:color="auto" w:fill="FFFFFF"/>
            <w:vAlign w:val="bottom"/>
          </w:tcPr>
          <w:p w14:paraId="2ACA9443" w14:textId="77777777" w:rsidR="00BD1FE7" w:rsidRPr="005616AE" w:rsidRDefault="00BD1FE7" w:rsidP="00BD1FE7">
            <w:pPr>
              <w:spacing w:after="160"/>
              <w:rPr>
                <w:rFonts w:cs="Calibri"/>
              </w:rPr>
            </w:pPr>
            <w:r w:rsidRPr="005616AE">
              <w:rPr>
                <w:rFonts w:cs="Calibri"/>
              </w:rPr>
              <w:t>Medium</w:t>
            </w:r>
          </w:p>
        </w:tc>
        <w:tc>
          <w:tcPr>
            <w:tcW w:w="3130" w:type="dxa"/>
            <w:tcBorders>
              <w:top w:val="single" w:sz="2" w:space="0" w:color="auto"/>
              <w:left w:val="single" w:sz="6" w:space="0" w:color="auto"/>
              <w:bottom w:val="single" w:sz="6" w:space="0" w:color="auto"/>
              <w:right w:val="single" w:sz="6" w:space="0" w:color="auto"/>
            </w:tcBorders>
            <w:shd w:val="clear" w:color="auto" w:fill="FFFFFF"/>
            <w:vAlign w:val="bottom"/>
          </w:tcPr>
          <w:p w14:paraId="38A69D17" w14:textId="769446DF" w:rsidR="00BD1FE7" w:rsidRPr="005616AE" w:rsidRDefault="00BD1FE7" w:rsidP="00BD1FE7">
            <w:pPr>
              <w:spacing w:after="160"/>
              <w:rPr>
                <w:rFonts w:cs="Calibri"/>
              </w:rPr>
            </w:pPr>
            <w:r w:rsidRPr="005616AE">
              <w:rPr>
                <w:rFonts w:cs="Calibri"/>
              </w:rPr>
              <w:t>Adjust pricing models and explore partnerships to drive util</w:t>
            </w:r>
            <w:r w:rsidR="005616AE">
              <w:rPr>
                <w:rFonts w:cs="Calibri"/>
              </w:rPr>
              <w:t>is</w:t>
            </w:r>
            <w:r w:rsidRPr="005616AE">
              <w:rPr>
                <w:rFonts w:cs="Calibri"/>
              </w:rPr>
              <w:t>ation.</w:t>
            </w:r>
          </w:p>
        </w:tc>
      </w:tr>
      <w:tr w:rsidR="00BD1FE7" w:rsidRPr="005616AE" w14:paraId="0AD1766C" w14:textId="77777777" w:rsidTr="002E558F">
        <w:trPr>
          <w:jc w:val="center"/>
        </w:trPr>
        <w:tc>
          <w:tcPr>
            <w:tcW w:w="866" w:type="dxa"/>
          </w:tcPr>
          <w:p w14:paraId="7A75572B" w14:textId="77777777" w:rsidR="00BD1FE7" w:rsidRPr="005616AE" w:rsidRDefault="00BD1FE7" w:rsidP="00BD1FE7">
            <w:pPr>
              <w:spacing w:after="160"/>
              <w:rPr>
                <w:rFonts w:cs="Calibri"/>
              </w:rPr>
            </w:pPr>
            <w:r w:rsidRPr="005616AE">
              <w:rPr>
                <w:rFonts w:cs="Calibri"/>
              </w:rPr>
              <w:lastRenderedPageBreak/>
              <w:t>F3</w:t>
            </w:r>
          </w:p>
        </w:tc>
        <w:tc>
          <w:tcPr>
            <w:tcW w:w="2794" w:type="dxa"/>
            <w:tcBorders>
              <w:top w:val="single" w:sz="2" w:space="0" w:color="auto"/>
              <w:left w:val="single" w:sz="6" w:space="0" w:color="auto"/>
              <w:bottom w:val="single" w:sz="6" w:space="0" w:color="auto"/>
              <w:right w:val="single" w:sz="2" w:space="0" w:color="auto"/>
            </w:tcBorders>
            <w:shd w:val="clear" w:color="auto" w:fill="FFFFFF"/>
            <w:vAlign w:val="bottom"/>
          </w:tcPr>
          <w:p w14:paraId="029E1691" w14:textId="77777777" w:rsidR="00BD1FE7" w:rsidRPr="005616AE" w:rsidRDefault="00BD1FE7" w:rsidP="00BD1FE7">
            <w:pPr>
              <w:spacing w:after="160"/>
              <w:rPr>
                <w:rFonts w:cs="Calibri"/>
              </w:rPr>
            </w:pPr>
            <w:r w:rsidRPr="005616AE">
              <w:rPr>
                <w:rFonts w:cs="Calibri"/>
              </w:rPr>
              <w:t>Rising costs in supply chain operations due to inflation or unforeseen delays.</w:t>
            </w:r>
          </w:p>
        </w:tc>
        <w:tc>
          <w:tcPr>
            <w:tcW w:w="1144" w:type="dxa"/>
            <w:tcBorders>
              <w:top w:val="single" w:sz="2" w:space="0" w:color="auto"/>
              <w:left w:val="single" w:sz="6" w:space="0" w:color="auto"/>
              <w:bottom w:val="single" w:sz="6" w:space="0" w:color="auto"/>
              <w:right w:val="single" w:sz="2" w:space="0" w:color="auto"/>
            </w:tcBorders>
            <w:shd w:val="clear" w:color="auto" w:fill="FFFFFF"/>
            <w:vAlign w:val="bottom"/>
          </w:tcPr>
          <w:p w14:paraId="05D47B97" w14:textId="77777777" w:rsidR="00BD1FE7" w:rsidRPr="005616AE" w:rsidRDefault="00BD1FE7" w:rsidP="00BD1FE7">
            <w:pPr>
              <w:spacing w:after="160"/>
              <w:rPr>
                <w:rFonts w:cs="Calibri"/>
              </w:rPr>
            </w:pPr>
            <w:r w:rsidRPr="005616AE">
              <w:rPr>
                <w:rFonts w:cs="Calibri"/>
              </w:rPr>
              <w:t>Medium</w:t>
            </w:r>
          </w:p>
        </w:tc>
        <w:tc>
          <w:tcPr>
            <w:tcW w:w="1416" w:type="dxa"/>
            <w:tcBorders>
              <w:top w:val="single" w:sz="2" w:space="0" w:color="auto"/>
              <w:left w:val="single" w:sz="6" w:space="0" w:color="auto"/>
              <w:bottom w:val="single" w:sz="6" w:space="0" w:color="auto"/>
              <w:right w:val="single" w:sz="2" w:space="0" w:color="auto"/>
            </w:tcBorders>
            <w:shd w:val="clear" w:color="auto" w:fill="FFFFFF"/>
            <w:vAlign w:val="bottom"/>
          </w:tcPr>
          <w:p w14:paraId="43960B33" w14:textId="77777777" w:rsidR="00BD1FE7" w:rsidRPr="005616AE" w:rsidRDefault="00BD1FE7" w:rsidP="00BD1FE7">
            <w:pPr>
              <w:spacing w:after="160"/>
              <w:rPr>
                <w:rFonts w:cs="Calibri"/>
              </w:rPr>
            </w:pPr>
            <w:r w:rsidRPr="005616AE">
              <w:rPr>
                <w:rFonts w:cs="Calibri"/>
              </w:rPr>
              <w:t>Medium</w:t>
            </w:r>
          </w:p>
        </w:tc>
        <w:tc>
          <w:tcPr>
            <w:tcW w:w="3130" w:type="dxa"/>
            <w:tcBorders>
              <w:top w:val="single" w:sz="2" w:space="0" w:color="auto"/>
              <w:left w:val="single" w:sz="6" w:space="0" w:color="auto"/>
              <w:bottom w:val="single" w:sz="6" w:space="0" w:color="auto"/>
              <w:right w:val="single" w:sz="6" w:space="0" w:color="auto"/>
            </w:tcBorders>
            <w:shd w:val="clear" w:color="auto" w:fill="FFFFFF"/>
            <w:vAlign w:val="bottom"/>
          </w:tcPr>
          <w:p w14:paraId="6E388EF6" w14:textId="77777777" w:rsidR="00BD1FE7" w:rsidRPr="005616AE" w:rsidRDefault="00BD1FE7" w:rsidP="00BD1FE7">
            <w:pPr>
              <w:spacing w:after="160"/>
              <w:rPr>
                <w:rFonts w:cs="Calibri"/>
              </w:rPr>
            </w:pPr>
            <w:r w:rsidRPr="005616AE">
              <w:rPr>
                <w:rFonts w:cs="Calibri"/>
              </w:rPr>
              <w:t>Negotiate fixed-price contracts with suppliers and implement cost-monitoring mechanisms.</w:t>
            </w:r>
          </w:p>
        </w:tc>
      </w:tr>
      <w:tr w:rsidR="00BD1FE7" w:rsidRPr="005616AE" w14:paraId="5882BA47" w14:textId="77777777" w:rsidTr="002E558F">
        <w:trPr>
          <w:jc w:val="center"/>
        </w:trPr>
        <w:tc>
          <w:tcPr>
            <w:tcW w:w="866" w:type="dxa"/>
          </w:tcPr>
          <w:p w14:paraId="20B8B4E0" w14:textId="77777777" w:rsidR="00BD1FE7" w:rsidRPr="005616AE" w:rsidRDefault="00BD1FE7" w:rsidP="00BD1FE7">
            <w:pPr>
              <w:spacing w:after="160"/>
              <w:rPr>
                <w:rFonts w:cs="Calibri"/>
              </w:rPr>
            </w:pPr>
            <w:r w:rsidRPr="005616AE">
              <w:rPr>
                <w:rFonts w:cs="Calibri"/>
              </w:rPr>
              <w:t>F4</w:t>
            </w:r>
          </w:p>
        </w:tc>
        <w:tc>
          <w:tcPr>
            <w:tcW w:w="2794" w:type="dxa"/>
            <w:tcBorders>
              <w:top w:val="single" w:sz="2" w:space="0" w:color="auto"/>
              <w:left w:val="single" w:sz="6" w:space="0" w:color="auto"/>
              <w:bottom w:val="single" w:sz="6" w:space="0" w:color="auto"/>
              <w:right w:val="single" w:sz="2" w:space="0" w:color="auto"/>
            </w:tcBorders>
            <w:shd w:val="clear" w:color="auto" w:fill="FFFFFF"/>
            <w:vAlign w:val="bottom"/>
          </w:tcPr>
          <w:p w14:paraId="68FFAC38" w14:textId="77777777" w:rsidR="00BD1FE7" w:rsidRPr="005616AE" w:rsidRDefault="00BD1FE7" w:rsidP="00BD1FE7">
            <w:pPr>
              <w:spacing w:after="160"/>
              <w:rPr>
                <w:rFonts w:cs="Calibri"/>
              </w:rPr>
            </w:pPr>
            <w:r w:rsidRPr="005616AE">
              <w:rPr>
                <w:rFonts w:cs="Calibri"/>
              </w:rPr>
              <w:t>Insufficient budget allocation for unforeseen integration challenges.</w:t>
            </w:r>
          </w:p>
        </w:tc>
        <w:tc>
          <w:tcPr>
            <w:tcW w:w="1144" w:type="dxa"/>
            <w:tcBorders>
              <w:top w:val="single" w:sz="2" w:space="0" w:color="auto"/>
              <w:left w:val="single" w:sz="6" w:space="0" w:color="auto"/>
              <w:bottom w:val="single" w:sz="6" w:space="0" w:color="auto"/>
              <w:right w:val="single" w:sz="2" w:space="0" w:color="auto"/>
            </w:tcBorders>
            <w:shd w:val="clear" w:color="auto" w:fill="FFFFFF"/>
            <w:vAlign w:val="bottom"/>
          </w:tcPr>
          <w:p w14:paraId="337EDF0C" w14:textId="77777777" w:rsidR="00BD1FE7" w:rsidRPr="005616AE" w:rsidRDefault="00BD1FE7" w:rsidP="00BD1FE7">
            <w:pPr>
              <w:spacing w:after="160"/>
              <w:rPr>
                <w:rFonts w:cs="Calibri"/>
              </w:rPr>
            </w:pPr>
            <w:r w:rsidRPr="005616AE">
              <w:rPr>
                <w:rFonts w:cs="Calibri"/>
              </w:rPr>
              <w:t>High</w:t>
            </w:r>
          </w:p>
        </w:tc>
        <w:tc>
          <w:tcPr>
            <w:tcW w:w="1416" w:type="dxa"/>
            <w:tcBorders>
              <w:top w:val="single" w:sz="2" w:space="0" w:color="auto"/>
              <w:left w:val="single" w:sz="6" w:space="0" w:color="auto"/>
              <w:bottom w:val="single" w:sz="6" w:space="0" w:color="auto"/>
              <w:right w:val="single" w:sz="2" w:space="0" w:color="auto"/>
            </w:tcBorders>
            <w:shd w:val="clear" w:color="auto" w:fill="FFFFFF"/>
            <w:vAlign w:val="bottom"/>
          </w:tcPr>
          <w:p w14:paraId="253FAF1F" w14:textId="77777777" w:rsidR="00BD1FE7" w:rsidRPr="005616AE" w:rsidRDefault="00BD1FE7" w:rsidP="00BD1FE7">
            <w:pPr>
              <w:spacing w:after="160"/>
              <w:rPr>
                <w:rFonts w:cs="Calibri"/>
              </w:rPr>
            </w:pPr>
            <w:r w:rsidRPr="005616AE">
              <w:rPr>
                <w:rFonts w:cs="Calibri"/>
              </w:rPr>
              <w:t>Medium</w:t>
            </w:r>
          </w:p>
        </w:tc>
        <w:tc>
          <w:tcPr>
            <w:tcW w:w="3130" w:type="dxa"/>
            <w:tcBorders>
              <w:top w:val="single" w:sz="2" w:space="0" w:color="auto"/>
              <w:left w:val="single" w:sz="6" w:space="0" w:color="auto"/>
              <w:bottom w:val="single" w:sz="6" w:space="0" w:color="auto"/>
              <w:right w:val="single" w:sz="6" w:space="0" w:color="auto"/>
            </w:tcBorders>
            <w:shd w:val="clear" w:color="auto" w:fill="FFFFFF"/>
            <w:vAlign w:val="bottom"/>
          </w:tcPr>
          <w:p w14:paraId="172DF0FC" w14:textId="77777777" w:rsidR="00BD1FE7" w:rsidRPr="005616AE" w:rsidRDefault="00BD1FE7" w:rsidP="00BD1FE7">
            <w:pPr>
              <w:spacing w:after="160"/>
              <w:rPr>
                <w:rFonts w:cs="Calibri"/>
              </w:rPr>
            </w:pPr>
            <w:r w:rsidRPr="005616AE">
              <w:rPr>
                <w:rFonts w:cs="Calibri"/>
              </w:rPr>
              <w:t>Include a contingency buffer in the project budget for unexpected expenses.</w:t>
            </w:r>
          </w:p>
        </w:tc>
      </w:tr>
      <w:tr w:rsidR="00BD1FE7" w:rsidRPr="005616AE" w14:paraId="163D1F88" w14:textId="77777777" w:rsidTr="002E558F">
        <w:trPr>
          <w:jc w:val="center"/>
        </w:trPr>
        <w:tc>
          <w:tcPr>
            <w:tcW w:w="866" w:type="dxa"/>
          </w:tcPr>
          <w:p w14:paraId="2A31219E" w14:textId="77777777" w:rsidR="00BD1FE7" w:rsidRPr="005616AE" w:rsidRDefault="00BD1FE7" w:rsidP="00BD1FE7">
            <w:pPr>
              <w:spacing w:after="160"/>
              <w:rPr>
                <w:rFonts w:cs="Calibri"/>
              </w:rPr>
            </w:pPr>
            <w:r w:rsidRPr="005616AE">
              <w:rPr>
                <w:rFonts w:cs="Calibri"/>
              </w:rPr>
              <w:t>F5</w:t>
            </w:r>
          </w:p>
        </w:tc>
        <w:tc>
          <w:tcPr>
            <w:tcW w:w="2794" w:type="dxa"/>
            <w:tcBorders>
              <w:top w:val="single" w:sz="2" w:space="0" w:color="auto"/>
              <w:left w:val="single" w:sz="6" w:space="0" w:color="auto"/>
              <w:bottom w:val="single" w:sz="6" w:space="0" w:color="auto"/>
              <w:right w:val="single" w:sz="2" w:space="0" w:color="auto"/>
            </w:tcBorders>
            <w:shd w:val="clear" w:color="auto" w:fill="FFFFFF"/>
            <w:vAlign w:val="bottom"/>
          </w:tcPr>
          <w:p w14:paraId="39E36C7C" w14:textId="77777777" w:rsidR="00BD1FE7" w:rsidRPr="005616AE" w:rsidRDefault="00BD1FE7" w:rsidP="00BD1FE7">
            <w:pPr>
              <w:spacing w:after="160"/>
              <w:rPr>
                <w:rFonts w:cs="Calibri"/>
              </w:rPr>
            </w:pPr>
            <w:r w:rsidRPr="005616AE">
              <w:rPr>
                <w:rFonts w:cs="Calibri"/>
              </w:rPr>
              <w:t>Unexpected licensing costs for patented technology used in the charging systems.</w:t>
            </w:r>
          </w:p>
        </w:tc>
        <w:tc>
          <w:tcPr>
            <w:tcW w:w="1144" w:type="dxa"/>
            <w:tcBorders>
              <w:top w:val="single" w:sz="2" w:space="0" w:color="auto"/>
              <w:left w:val="single" w:sz="6" w:space="0" w:color="auto"/>
              <w:bottom w:val="single" w:sz="6" w:space="0" w:color="auto"/>
              <w:right w:val="single" w:sz="2" w:space="0" w:color="auto"/>
            </w:tcBorders>
            <w:shd w:val="clear" w:color="auto" w:fill="FFFFFF"/>
            <w:vAlign w:val="bottom"/>
          </w:tcPr>
          <w:p w14:paraId="64C5B2D4" w14:textId="77777777" w:rsidR="00BD1FE7" w:rsidRPr="005616AE" w:rsidRDefault="00BD1FE7" w:rsidP="00BD1FE7">
            <w:pPr>
              <w:spacing w:after="160"/>
              <w:rPr>
                <w:rFonts w:cs="Calibri"/>
              </w:rPr>
            </w:pPr>
            <w:r w:rsidRPr="005616AE">
              <w:rPr>
                <w:rFonts w:cs="Calibri"/>
              </w:rPr>
              <w:t>Medium</w:t>
            </w:r>
          </w:p>
        </w:tc>
        <w:tc>
          <w:tcPr>
            <w:tcW w:w="1416" w:type="dxa"/>
            <w:tcBorders>
              <w:top w:val="single" w:sz="2" w:space="0" w:color="auto"/>
              <w:left w:val="single" w:sz="6" w:space="0" w:color="auto"/>
              <w:bottom w:val="single" w:sz="6" w:space="0" w:color="auto"/>
              <w:right w:val="single" w:sz="2" w:space="0" w:color="auto"/>
            </w:tcBorders>
            <w:shd w:val="clear" w:color="auto" w:fill="FFFFFF"/>
            <w:vAlign w:val="bottom"/>
          </w:tcPr>
          <w:p w14:paraId="0F6A4A6E" w14:textId="77777777" w:rsidR="00BD1FE7" w:rsidRPr="005616AE" w:rsidRDefault="00BD1FE7" w:rsidP="00BD1FE7">
            <w:pPr>
              <w:spacing w:after="160"/>
              <w:rPr>
                <w:rFonts w:cs="Calibri"/>
              </w:rPr>
            </w:pPr>
            <w:r w:rsidRPr="005616AE">
              <w:rPr>
                <w:rFonts w:cs="Calibri"/>
              </w:rPr>
              <w:t>Medium</w:t>
            </w:r>
          </w:p>
        </w:tc>
        <w:tc>
          <w:tcPr>
            <w:tcW w:w="3130" w:type="dxa"/>
            <w:tcBorders>
              <w:top w:val="single" w:sz="2" w:space="0" w:color="auto"/>
              <w:left w:val="single" w:sz="6" w:space="0" w:color="auto"/>
              <w:bottom w:val="single" w:sz="6" w:space="0" w:color="auto"/>
              <w:right w:val="single" w:sz="6" w:space="0" w:color="auto"/>
            </w:tcBorders>
            <w:shd w:val="clear" w:color="auto" w:fill="FFFFFF"/>
            <w:vAlign w:val="bottom"/>
          </w:tcPr>
          <w:p w14:paraId="7BB62883" w14:textId="77777777" w:rsidR="00BD1FE7" w:rsidRPr="005616AE" w:rsidRDefault="00BD1FE7" w:rsidP="00BD1FE7">
            <w:pPr>
              <w:spacing w:after="160"/>
              <w:rPr>
                <w:rFonts w:cs="Calibri"/>
              </w:rPr>
            </w:pPr>
            <w:r w:rsidRPr="005616AE">
              <w:rPr>
                <w:rFonts w:cs="Calibri"/>
              </w:rPr>
              <w:t>Conduct detailed reviews of all licensing agreements and allocate contingency funds for such costs.</w:t>
            </w:r>
          </w:p>
        </w:tc>
      </w:tr>
      <w:tr w:rsidR="00D61DCD" w:rsidRPr="005616AE" w14:paraId="36E9BDB9" w14:textId="77777777" w:rsidTr="002E558F">
        <w:trPr>
          <w:jc w:val="center"/>
        </w:trPr>
        <w:tc>
          <w:tcPr>
            <w:tcW w:w="0" w:type="auto"/>
            <w:hideMark/>
          </w:tcPr>
          <w:p w14:paraId="41EF5449" w14:textId="77777777" w:rsidR="00BD1FE7" w:rsidRPr="005616AE" w:rsidRDefault="00BD1FE7" w:rsidP="00BD1FE7">
            <w:pPr>
              <w:spacing w:after="160"/>
              <w:rPr>
                <w:rFonts w:cs="Calibri"/>
              </w:rPr>
            </w:pPr>
            <w:r w:rsidRPr="005616AE">
              <w:rPr>
                <w:rFonts w:cs="Calibri"/>
              </w:rPr>
              <w:t>F6</w:t>
            </w:r>
          </w:p>
        </w:tc>
        <w:tc>
          <w:tcPr>
            <w:tcW w:w="0" w:type="auto"/>
            <w:hideMark/>
          </w:tcPr>
          <w:p w14:paraId="158150FC" w14:textId="77777777" w:rsidR="00BD1FE7" w:rsidRPr="005616AE" w:rsidRDefault="00BD1FE7" w:rsidP="00BD1FE7">
            <w:pPr>
              <w:spacing w:after="160"/>
              <w:rPr>
                <w:rFonts w:cs="Calibri"/>
              </w:rPr>
            </w:pPr>
            <w:r w:rsidRPr="005616AE">
              <w:rPr>
                <w:rFonts w:cs="Calibri"/>
              </w:rPr>
              <w:t>Unanticipated costs for infrastructure upgrades required for deployment of wireless chargers.</w:t>
            </w:r>
          </w:p>
        </w:tc>
        <w:tc>
          <w:tcPr>
            <w:tcW w:w="0" w:type="auto"/>
            <w:hideMark/>
          </w:tcPr>
          <w:p w14:paraId="1D0C8C92" w14:textId="77777777" w:rsidR="00BD1FE7" w:rsidRPr="005616AE" w:rsidRDefault="00BD1FE7" w:rsidP="00BD1FE7">
            <w:pPr>
              <w:spacing w:after="160"/>
              <w:rPr>
                <w:rFonts w:cs="Calibri"/>
              </w:rPr>
            </w:pPr>
            <w:r w:rsidRPr="005616AE">
              <w:rPr>
                <w:rFonts w:cs="Calibri"/>
              </w:rPr>
              <w:t>High</w:t>
            </w:r>
          </w:p>
        </w:tc>
        <w:tc>
          <w:tcPr>
            <w:tcW w:w="0" w:type="auto"/>
            <w:hideMark/>
          </w:tcPr>
          <w:p w14:paraId="05797949" w14:textId="77777777" w:rsidR="00BD1FE7" w:rsidRPr="005616AE" w:rsidRDefault="00BD1FE7" w:rsidP="00BD1FE7">
            <w:pPr>
              <w:spacing w:after="160"/>
              <w:rPr>
                <w:rFonts w:cs="Calibri"/>
              </w:rPr>
            </w:pPr>
            <w:r w:rsidRPr="005616AE">
              <w:rPr>
                <w:rFonts w:cs="Calibri"/>
              </w:rPr>
              <w:t>Medium</w:t>
            </w:r>
          </w:p>
        </w:tc>
        <w:tc>
          <w:tcPr>
            <w:tcW w:w="0" w:type="auto"/>
            <w:hideMark/>
          </w:tcPr>
          <w:p w14:paraId="202E9A7F" w14:textId="77777777" w:rsidR="00BD1FE7" w:rsidRPr="005616AE" w:rsidRDefault="00BD1FE7" w:rsidP="00BD1FE7">
            <w:pPr>
              <w:spacing w:after="160"/>
              <w:rPr>
                <w:rFonts w:cs="Calibri"/>
              </w:rPr>
            </w:pPr>
            <w:r w:rsidRPr="005616AE">
              <w:rPr>
                <w:rFonts w:cs="Calibri"/>
              </w:rPr>
              <w:t>Conduct thorough site assessments before deployment and allocate contingency budgets for infrastructure changes.</w:t>
            </w:r>
          </w:p>
        </w:tc>
      </w:tr>
      <w:tr w:rsidR="00D61DCD" w:rsidRPr="005616AE" w14:paraId="12B2EDCA" w14:textId="77777777" w:rsidTr="002E558F">
        <w:trPr>
          <w:jc w:val="center"/>
        </w:trPr>
        <w:tc>
          <w:tcPr>
            <w:tcW w:w="0" w:type="auto"/>
            <w:hideMark/>
          </w:tcPr>
          <w:p w14:paraId="402035E7" w14:textId="77777777" w:rsidR="00BD1FE7" w:rsidRPr="005616AE" w:rsidRDefault="00BD1FE7" w:rsidP="00BD1FE7">
            <w:pPr>
              <w:spacing w:after="160"/>
              <w:rPr>
                <w:rFonts w:cs="Calibri"/>
              </w:rPr>
            </w:pPr>
            <w:r w:rsidRPr="005616AE">
              <w:rPr>
                <w:rFonts w:cs="Calibri"/>
              </w:rPr>
              <w:t>F7</w:t>
            </w:r>
          </w:p>
        </w:tc>
        <w:tc>
          <w:tcPr>
            <w:tcW w:w="0" w:type="auto"/>
            <w:hideMark/>
          </w:tcPr>
          <w:p w14:paraId="2EC0B4A3" w14:textId="77777777" w:rsidR="00BD1FE7" w:rsidRPr="005616AE" w:rsidRDefault="00BD1FE7" w:rsidP="00BD1FE7">
            <w:pPr>
              <w:spacing w:after="160"/>
              <w:rPr>
                <w:rFonts w:cs="Calibri"/>
              </w:rPr>
            </w:pPr>
            <w:r w:rsidRPr="005616AE">
              <w:rPr>
                <w:rFonts w:cs="Calibri"/>
              </w:rPr>
              <w:t>Revenue dependency on early adopters leading to cash flow instability.</w:t>
            </w:r>
          </w:p>
        </w:tc>
        <w:tc>
          <w:tcPr>
            <w:tcW w:w="0" w:type="auto"/>
            <w:hideMark/>
          </w:tcPr>
          <w:p w14:paraId="31DEA343" w14:textId="77777777" w:rsidR="00BD1FE7" w:rsidRPr="005616AE" w:rsidRDefault="00BD1FE7" w:rsidP="00BD1FE7">
            <w:pPr>
              <w:spacing w:after="160"/>
              <w:rPr>
                <w:rFonts w:cs="Calibri"/>
              </w:rPr>
            </w:pPr>
            <w:r w:rsidRPr="005616AE">
              <w:rPr>
                <w:rFonts w:cs="Calibri"/>
              </w:rPr>
              <w:t>High</w:t>
            </w:r>
          </w:p>
        </w:tc>
        <w:tc>
          <w:tcPr>
            <w:tcW w:w="0" w:type="auto"/>
            <w:hideMark/>
          </w:tcPr>
          <w:p w14:paraId="452A1735" w14:textId="77777777" w:rsidR="00BD1FE7" w:rsidRPr="005616AE" w:rsidRDefault="00BD1FE7" w:rsidP="00BD1FE7">
            <w:pPr>
              <w:spacing w:after="160"/>
              <w:rPr>
                <w:rFonts w:cs="Calibri"/>
              </w:rPr>
            </w:pPr>
            <w:r w:rsidRPr="005616AE">
              <w:rPr>
                <w:rFonts w:cs="Calibri"/>
              </w:rPr>
              <w:t>Medium</w:t>
            </w:r>
          </w:p>
        </w:tc>
        <w:tc>
          <w:tcPr>
            <w:tcW w:w="0" w:type="auto"/>
            <w:hideMark/>
          </w:tcPr>
          <w:p w14:paraId="7AC92C3C" w14:textId="059C94AB" w:rsidR="00BD1FE7" w:rsidRPr="005616AE" w:rsidRDefault="00BD1FE7" w:rsidP="00BD1FE7">
            <w:pPr>
              <w:spacing w:after="160"/>
              <w:rPr>
                <w:rFonts w:cs="Calibri"/>
              </w:rPr>
            </w:pPr>
            <w:r w:rsidRPr="005616AE">
              <w:rPr>
                <w:rFonts w:cs="Calibri"/>
              </w:rPr>
              <w:t>Diversify revenue streams by partnering with government programs or fleet operators to stabili</w:t>
            </w:r>
            <w:r w:rsidR="005616AE">
              <w:rPr>
                <w:rFonts w:cs="Calibri"/>
              </w:rPr>
              <w:t>s</w:t>
            </w:r>
            <w:r w:rsidRPr="005616AE">
              <w:rPr>
                <w:rFonts w:cs="Calibri"/>
              </w:rPr>
              <w:t>e cash flow.</w:t>
            </w:r>
          </w:p>
        </w:tc>
      </w:tr>
      <w:tr w:rsidR="00D61DCD" w:rsidRPr="005616AE" w14:paraId="6319034F" w14:textId="77777777" w:rsidTr="002E558F">
        <w:trPr>
          <w:jc w:val="center"/>
        </w:trPr>
        <w:tc>
          <w:tcPr>
            <w:tcW w:w="0" w:type="auto"/>
            <w:hideMark/>
          </w:tcPr>
          <w:p w14:paraId="755918C0" w14:textId="77777777" w:rsidR="00BD1FE7" w:rsidRPr="005616AE" w:rsidRDefault="00BD1FE7" w:rsidP="00BD1FE7">
            <w:pPr>
              <w:spacing w:after="160"/>
              <w:rPr>
                <w:rFonts w:cs="Calibri"/>
              </w:rPr>
            </w:pPr>
            <w:r w:rsidRPr="005616AE">
              <w:rPr>
                <w:rFonts w:cs="Calibri"/>
              </w:rPr>
              <w:t>F8</w:t>
            </w:r>
          </w:p>
        </w:tc>
        <w:tc>
          <w:tcPr>
            <w:tcW w:w="0" w:type="auto"/>
            <w:hideMark/>
          </w:tcPr>
          <w:p w14:paraId="76176AB1" w14:textId="77777777" w:rsidR="00BD1FE7" w:rsidRPr="005616AE" w:rsidRDefault="00BD1FE7" w:rsidP="00BD1FE7">
            <w:pPr>
              <w:spacing w:after="160"/>
              <w:rPr>
                <w:rFonts w:cs="Calibri"/>
              </w:rPr>
            </w:pPr>
            <w:r w:rsidRPr="005616AE">
              <w:rPr>
                <w:rFonts w:cs="Calibri"/>
              </w:rPr>
              <w:t>Long payback period on investment due to slower-than-expected market growth.</w:t>
            </w:r>
          </w:p>
        </w:tc>
        <w:tc>
          <w:tcPr>
            <w:tcW w:w="0" w:type="auto"/>
            <w:hideMark/>
          </w:tcPr>
          <w:p w14:paraId="7B650CB2" w14:textId="77777777" w:rsidR="00BD1FE7" w:rsidRPr="005616AE" w:rsidRDefault="00BD1FE7" w:rsidP="00BD1FE7">
            <w:pPr>
              <w:spacing w:after="160"/>
              <w:rPr>
                <w:rFonts w:cs="Calibri"/>
              </w:rPr>
            </w:pPr>
            <w:r w:rsidRPr="005616AE">
              <w:rPr>
                <w:rFonts w:cs="Calibri"/>
              </w:rPr>
              <w:t>Medium</w:t>
            </w:r>
          </w:p>
        </w:tc>
        <w:tc>
          <w:tcPr>
            <w:tcW w:w="0" w:type="auto"/>
            <w:hideMark/>
          </w:tcPr>
          <w:p w14:paraId="6EA5075E" w14:textId="77777777" w:rsidR="00BD1FE7" w:rsidRPr="005616AE" w:rsidRDefault="00BD1FE7" w:rsidP="00BD1FE7">
            <w:pPr>
              <w:spacing w:after="160"/>
              <w:rPr>
                <w:rFonts w:cs="Calibri"/>
              </w:rPr>
            </w:pPr>
            <w:r w:rsidRPr="005616AE">
              <w:rPr>
                <w:rFonts w:cs="Calibri"/>
              </w:rPr>
              <w:t>Medium</w:t>
            </w:r>
          </w:p>
        </w:tc>
        <w:tc>
          <w:tcPr>
            <w:tcW w:w="0" w:type="auto"/>
            <w:hideMark/>
          </w:tcPr>
          <w:p w14:paraId="4C1880FB" w14:textId="2263BCCC" w:rsidR="00BD1FE7" w:rsidRPr="005616AE" w:rsidRDefault="00BD1FE7" w:rsidP="00BD1FE7">
            <w:pPr>
              <w:spacing w:after="160"/>
              <w:rPr>
                <w:rFonts w:cs="Calibri"/>
              </w:rPr>
            </w:pPr>
            <w:r w:rsidRPr="005616AE">
              <w:rPr>
                <w:rFonts w:cs="Calibri"/>
              </w:rPr>
              <w:t>Adjust rollout timelines and prioriti</w:t>
            </w:r>
            <w:r w:rsidR="005616AE">
              <w:rPr>
                <w:rFonts w:cs="Calibri"/>
              </w:rPr>
              <w:t>s</w:t>
            </w:r>
            <w:r w:rsidRPr="005616AE">
              <w:rPr>
                <w:rFonts w:cs="Calibri"/>
              </w:rPr>
              <w:t>e high-potential markets to optimi</w:t>
            </w:r>
            <w:r w:rsidR="005616AE">
              <w:rPr>
                <w:rFonts w:cs="Calibri"/>
              </w:rPr>
              <w:t>s</w:t>
            </w:r>
            <w:r w:rsidRPr="005616AE">
              <w:rPr>
                <w:rFonts w:cs="Calibri"/>
              </w:rPr>
              <w:t>e ROI.</w:t>
            </w:r>
          </w:p>
        </w:tc>
      </w:tr>
    </w:tbl>
    <w:p w14:paraId="51A0DDA4" w14:textId="77777777" w:rsidR="00BD1FE7" w:rsidRPr="005616AE" w:rsidRDefault="00BD1FE7" w:rsidP="00BD1FE7">
      <w:pPr>
        <w:rPr>
          <w:rFonts w:cs="Calibri"/>
        </w:rPr>
      </w:pPr>
    </w:p>
    <w:p w14:paraId="2363C4A8" w14:textId="77777777" w:rsidR="00BD1FE7" w:rsidRPr="005616AE" w:rsidRDefault="00BD1FE7" w:rsidP="00490438">
      <w:pPr>
        <w:pStyle w:val="Heading3"/>
        <w:rPr>
          <w:rFonts w:cs="Calibri"/>
        </w:rPr>
      </w:pPr>
      <w:bookmarkStart w:id="57" w:name="_Toc183211073"/>
      <w:r w:rsidRPr="005616AE">
        <w:rPr>
          <w:rFonts w:cs="Calibri"/>
        </w:rPr>
        <w:t>Reputational</w:t>
      </w:r>
      <w:bookmarkEnd w:id="57"/>
    </w:p>
    <w:p w14:paraId="457C1FF9" w14:textId="77777777" w:rsidR="00BD1FE7" w:rsidRPr="005616AE" w:rsidRDefault="00BD1FE7" w:rsidP="00BD1FE7">
      <w:pPr>
        <w:rPr>
          <w:rFonts w:cs="Calibri"/>
        </w:rPr>
      </w:pPr>
      <w:r w:rsidRPr="005616AE">
        <w:rPr>
          <w:rFonts w:cs="Calibri"/>
        </w:rPr>
        <w:t xml:space="preserve">Customer discontent, unfavourable publicity and stakeholder retaliation are all examples of reputational risks. Maintaining TD Bank and WiTricity's reputation as dependable and creative brands necessitates </w:t>
      </w:r>
      <w:proofErr w:type="gramStart"/>
      <w:r w:rsidRPr="005616AE">
        <w:rPr>
          <w:rFonts w:cs="Calibri"/>
        </w:rPr>
        <w:t>proactive</w:t>
      </w:r>
      <w:proofErr w:type="gramEnd"/>
      <w:r w:rsidRPr="005616AE">
        <w:rPr>
          <w:rFonts w:cs="Calibri"/>
        </w:rPr>
        <w:t xml:space="preserve"> risk management with open communication.</w:t>
      </w:r>
    </w:p>
    <w:tbl>
      <w:tblPr>
        <w:tblStyle w:val="TableGrid"/>
        <w:tblW w:w="0" w:type="auto"/>
        <w:jc w:val="center"/>
        <w:tblInd w:w="0" w:type="dxa"/>
        <w:tblLook w:val="04A0" w:firstRow="1" w:lastRow="0" w:firstColumn="1" w:lastColumn="0" w:noHBand="0" w:noVBand="1"/>
      </w:tblPr>
      <w:tblGrid>
        <w:gridCol w:w="601"/>
        <w:gridCol w:w="3403"/>
        <w:gridCol w:w="972"/>
        <w:gridCol w:w="1231"/>
        <w:gridCol w:w="3143"/>
      </w:tblGrid>
      <w:tr w:rsidR="00BD1FE7" w:rsidRPr="005616AE" w14:paraId="148B8093" w14:textId="77777777" w:rsidTr="002E558F">
        <w:trPr>
          <w:jc w:val="center"/>
        </w:trPr>
        <w:tc>
          <w:tcPr>
            <w:tcW w:w="654" w:type="dxa"/>
          </w:tcPr>
          <w:p w14:paraId="45E35D1D" w14:textId="77777777" w:rsidR="00BD1FE7" w:rsidRPr="005616AE" w:rsidRDefault="00BD1FE7" w:rsidP="00F46334">
            <w:pPr>
              <w:spacing w:after="160"/>
              <w:jc w:val="center"/>
              <w:rPr>
                <w:rFonts w:cs="Calibri"/>
                <w:b/>
                <w:bCs/>
              </w:rPr>
            </w:pPr>
            <w:r w:rsidRPr="005616AE">
              <w:rPr>
                <w:rFonts w:cs="Calibri"/>
                <w:b/>
                <w:bCs/>
              </w:rPr>
              <w:t>Risk ID</w:t>
            </w:r>
          </w:p>
        </w:tc>
        <w:tc>
          <w:tcPr>
            <w:tcW w:w="3338" w:type="dxa"/>
          </w:tcPr>
          <w:p w14:paraId="3E77EA37" w14:textId="77777777" w:rsidR="00BD1FE7" w:rsidRPr="005616AE" w:rsidRDefault="00BD1FE7" w:rsidP="00F46334">
            <w:pPr>
              <w:spacing w:after="160"/>
              <w:jc w:val="center"/>
              <w:rPr>
                <w:rFonts w:cs="Calibri"/>
                <w:b/>
                <w:bCs/>
              </w:rPr>
            </w:pPr>
            <w:r w:rsidRPr="005616AE">
              <w:rPr>
                <w:rFonts w:cs="Calibri"/>
                <w:b/>
                <w:bCs/>
              </w:rPr>
              <w:t>Risk Description</w:t>
            </w:r>
          </w:p>
        </w:tc>
        <w:tc>
          <w:tcPr>
            <w:tcW w:w="976" w:type="dxa"/>
          </w:tcPr>
          <w:p w14:paraId="1961212A" w14:textId="77777777" w:rsidR="00BD1FE7" w:rsidRPr="005616AE" w:rsidRDefault="00BD1FE7" w:rsidP="00F46334">
            <w:pPr>
              <w:spacing w:after="160"/>
              <w:jc w:val="center"/>
              <w:rPr>
                <w:rFonts w:cs="Calibri"/>
                <w:b/>
                <w:bCs/>
              </w:rPr>
            </w:pPr>
            <w:r w:rsidRPr="005616AE">
              <w:rPr>
                <w:rFonts w:cs="Calibri"/>
                <w:b/>
                <w:bCs/>
              </w:rPr>
              <w:t>Impact</w:t>
            </w:r>
          </w:p>
        </w:tc>
        <w:tc>
          <w:tcPr>
            <w:tcW w:w="1296" w:type="dxa"/>
          </w:tcPr>
          <w:p w14:paraId="3E42124A" w14:textId="77777777" w:rsidR="00BD1FE7" w:rsidRPr="005616AE" w:rsidRDefault="00BD1FE7" w:rsidP="00F46334">
            <w:pPr>
              <w:spacing w:after="160"/>
              <w:jc w:val="center"/>
              <w:rPr>
                <w:rFonts w:cs="Calibri"/>
                <w:b/>
                <w:bCs/>
              </w:rPr>
            </w:pPr>
            <w:r w:rsidRPr="005616AE">
              <w:rPr>
                <w:rFonts w:cs="Calibri"/>
                <w:b/>
                <w:bCs/>
              </w:rPr>
              <w:t>Probability</w:t>
            </w:r>
          </w:p>
        </w:tc>
        <w:tc>
          <w:tcPr>
            <w:tcW w:w="3086" w:type="dxa"/>
          </w:tcPr>
          <w:p w14:paraId="07C4660C" w14:textId="77777777" w:rsidR="00BD1FE7" w:rsidRPr="005616AE" w:rsidRDefault="00BD1FE7" w:rsidP="00F46334">
            <w:pPr>
              <w:spacing w:after="160"/>
              <w:jc w:val="center"/>
              <w:rPr>
                <w:rFonts w:cs="Calibri"/>
                <w:b/>
                <w:bCs/>
              </w:rPr>
            </w:pPr>
            <w:r w:rsidRPr="005616AE">
              <w:rPr>
                <w:rFonts w:cs="Calibri"/>
                <w:b/>
                <w:bCs/>
              </w:rPr>
              <w:t>Mitigation Strategy</w:t>
            </w:r>
          </w:p>
        </w:tc>
      </w:tr>
      <w:tr w:rsidR="00BD1FE7" w:rsidRPr="005616AE" w14:paraId="2F8CA68C" w14:textId="77777777" w:rsidTr="002E558F">
        <w:trPr>
          <w:jc w:val="center"/>
        </w:trPr>
        <w:tc>
          <w:tcPr>
            <w:tcW w:w="654" w:type="dxa"/>
          </w:tcPr>
          <w:p w14:paraId="46D0534E" w14:textId="77777777" w:rsidR="00BD1FE7" w:rsidRPr="005616AE" w:rsidRDefault="00BD1FE7" w:rsidP="00BD1FE7">
            <w:pPr>
              <w:spacing w:after="160"/>
              <w:rPr>
                <w:rFonts w:cs="Calibri"/>
              </w:rPr>
            </w:pPr>
            <w:r w:rsidRPr="005616AE">
              <w:rPr>
                <w:rFonts w:cs="Calibri"/>
              </w:rPr>
              <w:t>R1</w:t>
            </w:r>
          </w:p>
        </w:tc>
        <w:tc>
          <w:tcPr>
            <w:tcW w:w="3338" w:type="dxa"/>
            <w:tcBorders>
              <w:top w:val="single" w:sz="2" w:space="0" w:color="auto"/>
              <w:left w:val="single" w:sz="6" w:space="0" w:color="auto"/>
              <w:bottom w:val="single" w:sz="6" w:space="0" w:color="auto"/>
              <w:right w:val="single" w:sz="2" w:space="0" w:color="auto"/>
            </w:tcBorders>
            <w:shd w:val="clear" w:color="auto" w:fill="FFFFFF"/>
            <w:vAlign w:val="bottom"/>
          </w:tcPr>
          <w:p w14:paraId="4118B140" w14:textId="77777777" w:rsidR="00BD1FE7" w:rsidRPr="005616AE" w:rsidRDefault="00BD1FE7" w:rsidP="00BD1FE7">
            <w:pPr>
              <w:spacing w:after="160"/>
              <w:rPr>
                <w:rFonts w:cs="Calibri"/>
              </w:rPr>
            </w:pPr>
            <w:r w:rsidRPr="005616AE">
              <w:rPr>
                <w:rFonts w:cs="Calibri"/>
              </w:rPr>
              <w:t>Customer dissatisfaction due to system failures or delays.</w:t>
            </w:r>
          </w:p>
        </w:tc>
        <w:tc>
          <w:tcPr>
            <w:tcW w:w="976" w:type="dxa"/>
            <w:tcBorders>
              <w:top w:val="single" w:sz="2" w:space="0" w:color="auto"/>
              <w:left w:val="single" w:sz="6" w:space="0" w:color="auto"/>
              <w:bottom w:val="single" w:sz="6" w:space="0" w:color="auto"/>
              <w:right w:val="single" w:sz="2" w:space="0" w:color="auto"/>
            </w:tcBorders>
            <w:shd w:val="clear" w:color="auto" w:fill="FFFFFF"/>
            <w:vAlign w:val="bottom"/>
          </w:tcPr>
          <w:p w14:paraId="6B54BCE3" w14:textId="77777777" w:rsidR="00BD1FE7" w:rsidRPr="005616AE" w:rsidRDefault="00BD1FE7" w:rsidP="00BD1FE7">
            <w:pPr>
              <w:spacing w:after="160"/>
              <w:rPr>
                <w:rFonts w:cs="Calibri"/>
              </w:rPr>
            </w:pPr>
            <w:r w:rsidRPr="005616AE">
              <w:rPr>
                <w:rFonts w:cs="Calibri"/>
              </w:rPr>
              <w:t>High</w:t>
            </w:r>
          </w:p>
        </w:tc>
        <w:tc>
          <w:tcPr>
            <w:tcW w:w="1296" w:type="dxa"/>
            <w:tcBorders>
              <w:top w:val="single" w:sz="2" w:space="0" w:color="auto"/>
              <w:left w:val="single" w:sz="6" w:space="0" w:color="auto"/>
              <w:bottom w:val="single" w:sz="6" w:space="0" w:color="auto"/>
              <w:right w:val="single" w:sz="2" w:space="0" w:color="auto"/>
            </w:tcBorders>
            <w:shd w:val="clear" w:color="auto" w:fill="FFFFFF"/>
            <w:vAlign w:val="bottom"/>
          </w:tcPr>
          <w:p w14:paraId="2CDF4C19" w14:textId="77777777" w:rsidR="00BD1FE7" w:rsidRPr="005616AE" w:rsidRDefault="00BD1FE7" w:rsidP="00BD1FE7">
            <w:pPr>
              <w:spacing w:after="160"/>
              <w:rPr>
                <w:rFonts w:cs="Calibri"/>
              </w:rPr>
            </w:pPr>
            <w:r w:rsidRPr="005616AE">
              <w:rPr>
                <w:rFonts w:cs="Calibri"/>
              </w:rPr>
              <w:t>Low</w:t>
            </w:r>
          </w:p>
        </w:tc>
        <w:tc>
          <w:tcPr>
            <w:tcW w:w="3086" w:type="dxa"/>
            <w:tcBorders>
              <w:top w:val="single" w:sz="2" w:space="0" w:color="auto"/>
              <w:left w:val="single" w:sz="6" w:space="0" w:color="auto"/>
              <w:bottom w:val="single" w:sz="6" w:space="0" w:color="auto"/>
              <w:right w:val="single" w:sz="6" w:space="0" w:color="auto"/>
            </w:tcBorders>
            <w:shd w:val="clear" w:color="auto" w:fill="FFFFFF"/>
            <w:vAlign w:val="bottom"/>
          </w:tcPr>
          <w:p w14:paraId="0D7729D6" w14:textId="77777777" w:rsidR="00BD1FE7" w:rsidRPr="005616AE" w:rsidRDefault="00BD1FE7" w:rsidP="00BD1FE7">
            <w:pPr>
              <w:spacing w:after="160"/>
              <w:rPr>
                <w:rFonts w:cs="Calibri"/>
              </w:rPr>
            </w:pPr>
            <w:r w:rsidRPr="005616AE">
              <w:rPr>
                <w:rFonts w:cs="Calibri"/>
              </w:rPr>
              <w:t>Conduct extensive pre-launch testing and maintain a robust customer support system to address issues promptly.</w:t>
            </w:r>
          </w:p>
        </w:tc>
      </w:tr>
      <w:tr w:rsidR="00BD1FE7" w:rsidRPr="005616AE" w14:paraId="1CB70C3B" w14:textId="77777777" w:rsidTr="002E558F">
        <w:trPr>
          <w:jc w:val="center"/>
        </w:trPr>
        <w:tc>
          <w:tcPr>
            <w:tcW w:w="654" w:type="dxa"/>
          </w:tcPr>
          <w:p w14:paraId="41DE1E5A" w14:textId="77777777" w:rsidR="00BD1FE7" w:rsidRPr="005616AE" w:rsidRDefault="00BD1FE7" w:rsidP="00BD1FE7">
            <w:pPr>
              <w:spacing w:after="160"/>
              <w:rPr>
                <w:rFonts w:cs="Calibri"/>
              </w:rPr>
            </w:pPr>
            <w:r w:rsidRPr="005616AE">
              <w:rPr>
                <w:rFonts w:cs="Calibri"/>
              </w:rPr>
              <w:t>R2</w:t>
            </w:r>
          </w:p>
        </w:tc>
        <w:tc>
          <w:tcPr>
            <w:tcW w:w="3338" w:type="dxa"/>
            <w:tcBorders>
              <w:top w:val="single" w:sz="2" w:space="0" w:color="auto"/>
              <w:left w:val="single" w:sz="6" w:space="0" w:color="auto"/>
              <w:bottom w:val="single" w:sz="6" w:space="0" w:color="auto"/>
              <w:right w:val="single" w:sz="2" w:space="0" w:color="auto"/>
            </w:tcBorders>
            <w:shd w:val="clear" w:color="auto" w:fill="FFFFFF"/>
            <w:vAlign w:val="bottom"/>
          </w:tcPr>
          <w:p w14:paraId="013F4634" w14:textId="77777777" w:rsidR="00BD1FE7" w:rsidRPr="005616AE" w:rsidRDefault="00BD1FE7" w:rsidP="00BD1FE7">
            <w:pPr>
              <w:spacing w:after="160"/>
              <w:rPr>
                <w:rFonts w:cs="Calibri"/>
              </w:rPr>
            </w:pPr>
            <w:r w:rsidRPr="005616AE">
              <w:rPr>
                <w:rFonts w:cs="Calibri"/>
              </w:rPr>
              <w:t>Public backlash over data breaches or security lapses.</w:t>
            </w:r>
          </w:p>
        </w:tc>
        <w:tc>
          <w:tcPr>
            <w:tcW w:w="976" w:type="dxa"/>
            <w:tcBorders>
              <w:top w:val="single" w:sz="2" w:space="0" w:color="auto"/>
              <w:left w:val="single" w:sz="6" w:space="0" w:color="auto"/>
              <w:bottom w:val="single" w:sz="6" w:space="0" w:color="auto"/>
              <w:right w:val="single" w:sz="2" w:space="0" w:color="auto"/>
            </w:tcBorders>
            <w:shd w:val="clear" w:color="auto" w:fill="FFFFFF"/>
            <w:vAlign w:val="bottom"/>
          </w:tcPr>
          <w:p w14:paraId="7374F4C1" w14:textId="77777777" w:rsidR="00BD1FE7" w:rsidRPr="005616AE" w:rsidRDefault="00BD1FE7" w:rsidP="00BD1FE7">
            <w:pPr>
              <w:spacing w:after="160"/>
              <w:rPr>
                <w:rFonts w:cs="Calibri"/>
              </w:rPr>
            </w:pPr>
            <w:r w:rsidRPr="005616AE">
              <w:rPr>
                <w:rFonts w:cs="Calibri"/>
              </w:rPr>
              <w:t>High</w:t>
            </w:r>
          </w:p>
        </w:tc>
        <w:tc>
          <w:tcPr>
            <w:tcW w:w="1296" w:type="dxa"/>
            <w:tcBorders>
              <w:top w:val="single" w:sz="2" w:space="0" w:color="auto"/>
              <w:left w:val="single" w:sz="6" w:space="0" w:color="auto"/>
              <w:bottom w:val="single" w:sz="6" w:space="0" w:color="auto"/>
              <w:right w:val="single" w:sz="2" w:space="0" w:color="auto"/>
            </w:tcBorders>
            <w:shd w:val="clear" w:color="auto" w:fill="FFFFFF"/>
            <w:vAlign w:val="bottom"/>
          </w:tcPr>
          <w:p w14:paraId="68DE9556" w14:textId="77777777" w:rsidR="00BD1FE7" w:rsidRPr="005616AE" w:rsidRDefault="00BD1FE7" w:rsidP="00BD1FE7">
            <w:pPr>
              <w:spacing w:after="160"/>
              <w:rPr>
                <w:rFonts w:cs="Calibri"/>
              </w:rPr>
            </w:pPr>
            <w:r w:rsidRPr="005616AE">
              <w:rPr>
                <w:rFonts w:cs="Calibri"/>
              </w:rPr>
              <w:t>Medium</w:t>
            </w:r>
          </w:p>
        </w:tc>
        <w:tc>
          <w:tcPr>
            <w:tcW w:w="3086" w:type="dxa"/>
            <w:tcBorders>
              <w:top w:val="single" w:sz="2" w:space="0" w:color="auto"/>
              <w:left w:val="single" w:sz="6" w:space="0" w:color="auto"/>
              <w:bottom w:val="single" w:sz="6" w:space="0" w:color="auto"/>
              <w:right w:val="single" w:sz="6" w:space="0" w:color="auto"/>
            </w:tcBorders>
            <w:shd w:val="clear" w:color="auto" w:fill="FFFFFF"/>
            <w:vAlign w:val="bottom"/>
          </w:tcPr>
          <w:p w14:paraId="3E13E7F9" w14:textId="37CCE3C9" w:rsidR="00BD1FE7" w:rsidRPr="005616AE" w:rsidRDefault="00BD1FE7" w:rsidP="00BD1FE7">
            <w:pPr>
              <w:spacing w:after="160"/>
              <w:rPr>
                <w:rFonts w:cs="Calibri"/>
              </w:rPr>
            </w:pPr>
            <w:r w:rsidRPr="005616AE">
              <w:rPr>
                <w:rFonts w:cs="Calibri"/>
              </w:rPr>
              <w:t>Ensure</w:t>
            </w:r>
            <w:r w:rsidR="005471FC" w:rsidRPr="005616AE">
              <w:rPr>
                <w:rFonts w:cs="Calibri"/>
              </w:rPr>
              <w:t xml:space="preserve"> </w:t>
            </w:r>
            <w:r w:rsidRPr="005616AE">
              <w:rPr>
                <w:rFonts w:cs="Calibri"/>
              </w:rPr>
              <w:t>transparent communication about data usage policies and implement robust security protocols.</w:t>
            </w:r>
          </w:p>
        </w:tc>
      </w:tr>
      <w:tr w:rsidR="00BD1FE7" w:rsidRPr="005616AE" w14:paraId="2EB4C9B9" w14:textId="77777777" w:rsidTr="002E558F">
        <w:trPr>
          <w:jc w:val="center"/>
        </w:trPr>
        <w:tc>
          <w:tcPr>
            <w:tcW w:w="654" w:type="dxa"/>
          </w:tcPr>
          <w:p w14:paraId="355D05EE" w14:textId="77777777" w:rsidR="00BD1FE7" w:rsidRPr="005616AE" w:rsidRDefault="00BD1FE7" w:rsidP="00BD1FE7">
            <w:pPr>
              <w:spacing w:after="160"/>
              <w:rPr>
                <w:rFonts w:cs="Calibri"/>
              </w:rPr>
            </w:pPr>
            <w:r w:rsidRPr="005616AE">
              <w:rPr>
                <w:rFonts w:cs="Calibri"/>
              </w:rPr>
              <w:t>R3</w:t>
            </w:r>
          </w:p>
        </w:tc>
        <w:tc>
          <w:tcPr>
            <w:tcW w:w="3338" w:type="dxa"/>
            <w:tcBorders>
              <w:top w:val="single" w:sz="2" w:space="0" w:color="auto"/>
              <w:left w:val="single" w:sz="6" w:space="0" w:color="auto"/>
              <w:bottom w:val="single" w:sz="6" w:space="0" w:color="auto"/>
              <w:right w:val="single" w:sz="2" w:space="0" w:color="auto"/>
            </w:tcBorders>
            <w:shd w:val="clear" w:color="auto" w:fill="FFFFFF"/>
            <w:vAlign w:val="bottom"/>
          </w:tcPr>
          <w:p w14:paraId="4CB954C6" w14:textId="77777777" w:rsidR="00BD1FE7" w:rsidRPr="005616AE" w:rsidRDefault="00BD1FE7" w:rsidP="00BD1FE7">
            <w:pPr>
              <w:spacing w:after="160"/>
              <w:rPr>
                <w:rFonts w:cs="Calibri"/>
              </w:rPr>
            </w:pPr>
            <w:r w:rsidRPr="005616AE">
              <w:rPr>
                <w:rFonts w:cs="Calibri"/>
              </w:rPr>
              <w:t>Negative publicity from environmental groups over non-</w:t>
            </w:r>
            <w:r w:rsidRPr="005616AE">
              <w:rPr>
                <w:rFonts w:cs="Calibri"/>
              </w:rPr>
              <w:lastRenderedPageBreak/>
              <w:t>compliance with sustainability standards.</w:t>
            </w:r>
          </w:p>
        </w:tc>
        <w:tc>
          <w:tcPr>
            <w:tcW w:w="976" w:type="dxa"/>
            <w:tcBorders>
              <w:top w:val="single" w:sz="2" w:space="0" w:color="auto"/>
              <w:left w:val="single" w:sz="6" w:space="0" w:color="auto"/>
              <w:bottom w:val="single" w:sz="6" w:space="0" w:color="auto"/>
              <w:right w:val="single" w:sz="2" w:space="0" w:color="auto"/>
            </w:tcBorders>
            <w:shd w:val="clear" w:color="auto" w:fill="FFFFFF"/>
            <w:vAlign w:val="bottom"/>
          </w:tcPr>
          <w:p w14:paraId="7CF61D8C" w14:textId="77777777" w:rsidR="00BD1FE7" w:rsidRPr="005616AE" w:rsidRDefault="00BD1FE7" w:rsidP="00BD1FE7">
            <w:pPr>
              <w:spacing w:after="160"/>
              <w:rPr>
                <w:rFonts w:cs="Calibri"/>
              </w:rPr>
            </w:pPr>
            <w:r w:rsidRPr="005616AE">
              <w:rPr>
                <w:rFonts w:cs="Calibri"/>
              </w:rPr>
              <w:lastRenderedPageBreak/>
              <w:t>Medium</w:t>
            </w:r>
          </w:p>
        </w:tc>
        <w:tc>
          <w:tcPr>
            <w:tcW w:w="1296" w:type="dxa"/>
            <w:tcBorders>
              <w:top w:val="single" w:sz="2" w:space="0" w:color="auto"/>
              <w:left w:val="single" w:sz="6" w:space="0" w:color="auto"/>
              <w:bottom w:val="single" w:sz="6" w:space="0" w:color="auto"/>
              <w:right w:val="single" w:sz="2" w:space="0" w:color="auto"/>
            </w:tcBorders>
            <w:shd w:val="clear" w:color="auto" w:fill="FFFFFF"/>
            <w:vAlign w:val="bottom"/>
          </w:tcPr>
          <w:p w14:paraId="08D87A1A" w14:textId="77777777" w:rsidR="00BD1FE7" w:rsidRPr="005616AE" w:rsidRDefault="00BD1FE7" w:rsidP="00BD1FE7">
            <w:pPr>
              <w:spacing w:after="160"/>
              <w:rPr>
                <w:rFonts w:cs="Calibri"/>
              </w:rPr>
            </w:pPr>
            <w:r w:rsidRPr="005616AE">
              <w:rPr>
                <w:rFonts w:cs="Calibri"/>
              </w:rPr>
              <w:t>Medium</w:t>
            </w:r>
          </w:p>
        </w:tc>
        <w:tc>
          <w:tcPr>
            <w:tcW w:w="3086" w:type="dxa"/>
            <w:tcBorders>
              <w:top w:val="single" w:sz="2" w:space="0" w:color="auto"/>
              <w:left w:val="single" w:sz="6" w:space="0" w:color="auto"/>
              <w:bottom w:val="single" w:sz="6" w:space="0" w:color="auto"/>
              <w:right w:val="single" w:sz="6" w:space="0" w:color="auto"/>
            </w:tcBorders>
            <w:shd w:val="clear" w:color="auto" w:fill="FFFFFF"/>
            <w:vAlign w:val="bottom"/>
          </w:tcPr>
          <w:p w14:paraId="73D0DCD5" w14:textId="77777777" w:rsidR="00BD1FE7" w:rsidRPr="005616AE" w:rsidRDefault="00BD1FE7" w:rsidP="00BD1FE7">
            <w:pPr>
              <w:spacing w:after="160"/>
              <w:rPr>
                <w:rFonts w:cs="Calibri"/>
              </w:rPr>
            </w:pPr>
            <w:r w:rsidRPr="005616AE">
              <w:rPr>
                <w:rFonts w:cs="Calibri"/>
              </w:rPr>
              <w:t xml:space="preserve">Ensure compliance with environmental standards and </w:t>
            </w:r>
            <w:r w:rsidRPr="005616AE">
              <w:rPr>
                <w:rFonts w:cs="Calibri"/>
              </w:rPr>
              <w:lastRenderedPageBreak/>
              <w:t>proactively communicate sustainability achievements.</w:t>
            </w:r>
          </w:p>
        </w:tc>
      </w:tr>
      <w:tr w:rsidR="00BD1FE7" w:rsidRPr="005616AE" w14:paraId="05DBCF1D" w14:textId="77777777" w:rsidTr="002E558F">
        <w:trPr>
          <w:jc w:val="center"/>
        </w:trPr>
        <w:tc>
          <w:tcPr>
            <w:tcW w:w="654" w:type="dxa"/>
          </w:tcPr>
          <w:p w14:paraId="68AB78E0" w14:textId="77777777" w:rsidR="00BD1FE7" w:rsidRPr="005616AE" w:rsidRDefault="00BD1FE7" w:rsidP="00BD1FE7">
            <w:pPr>
              <w:spacing w:after="160"/>
              <w:rPr>
                <w:rFonts w:cs="Calibri"/>
              </w:rPr>
            </w:pPr>
            <w:r w:rsidRPr="005616AE">
              <w:rPr>
                <w:rFonts w:cs="Calibri"/>
              </w:rPr>
              <w:lastRenderedPageBreak/>
              <w:t>R4</w:t>
            </w:r>
          </w:p>
        </w:tc>
        <w:tc>
          <w:tcPr>
            <w:tcW w:w="3338" w:type="dxa"/>
            <w:tcBorders>
              <w:top w:val="single" w:sz="2" w:space="0" w:color="auto"/>
              <w:left w:val="single" w:sz="6" w:space="0" w:color="auto"/>
              <w:bottom w:val="single" w:sz="6" w:space="0" w:color="auto"/>
              <w:right w:val="single" w:sz="2" w:space="0" w:color="auto"/>
            </w:tcBorders>
            <w:shd w:val="clear" w:color="auto" w:fill="FFFFFF"/>
            <w:vAlign w:val="bottom"/>
          </w:tcPr>
          <w:p w14:paraId="15490BD5" w14:textId="77777777" w:rsidR="00BD1FE7" w:rsidRPr="005616AE" w:rsidRDefault="00BD1FE7" w:rsidP="00BD1FE7">
            <w:pPr>
              <w:spacing w:after="160"/>
              <w:rPr>
                <w:rFonts w:cs="Calibri"/>
              </w:rPr>
            </w:pPr>
            <w:r w:rsidRPr="005616AE">
              <w:rPr>
                <w:rFonts w:cs="Calibri"/>
              </w:rPr>
              <w:t>Accessibility criticism if charging stations are incompatible with certain EV brands.</w:t>
            </w:r>
          </w:p>
        </w:tc>
        <w:tc>
          <w:tcPr>
            <w:tcW w:w="976" w:type="dxa"/>
            <w:tcBorders>
              <w:top w:val="single" w:sz="2" w:space="0" w:color="auto"/>
              <w:left w:val="single" w:sz="6" w:space="0" w:color="auto"/>
              <w:bottom w:val="single" w:sz="6" w:space="0" w:color="auto"/>
              <w:right w:val="single" w:sz="2" w:space="0" w:color="auto"/>
            </w:tcBorders>
            <w:shd w:val="clear" w:color="auto" w:fill="FFFFFF"/>
            <w:vAlign w:val="bottom"/>
          </w:tcPr>
          <w:p w14:paraId="2E57B7C8" w14:textId="77777777" w:rsidR="00BD1FE7" w:rsidRPr="005616AE" w:rsidRDefault="00BD1FE7" w:rsidP="00BD1FE7">
            <w:pPr>
              <w:spacing w:after="160"/>
              <w:rPr>
                <w:rFonts w:cs="Calibri"/>
              </w:rPr>
            </w:pPr>
            <w:r w:rsidRPr="005616AE">
              <w:rPr>
                <w:rFonts w:cs="Calibri"/>
              </w:rPr>
              <w:t>Medium</w:t>
            </w:r>
          </w:p>
        </w:tc>
        <w:tc>
          <w:tcPr>
            <w:tcW w:w="1296" w:type="dxa"/>
            <w:tcBorders>
              <w:top w:val="single" w:sz="2" w:space="0" w:color="auto"/>
              <w:left w:val="single" w:sz="6" w:space="0" w:color="auto"/>
              <w:bottom w:val="single" w:sz="6" w:space="0" w:color="auto"/>
              <w:right w:val="single" w:sz="2" w:space="0" w:color="auto"/>
            </w:tcBorders>
            <w:shd w:val="clear" w:color="auto" w:fill="FFFFFF"/>
            <w:vAlign w:val="bottom"/>
          </w:tcPr>
          <w:p w14:paraId="76323F7B" w14:textId="77777777" w:rsidR="00BD1FE7" w:rsidRPr="005616AE" w:rsidRDefault="00BD1FE7" w:rsidP="00BD1FE7">
            <w:pPr>
              <w:spacing w:after="160"/>
              <w:rPr>
                <w:rFonts w:cs="Calibri"/>
              </w:rPr>
            </w:pPr>
            <w:r w:rsidRPr="005616AE">
              <w:rPr>
                <w:rFonts w:cs="Calibri"/>
              </w:rPr>
              <w:t>Medium</w:t>
            </w:r>
          </w:p>
        </w:tc>
        <w:tc>
          <w:tcPr>
            <w:tcW w:w="3086" w:type="dxa"/>
            <w:tcBorders>
              <w:top w:val="single" w:sz="2" w:space="0" w:color="auto"/>
              <w:left w:val="single" w:sz="6" w:space="0" w:color="auto"/>
              <w:bottom w:val="single" w:sz="6" w:space="0" w:color="auto"/>
              <w:right w:val="single" w:sz="6" w:space="0" w:color="auto"/>
            </w:tcBorders>
            <w:shd w:val="clear" w:color="auto" w:fill="FFFFFF"/>
            <w:vAlign w:val="bottom"/>
          </w:tcPr>
          <w:p w14:paraId="00BA4AFF" w14:textId="77777777" w:rsidR="00BD1FE7" w:rsidRPr="005616AE" w:rsidRDefault="00BD1FE7" w:rsidP="00BD1FE7">
            <w:pPr>
              <w:spacing w:after="160"/>
              <w:rPr>
                <w:rFonts w:cs="Calibri"/>
              </w:rPr>
            </w:pPr>
            <w:r w:rsidRPr="005616AE">
              <w:rPr>
                <w:rFonts w:cs="Calibri"/>
              </w:rPr>
              <w:t>Ensure compatibility with a wide range of EV models and communicate inclusivity in marketing.</w:t>
            </w:r>
          </w:p>
        </w:tc>
      </w:tr>
      <w:tr w:rsidR="00BD1FE7" w:rsidRPr="005616AE" w14:paraId="087F7C01" w14:textId="77777777" w:rsidTr="002E558F">
        <w:trPr>
          <w:jc w:val="center"/>
        </w:trPr>
        <w:tc>
          <w:tcPr>
            <w:tcW w:w="0" w:type="auto"/>
            <w:hideMark/>
          </w:tcPr>
          <w:p w14:paraId="5CA54109" w14:textId="77777777" w:rsidR="00BD1FE7" w:rsidRPr="005616AE" w:rsidRDefault="00BD1FE7" w:rsidP="00BD1FE7">
            <w:pPr>
              <w:spacing w:after="160"/>
              <w:rPr>
                <w:rFonts w:cs="Calibri"/>
              </w:rPr>
            </w:pPr>
            <w:r w:rsidRPr="005616AE">
              <w:rPr>
                <w:rFonts w:cs="Calibri"/>
              </w:rPr>
              <w:t>R5</w:t>
            </w:r>
          </w:p>
        </w:tc>
        <w:tc>
          <w:tcPr>
            <w:tcW w:w="0" w:type="auto"/>
            <w:hideMark/>
          </w:tcPr>
          <w:p w14:paraId="4ABCCFC4" w14:textId="77777777" w:rsidR="00BD1FE7" w:rsidRPr="005616AE" w:rsidRDefault="00BD1FE7" w:rsidP="00BD1FE7">
            <w:pPr>
              <w:spacing w:after="160"/>
              <w:rPr>
                <w:rFonts w:cs="Calibri"/>
              </w:rPr>
            </w:pPr>
            <w:r w:rsidRPr="005616AE">
              <w:rPr>
                <w:rFonts w:cs="Calibri"/>
              </w:rPr>
              <w:t>Negative customer experiences due to miscommunication about compatibility or usage requirements.</w:t>
            </w:r>
          </w:p>
        </w:tc>
        <w:tc>
          <w:tcPr>
            <w:tcW w:w="0" w:type="auto"/>
            <w:hideMark/>
          </w:tcPr>
          <w:p w14:paraId="487B7675" w14:textId="77777777" w:rsidR="00BD1FE7" w:rsidRPr="005616AE" w:rsidRDefault="00BD1FE7" w:rsidP="00BD1FE7">
            <w:pPr>
              <w:spacing w:after="160"/>
              <w:rPr>
                <w:rFonts w:cs="Calibri"/>
              </w:rPr>
            </w:pPr>
            <w:r w:rsidRPr="005616AE">
              <w:rPr>
                <w:rFonts w:cs="Calibri"/>
              </w:rPr>
              <w:t>High</w:t>
            </w:r>
          </w:p>
        </w:tc>
        <w:tc>
          <w:tcPr>
            <w:tcW w:w="0" w:type="auto"/>
            <w:hideMark/>
          </w:tcPr>
          <w:p w14:paraId="437C41B1" w14:textId="77777777" w:rsidR="00BD1FE7" w:rsidRPr="005616AE" w:rsidRDefault="00BD1FE7" w:rsidP="00BD1FE7">
            <w:pPr>
              <w:spacing w:after="160"/>
              <w:rPr>
                <w:rFonts w:cs="Calibri"/>
              </w:rPr>
            </w:pPr>
            <w:r w:rsidRPr="005616AE">
              <w:rPr>
                <w:rFonts w:cs="Calibri"/>
              </w:rPr>
              <w:t>Medium</w:t>
            </w:r>
          </w:p>
        </w:tc>
        <w:tc>
          <w:tcPr>
            <w:tcW w:w="0" w:type="auto"/>
            <w:hideMark/>
          </w:tcPr>
          <w:p w14:paraId="10F0FF51" w14:textId="77777777" w:rsidR="00BD1FE7" w:rsidRPr="005616AE" w:rsidRDefault="00BD1FE7" w:rsidP="00BD1FE7">
            <w:pPr>
              <w:spacing w:after="160"/>
              <w:rPr>
                <w:rFonts w:cs="Calibri"/>
              </w:rPr>
            </w:pPr>
            <w:r w:rsidRPr="005616AE">
              <w:rPr>
                <w:rFonts w:cs="Calibri"/>
              </w:rPr>
              <w:t>Create clear and accessible user guides and ensure customer support teams are well-trained.</w:t>
            </w:r>
          </w:p>
        </w:tc>
      </w:tr>
      <w:tr w:rsidR="00BD1FE7" w:rsidRPr="005616AE" w14:paraId="7299A447" w14:textId="77777777" w:rsidTr="002E558F">
        <w:trPr>
          <w:jc w:val="center"/>
        </w:trPr>
        <w:tc>
          <w:tcPr>
            <w:tcW w:w="0" w:type="auto"/>
            <w:hideMark/>
          </w:tcPr>
          <w:p w14:paraId="1DC4E0F9" w14:textId="77777777" w:rsidR="00BD1FE7" w:rsidRPr="005616AE" w:rsidRDefault="00BD1FE7" w:rsidP="00BD1FE7">
            <w:pPr>
              <w:spacing w:after="160"/>
              <w:rPr>
                <w:rFonts w:cs="Calibri"/>
              </w:rPr>
            </w:pPr>
            <w:r w:rsidRPr="005616AE">
              <w:rPr>
                <w:rFonts w:cs="Calibri"/>
              </w:rPr>
              <w:t>R6</w:t>
            </w:r>
          </w:p>
        </w:tc>
        <w:tc>
          <w:tcPr>
            <w:tcW w:w="0" w:type="auto"/>
            <w:hideMark/>
          </w:tcPr>
          <w:p w14:paraId="24F7632F" w14:textId="2D900EDA" w:rsidR="00BD1FE7" w:rsidRPr="005616AE" w:rsidRDefault="00BD1FE7" w:rsidP="00BD1FE7">
            <w:pPr>
              <w:spacing w:after="160"/>
              <w:rPr>
                <w:rFonts w:cs="Calibri"/>
              </w:rPr>
            </w:pPr>
            <w:r w:rsidRPr="005616AE">
              <w:rPr>
                <w:rFonts w:cs="Calibri"/>
              </w:rPr>
              <w:t>Perception of favo</w:t>
            </w:r>
            <w:r w:rsidR="005616AE" w:rsidRPr="005616AE">
              <w:rPr>
                <w:rFonts w:cs="Calibri"/>
              </w:rPr>
              <w:t>u</w:t>
            </w:r>
            <w:r w:rsidRPr="005616AE">
              <w:rPr>
                <w:rFonts w:cs="Calibri"/>
              </w:rPr>
              <w:t xml:space="preserve">ritism if WiTricity chargers </w:t>
            </w:r>
            <w:proofErr w:type="gramStart"/>
            <w:r w:rsidRPr="005616AE">
              <w:rPr>
                <w:rFonts w:cs="Calibri"/>
              </w:rPr>
              <w:t>are integrated</w:t>
            </w:r>
            <w:proofErr w:type="gramEnd"/>
            <w:r w:rsidRPr="005616AE">
              <w:rPr>
                <w:rFonts w:cs="Calibri"/>
              </w:rPr>
              <w:t xml:space="preserve"> exclusively with specific EV brands.</w:t>
            </w:r>
          </w:p>
        </w:tc>
        <w:tc>
          <w:tcPr>
            <w:tcW w:w="0" w:type="auto"/>
            <w:hideMark/>
          </w:tcPr>
          <w:p w14:paraId="41A4DACA" w14:textId="77777777" w:rsidR="00BD1FE7" w:rsidRPr="005616AE" w:rsidRDefault="00BD1FE7" w:rsidP="00BD1FE7">
            <w:pPr>
              <w:spacing w:after="160"/>
              <w:rPr>
                <w:rFonts w:cs="Calibri"/>
              </w:rPr>
            </w:pPr>
            <w:r w:rsidRPr="005616AE">
              <w:rPr>
                <w:rFonts w:cs="Calibri"/>
              </w:rPr>
              <w:t>Medium</w:t>
            </w:r>
          </w:p>
        </w:tc>
        <w:tc>
          <w:tcPr>
            <w:tcW w:w="0" w:type="auto"/>
            <w:hideMark/>
          </w:tcPr>
          <w:p w14:paraId="6C6A539E" w14:textId="77777777" w:rsidR="00BD1FE7" w:rsidRPr="005616AE" w:rsidRDefault="00BD1FE7" w:rsidP="00BD1FE7">
            <w:pPr>
              <w:spacing w:after="160"/>
              <w:rPr>
                <w:rFonts w:cs="Calibri"/>
              </w:rPr>
            </w:pPr>
            <w:r w:rsidRPr="005616AE">
              <w:rPr>
                <w:rFonts w:cs="Calibri"/>
              </w:rPr>
              <w:t>Low</w:t>
            </w:r>
          </w:p>
        </w:tc>
        <w:tc>
          <w:tcPr>
            <w:tcW w:w="0" w:type="auto"/>
            <w:hideMark/>
          </w:tcPr>
          <w:p w14:paraId="4616C53E" w14:textId="77777777" w:rsidR="00BD1FE7" w:rsidRPr="005616AE" w:rsidRDefault="00BD1FE7" w:rsidP="00BD1FE7">
            <w:pPr>
              <w:spacing w:after="160"/>
              <w:rPr>
                <w:rFonts w:cs="Calibri"/>
              </w:rPr>
            </w:pPr>
            <w:r w:rsidRPr="005616AE">
              <w:rPr>
                <w:rFonts w:cs="Calibri"/>
              </w:rPr>
              <w:t>Ensure wide compatibility with multiple EV brands and communicate inclusivity to the market.</w:t>
            </w:r>
          </w:p>
        </w:tc>
      </w:tr>
      <w:tr w:rsidR="00BD1FE7" w:rsidRPr="005616AE" w14:paraId="0448D9DA" w14:textId="77777777" w:rsidTr="002E558F">
        <w:trPr>
          <w:jc w:val="center"/>
        </w:trPr>
        <w:tc>
          <w:tcPr>
            <w:tcW w:w="0" w:type="auto"/>
            <w:hideMark/>
          </w:tcPr>
          <w:p w14:paraId="0B401FF2" w14:textId="77777777" w:rsidR="00BD1FE7" w:rsidRPr="005616AE" w:rsidRDefault="00BD1FE7" w:rsidP="00BD1FE7">
            <w:pPr>
              <w:spacing w:after="160"/>
              <w:rPr>
                <w:rFonts w:cs="Calibri"/>
              </w:rPr>
            </w:pPr>
            <w:r w:rsidRPr="005616AE">
              <w:rPr>
                <w:rFonts w:cs="Calibri"/>
              </w:rPr>
              <w:t>R7</w:t>
            </w:r>
          </w:p>
        </w:tc>
        <w:tc>
          <w:tcPr>
            <w:tcW w:w="0" w:type="auto"/>
            <w:hideMark/>
          </w:tcPr>
          <w:p w14:paraId="36164CF9" w14:textId="77777777" w:rsidR="00BD1FE7" w:rsidRPr="005616AE" w:rsidRDefault="00BD1FE7" w:rsidP="00BD1FE7">
            <w:pPr>
              <w:spacing w:after="160"/>
              <w:rPr>
                <w:rFonts w:cs="Calibri"/>
              </w:rPr>
            </w:pPr>
            <w:r w:rsidRPr="005616AE">
              <w:rPr>
                <w:rFonts w:cs="Calibri"/>
              </w:rPr>
              <w:t xml:space="preserve">Criticism from environmental groups if the production process for chargers </w:t>
            </w:r>
            <w:proofErr w:type="gramStart"/>
            <w:r w:rsidRPr="005616AE">
              <w:rPr>
                <w:rFonts w:cs="Calibri"/>
              </w:rPr>
              <w:t>isn’t</w:t>
            </w:r>
            <w:proofErr w:type="gramEnd"/>
            <w:r w:rsidRPr="005616AE">
              <w:rPr>
                <w:rFonts w:cs="Calibri"/>
              </w:rPr>
              <w:t xml:space="preserve"> sustainable.</w:t>
            </w:r>
          </w:p>
        </w:tc>
        <w:tc>
          <w:tcPr>
            <w:tcW w:w="0" w:type="auto"/>
            <w:hideMark/>
          </w:tcPr>
          <w:p w14:paraId="1093BFEE" w14:textId="77777777" w:rsidR="00BD1FE7" w:rsidRPr="005616AE" w:rsidRDefault="00BD1FE7" w:rsidP="00BD1FE7">
            <w:pPr>
              <w:spacing w:after="160"/>
              <w:rPr>
                <w:rFonts w:cs="Calibri"/>
              </w:rPr>
            </w:pPr>
            <w:r w:rsidRPr="005616AE">
              <w:rPr>
                <w:rFonts w:cs="Calibri"/>
              </w:rPr>
              <w:t>Medium</w:t>
            </w:r>
          </w:p>
        </w:tc>
        <w:tc>
          <w:tcPr>
            <w:tcW w:w="0" w:type="auto"/>
            <w:hideMark/>
          </w:tcPr>
          <w:p w14:paraId="0F36CE47" w14:textId="77777777" w:rsidR="00BD1FE7" w:rsidRPr="005616AE" w:rsidRDefault="00BD1FE7" w:rsidP="00BD1FE7">
            <w:pPr>
              <w:spacing w:after="160"/>
              <w:rPr>
                <w:rFonts w:cs="Calibri"/>
              </w:rPr>
            </w:pPr>
            <w:r w:rsidRPr="005616AE">
              <w:rPr>
                <w:rFonts w:cs="Calibri"/>
              </w:rPr>
              <w:t>Medium</w:t>
            </w:r>
          </w:p>
        </w:tc>
        <w:tc>
          <w:tcPr>
            <w:tcW w:w="0" w:type="auto"/>
            <w:hideMark/>
          </w:tcPr>
          <w:p w14:paraId="449431D7" w14:textId="77777777" w:rsidR="00BD1FE7" w:rsidRPr="005616AE" w:rsidRDefault="00BD1FE7" w:rsidP="00BD1FE7">
            <w:pPr>
              <w:spacing w:after="160"/>
              <w:rPr>
                <w:rFonts w:cs="Calibri"/>
              </w:rPr>
            </w:pPr>
            <w:r w:rsidRPr="005616AE">
              <w:rPr>
                <w:rFonts w:cs="Calibri"/>
              </w:rPr>
              <w:t>Use sustainable materials and highlight eco-friendly manufacturing practices in marketing campaigns.</w:t>
            </w:r>
          </w:p>
        </w:tc>
      </w:tr>
    </w:tbl>
    <w:p w14:paraId="79DA4460" w14:textId="77777777" w:rsidR="00BD1FE7" w:rsidRPr="005616AE" w:rsidRDefault="00BD1FE7" w:rsidP="00BD1FE7">
      <w:pPr>
        <w:rPr>
          <w:rFonts w:cs="Calibri"/>
        </w:rPr>
      </w:pPr>
    </w:p>
    <w:p w14:paraId="457E2251" w14:textId="77777777" w:rsidR="00BD1FE7" w:rsidRPr="005616AE" w:rsidRDefault="00BD1FE7" w:rsidP="00490438">
      <w:pPr>
        <w:pStyle w:val="Heading3"/>
        <w:rPr>
          <w:rFonts w:cs="Calibri"/>
        </w:rPr>
      </w:pPr>
      <w:bookmarkStart w:id="58" w:name="_Toc183211074"/>
      <w:r w:rsidRPr="005616AE">
        <w:rPr>
          <w:rFonts w:cs="Calibri"/>
        </w:rPr>
        <w:t>Cybersecurity</w:t>
      </w:r>
      <w:bookmarkEnd w:id="58"/>
    </w:p>
    <w:p w14:paraId="12F7589E" w14:textId="77777777" w:rsidR="00BD1FE7" w:rsidRPr="005616AE" w:rsidRDefault="00BD1FE7" w:rsidP="00BD1FE7">
      <w:pPr>
        <w:rPr>
          <w:rFonts w:cs="Calibri"/>
        </w:rPr>
      </w:pPr>
      <w:r w:rsidRPr="005616AE">
        <w:rPr>
          <w:rFonts w:cs="Calibri"/>
        </w:rPr>
        <w:t>Cybersecurity risks include compromises to data integrity, system security and customer privacy. Wireless charging systems rely on advanced communication and data exchange protocols which are vulnerable to hacks. Providing comprehensive security measures is critical for maintaining customer trust and system reliability.</w:t>
      </w:r>
    </w:p>
    <w:tbl>
      <w:tblPr>
        <w:tblStyle w:val="TableGrid"/>
        <w:tblW w:w="0" w:type="auto"/>
        <w:jc w:val="center"/>
        <w:tblInd w:w="0" w:type="dxa"/>
        <w:tblLook w:val="04A0" w:firstRow="1" w:lastRow="0" w:firstColumn="1" w:lastColumn="0" w:noHBand="0" w:noVBand="1"/>
      </w:tblPr>
      <w:tblGrid>
        <w:gridCol w:w="606"/>
        <w:gridCol w:w="3005"/>
        <w:gridCol w:w="870"/>
        <w:gridCol w:w="1235"/>
        <w:gridCol w:w="3634"/>
      </w:tblGrid>
      <w:tr w:rsidR="00BD1FE7" w:rsidRPr="005616AE" w14:paraId="2AAB50AC" w14:textId="77777777" w:rsidTr="002E558F">
        <w:trPr>
          <w:jc w:val="center"/>
        </w:trPr>
        <w:tc>
          <w:tcPr>
            <w:tcW w:w="664" w:type="dxa"/>
          </w:tcPr>
          <w:p w14:paraId="360F5B0C" w14:textId="77777777" w:rsidR="00BD1FE7" w:rsidRPr="005616AE" w:rsidRDefault="00BD1FE7" w:rsidP="00F46334">
            <w:pPr>
              <w:spacing w:after="160"/>
              <w:jc w:val="center"/>
              <w:rPr>
                <w:rFonts w:cs="Calibri"/>
                <w:b/>
                <w:bCs/>
              </w:rPr>
            </w:pPr>
            <w:r w:rsidRPr="005616AE">
              <w:rPr>
                <w:rFonts w:cs="Calibri"/>
                <w:b/>
                <w:bCs/>
              </w:rPr>
              <w:t>Risk ID</w:t>
            </w:r>
          </w:p>
        </w:tc>
        <w:tc>
          <w:tcPr>
            <w:tcW w:w="2896" w:type="dxa"/>
          </w:tcPr>
          <w:p w14:paraId="0624B74D" w14:textId="77777777" w:rsidR="00BD1FE7" w:rsidRPr="005616AE" w:rsidRDefault="00BD1FE7" w:rsidP="00F46334">
            <w:pPr>
              <w:spacing w:after="160"/>
              <w:jc w:val="center"/>
              <w:rPr>
                <w:rFonts w:cs="Calibri"/>
                <w:b/>
                <w:bCs/>
              </w:rPr>
            </w:pPr>
            <w:r w:rsidRPr="005616AE">
              <w:rPr>
                <w:rFonts w:cs="Calibri"/>
                <w:b/>
                <w:bCs/>
              </w:rPr>
              <w:t>Risk Description</w:t>
            </w:r>
          </w:p>
        </w:tc>
        <w:tc>
          <w:tcPr>
            <w:tcW w:w="941" w:type="dxa"/>
          </w:tcPr>
          <w:p w14:paraId="4998B394" w14:textId="77777777" w:rsidR="00BD1FE7" w:rsidRPr="005616AE" w:rsidRDefault="00BD1FE7" w:rsidP="00F46334">
            <w:pPr>
              <w:spacing w:after="160"/>
              <w:jc w:val="center"/>
              <w:rPr>
                <w:rFonts w:cs="Calibri"/>
                <w:b/>
                <w:bCs/>
              </w:rPr>
            </w:pPr>
            <w:r w:rsidRPr="005616AE">
              <w:rPr>
                <w:rFonts w:cs="Calibri"/>
                <w:b/>
                <w:bCs/>
              </w:rPr>
              <w:t>Impact</w:t>
            </w:r>
          </w:p>
        </w:tc>
        <w:tc>
          <w:tcPr>
            <w:tcW w:w="1302" w:type="dxa"/>
          </w:tcPr>
          <w:p w14:paraId="022E0DDC" w14:textId="77777777" w:rsidR="00BD1FE7" w:rsidRPr="005616AE" w:rsidRDefault="00BD1FE7" w:rsidP="00F46334">
            <w:pPr>
              <w:spacing w:after="160"/>
              <w:jc w:val="center"/>
              <w:rPr>
                <w:rFonts w:cs="Calibri"/>
                <w:b/>
                <w:bCs/>
              </w:rPr>
            </w:pPr>
            <w:r w:rsidRPr="005616AE">
              <w:rPr>
                <w:rFonts w:cs="Calibri"/>
                <w:b/>
                <w:bCs/>
              </w:rPr>
              <w:t>Probability</w:t>
            </w:r>
          </w:p>
        </w:tc>
        <w:tc>
          <w:tcPr>
            <w:tcW w:w="3547" w:type="dxa"/>
          </w:tcPr>
          <w:p w14:paraId="3BD66346" w14:textId="77777777" w:rsidR="00BD1FE7" w:rsidRPr="005616AE" w:rsidRDefault="00BD1FE7" w:rsidP="00F46334">
            <w:pPr>
              <w:spacing w:after="160"/>
              <w:jc w:val="center"/>
              <w:rPr>
                <w:rFonts w:cs="Calibri"/>
                <w:b/>
                <w:bCs/>
              </w:rPr>
            </w:pPr>
            <w:r w:rsidRPr="005616AE">
              <w:rPr>
                <w:rFonts w:cs="Calibri"/>
                <w:b/>
                <w:bCs/>
              </w:rPr>
              <w:t>Mitigation Strategy</w:t>
            </w:r>
          </w:p>
        </w:tc>
      </w:tr>
      <w:tr w:rsidR="00BD1FE7" w:rsidRPr="005616AE" w14:paraId="6138FE34" w14:textId="77777777" w:rsidTr="002E558F">
        <w:trPr>
          <w:jc w:val="center"/>
        </w:trPr>
        <w:tc>
          <w:tcPr>
            <w:tcW w:w="664" w:type="dxa"/>
          </w:tcPr>
          <w:p w14:paraId="0942919B" w14:textId="77777777" w:rsidR="00BD1FE7" w:rsidRPr="005616AE" w:rsidRDefault="00BD1FE7" w:rsidP="00BD1FE7">
            <w:pPr>
              <w:spacing w:after="160"/>
              <w:rPr>
                <w:rFonts w:cs="Calibri"/>
              </w:rPr>
            </w:pPr>
            <w:r w:rsidRPr="005616AE">
              <w:rPr>
                <w:rFonts w:cs="Calibri"/>
              </w:rPr>
              <w:t>C1</w:t>
            </w:r>
          </w:p>
        </w:tc>
        <w:tc>
          <w:tcPr>
            <w:tcW w:w="2896" w:type="dxa"/>
          </w:tcPr>
          <w:p w14:paraId="59D8A6D9" w14:textId="77777777" w:rsidR="00BD1FE7" w:rsidRPr="005616AE" w:rsidRDefault="00BD1FE7" w:rsidP="00BD1FE7">
            <w:pPr>
              <w:spacing w:after="160"/>
              <w:rPr>
                <w:rFonts w:cs="Calibri"/>
              </w:rPr>
            </w:pPr>
            <w:r w:rsidRPr="005616AE">
              <w:rPr>
                <w:rFonts w:cs="Calibri"/>
              </w:rPr>
              <w:t>Cyberattacks against customer payment and personal data.</w:t>
            </w:r>
          </w:p>
        </w:tc>
        <w:tc>
          <w:tcPr>
            <w:tcW w:w="941" w:type="dxa"/>
          </w:tcPr>
          <w:p w14:paraId="6785ADDE" w14:textId="77777777" w:rsidR="00BD1FE7" w:rsidRPr="005616AE" w:rsidRDefault="00BD1FE7" w:rsidP="00BD1FE7">
            <w:pPr>
              <w:spacing w:after="160"/>
              <w:rPr>
                <w:rFonts w:cs="Calibri"/>
              </w:rPr>
            </w:pPr>
            <w:r w:rsidRPr="005616AE">
              <w:rPr>
                <w:rFonts w:cs="Calibri"/>
              </w:rPr>
              <w:t>High</w:t>
            </w:r>
          </w:p>
        </w:tc>
        <w:tc>
          <w:tcPr>
            <w:tcW w:w="1302" w:type="dxa"/>
          </w:tcPr>
          <w:p w14:paraId="0E6C1217" w14:textId="77777777" w:rsidR="00BD1FE7" w:rsidRPr="005616AE" w:rsidRDefault="00BD1FE7" w:rsidP="00BD1FE7">
            <w:pPr>
              <w:spacing w:after="160"/>
              <w:rPr>
                <w:rFonts w:cs="Calibri"/>
              </w:rPr>
            </w:pPr>
            <w:r w:rsidRPr="005616AE">
              <w:rPr>
                <w:rFonts w:cs="Calibri"/>
              </w:rPr>
              <w:t>Medium</w:t>
            </w:r>
          </w:p>
        </w:tc>
        <w:tc>
          <w:tcPr>
            <w:tcW w:w="3547" w:type="dxa"/>
          </w:tcPr>
          <w:p w14:paraId="62FEBA2B" w14:textId="77777777" w:rsidR="00BD1FE7" w:rsidRPr="005616AE" w:rsidRDefault="00BD1FE7" w:rsidP="00BD1FE7">
            <w:pPr>
              <w:spacing w:after="160"/>
              <w:rPr>
                <w:rFonts w:cs="Calibri"/>
              </w:rPr>
            </w:pPr>
            <w:r w:rsidRPr="005616AE">
              <w:rPr>
                <w:rFonts w:cs="Calibri"/>
              </w:rPr>
              <w:t>Implement advanced encryption and conduct regular vulnerability assessments.</w:t>
            </w:r>
          </w:p>
        </w:tc>
      </w:tr>
      <w:tr w:rsidR="00BD1FE7" w:rsidRPr="005616AE" w14:paraId="7D50F627" w14:textId="77777777" w:rsidTr="002E558F">
        <w:trPr>
          <w:jc w:val="center"/>
        </w:trPr>
        <w:tc>
          <w:tcPr>
            <w:tcW w:w="664" w:type="dxa"/>
          </w:tcPr>
          <w:p w14:paraId="627CF106" w14:textId="77777777" w:rsidR="00BD1FE7" w:rsidRPr="005616AE" w:rsidRDefault="00BD1FE7" w:rsidP="00BD1FE7">
            <w:pPr>
              <w:spacing w:after="160"/>
              <w:rPr>
                <w:rFonts w:cs="Calibri"/>
              </w:rPr>
            </w:pPr>
            <w:r w:rsidRPr="005616AE">
              <w:rPr>
                <w:rFonts w:cs="Calibri"/>
              </w:rPr>
              <w:t>C2</w:t>
            </w:r>
          </w:p>
        </w:tc>
        <w:tc>
          <w:tcPr>
            <w:tcW w:w="2896" w:type="dxa"/>
          </w:tcPr>
          <w:p w14:paraId="6E374EBD" w14:textId="77777777" w:rsidR="00BD1FE7" w:rsidRPr="005616AE" w:rsidRDefault="00BD1FE7" w:rsidP="00BD1FE7">
            <w:pPr>
              <w:spacing w:after="160"/>
              <w:rPr>
                <w:rFonts w:cs="Calibri"/>
              </w:rPr>
            </w:pPr>
            <w:r w:rsidRPr="005616AE">
              <w:rPr>
                <w:rFonts w:cs="Calibri"/>
              </w:rPr>
              <w:t>Breach of sensitive project-related data during integration.</w:t>
            </w:r>
          </w:p>
        </w:tc>
        <w:tc>
          <w:tcPr>
            <w:tcW w:w="941" w:type="dxa"/>
          </w:tcPr>
          <w:p w14:paraId="5AD4A783" w14:textId="77777777" w:rsidR="00BD1FE7" w:rsidRPr="005616AE" w:rsidRDefault="00BD1FE7" w:rsidP="00BD1FE7">
            <w:pPr>
              <w:spacing w:after="160"/>
              <w:rPr>
                <w:rFonts w:cs="Calibri"/>
              </w:rPr>
            </w:pPr>
            <w:r w:rsidRPr="005616AE">
              <w:rPr>
                <w:rFonts w:cs="Calibri"/>
              </w:rPr>
              <w:t>High</w:t>
            </w:r>
          </w:p>
        </w:tc>
        <w:tc>
          <w:tcPr>
            <w:tcW w:w="1302" w:type="dxa"/>
          </w:tcPr>
          <w:p w14:paraId="2B2B3A5D" w14:textId="77777777" w:rsidR="00BD1FE7" w:rsidRPr="005616AE" w:rsidRDefault="00BD1FE7" w:rsidP="00BD1FE7">
            <w:pPr>
              <w:spacing w:after="160"/>
              <w:rPr>
                <w:rFonts w:cs="Calibri"/>
              </w:rPr>
            </w:pPr>
            <w:r w:rsidRPr="005616AE">
              <w:rPr>
                <w:rFonts w:cs="Calibri"/>
              </w:rPr>
              <w:t>Medium</w:t>
            </w:r>
          </w:p>
        </w:tc>
        <w:tc>
          <w:tcPr>
            <w:tcW w:w="3547" w:type="dxa"/>
          </w:tcPr>
          <w:p w14:paraId="346AB93C" w14:textId="77777777" w:rsidR="00BD1FE7" w:rsidRPr="005616AE" w:rsidRDefault="00BD1FE7" w:rsidP="00BD1FE7">
            <w:pPr>
              <w:spacing w:after="160"/>
              <w:rPr>
                <w:rFonts w:cs="Calibri"/>
              </w:rPr>
            </w:pPr>
            <w:r w:rsidRPr="005616AE">
              <w:rPr>
                <w:rFonts w:cs="Calibri"/>
              </w:rPr>
              <w:t>Deploy firewalls, conduct penetration testing and maintain secure data sharing protocols.</w:t>
            </w:r>
          </w:p>
        </w:tc>
      </w:tr>
      <w:tr w:rsidR="00BD1FE7" w:rsidRPr="005616AE" w14:paraId="652E0858" w14:textId="77777777" w:rsidTr="002E558F">
        <w:trPr>
          <w:jc w:val="center"/>
        </w:trPr>
        <w:tc>
          <w:tcPr>
            <w:tcW w:w="664" w:type="dxa"/>
          </w:tcPr>
          <w:p w14:paraId="260041B0" w14:textId="77777777" w:rsidR="00BD1FE7" w:rsidRPr="005616AE" w:rsidRDefault="00BD1FE7" w:rsidP="00BD1FE7">
            <w:pPr>
              <w:spacing w:after="160"/>
              <w:rPr>
                <w:rFonts w:cs="Calibri"/>
              </w:rPr>
            </w:pPr>
            <w:r w:rsidRPr="005616AE">
              <w:rPr>
                <w:rFonts w:cs="Calibri"/>
              </w:rPr>
              <w:t>C3</w:t>
            </w:r>
          </w:p>
        </w:tc>
        <w:tc>
          <w:tcPr>
            <w:tcW w:w="2896" w:type="dxa"/>
          </w:tcPr>
          <w:p w14:paraId="72E4B8CD" w14:textId="77777777" w:rsidR="00BD1FE7" w:rsidRPr="005616AE" w:rsidRDefault="00BD1FE7" w:rsidP="00BD1FE7">
            <w:pPr>
              <w:spacing w:after="160"/>
              <w:rPr>
                <w:rFonts w:cs="Calibri"/>
              </w:rPr>
            </w:pPr>
            <w:r w:rsidRPr="005616AE">
              <w:rPr>
                <w:rFonts w:cs="Calibri"/>
              </w:rPr>
              <w:t>Downtime due to ransomware or denial-of-service attacks.</w:t>
            </w:r>
          </w:p>
        </w:tc>
        <w:tc>
          <w:tcPr>
            <w:tcW w:w="941" w:type="dxa"/>
          </w:tcPr>
          <w:p w14:paraId="4B9295B2" w14:textId="77777777" w:rsidR="00BD1FE7" w:rsidRPr="005616AE" w:rsidRDefault="00BD1FE7" w:rsidP="00BD1FE7">
            <w:pPr>
              <w:spacing w:after="160"/>
              <w:rPr>
                <w:rFonts w:cs="Calibri"/>
              </w:rPr>
            </w:pPr>
            <w:r w:rsidRPr="005616AE">
              <w:rPr>
                <w:rFonts w:cs="Calibri"/>
              </w:rPr>
              <w:t>High</w:t>
            </w:r>
          </w:p>
        </w:tc>
        <w:tc>
          <w:tcPr>
            <w:tcW w:w="1302" w:type="dxa"/>
          </w:tcPr>
          <w:p w14:paraId="5185A601" w14:textId="77777777" w:rsidR="00BD1FE7" w:rsidRPr="005616AE" w:rsidRDefault="00BD1FE7" w:rsidP="00BD1FE7">
            <w:pPr>
              <w:spacing w:after="160"/>
              <w:rPr>
                <w:rFonts w:cs="Calibri"/>
              </w:rPr>
            </w:pPr>
            <w:r w:rsidRPr="005616AE">
              <w:rPr>
                <w:rFonts w:cs="Calibri"/>
              </w:rPr>
              <w:t>Low</w:t>
            </w:r>
          </w:p>
        </w:tc>
        <w:tc>
          <w:tcPr>
            <w:tcW w:w="3547" w:type="dxa"/>
          </w:tcPr>
          <w:p w14:paraId="0F3E5420" w14:textId="66BCB676" w:rsidR="00BD1FE7" w:rsidRPr="005616AE" w:rsidRDefault="00BD1FE7" w:rsidP="00BD1FE7">
            <w:pPr>
              <w:spacing w:after="160"/>
              <w:rPr>
                <w:rFonts w:cs="Calibri"/>
              </w:rPr>
            </w:pPr>
            <w:r w:rsidRPr="005616AE">
              <w:rPr>
                <w:rFonts w:cs="Calibri"/>
              </w:rPr>
              <w:t xml:space="preserve">Ensure system redundancies, maintain </w:t>
            </w:r>
            <w:proofErr w:type="gramStart"/>
            <w:r w:rsidRPr="005616AE">
              <w:rPr>
                <w:rFonts w:cs="Calibri"/>
              </w:rPr>
              <w:t>backups</w:t>
            </w:r>
            <w:proofErr w:type="gramEnd"/>
            <w:r w:rsidRPr="005616AE">
              <w:rPr>
                <w:rFonts w:cs="Calibri"/>
              </w:rPr>
              <w:t xml:space="preserve"> and develop an incident response plan.</w:t>
            </w:r>
          </w:p>
        </w:tc>
      </w:tr>
      <w:tr w:rsidR="00BD1FE7" w:rsidRPr="005616AE" w14:paraId="6C07E08A" w14:textId="77777777" w:rsidTr="002E558F">
        <w:trPr>
          <w:jc w:val="center"/>
        </w:trPr>
        <w:tc>
          <w:tcPr>
            <w:tcW w:w="664" w:type="dxa"/>
          </w:tcPr>
          <w:p w14:paraId="32030511" w14:textId="77777777" w:rsidR="00BD1FE7" w:rsidRPr="005616AE" w:rsidRDefault="00BD1FE7" w:rsidP="00BD1FE7">
            <w:pPr>
              <w:spacing w:after="160"/>
              <w:rPr>
                <w:rFonts w:cs="Calibri"/>
              </w:rPr>
            </w:pPr>
            <w:r w:rsidRPr="005616AE">
              <w:rPr>
                <w:rFonts w:cs="Calibri"/>
              </w:rPr>
              <w:lastRenderedPageBreak/>
              <w:t>C4</w:t>
            </w:r>
          </w:p>
        </w:tc>
        <w:tc>
          <w:tcPr>
            <w:tcW w:w="2896" w:type="dxa"/>
          </w:tcPr>
          <w:p w14:paraId="38E622A3" w14:textId="77777777" w:rsidR="00BD1FE7" w:rsidRPr="005616AE" w:rsidRDefault="00BD1FE7" w:rsidP="00BD1FE7">
            <w:pPr>
              <w:spacing w:after="160"/>
              <w:rPr>
                <w:rFonts w:cs="Calibri"/>
              </w:rPr>
            </w:pPr>
            <w:r w:rsidRPr="005616AE">
              <w:rPr>
                <w:rFonts w:cs="Calibri"/>
              </w:rPr>
              <w:t>Third-party vendors exposing TD Bank to security breaches.</w:t>
            </w:r>
          </w:p>
        </w:tc>
        <w:tc>
          <w:tcPr>
            <w:tcW w:w="941" w:type="dxa"/>
          </w:tcPr>
          <w:p w14:paraId="6FCB894D" w14:textId="77777777" w:rsidR="00BD1FE7" w:rsidRPr="005616AE" w:rsidRDefault="00BD1FE7" w:rsidP="00BD1FE7">
            <w:pPr>
              <w:spacing w:after="160"/>
              <w:rPr>
                <w:rFonts w:cs="Calibri"/>
              </w:rPr>
            </w:pPr>
            <w:r w:rsidRPr="005616AE">
              <w:rPr>
                <w:rFonts w:cs="Calibri"/>
              </w:rPr>
              <w:t>High</w:t>
            </w:r>
          </w:p>
        </w:tc>
        <w:tc>
          <w:tcPr>
            <w:tcW w:w="1302" w:type="dxa"/>
          </w:tcPr>
          <w:p w14:paraId="6E5F30C0" w14:textId="77777777" w:rsidR="00BD1FE7" w:rsidRPr="005616AE" w:rsidRDefault="00BD1FE7" w:rsidP="00BD1FE7">
            <w:pPr>
              <w:spacing w:after="160"/>
              <w:rPr>
                <w:rFonts w:cs="Calibri"/>
              </w:rPr>
            </w:pPr>
            <w:r w:rsidRPr="005616AE">
              <w:rPr>
                <w:rFonts w:cs="Calibri"/>
              </w:rPr>
              <w:t>Medium</w:t>
            </w:r>
          </w:p>
        </w:tc>
        <w:tc>
          <w:tcPr>
            <w:tcW w:w="3547" w:type="dxa"/>
          </w:tcPr>
          <w:p w14:paraId="54DE379A" w14:textId="77777777" w:rsidR="00BD1FE7" w:rsidRPr="005616AE" w:rsidRDefault="00BD1FE7" w:rsidP="00BD1FE7">
            <w:pPr>
              <w:spacing w:after="160"/>
              <w:rPr>
                <w:rFonts w:cs="Calibri"/>
              </w:rPr>
            </w:pPr>
            <w:r w:rsidRPr="005616AE">
              <w:rPr>
                <w:rFonts w:cs="Calibri"/>
              </w:rPr>
              <w:t>Conduct thorough risk assessments of all vendors and include cybersecurity clauses in contracts.</w:t>
            </w:r>
          </w:p>
        </w:tc>
      </w:tr>
      <w:tr w:rsidR="00BD1FE7" w:rsidRPr="005616AE" w14:paraId="5F4162D4" w14:textId="77777777" w:rsidTr="002E558F">
        <w:trPr>
          <w:jc w:val="center"/>
        </w:trPr>
        <w:tc>
          <w:tcPr>
            <w:tcW w:w="0" w:type="auto"/>
            <w:hideMark/>
          </w:tcPr>
          <w:p w14:paraId="053E06EC" w14:textId="77777777" w:rsidR="00BD1FE7" w:rsidRPr="005616AE" w:rsidRDefault="00BD1FE7" w:rsidP="00BD1FE7">
            <w:pPr>
              <w:spacing w:after="160"/>
              <w:rPr>
                <w:rFonts w:cs="Calibri"/>
              </w:rPr>
            </w:pPr>
            <w:r w:rsidRPr="005616AE">
              <w:rPr>
                <w:rFonts w:cs="Calibri"/>
              </w:rPr>
              <w:t>C5</w:t>
            </w:r>
          </w:p>
        </w:tc>
        <w:tc>
          <w:tcPr>
            <w:tcW w:w="0" w:type="auto"/>
            <w:hideMark/>
          </w:tcPr>
          <w:p w14:paraId="379C37B8" w14:textId="0F5F2E77" w:rsidR="00BD1FE7" w:rsidRPr="005616AE" w:rsidRDefault="00BD1FE7" w:rsidP="00BD1FE7">
            <w:pPr>
              <w:spacing w:after="160"/>
              <w:rPr>
                <w:rFonts w:cs="Calibri"/>
              </w:rPr>
            </w:pPr>
            <w:r w:rsidRPr="005616AE">
              <w:rPr>
                <w:rFonts w:cs="Calibri"/>
              </w:rPr>
              <w:t>Wireless signal hijacking leading to unauthori</w:t>
            </w:r>
            <w:r w:rsidR="00B37AFD" w:rsidRPr="005616AE">
              <w:rPr>
                <w:rFonts w:cs="Calibri"/>
              </w:rPr>
              <w:t>s</w:t>
            </w:r>
            <w:r w:rsidRPr="005616AE">
              <w:rPr>
                <w:rFonts w:cs="Calibri"/>
              </w:rPr>
              <w:t>ed access or misuse of charging systems.</w:t>
            </w:r>
          </w:p>
        </w:tc>
        <w:tc>
          <w:tcPr>
            <w:tcW w:w="0" w:type="auto"/>
            <w:hideMark/>
          </w:tcPr>
          <w:p w14:paraId="7F125938" w14:textId="77777777" w:rsidR="00BD1FE7" w:rsidRPr="005616AE" w:rsidRDefault="00BD1FE7" w:rsidP="00BD1FE7">
            <w:pPr>
              <w:spacing w:after="160"/>
              <w:rPr>
                <w:rFonts w:cs="Calibri"/>
              </w:rPr>
            </w:pPr>
            <w:r w:rsidRPr="005616AE">
              <w:rPr>
                <w:rFonts w:cs="Calibri"/>
              </w:rPr>
              <w:t>High</w:t>
            </w:r>
          </w:p>
        </w:tc>
        <w:tc>
          <w:tcPr>
            <w:tcW w:w="0" w:type="auto"/>
            <w:hideMark/>
          </w:tcPr>
          <w:p w14:paraId="7DF5AF34" w14:textId="77777777" w:rsidR="00BD1FE7" w:rsidRPr="005616AE" w:rsidRDefault="00BD1FE7" w:rsidP="00BD1FE7">
            <w:pPr>
              <w:spacing w:after="160"/>
              <w:rPr>
                <w:rFonts w:cs="Calibri"/>
              </w:rPr>
            </w:pPr>
            <w:r w:rsidRPr="005616AE">
              <w:rPr>
                <w:rFonts w:cs="Calibri"/>
              </w:rPr>
              <w:t>Medium</w:t>
            </w:r>
          </w:p>
        </w:tc>
        <w:tc>
          <w:tcPr>
            <w:tcW w:w="0" w:type="auto"/>
            <w:hideMark/>
          </w:tcPr>
          <w:p w14:paraId="554F5374" w14:textId="77777777" w:rsidR="00BD1FE7" w:rsidRPr="005616AE" w:rsidRDefault="00BD1FE7" w:rsidP="00BD1FE7">
            <w:pPr>
              <w:spacing w:after="160"/>
              <w:rPr>
                <w:rFonts w:cs="Calibri"/>
              </w:rPr>
            </w:pPr>
            <w:r w:rsidRPr="005616AE">
              <w:rPr>
                <w:rFonts w:cs="Calibri"/>
              </w:rPr>
              <w:t>Deploy encryption protocols for wireless communication and regularly update firmware to patch vulnerabilities.</w:t>
            </w:r>
          </w:p>
        </w:tc>
      </w:tr>
      <w:tr w:rsidR="00BD1FE7" w:rsidRPr="005616AE" w14:paraId="13DF2274" w14:textId="77777777" w:rsidTr="002E558F">
        <w:trPr>
          <w:jc w:val="center"/>
        </w:trPr>
        <w:tc>
          <w:tcPr>
            <w:tcW w:w="0" w:type="auto"/>
            <w:hideMark/>
          </w:tcPr>
          <w:p w14:paraId="6A79491D" w14:textId="77777777" w:rsidR="00BD1FE7" w:rsidRPr="005616AE" w:rsidRDefault="00BD1FE7" w:rsidP="00BD1FE7">
            <w:pPr>
              <w:spacing w:after="160"/>
              <w:rPr>
                <w:rFonts w:cs="Calibri"/>
              </w:rPr>
            </w:pPr>
            <w:r w:rsidRPr="005616AE">
              <w:rPr>
                <w:rFonts w:cs="Calibri"/>
              </w:rPr>
              <w:t>C6</w:t>
            </w:r>
          </w:p>
        </w:tc>
        <w:tc>
          <w:tcPr>
            <w:tcW w:w="0" w:type="auto"/>
            <w:hideMark/>
          </w:tcPr>
          <w:p w14:paraId="49F6BF2B" w14:textId="77777777" w:rsidR="00BD1FE7" w:rsidRPr="005616AE" w:rsidRDefault="00BD1FE7" w:rsidP="00BD1FE7">
            <w:pPr>
              <w:spacing w:after="160"/>
              <w:rPr>
                <w:rFonts w:cs="Calibri"/>
              </w:rPr>
            </w:pPr>
            <w:r w:rsidRPr="005616AE">
              <w:rPr>
                <w:rFonts w:cs="Calibri"/>
              </w:rPr>
              <w:t>Vulnerability in customer authentication systems allowing fraudulent access.</w:t>
            </w:r>
          </w:p>
        </w:tc>
        <w:tc>
          <w:tcPr>
            <w:tcW w:w="0" w:type="auto"/>
            <w:hideMark/>
          </w:tcPr>
          <w:p w14:paraId="1A10A219" w14:textId="77777777" w:rsidR="00BD1FE7" w:rsidRPr="005616AE" w:rsidRDefault="00BD1FE7" w:rsidP="00BD1FE7">
            <w:pPr>
              <w:spacing w:after="160"/>
              <w:rPr>
                <w:rFonts w:cs="Calibri"/>
              </w:rPr>
            </w:pPr>
            <w:r w:rsidRPr="005616AE">
              <w:rPr>
                <w:rFonts w:cs="Calibri"/>
              </w:rPr>
              <w:t>High</w:t>
            </w:r>
          </w:p>
        </w:tc>
        <w:tc>
          <w:tcPr>
            <w:tcW w:w="0" w:type="auto"/>
            <w:hideMark/>
          </w:tcPr>
          <w:p w14:paraId="0B276BE2" w14:textId="77777777" w:rsidR="00BD1FE7" w:rsidRPr="005616AE" w:rsidRDefault="00BD1FE7" w:rsidP="00BD1FE7">
            <w:pPr>
              <w:spacing w:after="160"/>
              <w:rPr>
                <w:rFonts w:cs="Calibri"/>
              </w:rPr>
            </w:pPr>
            <w:r w:rsidRPr="005616AE">
              <w:rPr>
                <w:rFonts w:cs="Calibri"/>
              </w:rPr>
              <w:t>Medium</w:t>
            </w:r>
          </w:p>
        </w:tc>
        <w:tc>
          <w:tcPr>
            <w:tcW w:w="0" w:type="auto"/>
            <w:hideMark/>
          </w:tcPr>
          <w:p w14:paraId="02626591" w14:textId="77777777" w:rsidR="00BD1FE7" w:rsidRPr="005616AE" w:rsidRDefault="00BD1FE7" w:rsidP="00BD1FE7">
            <w:pPr>
              <w:spacing w:after="160"/>
              <w:rPr>
                <w:rFonts w:cs="Calibri"/>
              </w:rPr>
            </w:pPr>
            <w:r w:rsidRPr="005616AE">
              <w:rPr>
                <w:rFonts w:cs="Calibri"/>
              </w:rPr>
              <w:t>Implement multi-factor authentication and conduct periodic penetration testing of user access systems.</w:t>
            </w:r>
          </w:p>
        </w:tc>
      </w:tr>
      <w:tr w:rsidR="00BD1FE7" w:rsidRPr="005616AE" w14:paraId="43A31022" w14:textId="77777777" w:rsidTr="002E558F">
        <w:trPr>
          <w:jc w:val="center"/>
        </w:trPr>
        <w:tc>
          <w:tcPr>
            <w:tcW w:w="0" w:type="auto"/>
            <w:hideMark/>
          </w:tcPr>
          <w:p w14:paraId="72396726" w14:textId="77777777" w:rsidR="00BD1FE7" w:rsidRPr="005616AE" w:rsidRDefault="00BD1FE7" w:rsidP="00BD1FE7">
            <w:pPr>
              <w:spacing w:after="160"/>
              <w:rPr>
                <w:rFonts w:cs="Calibri"/>
              </w:rPr>
            </w:pPr>
            <w:r w:rsidRPr="005616AE">
              <w:rPr>
                <w:rFonts w:cs="Calibri"/>
              </w:rPr>
              <w:t>C7</w:t>
            </w:r>
          </w:p>
        </w:tc>
        <w:tc>
          <w:tcPr>
            <w:tcW w:w="0" w:type="auto"/>
            <w:hideMark/>
          </w:tcPr>
          <w:p w14:paraId="1F3717B0" w14:textId="77777777" w:rsidR="00BD1FE7" w:rsidRPr="005616AE" w:rsidRDefault="00BD1FE7" w:rsidP="00BD1FE7">
            <w:pPr>
              <w:spacing w:after="160"/>
              <w:rPr>
                <w:rFonts w:cs="Calibri"/>
              </w:rPr>
            </w:pPr>
            <w:r w:rsidRPr="005616AE">
              <w:rPr>
                <w:rFonts w:cs="Calibri"/>
              </w:rPr>
              <w:t>Cyberattacks targeting data stored in the cloud for tracking charger usage and billing.</w:t>
            </w:r>
          </w:p>
        </w:tc>
        <w:tc>
          <w:tcPr>
            <w:tcW w:w="0" w:type="auto"/>
            <w:hideMark/>
          </w:tcPr>
          <w:p w14:paraId="1F949095" w14:textId="77777777" w:rsidR="00BD1FE7" w:rsidRPr="005616AE" w:rsidRDefault="00BD1FE7" w:rsidP="00BD1FE7">
            <w:pPr>
              <w:spacing w:after="160"/>
              <w:rPr>
                <w:rFonts w:cs="Calibri"/>
              </w:rPr>
            </w:pPr>
            <w:r w:rsidRPr="005616AE">
              <w:rPr>
                <w:rFonts w:cs="Calibri"/>
              </w:rPr>
              <w:t>High</w:t>
            </w:r>
          </w:p>
        </w:tc>
        <w:tc>
          <w:tcPr>
            <w:tcW w:w="0" w:type="auto"/>
            <w:hideMark/>
          </w:tcPr>
          <w:p w14:paraId="217B6F36" w14:textId="77777777" w:rsidR="00BD1FE7" w:rsidRPr="005616AE" w:rsidRDefault="00BD1FE7" w:rsidP="00BD1FE7">
            <w:pPr>
              <w:spacing w:after="160"/>
              <w:rPr>
                <w:rFonts w:cs="Calibri"/>
              </w:rPr>
            </w:pPr>
            <w:r w:rsidRPr="005616AE">
              <w:rPr>
                <w:rFonts w:cs="Calibri"/>
              </w:rPr>
              <w:t>Medium</w:t>
            </w:r>
          </w:p>
        </w:tc>
        <w:tc>
          <w:tcPr>
            <w:tcW w:w="0" w:type="auto"/>
            <w:hideMark/>
          </w:tcPr>
          <w:p w14:paraId="17661E3F" w14:textId="4A061767" w:rsidR="00BD1FE7" w:rsidRPr="005616AE" w:rsidRDefault="00BD1FE7" w:rsidP="00BD1FE7">
            <w:pPr>
              <w:spacing w:after="160"/>
              <w:rPr>
                <w:rFonts w:cs="Calibri"/>
              </w:rPr>
            </w:pPr>
            <w:r w:rsidRPr="005616AE">
              <w:rPr>
                <w:rFonts w:cs="Calibri"/>
              </w:rPr>
              <w:t>Use robust cloud security measures, including encryption and ensure adherence to best practices for data storage.</w:t>
            </w:r>
          </w:p>
        </w:tc>
      </w:tr>
    </w:tbl>
    <w:p w14:paraId="52B7DCD4" w14:textId="77777777" w:rsidR="00495258" w:rsidRPr="005616AE" w:rsidRDefault="00495258" w:rsidP="00495258">
      <w:bookmarkStart w:id="59" w:name="_Toc183180568"/>
    </w:p>
    <w:p w14:paraId="3E80C82A" w14:textId="77777777" w:rsidR="00495258" w:rsidRPr="005616AE" w:rsidRDefault="00495258" w:rsidP="00495258"/>
    <w:p w14:paraId="2556C021" w14:textId="77777777" w:rsidR="00495258" w:rsidRPr="005616AE" w:rsidRDefault="00495258" w:rsidP="00495258"/>
    <w:p w14:paraId="48B65C56" w14:textId="77777777" w:rsidR="00495258" w:rsidRPr="005616AE" w:rsidRDefault="00495258" w:rsidP="00495258"/>
    <w:p w14:paraId="21024E47" w14:textId="77777777" w:rsidR="00495258" w:rsidRPr="005616AE" w:rsidRDefault="00495258" w:rsidP="00495258"/>
    <w:p w14:paraId="3F2AE4D3" w14:textId="77777777" w:rsidR="00495258" w:rsidRPr="005616AE" w:rsidRDefault="00495258" w:rsidP="00495258"/>
    <w:p w14:paraId="755CF552" w14:textId="77777777" w:rsidR="00495258" w:rsidRPr="005616AE" w:rsidRDefault="00495258" w:rsidP="00495258"/>
    <w:p w14:paraId="41FF7318" w14:textId="77777777" w:rsidR="00495258" w:rsidRPr="005616AE" w:rsidRDefault="00495258" w:rsidP="00495258"/>
    <w:p w14:paraId="190F82A6" w14:textId="77777777" w:rsidR="00495258" w:rsidRPr="005616AE" w:rsidRDefault="00495258" w:rsidP="00495258"/>
    <w:p w14:paraId="2A207F73" w14:textId="77777777" w:rsidR="00495258" w:rsidRPr="005616AE" w:rsidRDefault="00495258" w:rsidP="00495258"/>
    <w:p w14:paraId="3D1DFD98" w14:textId="77777777" w:rsidR="00495258" w:rsidRPr="005616AE" w:rsidRDefault="00495258" w:rsidP="00495258"/>
    <w:p w14:paraId="222D2ACA" w14:textId="77777777" w:rsidR="00495258" w:rsidRPr="005616AE" w:rsidRDefault="00495258" w:rsidP="00495258"/>
    <w:p w14:paraId="61C950C9" w14:textId="77777777" w:rsidR="00495258" w:rsidRPr="005616AE" w:rsidRDefault="00495258" w:rsidP="00495258"/>
    <w:p w14:paraId="7434F503" w14:textId="77777777" w:rsidR="00495258" w:rsidRPr="005616AE" w:rsidRDefault="00495258" w:rsidP="00495258"/>
    <w:p w14:paraId="0B2F9BCA" w14:textId="77777777" w:rsidR="00495258" w:rsidRPr="005616AE" w:rsidRDefault="00495258" w:rsidP="00495258"/>
    <w:p w14:paraId="6F15E152" w14:textId="77777777" w:rsidR="00495258" w:rsidRPr="005616AE" w:rsidRDefault="00495258" w:rsidP="00495258"/>
    <w:p w14:paraId="7067F148" w14:textId="60C723DE" w:rsidR="000A609A" w:rsidRPr="005616AE" w:rsidRDefault="000A609A" w:rsidP="000A609A">
      <w:pPr>
        <w:pStyle w:val="Heading1"/>
        <w:rPr>
          <w:rFonts w:ascii="Calibri" w:hAnsi="Calibri" w:cs="Calibri"/>
        </w:rPr>
      </w:pPr>
      <w:bookmarkStart w:id="60" w:name="_Toc183211075"/>
      <w:r w:rsidRPr="005616AE">
        <w:rPr>
          <w:rFonts w:ascii="Calibri" w:hAnsi="Calibri" w:cs="Calibri"/>
        </w:rPr>
        <w:lastRenderedPageBreak/>
        <w:t>Implementation Strategy</w:t>
      </w:r>
      <w:bookmarkEnd w:id="59"/>
      <w:bookmarkEnd w:id="60"/>
    </w:p>
    <w:p w14:paraId="5EA03F44" w14:textId="77777777" w:rsidR="000A609A" w:rsidRPr="005616AE" w:rsidRDefault="000A609A" w:rsidP="000927AF">
      <w:pPr>
        <w:spacing w:after="0"/>
        <w:rPr>
          <w:rFonts w:cs="Calibri"/>
        </w:rPr>
      </w:pPr>
      <w:r w:rsidRPr="005616AE">
        <w:rPr>
          <w:rFonts w:cs="Calibri"/>
        </w:rPr>
        <w:t xml:space="preserve">The recommended approach is a phased deployment strategy. This method minimises operational risks and ensures that each stage </w:t>
      </w:r>
      <w:proofErr w:type="gramStart"/>
      <w:r w:rsidRPr="005616AE">
        <w:rPr>
          <w:rFonts w:cs="Calibri"/>
        </w:rPr>
        <w:t>is properly validated</w:t>
      </w:r>
      <w:proofErr w:type="gramEnd"/>
      <w:r w:rsidRPr="005616AE">
        <w:rPr>
          <w:rFonts w:cs="Calibri"/>
        </w:rPr>
        <w:t xml:space="preserve"> before proceeding to the next. It allows flexibility and control over the integration process. The phased deployment approach ensures a structured integration of WiTricity’s assets and technology into TD Bank minimising disruptions while maximising value.</w:t>
      </w:r>
    </w:p>
    <w:p w14:paraId="44A80FB6" w14:textId="77777777" w:rsidR="000A609A" w:rsidRPr="005616AE" w:rsidRDefault="000A609A" w:rsidP="000A609A">
      <w:pPr>
        <w:pStyle w:val="Heading2"/>
        <w:rPr>
          <w:rFonts w:ascii="Calibri" w:hAnsi="Calibri" w:cs="Calibri"/>
        </w:rPr>
      </w:pPr>
      <w:bookmarkStart w:id="61" w:name="_Toc183180569"/>
      <w:bookmarkStart w:id="62" w:name="_Toc183211076"/>
      <w:r w:rsidRPr="005616AE">
        <w:rPr>
          <w:rFonts w:ascii="Calibri" w:hAnsi="Calibri" w:cs="Calibri"/>
        </w:rPr>
        <w:t>Pre-Acquisition Phase (0-3 Months)</w:t>
      </w:r>
      <w:bookmarkEnd w:id="61"/>
      <w:bookmarkEnd w:id="62"/>
    </w:p>
    <w:p w14:paraId="7E6F8431" w14:textId="77777777" w:rsidR="000A609A" w:rsidRPr="005616AE" w:rsidRDefault="000A609A" w:rsidP="000927AF">
      <w:pPr>
        <w:spacing w:after="0"/>
        <w:rPr>
          <w:rFonts w:cs="Calibri"/>
        </w:rPr>
      </w:pPr>
      <w:r w:rsidRPr="005616AE">
        <w:rPr>
          <w:rFonts w:cs="Calibri"/>
        </w:rPr>
        <w:t xml:space="preserve">The pre-acquisition phase is a critical stage in the acquisition process setting the foundation for a successful integration of WiTricity into TD Bank. This phase involves thorough planning, detailed </w:t>
      </w:r>
      <w:proofErr w:type="gramStart"/>
      <w:r w:rsidRPr="005616AE">
        <w:rPr>
          <w:rFonts w:cs="Calibri"/>
        </w:rPr>
        <w:t>analysis</w:t>
      </w:r>
      <w:proofErr w:type="gramEnd"/>
      <w:r w:rsidRPr="005616AE">
        <w:rPr>
          <w:rFonts w:cs="Calibri"/>
        </w:rPr>
        <w:t xml:space="preserve"> and strategic alignment. This is to ensure the acquisition aligns with TD Bank’s broader objectives and adds significant value. The focus during this phase is to mitigate risks, uncover opportunities as well as develop a clear understanding of WiTricity’s financial, technological, </w:t>
      </w:r>
      <w:proofErr w:type="gramStart"/>
      <w:r w:rsidRPr="005616AE">
        <w:rPr>
          <w:rFonts w:cs="Calibri"/>
        </w:rPr>
        <w:t>operational</w:t>
      </w:r>
      <w:proofErr w:type="gramEnd"/>
      <w:r w:rsidRPr="005616AE">
        <w:rPr>
          <w:rFonts w:cs="Calibri"/>
        </w:rPr>
        <w:t xml:space="preserve"> and legal landscape.</w:t>
      </w:r>
    </w:p>
    <w:p w14:paraId="172F4C28" w14:textId="77777777" w:rsidR="000A609A" w:rsidRPr="005616AE" w:rsidRDefault="000A609A" w:rsidP="000927AF">
      <w:pPr>
        <w:spacing w:after="0"/>
        <w:rPr>
          <w:rFonts w:cs="Calibri"/>
        </w:rPr>
      </w:pPr>
      <w:r w:rsidRPr="005616AE">
        <w:rPr>
          <w:rFonts w:cs="Calibri"/>
        </w:rPr>
        <w:t xml:space="preserve">By conducting comprehensive due diligence and negotiations TD Bank can make informed decisions that support long-term goals. This includes expanding into the electric vehicle (EV) sector, enhancing sustainable technology </w:t>
      </w:r>
      <w:proofErr w:type="gramStart"/>
      <w:r w:rsidRPr="005616AE">
        <w:rPr>
          <w:rFonts w:cs="Calibri"/>
        </w:rPr>
        <w:t>capabilities</w:t>
      </w:r>
      <w:proofErr w:type="gramEnd"/>
      <w:r w:rsidRPr="005616AE">
        <w:rPr>
          <w:rFonts w:cs="Calibri"/>
        </w:rPr>
        <w:t xml:space="preserve"> and advancing its position as a leader in green finance. The pre-acquisition phase is about building confidence in the strategic rationale for the acquisition ensuring a fair valuation and securing the necessary buy-in from key stakeholders as well as regulatory bodies.</w:t>
      </w:r>
    </w:p>
    <w:p w14:paraId="5B7D17D9" w14:textId="77777777" w:rsidR="00047EEB" w:rsidRPr="005616AE" w:rsidRDefault="00047EEB" w:rsidP="00685398">
      <w:pPr>
        <w:spacing w:after="0"/>
        <w:rPr>
          <w:rStyle w:val="SubtleEmphasis"/>
          <w:rFonts w:cs="Calibri"/>
          <w:b/>
          <w:bCs/>
          <w:i w:val="0"/>
          <w:iCs w:val="0"/>
        </w:rPr>
      </w:pPr>
      <w:bookmarkStart w:id="63" w:name="_Toc183180570"/>
    </w:p>
    <w:p w14:paraId="0C8953DB" w14:textId="11D2B52C" w:rsidR="000A609A" w:rsidRPr="005616AE" w:rsidRDefault="000A609A" w:rsidP="00685398">
      <w:pPr>
        <w:spacing w:after="0"/>
        <w:rPr>
          <w:rStyle w:val="SubtleEmphasis"/>
          <w:rFonts w:cs="Calibri"/>
          <w:b/>
          <w:bCs/>
        </w:rPr>
      </w:pPr>
      <w:r w:rsidRPr="005616AE">
        <w:rPr>
          <w:rStyle w:val="SubtleEmphasis"/>
          <w:rFonts w:cs="Calibri"/>
          <w:b/>
          <w:bCs/>
          <w:i w:val="0"/>
          <w:iCs w:val="0"/>
        </w:rPr>
        <w:t>Objectives</w:t>
      </w:r>
      <w:bookmarkEnd w:id="63"/>
    </w:p>
    <w:p w14:paraId="0B62AA51" w14:textId="77777777" w:rsidR="000A609A" w:rsidRPr="005616AE" w:rsidRDefault="000A609A" w:rsidP="00384F0C">
      <w:pPr>
        <w:pStyle w:val="ListParagraph"/>
        <w:numPr>
          <w:ilvl w:val="0"/>
          <w:numId w:val="57"/>
        </w:numPr>
        <w:spacing w:after="0" w:line="256" w:lineRule="auto"/>
        <w:rPr>
          <w:rFonts w:cs="Calibri"/>
        </w:rPr>
      </w:pPr>
      <w:r w:rsidRPr="005616AE">
        <w:rPr>
          <w:rFonts w:cs="Calibri"/>
          <w:b/>
          <w:bCs/>
        </w:rPr>
        <w:t>Strategic Alignment:</w:t>
      </w:r>
      <w:r w:rsidRPr="005616AE">
        <w:rPr>
          <w:rFonts w:cs="Calibri"/>
        </w:rPr>
        <w:t xml:space="preserve"> Confirm that WiTricity’s technology and market position align with TD Bank’s goals such as expanding into the green technology as well as EV space.</w:t>
      </w:r>
    </w:p>
    <w:p w14:paraId="632C89EA" w14:textId="77777777" w:rsidR="000A609A" w:rsidRPr="005616AE" w:rsidRDefault="000A609A" w:rsidP="00384F0C">
      <w:pPr>
        <w:pStyle w:val="ListParagraph"/>
        <w:numPr>
          <w:ilvl w:val="0"/>
          <w:numId w:val="57"/>
        </w:numPr>
        <w:spacing w:after="0" w:line="256" w:lineRule="auto"/>
        <w:rPr>
          <w:rFonts w:cs="Calibri"/>
        </w:rPr>
      </w:pPr>
      <w:r w:rsidRPr="005616AE">
        <w:rPr>
          <w:rFonts w:cs="Calibri"/>
          <w:b/>
          <w:bCs/>
        </w:rPr>
        <w:t>Risk Mitigation:</w:t>
      </w:r>
      <w:r w:rsidRPr="005616AE">
        <w:rPr>
          <w:rFonts w:cs="Calibri"/>
        </w:rPr>
        <w:t xml:space="preserve"> Identify, </w:t>
      </w:r>
      <w:proofErr w:type="gramStart"/>
      <w:r w:rsidRPr="005616AE">
        <w:rPr>
          <w:rFonts w:cs="Calibri"/>
        </w:rPr>
        <w:t>assess</w:t>
      </w:r>
      <w:proofErr w:type="gramEnd"/>
      <w:r w:rsidRPr="005616AE">
        <w:rPr>
          <w:rFonts w:cs="Calibri"/>
        </w:rPr>
        <w:t xml:space="preserve"> and mitigate any potential risks associated with the acquisition.</w:t>
      </w:r>
    </w:p>
    <w:p w14:paraId="3EB3C175" w14:textId="77777777" w:rsidR="000A609A" w:rsidRPr="005616AE" w:rsidRDefault="000A609A" w:rsidP="00384F0C">
      <w:pPr>
        <w:pStyle w:val="ListParagraph"/>
        <w:numPr>
          <w:ilvl w:val="0"/>
          <w:numId w:val="57"/>
        </w:numPr>
        <w:spacing w:after="0" w:line="256" w:lineRule="auto"/>
        <w:rPr>
          <w:rFonts w:cs="Calibri"/>
        </w:rPr>
      </w:pPr>
      <w:r w:rsidRPr="005616AE">
        <w:rPr>
          <w:rFonts w:cs="Calibri"/>
          <w:b/>
          <w:bCs/>
        </w:rPr>
        <w:t>Informed Decision-Making</w:t>
      </w:r>
      <w:r w:rsidRPr="005616AE">
        <w:rPr>
          <w:rFonts w:cs="Calibri"/>
        </w:rPr>
        <w:t xml:space="preserve">: Gather all necessary information to make a well-informed decision regarding the valuation, </w:t>
      </w:r>
      <w:proofErr w:type="gramStart"/>
      <w:r w:rsidRPr="005616AE">
        <w:rPr>
          <w:rFonts w:cs="Calibri"/>
        </w:rPr>
        <w:t>structure</w:t>
      </w:r>
      <w:proofErr w:type="gramEnd"/>
      <w:r w:rsidRPr="005616AE">
        <w:rPr>
          <w:rFonts w:cs="Calibri"/>
        </w:rPr>
        <w:t xml:space="preserve"> and feasibility of the acquisition.</w:t>
      </w:r>
    </w:p>
    <w:p w14:paraId="11116B1E" w14:textId="77777777" w:rsidR="000A609A" w:rsidRPr="005616AE" w:rsidRDefault="000A609A" w:rsidP="00384F0C">
      <w:pPr>
        <w:pStyle w:val="ListParagraph"/>
        <w:numPr>
          <w:ilvl w:val="0"/>
          <w:numId w:val="57"/>
        </w:numPr>
        <w:spacing w:after="0" w:line="256" w:lineRule="auto"/>
        <w:rPr>
          <w:rFonts w:cs="Calibri"/>
        </w:rPr>
      </w:pPr>
      <w:r w:rsidRPr="005616AE">
        <w:rPr>
          <w:rFonts w:cs="Calibri"/>
          <w:b/>
          <w:bCs/>
        </w:rPr>
        <w:t>Regulatory Preparation:</w:t>
      </w:r>
      <w:r w:rsidRPr="005616AE">
        <w:rPr>
          <w:rFonts w:cs="Calibri"/>
        </w:rPr>
        <w:t xml:space="preserve"> Ensure compliance with relevant regulations and prepare for any regulatory challenges.</w:t>
      </w:r>
    </w:p>
    <w:p w14:paraId="6447078F" w14:textId="77777777" w:rsidR="000A609A" w:rsidRPr="005616AE" w:rsidRDefault="000A609A" w:rsidP="00384F0C">
      <w:pPr>
        <w:pStyle w:val="ListParagraph"/>
        <w:numPr>
          <w:ilvl w:val="0"/>
          <w:numId w:val="57"/>
        </w:numPr>
        <w:spacing w:after="0" w:line="256" w:lineRule="auto"/>
        <w:rPr>
          <w:rFonts w:cs="Calibri"/>
        </w:rPr>
      </w:pPr>
      <w:r w:rsidRPr="005616AE">
        <w:rPr>
          <w:rFonts w:cs="Calibri"/>
          <w:b/>
          <w:bCs/>
        </w:rPr>
        <w:t>Stakeholder Buy-In:</w:t>
      </w:r>
      <w:r w:rsidRPr="005616AE">
        <w:rPr>
          <w:rFonts w:cs="Calibri"/>
        </w:rPr>
        <w:t xml:space="preserve"> Secure approval from key stakeholders including TD Bank’s leadership, </w:t>
      </w:r>
      <w:proofErr w:type="gramStart"/>
      <w:r w:rsidRPr="005616AE">
        <w:rPr>
          <w:rFonts w:cs="Calibri"/>
        </w:rPr>
        <w:t>shareholders</w:t>
      </w:r>
      <w:proofErr w:type="gramEnd"/>
      <w:r w:rsidRPr="005616AE">
        <w:rPr>
          <w:rFonts w:cs="Calibri"/>
        </w:rPr>
        <w:t xml:space="preserve"> and relevant regulatory bodies.</w:t>
      </w:r>
    </w:p>
    <w:p w14:paraId="137986AD" w14:textId="77777777" w:rsidR="00047EEB" w:rsidRPr="005616AE" w:rsidRDefault="00047EEB" w:rsidP="00685398">
      <w:pPr>
        <w:spacing w:after="0"/>
        <w:rPr>
          <w:rFonts w:cs="Calibri"/>
          <w:b/>
          <w:bCs/>
        </w:rPr>
      </w:pPr>
      <w:bookmarkStart w:id="64" w:name="_Toc183180571"/>
    </w:p>
    <w:p w14:paraId="13F9D27E" w14:textId="68800CD7" w:rsidR="000A609A" w:rsidRPr="005616AE" w:rsidRDefault="000A609A" w:rsidP="00685398">
      <w:pPr>
        <w:spacing w:after="0"/>
        <w:rPr>
          <w:rFonts w:cs="Calibri"/>
          <w:b/>
          <w:bCs/>
        </w:rPr>
      </w:pPr>
      <w:r w:rsidRPr="005616AE">
        <w:rPr>
          <w:rFonts w:cs="Calibri"/>
          <w:b/>
          <w:bCs/>
        </w:rPr>
        <w:t>Actions</w:t>
      </w:r>
      <w:bookmarkEnd w:id="64"/>
    </w:p>
    <w:p w14:paraId="2EAA09CD" w14:textId="77777777" w:rsidR="00047EEB" w:rsidRPr="005616AE" w:rsidRDefault="00047EEB" w:rsidP="00685398">
      <w:pPr>
        <w:spacing w:after="0"/>
        <w:rPr>
          <w:rFonts w:cs="Calibri"/>
          <w:b/>
          <w:bCs/>
        </w:rPr>
      </w:pPr>
    </w:p>
    <w:p w14:paraId="720CE192" w14:textId="383043E9" w:rsidR="000A609A" w:rsidRPr="005616AE" w:rsidRDefault="000A609A" w:rsidP="00685398">
      <w:pPr>
        <w:spacing w:after="0"/>
        <w:rPr>
          <w:rFonts w:cs="Calibri"/>
        </w:rPr>
      </w:pPr>
      <w:r w:rsidRPr="005616AE">
        <w:rPr>
          <w:rFonts w:cs="Calibri"/>
          <w:b/>
          <w:bCs/>
        </w:rPr>
        <w:t>Strategic Planning</w:t>
      </w:r>
    </w:p>
    <w:p w14:paraId="54490F09" w14:textId="77777777" w:rsidR="00047EEB" w:rsidRPr="005616AE" w:rsidRDefault="00047EEB" w:rsidP="00685398">
      <w:pPr>
        <w:spacing w:after="0"/>
        <w:rPr>
          <w:rFonts w:cs="Calibri"/>
          <w:b/>
          <w:bCs/>
        </w:rPr>
      </w:pPr>
    </w:p>
    <w:p w14:paraId="733687E9" w14:textId="4C46D43D" w:rsidR="000A609A" w:rsidRPr="005616AE" w:rsidRDefault="000A609A" w:rsidP="00685398">
      <w:pPr>
        <w:spacing w:after="0"/>
        <w:rPr>
          <w:rFonts w:cs="Calibri"/>
          <w:b/>
          <w:bCs/>
        </w:rPr>
      </w:pPr>
      <w:r w:rsidRPr="005616AE">
        <w:rPr>
          <w:rFonts w:cs="Calibri"/>
          <w:b/>
          <w:bCs/>
        </w:rPr>
        <w:t>Define Acquisition Goals</w:t>
      </w:r>
    </w:p>
    <w:p w14:paraId="0E08E8D0" w14:textId="77777777" w:rsidR="000A609A" w:rsidRPr="005616AE" w:rsidRDefault="000A609A" w:rsidP="00685398">
      <w:pPr>
        <w:spacing w:after="0"/>
        <w:rPr>
          <w:rFonts w:cs="Calibri"/>
        </w:rPr>
      </w:pPr>
      <w:r w:rsidRPr="005616AE">
        <w:rPr>
          <w:rFonts w:cs="Calibri"/>
        </w:rPr>
        <w:t>Determine the primary reasons for acquiring WiTricity (e.g., market expansion, sustainability leadership, technology integration, diversification). Align the acquisition goals with TD Bank’s broader strategic initiatives such as advancing ESG (Environmental, Social and Governance) goals or targeting the EV market. Set preliminary KPIs for acquisition success such as ROI, market reach and technology integration. Conduct a SWOT analysis (Strengths, Weaknesses, Opportunities, Threats) for WiTricity to identify how it aligns with TD’s strategic priorities. Develop a high-level roadmap that includes potential technology integrations target markets and long-term synergies. Conduct initial risk assessments to identify potential deal-breakers.</w:t>
      </w:r>
    </w:p>
    <w:p w14:paraId="3232F8D0" w14:textId="77777777" w:rsidR="00047EEB" w:rsidRPr="005616AE" w:rsidRDefault="00047EEB" w:rsidP="00685398">
      <w:pPr>
        <w:spacing w:after="0"/>
        <w:rPr>
          <w:rFonts w:cs="Calibri"/>
          <w:b/>
          <w:bCs/>
        </w:rPr>
      </w:pPr>
    </w:p>
    <w:p w14:paraId="06D82E16" w14:textId="21B830C0" w:rsidR="000A609A" w:rsidRPr="005616AE" w:rsidRDefault="000A609A" w:rsidP="00685398">
      <w:pPr>
        <w:spacing w:after="0"/>
        <w:rPr>
          <w:rFonts w:cs="Calibri"/>
        </w:rPr>
      </w:pPr>
      <w:r w:rsidRPr="005616AE">
        <w:rPr>
          <w:rFonts w:cs="Calibri"/>
          <w:b/>
          <w:bCs/>
        </w:rPr>
        <w:lastRenderedPageBreak/>
        <w:t>Develop Preliminary Business Case</w:t>
      </w:r>
    </w:p>
    <w:p w14:paraId="2E6CB026" w14:textId="77777777" w:rsidR="000A609A" w:rsidRPr="005616AE" w:rsidRDefault="000A609A" w:rsidP="00685398">
      <w:pPr>
        <w:spacing w:after="0"/>
        <w:rPr>
          <w:rFonts w:cs="Calibri"/>
        </w:rPr>
      </w:pPr>
      <w:r w:rsidRPr="005616AE">
        <w:rPr>
          <w:rFonts w:cs="Calibri"/>
        </w:rPr>
        <w:t>Prepare a business case outlining the strategic importance of WiTricity's technology. Highlight potential revenue streams, cost synergies and competitive advantages. Present the business case to TD’s executive leadership and obtain initial approval to proceed.</w:t>
      </w:r>
    </w:p>
    <w:p w14:paraId="70D7CBF4" w14:textId="77777777" w:rsidR="00047EEB" w:rsidRPr="005616AE" w:rsidRDefault="00047EEB" w:rsidP="00685398">
      <w:pPr>
        <w:spacing w:after="0"/>
        <w:rPr>
          <w:rFonts w:cs="Calibri"/>
          <w:b/>
          <w:bCs/>
        </w:rPr>
      </w:pPr>
    </w:p>
    <w:p w14:paraId="1AAE7773" w14:textId="4C799F0E" w:rsidR="000A609A" w:rsidRPr="005616AE" w:rsidRDefault="000A609A" w:rsidP="00685398">
      <w:pPr>
        <w:spacing w:after="0"/>
        <w:rPr>
          <w:rFonts w:cs="Calibri"/>
        </w:rPr>
      </w:pPr>
      <w:r w:rsidRPr="005616AE">
        <w:rPr>
          <w:rFonts w:cs="Calibri"/>
          <w:b/>
          <w:bCs/>
        </w:rPr>
        <w:t>Engage Key Stakeholders</w:t>
      </w:r>
    </w:p>
    <w:p w14:paraId="322941DB" w14:textId="77777777" w:rsidR="000A609A" w:rsidRPr="005616AE" w:rsidRDefault="000A609A" w:rsidP="00685398">
      <w:pPr>
        <w:spacing w:after="0"/>
        <w:rPr>
          <w:rFonts w:cs="Calibri"/>
        </w:rPr>
      </w:pPr>
      <w:r w:rsidRPr="005616AE">
        <w:rPr>
          <w:rFonts w:cs="Calibri"/>
        </w:rPr>
        <w:t xml:space="preserve">Present the preliminary acquisition strategy to TD’s executive leadership for initial feedback and direction. Consult with the legal, finance, </w:t>
      </w:r>
      <w:proofErr w:type="gramStart"/>
      <w:r w:rsidRPr="005616AE">
        <w:rPr>
          <w:rFonts w:cs="Calibri"/>
        </w:rPr>
        <w:t>technology</w:t>
      </w:r>
      <w:proofErr w:type="gramEnd"/>
      <w:r w:rsidRPr="005616AE">
        <w:rPr>
          <w:rFonts w:cs="Calibri"/>
        </w:rPr>
        <w:t xml:space="preserve"> and risk departments to ensure alignment. Identify key internal stakeholders and subject matter experts who will be involved in due diligence and decision-making.</w:t>
      </w:r>
    </w:p>
    <w:p w14:paraId="38B680D8" w14:textId="77777777" w:rsidR="00047EEB" w:rsidRPr="005616AE" w:rsidRDefault="00047EEB" w:rsidP="00685398">
      <w:pPr>
        <w:spacing w:after="0"/>
        <w:rPr>
          <w:rFonts w:cs="Calibri"/>
          <w:b/>
          <w:bCs/>
        </w:rPr>
      </w:pPr>
    </w:p>
    <w:p w14:paraId="73D0488B" w14:textId="220F1C1E" w:rsidR="000A609A" w:rsidRPr="005616AE" w:rsidRDefault="000A609A" w:rsidP="00685398">
      <w:pPr>
        <w:spacing w:after="0"/>
        <w:rPr>
          <w:rFonts w:cs="Calibri"/>
        </w:rPr>
      </w:pPr>
      <w:r w:rsidRPr="005616AE">
        <w:rPr>
          <w:rFonts w:cs="Calibri"/>
          <w:b/>
          <w:bCs/>
        </w:rPr>
        <w:t>Establish Acquisition Team</w:t>
      </w:r>
    </w:p>
    <w:p w14:paraId="187C0278" w14:textId="77777777" w:rsidR="000A609A" w:rsidRPr="005616AE" w:rsidRDefault="000A609A" w:rsidP="00685398">
      <w:pPr>
        <w:spacing w:after="0"/>
        <w:rPr>
          <w:rFonts w:cs="Calibri"/>
        </w:rPr>
      </w:pPr>
      <w:r w:rsidRPr="005616AE">
        <w:rPr>
          <w:rFonts w:cs="Calibri"/>
        </w:rPr>
        <w:t xml:space="preserve">Form a cross-functional acquisition team with representatives from strategy, finance, technology, legal, operations and HR. Assign clear roles, </w:t>
      </w:r>
      <w:proofErr w:type="gramStart"/>
      <w:r w:rsidRPr="005616AE">
        <w:rPr>
          <w:rFonts w:cs="Calibri"/>
        </w:rPr>
        <w:t>responsibilities</w:t>
      </w:r>
      <w:proofErr w:type="gramEnd"/>
      <w:r w:rsidRPr="005616AE">
        <w:rPr>
          <w:rFonts w:cs="Calibri"/>
        </w:rPr>
        <w:t xml:space="preserve"> and authority levels to team members. Set a timeline for the pre-acquisition phase with clear milestones and checkpoints.</w:t>
      </w:r>
    </w:p>
    <w:p w14:paraId="687786BD" w14:textId="77777777" w:rsidR="000A609A" w:rsidRPr="005616AE" w:rsidRDefault="000A609A" w:rsidP="00685398">
      <w:pPr>
        <w:spacing w:after="0"/>
        <w:rPr>
          <w:rFonts w:cs="Calibri"/>
        </w:rPr>
      </w:pPr>
    </w:p>
    <w:p w14:paraId="4C78F5FF" w14:textId="426C8B16" w:rsidR="000A609A" w:rsidRPr="005616AE" w:rsidRDefault="000A609A" w:rsidP="00685398">
      <w:pPr>
        <w:spacing w:after="0"/>
        <w:rPr>
          <w:rFonts w:cs="Calibri"/>
        </w:rPr>
      </w:pPr>
      <w:r w:rsidRPr="005616AE">
        <w:rPr>
          <w:rFonts w:cs="Calibri"/>
          <w:b/>
          <w:bCs/>
        </w:rPr>
        <w:t>Due Diligence</w:t>
      </w:r>
    </w:p>
    <w:p w14:paraId="7BCA7C4A" w14:textId="77777777" w:rsidR="00047EEB" w:rsidRPr="005616AE" w:rsidRDefault="00047EEB" w:rsidP="00685398">
      <w:pPr>
        <w:spacing w:after="0"/>
        <w:rPr>
          <w:rFonts w:cs="Calibri"/>
          <w:b/>
          <w:bCs/>
        </w:rPr>
      </w:pPr>
    </w:p>
    <w:p w14:paraId="578222B5" w14:textId="614DABF3" w:rsidR="000A609A" w:rsidRPr="005616AE" w:rsidRDefault="000A609A" w:rsidP="00685398">
      <w:pPr>
        <w:spacing w:after="0"/>
        <w:rPr>
          <w:rFonts w:cs="Calibri"/>
          <w:b/>
          <w:bCs/>
        </w:rPr>
      </w:pPr>
      <w:r w:rsidRPr="005616AE">
        <w:rPr>
          <w:rFonts w:cs="Calibri"/>
          <w:b/>
          <w:bCs/>
        </w:rPr>
        <w:t>Technology &amp; Intellectual Property</w:t>
      </w:r>
    </w:p>
    <w:p w14:paraId="367A6940" w14:textId="77777777" w:rsidR="000A609A" w:rsidRPr="005616AE" w:rsidRDefault="000A609A" w:rsidP="00685398">
      <w:pPr>
        <w:spacing w:after="0"/>
        <w:rPr>
          <w:rFonts w:cs="Calibri"/>
        </w:rPr>
      </w:pPr>
      <w:r w:rsidRPr="005616AE">
        <w:rPr>
          <w:rFonts w:cs="Calibri"/>
        </w:rPr>
        <w:t xml:space="preserve">Assess the quality, </w:t>
      </w:r>
      <w:proofErr w:type="gramStart"/>
      <w:r w:rsidRPr="005616AE">
        <w:rPr>
          <w:rFonts w:cs="Calibri"/>
        </w:rPr>
        <w:t>scalability</w:t>
      </w:r>
      <w:proofErr w:type="gramEnd"/>
      <w:r w:rsidRPr="005616AE">
        <w:rPr>
          <w:rFonts w:cs="Calibri"/>
        </w:rPr>
        <w:t xml:space="preserve"> and proprietary nature of WiTricity’s technology to determine its potential value for TD Bank. Conduct a technical review of WiTricity’s core wireless charging technology. Review the portfolio of patents, trademarks to assess IP strength and uniqueness. Investigate ongoing R&amp;D projects to understand the technology pipeline and future growth potential.</w:t>
      </w:r>
    </w:p>
    <w:p w14:paraId="6CC51F46" w14:textId="77777777" w:rsidR="00047EEB" w:rsidRPr="005616AE" w:rsidRDefault="00047EEB" w:rsidP="00685398">
      <w:pPr>
        <w:spacing w:after="0"/>
        <w:rPr>
          <w:rFonts w:cs="Calibri"/>
          <w:b/>
          <w:bCs/>
        </w:rPr>
      </w:pPr>
    </w:p>
    <w:p w14:paraId="11247A85" w14:textId="305FF84B" w:rsidR="000A609A" w:rsidRPr="005616AE" w:rsidRDefault="000A609A" w:rsidP="00685398">
      <w:pPr>
        <w:spacing w:after="0"/>
        <w:rPr>
          <w:rFonts w:cs="Calibri"/>
          <w:b/>
          <w:bCs/>
        </w:rPr>
      </w:pPr>
      <w:r w:rsidRPr="005616AE">
        <w:rPr>
          <w:rFonts w:cs="Calibri"/>
          <w:b/>
          <w:bCs/>
        </w:rPr>
        <w:t>Financial Due Diligence</w:t>
      </w:r>
    </w:p>
    <w:p w14:paraId="3F7CF19F" w14:textId="77777777" w:rsidR="000A609A" w:rsidRPr="005616AE" w:rsidRDefault="000A609A" w:rsidP="00685398">
      <w:pPr>
        <w:spacing w:after="0"/>
        <w:rPr>
          <w:rFonts w:cs="Calibri"/>
        </w:rPr>
      </w:pPr>
      <w:r w:rsidRPr="005616AE">
        <w:rPr>
          <w:rFonts w:cs="Calibri"/>
        </w:rPr>
        <w:t xml:space="preserve">Gain a comprehensive understanding of WiTricity’s financial health and future projections. Review the last three to five years of financial statements including balance sheets, income statements and cash flow. Analyse WiTricity’s revenue sources, profit margins and cost structure. Identify any outstanding liabilities, </w:t>
      </w:r>
      <w:proofErr w:type="gramStart"/>
      <w:r w:rsidRPr="005616AE">
        <w:rPr>
          <w:rFonts w:cs="Calibri"/>
        </w:rPr>
        <w:t>debts</w:t>
      </w:r>
      <w:proofErr w:type="gramEnd"/>
      <w:r w:rsidRPr="005616AE">
        <w:rPr>
          <w:rFonts w:cs="Calibri"/>
        </w:rPr>
        <w:t xml:space="preserve"> and contractual obligations. Develop a financial forecast including revenue projections and sensitivity analysis. Prepare a financial risk assessment to identify any red flags such as revenue volatility or customer concentration.</w:t>
      </w:r>
    </w:p>
    <w:p w14:paraId="071449CD" w14:textId="77777777" w:rsidR="00047EEB" w:rsidRPr="005616AE" w:rsidRDefault="00047EEB" w:rsidP="00685398">
      <w:pPr>
        <w:spacing w:after="0"/>
        <w:rPr>
          <w:rFonts w:cs="Calibri"/>
          <w:b/>
          <w:bCs/>
        </w:rPr>
      </w:pPr>
    </w:p>
    <w:p w14:paraId="374E282B" w14:textId="130377B6" w:rsidR="000A609A" w:rsidRPr="005616AE" w:rsidRDefault="000A609A" w:rsidP="00685398">
      <w:pPr>
        <w:spacing w:after="0"/>
        <w:rPr>
          <w:rFonts w:cs="Calibri"/>
        </w:rPr>
      </w:pPr>
      <w:r w:rsidRPr="005616AE">
        <w:rPr>
          <w:rFonts w:cs="Calibri"/>
          <w:b/>
          <w:bCs/>
        </w:rPr>
        <w:t>Operational Due Diligence</w:t>
      </w:r>
    </w:p>
    <w:p w14:paraId="4C67D76E" w14:textId="77777777" w:rsidR="000A609A" w:rsidRPr="005616AE" w:rsidRDefault="000A609A" w:rsidP="00685398">
      <w:pPr>
        <w:spacing w:after="0"/>
        <w:rPr>
          <w:rFonts w:cs="Calibri"/>
        </w:rPr>
      </w:pPr>
      <w:r w:rsidRPr="005616AE">
        <w:rPr>
          <w:rFonts w:cs="Calibri"/>
        </w:rPr>
        <w:t xml:space="preserve">Assess WiTricity’s operational processes, organisational </w:t>
      </w:r>
      <w:proofErr w:type="gramStart"/>
      <w:r w:rsidRPr="005616AE">
        <w:rPr>
          <w:rFonts w:cs="Calibri"/>
        </w:rPr>
        <w:t>structure</w:t>
      </w:r>
      <w:proofErr w:type="gramEnd"/>
      <w:r w:rsidRPr="005616AE">
        <w:rPr>
          <w:rFonts w:cs="Calibri"/>
        </w:rPr>
        <w:t xml:space="preserve"> and cultural fit with TD Bank. Evaluate WiTricity’s supply chain, production processes and distribution channels. Review organisational structure including key personnel, management capabilities and talent retention risks. Conduct a cultural audit to identify potential challenges in integrating WiTricity’s operations with TD’s corporate culture. Analyse customer base, market presence and key partnerships to assess market positioning.</w:t>
      </w:r>
    </w:p>
    <w:p w14:paraId="47A4A966" w14:textId="77777777" w:rsidR="00047EEB" w:rsidRPr="005616AE" w:rsidRDefault="00047EEB" w:rsidP="00685398">
      <w:pPr>
        <w:spacing w:after="0"/>
        <w:rPr>
          <w:rFonts w:cs="Calibri"/>
          <w:b/>
          <w:bCs/>
        </w:rPr>
      </w:pPr>
    </w:p>
    <w:p w14:paraId="46C080AF" w14:textId="529F62F8" w:rsidR="000A609A" w:rsidRPr="005616AE" w:rsidRDefault="000A609A" w:rsidP="00685398">
      <w:pPr>
        <w:spacing w:after="0"/>
        <w:rPr>
          <w:rFonts w:cs="Calibri"/>
        </w:rPr>
      </w:pPr>
      <w:r w:rsidRPr="005616AE">
        <w:rPr>
          <w:rFonts w:cs="Calibri"/>
          <w:b/>
          <w:bCs/>
        </w:rPr>
        <w:t>Legal &amp; Compliance Due Diligence</w:t>
      </w:r>
    </w:p>
    <w:p w14:paraId="62159EBA" w14:textId="77777777" w:rsidR="000A609A" w:rsidRPr="005616AE" w:rsidRDefault="000A609A" w:rsidP="00685398">
      <w:pPr>
        <w:spacing w:after="0"/>
        <w:rPr>
          <w:rFonts w:cs="Calibri"/>
        </w:rPr>
      </w:pPr>
      <w:r w:rsidRPr="005616AE">
        <w:rPr>
          <w:rFonts w:cs="Calibri"/>
        </w:rPr>
        <w:t xml:space="preserve">Identify and evaluate potential legal risks, compliance issues as well as regulatory challenges. Conduct a thorough review of WiTricity’s contracts, legal </w:t>
      </w:r>
      <w:proofErr w:type="gramStart"/>
      <w:r w:rsidRPr="005616AE">
        <w:rPr>
          <w:rFonts w:cs="Calibri"/>
        </w:rPr>
        <w:t>agreements</w:t>
      </w:r>
      <w:proofErr w:type="gramEnd"/>
      <w:r w:rsidRPr="005616AE">
        <w:rPr>
          <w:rFonts w:cs="Calibri"/>
        </w:rPr>
        <w:t xml:space="preserve"> and partnerships. Investigate pending litigation, intellectual property disputes and compliance with technology standards. Assess WiTricity’s data privacy, cybersecurity protocols and environmental compliance. Compile a list of regulatory requirements and potential challenges for the acquisition.</w:t>
      </w:r>
    </w:p>
    <w:p w14:paraId="658C4E29" w14:textId="77777777" w:rsidR="00047EEB" w:rsidRPr="005616AE" w:rsidRDefault="00047EEB" w:rsidP="00685398">
      <w:pPr>
        <w:spacing w:after="0"/>
        <w:rPr>
          <w:rFonts w:cs="Calibri"/>
          <w:b/>
          <w:bCs/>
        </w:rPr>
      </w:pPr>
    </w:p>
    <w:p w14:paraId="727727A6" w14:textId="37738399" w:rsidR="000A609A" w:rsidRPr="005616AE" w:rsidRDefault="000A609A" w:rsidP="00685398">
      <w:pPr>
        <w:spacing w:after="0"/>
        <w:rPr>
          <w:rFonts w:cs="Calibri"/>
        </w:rPr>
      </w:pPr>
      <w:r w:rsidRPr="005616AE">
        <w:rPr>
          <w:rFonts w:cs="Calibri"/>
          <w:b/>
          <w:bCs/>
        </w:rPr>
        <w:t>Valuation &amp; Negotiation</w:t>
      </w:r>
    </w:p>
    <w:p w14:paraId="60390297" w14:textId="77777777" w:rsidR="000A609A" w:rsidRPr="005616AE" w:rsidRDefault="000A609A" w:rsidP="00685398">
      <w:pPr>
        <w:spacing w:after="0"/>
        <w:rPr>
          <w:rFonts w:cs="Calibri"/>
        </w:rPr>
      </w:pPr>
      <w:r w:rsidRPr="005616AE">
        <w:rPr>
          <w:rFonts w:cs="Calibri"/>
        </w:rPr>
        <w:t xml:space="preserve">Determine a fair valuation for WiTricity and finalise the acquisition terms. Perform a Discounted Cash Flow (DCF) analysis to estimate the future cash flows WiTricity can generate for TD. Use Comparable Company Analysis (Comps) to benchmark WiTricity against similar companies in the market. Conduct a Precedent Transactions Analysis to see how similar acquisitions </w:t>
      </w:r>
      <w:proofErr w:type="gramStart"/>
      <w:r w:rsidRPr="005616AE">
        <w:rPr>
          <w:rFonts w:cs="Calibri"/>
        </w:rPr>
        <w:t>were valued</w:t>
      </w:r>
      <w:proofErr w:type="gramEnd"/>
      <w:r w:rsidRPr="005616AE">
        <w:rPr>
          <w:rFonts w:cs="Calibri"/>
        </w:rPr>
        <w:t xml:space="preserve">. Consider strategic factors like technology ownership, competitive </w:t>
      </w:r>
      <w:proofErr w:type="gramStart"/>
      <w:r w:rsidRPr="005616AE">
        <w:rPr>
          <w:rFonts w:cs="Calibri"/>
        </w:rPr>
        <w:t>positioning</w:t>
      </w:r>
      <w:proofErr w:type="gramEnd"/>
      <w:r w:rsidRPr="005616AE">
        <w:rPr>
          <w:rFonts w:cs="Calibri"/>
        </w:rPr>
        <w:t xml:space="preserve"> and market expansion potential. Conduct feasibility study. Determine the budget for the acquisition including projected costs, integration expenses and potential synergies. Assess the </w:t>
      </w:r>
      <w:proofErr w:type="gramStart"/>
      <w:r w:rsidRPr="005616AE">
        <w:rPr>
          <w:rFonts w:cs="Calibri"/>
        </w:rPr>
        <w:t>financial impact</w:t>
      </w:r>
      <w:proofErr w:type="gramEnd"/>
      <w:r w:rsidRPr="005616AE">
        <w:rPr>
          <w:rFonts w:cs="Calibri"/>
        </w:rPr>
        <w:t xml:space="preserve"> of the acquisition on TD Bank’s balance sheet including funding options.</w:t>
      </w:r>
    </w:p>
    <w:p w14:paraId="129D4BD9" w14:textId="77777777" w:rsidR="00047EEB" w:rsidRPr="005616AE" w:rsidRDefault="00047EEB" w:rsidP="00685398">
      <w:pPr>
        <w:spacing w:after="0"/>
        <w:rPr>
          <w:rFonts w:cs="Calibri"/>
          <w:b/>
          <w:bCs/>
        </w:rPr>
      </w:pPr>
    </w:p>
    <w:p w14:paraId="06253B4B" w14:textId="2542E6CF" w:rsidR="000A609A" w:rsidRPr="005616AE" w:rsidRDefault="000A609A" w:rsidP="00685398">
      <w:pPr>
        <w:spacing w:after="0"/>
        <w:rPr>
          <w:rFonts w:cs="Calibri"/>
        </w:rPr>
      </w:pPr>
      <w:r w:rsidRPr="005616AE">
        <w:rPr>
          <w:rFonts w:cs="Calibri"/>
          <w:b/>
          <w:bCs/>
        </w:rPr>
        <w:t>Negotiation with WiTricity</w:t>
      </w:r>
      <w:r w:rsidRPr="005616AE">
        <w:rPr>
          <w:rFonts w:cs="Calibri"/>
        </w:rPr>
        <w:t xml:space="preserve"> </w:t>
      </w:r>
    </w:p>
    <w:p w14:paraId="5D6056F4" w14:textId="77777777" w:rsidR="000A609A" w:rsidRPr="005616AE" w:rsidRDefault="000A609A" w:rsidP="00685398">
      <w:pPr>
        <w:spacing w:after="0"/>
        <w:rPr>
          <w:rFonts w:cs="Calibri"/>
        </w:rPr>
      </w:pPr>
      <w:r w:rsidRPr="005616AE">
        <w:rPr>
          <w:rFonts w:cs="Calibri"/>
        </w:rPr>
        <w:t xml:space="preserve">Start formal negotiations based on the valuation report. Discuss the acquisition price, payment structure and </w:t>
      </w:r>
      <w:proofErr w:type="gramStart"/>
      <w:r w:rsidRPr="005616AE">
        <w:rPr>
          <w:rFonts w:cs="Calibri"/>
        </w:rPr>
        <w:t>possible earn-outs</w:t>
      </w:r>
      <w:proofErr w:type="gramEnd"/>
      <w:r w:rsidRPr="005616AE">
        <w:rPr>
          <w:rFonts w:cs="Calibri"/>
        </w:rPr>
        <w:t xml:space="preserve"> tied to future performance. Negotiate employee retention bonuses, transition agreements and incentives for WiTricity’s key personnel. Draft initial agreements covering terms for IP transfer, technology integration and post-acquisition support.</w:t>
      </w:r>
    </w:p>
    <w:p w14:paraId="30E03AF7" w14:textId="77777777" w:rsidR="00047EEB" w:rsidRPr="005616AE" w:rsidRDefault="00047EEB" w:rsidP="00685398">
      <w:pPr>
        <w:spacing w:after="0"/>
        <w:rPr>
          <w:rFonts w:cs="Calibri"/>
          <w:b/>
          <w:bCs/>
        </w:rPr>
      </w:pPr>
    </w:p>
    <w:p w14:paraId="53F4BD02" w14:textId="01F50C29" w:rsidR="000A609A" w:rsidRPr="005616AE" w:rsidRDefault="000A609A" w:rsidP="00685398">
      <w:pPr>
        <w:spacing w:after="0"/>
        <w:rPr>
          <w:rFonts w:cs="Calibri"/>
        </w:rPr>
      </w:pPr>
      <w:r w:rsidRPr="005616AE">
        <w:rPr>
          <w:rFonts w:cs="Calibri"/>
          <w:b/>
          <w:bCs/>
        </w:rPr>
        <w:t>Regulatory &amp; Compliance</w:t>
      </w:r>
    </w:p>
    <w:p w14:paraId="6F03E4EB" w14:textId="77777777" w:rsidR="000A609A" w:rsidRPr="005616AE" w:rsidRDefault="000A609A" w:rsidP="00685398">
      <w:pPr>
        <w:spacing w:after="0"/>
        <w:rPr>
          <w:rFonts w:cs="Calibri"/>
        </w:rPr>
      </w:pPr>
      <w:r w:rsidRPr="005616AE">
        <w:rPr>
          <w:rFonts w:cs="Calibri"/>
        </w:rPr>
        <w:t xml:space="preserve">Secure all necessary approvals from government and regulatory bodies to facilitate the acquisition without legal or operational roadblocks. Ensure that WiTricity’s operations, technology and financial practices comply with industry standards, environmental regulations as well as financial sector guidelines. Identify and mitigate potential legal as well as compliance risks that could impact TD Bank’s reputation, operational integrity, or financial stability. Prepare WiTricity’s operations and technology for a seamless transition to TD’s compliance framework ensuring ongoing adherence to relevant regulations. Begin preparing documents for regulatory filings as well as approvals ensuring compliance with industry and government standards. Engage TD’s board of directors, </w:t>
      </w:r>
      <w:proofErr w:type="gramStart"/>
      <w:r w:rsidRPr="005616AE">
        <w:rPr>
          <w:rFonts w:cs="Calibri"/>
        </w:rPr>
        <w:t>shareholders</w:t>
      </w:r>
      <w:proofErr w:type="gramEnd"/>
      <w:r w:rsidRPr="005616AE">
        <w:rPr>
          <w:rFonts w:cs="Calibri"/>
        </w:rPr>
        <w:t xml:space="preserve"> and relevant stakeholders for final approval. Schedule briefings with regulatory bodies to understand their expectations and address potential concerns early. Conduct internal stakeholder meetings to address any concerns and ensure alignment.</w:t>
      </w:r>
    </w:p>
    <w:p w14:paraId="7B1F7C6B" w14:textId="77777777" w:rsidR="00047EEB" w:rsidRPr="005616AE" w:rsidRDefault="00047EEB" w:rsidP="00685398">
      <w:pPr>
        <w:spacing w:after="0"/>
        <w:rPr>
          <w:rFonts w:cs="Calibri"/>
          <w:b/>
          <w:bCs/>
        </w:rPr>
      </w:pPr>
    </w:p>
    <w:p w14:paraId="0371FA7E" w14:textId="5C81D043" w:rsidR="000A609A" w:rsidRPr="005616AE" w:rsidRDefault="000A609A" w:rsidP="00685398">
      <w:pPr>
        <w:spacing w:after="0"/>
        <w:rPr>
          <w:rFonts w:cs="Calibri"/>
          <w:b/>
          <w:bCs/>
        </w:rPr>
      </w:pPr>
      <w:r w:rsidRPr="005616AE">
        <w:rPr>
          <w:rFonts w:cs="Calibri"/>
          <w:b/>
          <w:bCs/>
        </w:rPr>
        <w:t>Success Metrics for Pre-Acquisition Phase</w:t>
      </w:r>
    </w:p>
    <w:p w14:paraId="46A375A3" w14:textId="77777777" w:rsidR="000A609A" w:rsidRPr="005616AE" w:rsidRDefault="000A609A" w:rsidP="00384F0C">
      <w:pPr>
        <w:numPr>
          <w:ilvl w:val="0"/>
          <w:numId w:val="58"/>
        </w:numPr>
        <w:spacing w:after="0" w:line="256" w:lineRule="auto"/>
        <w:rPr>
          <w:rFonts w:cs="Calibri"/>
        </w:rPr>
      </w:pPr>
      <w:r w:rsidRPr="005616AE">
        <w:rPr>
          <w:rFonts w:cs="Calibri"/>
        </w:rPr>
        <w:t>Completion of due diligence reports with minimal unresolved risks.</w:t>
      </w:r>
    </w:p>
    <w:p w14:paraId="07E4BB18" w14:textId="77777777" w:rsidR="000A609A" w:rsidRPr="005616AE" w:rsidRDefault="000A609A" w:rsidP="00384F0C">
      <w:pPr>
        <w:numPr>
          <w:ilvl w:val="0"/>
          <w:numId w:val="58"/>
        </w:numPr>
        <w:spacing w:after="0" w:line="256" w:lineRule="auto"/>
        <w:rPr>
          <w:rFonts w:cs="Calibri"/>
        </w:rPr>
      </w:pPr>
      <w:r w:rsidRPr="005616AE">
        <w:rPr>
          <w:rFonts w:cs="Calibri"/>
        </w:rPr>
        <w:t>Securing a valuation within an acceptable range justified by multiple valuation methods.</w:t>
      </w:r>
    </w:p>
    <w:p w14:paraId="6CEA4921" w14:textId="77777777" w:rsidR="000A609A" w:rsidRPr="005616AE" w:rsidRDefault="000A609A" w:rsidP="00384F0C">
      <w:pPr>
        <w:numPr>
          <w:ilvl w:val="0"/>
          <w:numId w:val="58"/>
        </w:numPr>
        <w:spacing w:after="0" w:line="256" w:lineRule="auto"/>
        <w:rPr>
          <w:rFonts w:cs="Calibri"/>
        </w:rPr>
      </w:pPr>
      <w:r w:rsidRPr="005616AE">
        <w:rPr>
          <w:rFonts w:cs="Calibri"/>
        </w:rPr>
        <w:t>Successfully negotiating a preliminary acquisition agreement with key terms agreed upon.</w:t>
      </w:r>
    </w:p>
    <w:p w14:paraId="730466C7" w14:textId="77777777" w:rsidR="000A609A" w:rsidRPr="005616AE" w:rsidRDefault="000A609A" w:rsidP="00384F0C">
      <w:pPr>
        <w:numPr>
          <w:ilvl w:val="0"/>
          <w:numId w:val="58"/>
        </w:numPr>
        <w:spacing w:after="0" w:line="256" w:lineRule="auto"/>
        <w:rPr>
          <w:rFonts w:cs="Calibri"/>
        </w:rPr>
      </w:pPr>
      <w:r w:rsidRPr="005616AE">
        <w:rPr>
          <w:rFonts w:cs="Calibri"/>
        </w:rPr>
        <w:t>Obtaining pre-approval from TD Bank’s board and relevant internal stakeholders.</w:t>
      </w:r>
    </w:p>
    <w:p w14:paraId="0AE7E0CC" w14:textId="77777777" w:rsidR="000A609A" w:rsidRPr="005616AE" w:rsidRDefault="000A609A" w:rsidP="00384F0C">
      <w:pPr>
        <w:numPr>
          <w:ilvl w:val="0"/>
          <w:numId w:val="58"/>
        </w:numPr>
        <w:spacing w:after="0" w:line="256" w:lineRule="auto"/>
        <w:rPr>
          <w:rFonts w:cs="Calibri"/>
        </w:rPr>
      </w:pPr>
      <w:r w:rsidRPr="005616AE">
        <w:rPr>
          <w:rFonts w:cs="Calibri"/>
        </w:rPr>
        <w:t>On-time submission of regulatory filings with positive initial feedback from regulatory bodies.</w:t>
      </w:r>
    </w:p>
    <w:p w14:paraId="360E799E" w14:textId="77777777" w:rsidR="000206D5" w:rsidRPr="005616AE" w:rsidRDefault="000206D5" w:rsidP="000206D5">
      <w:pPr>
        <w:spacing w:after="0" w:line="256" w:lineRule="auto"/>
        <w:ind w:left="720"/>
        <w:rPr>
          <w:rFonts w:cs="Calibri"/>
        </w:rPr>
      </w:pPr>
    </w:p>
    <w:p w14:paraId="7CA7B95D" w14:textId="77777777" w:rsidR="000A609A" w:rsidRPr="005616AE" w:rsidRDefault="000A609A" w:rsidP="00685398">
      <w:pPr>
        <w:spacing w:after="0"/>
        <w:rPr>
          <w:rFonts w:cs="Calibri"/>
        </w:rPr>
      </w:pPr>
      <w:r w:rsidRPr="005616AE">
        <w:rPr>
          <w:rFonts w:cs="Calibri"/>
        </w:rPr>
        <w:t xml:space="preserve">By the end of the Pre-Acquisition Phase TD Bank should have a clear understanding of the risks, </w:t>
      </w:r>
      <w:proofErr w:type="gramStart"/>
      <w:r w:rsidRPr="005616AE">
        <w:rPr>
          <w:rFonts w:cs="Calibri"/>
        </w:rPr>
        <w:t>opportunities</w:t>
      </w:r>
      <w:proofErr w:type="gramEnd"/>
      <w:r w:rsidRPr="005616AE">
        <w:rPr>
          <w:rFonts w:cs="Calibri"/>
        </w:rPr>
        <w:t xml:space="preserve"> and strategic benefits of acquiring WiTricity. This phase will provide the necessary foundation for a successful acquisition ensuring all parties </w:t>
      </w:r>
      <w:proofErr w:type="gramStart"/>
      <w:r w:rsidRPr="005616AE">
        <w:rPr>
          <w:rFonts w:cs="Calibri"/>
        </w:rPr>
        <w:t>are aligned</w:t>
      </w:r>
      <w:proofErr w:type="gramEnd"/>
      <w:r w:rsidRPr="005616AE">
        <w:rPr>
          <w:rFonts w:cs="Calibri"/>
        </w:rPr>
        <w:t xml:space="preserve"> and prepared for the integration phase.</w:t>
      </w:r>
    </w:p>
    <w:p w14:paraId="497F1B06" w14:textId="77777777" w:rsidR="000A609A" w:rsidRPr="005616AE" w:rsidRDefault="000A609A" w:rsidP="000A609A">
      <w:pPr>
        <w:pStyle w:val="Heading2"/>
        <w:rPr>
          <w:rFonts w:ascii="Calibri" w:hAnsi="Calibri" w:cs="Calibri"/>
        </w:rPr>
      </w:pPr>
      <w:bookmarkStart w:id="65" w:name="_Toc183180572"/>
      <w:bookmarkStart w:id="66" w:name="_Toc183211077"/>
      <w:r w:rsidRPr="005616AE">
        <w:rPr>
          <w:rFonts w:ascii="Calibri" w:hAnsi="Calibri" w:cs="Calibri"/>
        </w:rPr>
        <w:t>Acquisition Planning Phase (3-6 Months)</w:t>
      </w:r>
      <w:bookmarkEnd w:id="65"/>
      <w:bookmarkEnd w:id="66"/>
    </w:p>
    <w:p w14:paraId="2C3C80EF" w14:textId="77777777" w:rsidR="000A609A" w:rsidRPr="005616AE" w:rsidRDefault="000A609A" w:rsidP="007F09CE">
      <w:pPr>
        <w:spacing w:after="0"/>
        <w:rPr>
          <w:rFonts w:cs="Calibri"/>
        </w:rPr>
      </w:pPr>
      <w:r w:rsidRPr="005616AE">
        <w:rPr>
          <w:rFonts w:cs="Calibri"/>
        </w:rPr>
        <w:t xml:space="preserve">The acquisition planning phase focuses on refining the strategies and preparing for the successful transition as well as integration of WiTricity into TD Bank. This phase involves detailed development of </w:t>
      </w:r>
      <w:r w:rsidRPr="005616AE">
        <w:rPr>
          <w:rFonts w:cs="Calibri"/>
        </w:rPr>
        <w:lastRenderedPageBreak/>
        <w:t xml:space="preserve">integration plans and securing necessary approvals. The goal is to finalise all preparatory work to ensure a seamless acquisition and effective integration minimising disruptions to both companies. </w:t>
      </w:r>
    </w:p>
    <w:p w14:paraId="2C5C0EAF" w14:textId="77777777" w:rsidR="00047EEB" w:rsidRPr="005616AE" w:rsidRDefault="00047EEB" w:rsidP="007F09CE">
      <w:pPr>
        <w:spacing w:after="0"/>
        <w:rPr>
          <w:rFonts w:cs="Calibri"/>
          <w:b/>
          <w:bCs/>
        </w:rPr>
      </w:pPr>
    </w:p>
    <w:p w14:paraId="282B1CCE" w14:textId="51DD2833" w:rsidR="000A609A" w:rsidRPr="005616AE" w:rsidRDefault="000A609A" w:rsidP="007F09CE">
      <w:pPr>
        <w:spacing w:after="0"/>
        <w:rPr>
          <w:rFonts w:cs="Calibri"/>
          <w:b/>
          <w:bCs/>
        </w:rPr>
      </w:pPr>
      <w:r w:rsidRPr="005616AE">
        <w:rPr>
          <w:rFonts w:cs="Calibri"/>
          <w:b/>
          <w:bCs/>
        </w:rPr>
        <w:t>Objectives</w:t>
      </w:r>
    </w:p>
    <w:p w14:paraId="18FCC55C" w14:textId="77777777" w:rsidR="000A609A" w:rsidRPr="005616AE" w:rsidRDefault="000A609A" w:rsidP="00384F0C">
      <w:pPr>
        <w:numPr>
          <w:ilvl w:val="0"/>
          <w:numId w:val="59"/>
        </w:numPr>
        <w:spacing w:after="0" w:line="256" w:lineRule="auto"/>
        <w:rPr>
          <w:rFonts w:cs="Calibri"/>
        </w:rPr>
      </w:pPr>
      <w:r w:rsidRPr="005616AE">
        <w:rPr>
          <w:rFonts w:cs="Calibri"/>
          <w:b/>
          <w:bCs/>
        </w:rPr>
        <w:t>Complete Detailed Due Diligence</w:t>
      </w:r>
      <w:r w:rsidRPr="005616AE">
        <w:rPr>
          <w:rFonts w:cs="Calibri"/>
        </w:rPr>
        <w:t xml:space="preserve">: Conduct a thorough review of WiTricity’s financial, legal, </w:t>
      </w:r>
      <w:proofErr w:type="gramStart"/>
      <w:r w:rsidRPr="005616AE">
        <w:rPr>
          <w:rFonts w:cs="Calibri"/>
        </w:rPr>
        <w:t>operational</w:t>
      </w:r>
      <w:proofErr w:type="gramEnd"/>
      <w:r w:rsidRPr="005616AE">
        <w:rPr>
          <w:rFonts w:cs="Calibri"/>
        </w:rPr>
        <w:t xml:space="preserve"> and technological aspects to confirm the strategic fit as well as assess any risks.</w:t>
      </w:r>
    </w:p>
    <w:p w14:paraId="342C0894" w14:textId="77777777" w:rsidR="000A609A" w:rsidRPr="005616AE" w:rsidRDefault="000A609A" w:rsidP="00384F0C">
      <w:pPr>
        <w:numPr>
          <w:ilvl w:val="0"/>
          <w:numId w:val="59"/>
        </w:numPr>
        <w:spacing w:after="0" w:line="256" w:lineRule="auto"/>
        <w:rPr>
          <w:rFonts w:cs="Calibri"/>
        </w:rPr>
      </w:pPr>
      <w:r w:rsidRPr="005616AE">
        <w:rPr>
          <w:rFonts w:cs="Calibri"/>
          <w:b/>
          <w:bCs/>
        </w:rPr>
        <w:t>Develop Integration Strategies</w:t>
      </w:r>
      <w:r w:rsidRPr="005616AE">
        <w:rPr>
          <w:rFonts w:cs="Calibri"/>
        </w:rPr>
        <w:t xml:space="preserve">: Plan how WiTricity’s operations, technology and workforce will </w:t>
      </w:r>
      <w:proofErr w:type="gramStart"/>
      <w:r w:rsidRPr="005616AE">
        <w:rPr>
          <w:rFonts w:cs="Calibri"/>
        </w:rPr>
        <w:t>be integrated</w:t>
      </w:r>
      <w:proofErr w:type="gramEnd"/>
      <w:r w:rsidRPr="005616AE">
        <w:rPr>
          <w:rFonts w:cs="Calibri"/>
        </w:rPr>
        <w:t xml:space="preserve"> into TD Bank’s structure.</w:t>
      </w:r>
    </w:p>
    <w:p w14:paraId="1851EB69" w14:textId="77777777" w:rsidR="000A609A" w:rsidRPr="005616AE" w:rsidRDefault="000A609A" w:rsidP="00384F0C">
      <w:pPr>
        <w:numPr>
          <w:ilvl w:val="0"/>
          <w:numId w:val="59"/>
        </w:numPr>
        <w:spacing w:after="0" w:line="256" w:lineRule="auto"/>
        <w:rPr>
          <w:rFonts w:cs="Calibri"/>
        </w:rPr>
      </w:pPr>
      <w:r w:rsidRPr="005616AE">
        <w:rPr>
          <w:rFonts w:cs="Calibri"/>
          <w:b/>
          <w:bCs/>
        </w:rPr>
        <w:t>Finalise Acquisition Terms</w:t>
      </w:r>
      <w:r w:rsidRPr="005616AE">
        <w:rPr>
          <w:rFonts w:cs="Calibri"/>
        </w:rPr>
        <w:t>: Secure final agreements on valuation, purchase terms and any legal considerations.</w:t>
      </w:r>
    </w:p>
    <w:p w14:paraId="19C0E63A" w14:textId="77777777" w:rsidR="000A609A" w:rsidRPr="005616AE" w:rsidRDefault="000A609A" w:rsidP="00384F0C">
      <w:pPr>
        <w:numPr>
          <w:ilvl w:val="0"/>
          <w:numId w:val="59"/>
        </w:numPr>
        <w:spacing w:after="0" w:line="256" w:lineRule="auto"/>
        <w:rPr>
          <w:rFonts w:cs="Calibri"/>
        </w:rPr>
      </w:pPr>
      <w:r w:rsidRPr="005616AE">
        <w:rPr>
          <w:rFonts w:cs="Calibri"/>
          <w:b/>
          <w:bCs/>
        </w:rPr>
        <w:t>Secure Regulatory and Internal Approvals</w:t>
      </w:r>
      <w:r w:rsidRPr="005616AE">
        <w:rPr>
          <w:rFonts w:cs="Calibri"/>
        </w:rPr>
        <w:t>: Obtain all necessary regulatory permissions and internal signoffs for the acquisition.</w:t>
      </w:r>
    </w:p>
    <w:p w14:paraId="5B077645" w14:textId="4B782DCC" w:rsidR="000A609A" w:rsidRPr="005616AE" w:rsidRDefault="000A609A" w:rsidP="007F09CE">
      <w:pPr>
        <w:numPr>
          <w:ilvl w:val="0"/>
          <w:numId w:val="59"/>
        </w:numPr>
        <w:spacing w:after="0" w:line="256" w:lineRule="auto"/>
        <w:rPr>
          <w:rFonts w:cs="Calibri"/>
        </w:rPr>
      </w:pPr>
      <w:r w:rsidRPr="005616AE">
        <w:rPr>
          <w:rFonts w:cs="Calibri"/>
          <w:b/>
          <w:bCs/>
        </w:rPr>
        <w:t>Minimise Disruptions</w:t>
      </w:r>
      <w:r w:rsidRPr="005616AE">
        <w:rPr>
          <w:rFonts w:cs="Calibri"/>
        </w:rPr>
        <w:t xml:space="preserve">: Develop a communication strategy and risk management plan to </w:t>
      </w:r>
      <w:proofErr w:type="gramStart"/>
      <w:r w:rsidRPr="005616AE">
        <w:rPr>
          <w:rFonts w:cs="Calibri"/>
        </w:rPr>
        <w:t>handle</w:t>
      </w:r>
      <w:proofErr w:type="gramEnd"/>
      <w:r w:rsidRPr="005616AE">
        <w:rPr>
          <w:rFonts w:cs="Calibri"/>
        </w:rPr>
        <w:t xml:space="preserve"> potential challenges.</w:t>
      </w:r>
    </w:p>
    <w:p w14:paraId="48512C94" w14:textId="77777777" w:rsidR="000A609A" w:rsidRPr="005616AE" w:rsidRDefault="000A609A" w:rsidP="007F09CE">
      <w:pPr>
        <w:spacing w:after="0"/>
        <w:rPr>
          <w:rFonts w:cs="Calibri"/>
          <w:b/>
          <w:bCs/>
        </w:rPr>
      </w:pPr>
      <w:r w:rsidRPr="005616AE">
        <w:rPr>
          <w:rFonts w:cs="Calibri"/>
          <w:b/>
          <w:bCs/>
        </w:rPr>
        <w:t>Actions</w:t>
      </w:r>
    </w:p>
    <w:p w14:paraId="33E7776C" w14:textId="77777777" w:rsidR="00047EEB" w:rsidRPr="005616AE" w:rsidRDefault="00047EEB" w:rsidP="007F09CE">
      <w:pPr>
        <w:spacing w:after="0"/>
        <w:rPr>
          <w:rFonts w:cs="Calibri"/>
          <w:b/>
          <w:bCs/>
        </w:rPr>
      </w:pPr>
    </w:p>
    <w:p w14:paraId="6D27F8BD" w14:textId="6BCD0937" w:rsidR="000A609A" w:rsidRPr="005616AE" w:rsidRDefault="000A609A" w:rsidP="007F09CE">
      <w:pPr>
        <w:spacing w:after="0"/>
        <w:rPr>
          <w:rFonts w:cs="Calibri"/>
          <w:b/>
          <w:bCs/>
        </w:rPr>
      </w:pPr>
      <w:r w:rsidRPr="005616AE">
        <w:rPr>
          <w:rFonts w:cs="Calibri"/>
          <w:b/>
          <w:bCs/>
        </w:rPr>
        <w:t xml:space="preserve">Develop a Detailed Integration Plan </w:t>
      </w:r>
    </w:p>
    <w:p w14:paraId="317E55BC" w14:textId="77777777" w:rsidR="000A609A" w:rsidRPr="005616AE" w:rsidRDefault="000A609A" w:rsidP="007F09CE">
      <w:pPr>
        <w:spacing w:after="0"/>
        <w:rPr>
          <w:rFonts w:cs="Calibri"/>
        </w:rPr>
      </w:pPr>
      <w:r w:rsidRPr="005616AE">
        <w:rPr>
          <w:rFonts w:cs="Calibri"/>
        </w:rPr>
        <w:t xml:space="preserve">Establish a clear plan for how WiTricity’s business, technology and employees will </w:t>
      </w:r>
      <w:proofErr w:type="gramStart"/>
      <w:r w:rsidRPr="005616AE">
        <w:rPr>
          <w:rFonts w:cs="Calibri"/>
        </w:rPr>
        <w:t>be integrated</w:t>
      </w:r>
      <w:proofErr w:type="gramEnd"/>
      <w:r w:rsidRPr="005616AE">
        <w:rPr>
          <w:rFonts w:cs="Calibri"/>
        </w:rPr>
        <w:t xml:space="preserve"> into TD Bank’s structure ensuring a smooth transition. Define the integration scope including which business units, systems and functions will </w:t>
      </w:r>
      <w:proofErr w:type="gramStart"/>
      <w:r w:rsidRPr="005616AE">
        <w:rPr>
          <w:rFonts w:cs="Calibri"/>
        </w:rPr>
        <w:t>be consolidated</w:t>
      </w:r>
      <w:proofErr w:type="gramEnd"/>
      <w:r w:rsidRPr="005616AE">
        <w:rPr>
          <w:rFonts w:cs="Calibri"/>
        </w:rPr>
        <w:t xml:space="preserve"> or adapted. Create a timeline for integration outlining key milestones, </w:t>
      </w:r>
      <w:proofErr w:type="gramStart"/>
      <w:r w:rsidRPr="005616AE">
        <w:rPr>
          <w:rFonts w:cs="Calibri"/>
        </w:rPr>
        <w:t>phases</w:t>
      </w:r>
      <w:proofErr w:type="gramEnd"/>
      <w:r w:rsidRPr="005616AE">
        <w:rPr>
          <w:rFonts w:cs="Calibri"/>
        </w:rPr>
        <w:t xml:space="preserve"> and deadlines. Establish an Integration Management Office (IMO) to coordinate the integration process with clear leadership roles and responsibilities. Develop a workforce integration plan including employee onboarding, </w:t>
      </w:r>
      <w:proofErr w:type="gramStart"/>
      <w:r w:rsidRPr="005616AE">
        <w:rPr>
          <w:rFonts w:cs="Calibri"/>
        </w:rPr>
        <w:t>training</w:t>
      </w:r>
      <w:proofErr w:type="gramEnd"/>
      <w:r w:rsidRPr="005616AE">
        <w:rPr>
          <w:rFonts w:cs="Calibri"/>
        </w:rPr>
        <w:t xml:space="preserve"> and retention strategies. Plan for technology integration focusing on system compatibility, data migration, cybersecurity alignment and infrastructure upgrades. Address branding and cultural integration. This to ensure that WiTricity’s brand identity aligns with TD Bank’s values and image.</w:t>
      </w:r>
    </w:p>
    <w:p w14:paraId="3037E806" w14:textId="77777777" w:rsidR="00047EEB" w:rsidRPr="005616AE" w:rsidRDefault="00047EEB" w:rsidP="007F09CE">
      <w:pPr>
        <w:spacing w:after="0"/>
        <w:rPr>
          <w:rFonts w:cs="Calibri"/>
          <w:b/>
          <w:bCs/>
        </w:rPr>
      </w:pPr>
    </w:p>
    <w:p w14:paraId="56ABD680" w14:textId="4D3CCAAB" w:rsidR="000A609A" w:rsidRPr="005616AE" w:rsidRDefault="000A609A" w:rsidP="007F09CE">
      <w:pPr>
        <w:spacing w:after="0"/>
        <w:rPr>
          <w:rFonts w:cs="Calibri"/>
        </w:rPr>
      </w:pPr>
      <w:r w:rsidRPr="005616AE">
        <w:rPr>
          <w:rFonts w:cs="Calibri"/>
          <w:b/>
          <w:bCs/>
        </w:rPr>
        <w:t>Integration Steering Committee</w:t>
      </w:r>
    </w:p>
    <w:p w14:paraId="1950D81A" w14:textId="77777777" w:rsidR="000A609A" w:rsidRPr="005616AE" w:rsidRDefault="000A609A" w:rsidP="007F09CE">
      <w:pPr>
        <w:spacing w:after="0"/>
        <w:rPr>
          <w:rFonts w:cs="Calibri"/>
        </w:rPr>
      </w:pPr>
      <w:r w:rsidRPr="005616AE">
        <w:rPr>
          <w:rFonts w:cs="Calibri"/>
        </w:rPr>
        <w:t>Assemble a team with members from both TD Bank and WiTricity including key representatives from finance, technology, HR, risk management and marketing. Assign roles for decision-making and conflict resolution. This group will guide the integration and make key decisions.</w:t>
      </w:r>
    </w:p>
    <w:p w14:paraId="67589AF0" w14:textId="77777777" w:rsidR="00047EEB" w:rsidRPr="005616AE" w:rsidRDefault="00047EEB" w:rsidP="007F09CE">
      <w:pPr>
        <w:spacing w:after="0"/>
        <w:rPr>
          <w:rFonts w:cs="Calibri"/>
          <w:b/>
          <w:bCs/>
        </w:rPr>
      </w:pPr>
    </w:p>
    <w:p w14:paraId="4D7F0AA0" w14:textId="37BCF6E6" w:rsidR="000A609A" w:rsidRPr="005616AE" w:rsidRDefault="000A609A" w:rsidP="007F09CE">
      <w:pPr>
        <w:spacing w:after="0"/>
        <w:rPr>
          <w:rFonts w:cs="Calibri"/>
        </w:rPr>
      </w:pPr>
      <w:r w:rsidRPr="005616AE">
        <w:rPr>
          <w:rFonts w:cs="Calibri"/>
          <w:b/>
          <w:bCs/>
        </w:rPr>
        <w:t>Integration Blueprint</w:t>
      </w:r>
      <w:r w:rsidRPr="005616AE">
        <w:rPr>
          <w:rFonts w:cs="Calibri"/>
        </w:rPr>
        <w:t>:</w:t>
      </w:r>
    </w:p>
    <w:p w14:paraId="1DC78A46" w14:textId="77777777" w:rsidR="000A609A" w:rsidRPr="005616AE" w:rsidRDefault="000A609A" w:rsidP="007F09CE">
      <w:pPr>
        <w:spacing w:after="0"/>
        <w:rPr>
          <w:rFonts w:cs="Calibri"/>
        </w:rPr>
      </w:pPr>
      <w:r w:rsidRPr="005616AE">
        <w:rPr>
          <w:rFonts w:cs="Calibri"/>
        </w:rPr>
        <w:t xml:space="preserve">Draft a detailed integration blueprint covering timelines, key milestones, </w:t>
      </w:r>
      <w:proofErr w:type="gramStart"/>
      <w:r w:rsidRPr="005616AE">
        <w:rPr>
          <w:rFonts w:cs="Calibri"/>
        </w:rPr>
        <w:t>budgets</w:t>
      </w:r>
      <w:proofErr w:type="gramEnd"/>
      <w:r w:rsidRPr="005616AE">
        <w:rPr>
          <w:rFonts w:cs="Calibri"/>
        </w:rPr>
        <w:t xml:space="preserve"> and resource allocation. Identify technology areas for immediate integration and those for longer-term planning. Outline target metrics for each phase (e.g., integration cost, technology transfer progress, staff retention).</w:t>
      </w:r>
    </w:p>
    <w:p w14:paraId="5DF26942" w14:textId="77777777" w:rsidR="00047EEB" w:rsidRPr="005616AE" w:rsidRDefault="00047EEB" w:rsidP="007F09CE">
      <w:pPr>
        <w:spacing w:after="0"/>
        <w:rPr>
          <w:rFonts w:cs="Calibri"/>
          <w:b/>
          <w:bCs/>
        </w:rPr>
      </w:pPr>
    </w:p>
    <w:p w14:paraId="0B10535C" w14:textId="72FC8E77" w:rsidR="000A609A" w:rsidRPr="005616AE" w:rsidRDefault="000A609A" w:rsidP="007F09CE">
      <w:pPr>
        <w:spacing w:after="0"/>
        <w:rPr>
          <w:rFonts w:cs="Calibri"/>
        </w:rPr>
      </w:pPr>
      <w:r w:rsidRPr="005616AE">
        <w:rPr>
          <w:rFonts w:cs="Calibri"/>
          <w:b/>
          <w:bCs/>
        </w:rPr>
        <w:t>IT &amp; Security Assessment</w:t>
      </w:r>
      <w:r w:rsidRPr="005616AE">
        <w:rPr>
          <w:rFonts w:cs="Calibri"/>
        </w:rPr>
        <w:t>:</w:t>
      </w:r>
    </w:p>
    <w:p w14:paraId="0C5A9F2E" w14:textId="77777777" w:rsidR="000A609A" w:rsidRPr="005616AE" w:rsidRDefault="000A609A" w:rsidP="007F09CE">
      <w:pPr>
        <w:spacing w:after="0"/>
        <w:rPr>
          <w:rFonts w:cs="Calibri"/>
        </w:rPr>
      </w:pPr>
      <w:r w:rsidRPr="005616AE">
        <w:rPr>
          <w:rFonts w:cs="Calibri"/>
        </w:rPr>
        <w:t>Conduct a technical audit to ensure WiTricity’s IT infrastructure, data security and software applications comply with TD Bank’s standards. Identify potential areas of risk and necessary IT investments.</w:t>
      </w:r>
    </w:p>
    <w:p w14:paraId="08F325C4" w14:textId="77777777" w:rsidR="00047EEB" w:rsidRPr="005616AE" w:rsidRDefault="00047EEB" w:rsidP="007F09CE">
      <w:pPr>
        <w:spacing w:after="0"/>
        <w:rPr>
          <w:rFonts w:cs="Calibri"/>
          <w:b/>
          <w:bCs/>
        </w:rPr>
      </w:pPr>
    </w:p>
    <w:p w14:paraId="0B996861" w14:textId="7BD08109" w:rsidR="000A609A" w:rsidRPr="005616AE" w:rsidRDefault="000A609A" w:rsidP="007F09CE">
      <w:pPr>
        <w:spacing w:after="0"/>
        <w:rPr>
          <w:rFonts w:cs="Calibri"/>
        </w:rPr>
      </w:pPr>
      <w:r w:rsidRPr="005616AE">
        <w:rPr>
          <w:rFonts w:cs="Calibri"/>
          <w:b/>
          <w:bCs/>
        </w:rPr>
        <w:t>Technology &amp; Asset Valuation</w:t>
      </w:r>
      <w:r w:rsidRPr="005616AE">
        <w:rPr>
          <w:rFonts w:cs="Calibri"/>
        </w:rPr>
        <w:t xml:space="preserve">: Evaluate how WiTricity’s assets fit into TD Bank’s Capital Cost Allowance (CCA) classifications for tax planning. Identify IP, </w:t>
      </w:r>
      <w:proofErr w:type="gramStart"/>
      <w:r w:rsidRPr="005616AE">
        <w:rPr>
          <w:rFonts w:cs="Calibri"/>
        </w:rPr>
        <w:t>software</w:t>
      </w:r>
      <w:proofErr w:type="gramEnd"/>
      <w:r w:rsidRPr="005616AE">
        <w:rPr>
          <w:rFonts w:cs="Calibri"/>
        </w:rPr>
        <w:t xml:space="preserve"> and R&amp;D assets for proper categorisation as well as tax optimisation.</w:t>
      </w:r>
    </w:p>
    <w:p w14:paraId="56BBC063" w14:textId="77777777" w:rsidR="00047EEB" w:rsidRPr="005616AE" w:rsidRDefault="00047EEB" w:rsidP="007F09CE">
      <w:pPr>
        <w:spacing w:after="0"/>
        <w:rPr>
          <w:rFonts w:cs="Calibri"/>
          <w:b/>
          <w:bCs/>
        </w:rPr>
      </w:pPr>
    </w:p>
    <w:p w14:paraId="1745FB5A" w14:textId="30FF8C72" w:rsidR="000A609A" w:rsidRPr="005616AE" w:rsidRDefault="000A609A" w:rsidP="007F09CE">
      <w:pPr>
        <w:spacing w:after="0"/>
        <w:rPr>
          <w:rFonts w:cs="Calibri"/>
          <w:b/>
          <w:bCs/>
        </w:rPr>
      </w:pPr>
      <w:r w:rsidRPr="005616AE">
        <w:rPr>
          <w:rFonts w:cs="Calibri"/>
          <w:b/>
          <w:bCs/>
        </w:rPr>
        <w:t xml:space="preserve">Finalise Financial &amp; Legal Terms </w:t>
      </w:r>
    </w:p>
    <w:p w14:paraId="72C86251" w14:textId="77777777" w:rsidR="000A609A" w:rsidRPr="005616AE" w:rsidRDefault="000A609A" w:rsidP="007F09CE">
      <w:pPr>
        <w:spacing w:after="0"/>
        <w:rPr>
          <w:rFonts w:cs="Calibri"/>
        </w:rPr>
      </w:pPr>
      <w:r w:rsidRPr="005616AE">
        <w:rPr>
          <w:rFonts w:cs="Calibri"/>
        </w:rPr>
        <w:t xml:space="preserve">Secure final agreements on the financial, </w:t>
      </w:r>
      <w:proofErr w:type="gramStart"/>
      <w:r w:rsidRPr="005616AE">
        <w:rPr>
          <w:rFonts w:cs="Calibri"/>
        </w:rPr>
        <w:t>legal</w:t>
      </w:r>
      <w:proofErr w:type="gramEnd"/>
      <w:r w:rsidRPr="005616AE">
        <w:rPr>
          <w:rFonts w:cs="Calibri"/>
        </w:rPr>
        <w:t xml:space="preserve"> and contractual terms of the acquisition including valuation as well as payment structures. Engage in final negotiations on WiTricity’s valuation, payment structure (cash, stock, or a combination) and any contingencies. Draft and finalise the purchase agreement, outlining all terms, conditions as well as post-acquisition commitments. Address any outstanding legal issues discovered during the detailed due diligence phase. Review and agree upon IP transfer terms ensuring all patents, trademarks as well as technology are legally protected and transferred. Define post-closing obligations such as warranties, indemnities and non-compete agreements.</w:t>
      </w:r>
    </w:p>
    <w:p w14:paraId="4EC9DBBC" w14:textId="77777777" w:rsidR="00047EEB" w:rsidRPr="005616AE" w:rsidRDefault="00047EEB" w:rsidP="007F09CE">
      <w:pPr>
        <w:spacing w:after="0"/>
        <w:rPr>
          <w:rFonts w:cs="Calibri"/>
          <w:b/>
          <w:bCs/>
        </w:rPr>
      </w:pPr>
    </w:p>
    <w:p w14:paraId="0C70A73A" w14:textId="7E7AF9B0" w:rsidR="000A609A" w:rsidRPr="005616AE" w:rsidRDefault="000A609A" w:rsidP="007F09CE">
      <w:pPr>
        <w:spacing w:after="0"/>
        <w:rPr>
          <w:rFonts w:cs="Calibri"/>
          <w:b/>
          <w:bCs/>
        </w:rPr>
      </w:pPr>
      <w:r w:rsidRPr="005616AE">
        <w:rPr>
          <w:rFonts w:cs="Calibri"/>
          <w:b/>
          <w:bCs/>
        </w:rPr>
        <w:t xml:space="preserve">Secure Regulatory &amp; Internal Approvals </w:t>
      </w:r>
    </w:p>
    <w:p w14:paraId="58CC21D4" w14:textId="77777777" w:rsidR="000A609A" w:rsidRPr="005616AE" w:rsidRDefault="000A609A" w:rsidP="007F09CE">
      <w:pPr>
        <w:spacing w:after="0"/>
        <w:rPr>
          <w:rFonts w:cs="Calibri"/>
        </w:rPr>
      </w:pPr>
      <w:r w:rsidRPr="005616AE">
        <w:rPr>
          <w:rFonts w:cs="Calibri"/>
        </w:rPr>
        <w:t xml:space="preserve">Obtain all necessary approvals from regulatory bodies and internal stakeholders to finalise the acquisition. Submit all required documents to relevant regulatory authorities for final review and approval. Address any regulatory feedback, questions, or conditions that must </w:t>
      </w:r>
      <w:proofErr w:type="gramStart"/>
      <w:r w:rsidRPr="005616AE">
        <w:rPr>
          <w:rFonts w:cs="Calibri"/>
        </w:rPr>
        <w:t>be met</w:t>
      </w:r>
      <w:proofErr w:type="gramEnd"/>
      <w:r w:rsidRPr="005616AE">
        <w:rPr>
          <w:rFonts w:cs="Calibri"/>
        </w:rPr>
        <w:t xml:space="preserve"> for approval. Prepare and present a final acquisition proposal to TD Bank’s executive committee or board of directors, securing internal approval. Communicate with key stakeholders to update them on the acquisition’s progress and address concerns.</w:t>
      </w:r>
    </w:p>
    <w:p w14:paraId="75C41588" w14:textId="77777777" w:rsidR="00047EEB" w:rsidRPr="005616AE" w:rsidRDefault="00047EEB" w:rsidP="007F09CE">
      <w:pPr>
        <w:spacing w:after="0"/>
        <w:rPr>
          <w:rFonts w:cs="Calibri"/>
          <w:b/>
          <w:bCs/>
        </w:rPr>
      </w:pPr>
    </w:p>
    <w:p w14:paraId="2A3A9FFA" w14:textId="4DB36204" w:rsidR="000A609A" w:rsidRPr="005616AE" w:rsidRDefault="000A609A" w:rsidP="007F09CE">
      <w:pPr>
        <w:spacing w:after="0"/>
        <w:rPr>
          <w:rFonts w:cs="Calibri"/>
          <w:b/>
          <w:bCs/>
        </w:rPr>
      </w:pPr>
      <w:r w:rsidRPr="005616AE">
        <w:rPr>
          <w:rFonts w:cs="Calibri"/>
          <w:b/>
          <w:bCs/>
        </w:rPr>
        <w:t xml:space="preserve">Develop Communication &amp; Change Management Plan </w:t>
      </w:r>
    </w:p>
    <w:p w14:paraId="26180B1F" w14:textId="77777777" w:rsidR="000A609A" w:rsidRPr="005616AE" w:rsidRDefault="000A609A" w:rsidP="007F09CE">
      <w:pPr>
        <w:spacing w:after="0"/>
        <w:rPr>
          <w:rFonts w:cs="Calibri"/>
        </w:rPr>
      </w:pPr>
      <w:r w:rsidRPr="005616AE">
        <w:rPr>
          <w:rFonts w:cs="Calibri"/>
        </w:rPr>
        <w:t xml:space="preserve">Create a communication strategy to manage the announcement, transition and ongoing integration, minimising disruption as well as uncertainty. Develop an internal communication plan to inform employees of both organisations about the acquisition’s purpose, </w:t>
      </w:r>
      <w:proofErr w:type="gramStart"/>
      <w:r w:rsidRPr="005616AE">
        <w:rPr>
          <w:rFonts w:cs="Calibri"/>
        </w:rPr>
        <w:t>benefits</w:t>
      </w:r>
      <w:proofErr w:type="gramEnd"/>
      <w:r w:rsidRPr="005616AE">
        <w:rPr>
          <w:rFonts w:cs="Calibri"/>
        </w:rPr>
        <w:t xml:space="preserve"> and integration process. Plan a public communication strategy including press releases, media engagement and messaging to the public. Set up channels for feedback, </w:t>
      </w:r>
      <w:proofErr w:type="gramStart"/>
      <w:r w:rsidRPr="005616AE">
        <w:rPr>
          <w:rFonts w:cs="Calibri"/>
        </w:rPr>
        <w:t>support</w:t>
      </w:r>
      <w:proofErr w:type="gramEnd"/>
      <w:r w:rsidRPr="005616AE">
        <w:rPr>
          <w:rFonts w:cs="Calibri"/>
        </w:rPr>
        <w:t xml:space="preserve"> and FAQs for employees to address concerns. Prepare a change management plan to </w:t>
      </w:r>
      <w:proofErr w:type="gramStart"/>
      <w:r w:rsidRPr="005616AE">
        <w:rPr>
          <w:rFonts w:cs="Calibri"/>
        </w:rPr>
        <w:t>handle</w:t>
      </w:r>
      <w:proofErr w:type="gramEnd"/>
      <w:r w:rsidRPr="005616AE">
        <w:rPr>
          <w:rFonts w:cs="Calibri"/>
        </w:rPr>
        <w:t xml:space="preserve"> cultural integration, potential resistance and adjustments in organisational processes.</w:t>
      </w:r>
    </w:p>
    <w:p w14:paraId="75335792" w14:textId="77777777" w:rsidR="00047EEB" w:rsidRPr="005616AE" w:rsidRDefault="00047EEB" w:rsidP="007F09CE">
      <w:pPr>
        <w:spacing w:after="0"/>
        <w:rPr>
          <w:rFonts w:cs="Calibri"/>
          <w:b/>
          <w:bCs/>
        </w:rPr>
      </w:pPr>
    </w:p>
    <w:p w14:paraId="036F5AD0" w14:textId="5D21CFF2" w:rsidR="000A609A" w:rsidRPr="005616AE" w:rsidRDefault="000A609A" w:rsidP="007F09CE">
      <w:pPr>
        <w:spacing w:after="0"/>
        <w:rPr>
          <w:rFonts w:cs="Calibri"/>
          <w:b/>
          <w:bCs/>
        </w:rPr>
      </w:pPr>
      <w:r w:rsidRPr="005616AE">
        <w:rPr>
          <w:rFonts w:cs="Calibri"/>
          <w:b/>
          <w:bCs/>
        </w:rPr>
        <w:t>Success Metrics for the Acquisition Planning Phase</w:t>
      </w:r>
    </w:p>
    <w:p w14:paraId="61FB9A07" w14:textId="77777777" w:rsidR="000A609A" w:rsidRPr="005616AE" w:rsidRDefault="000A609A" w:rsidP="00384F0C">
      <w:pPr>
        <w:numPr>
          <w:ilvl w:val="0"/>
          <w:numId w:val="60"/>
        </w:numPr>
        <w:spacing w:after="0" w:line="256" w:lineRule="auto"/>
        <w:rPr>
          <w:rFonts w:cs="Calibri"/>
        </w:rPr>
      </w:pPr>
      <w:r w:rsidRPr="005616AE">
        <w:rPr>
          <w:rFonts w:cs="Calibri"/>
          <w:b/>
          <w:bCs/>
        </w:rPr>
        <w:t>Clear Integration Plan</w:t>
      </w:r>
      <w:r w:rsidRPr="005616AE">
        <w:rPr>
          <w:rFonts w:cs="Calibri"/>
        </w:rPr>
        <w:t>: Detailed and actionable plan for the integration of WiTricity’s operations, technology as well as workforce.</w:t>
      </w:r>
    </w:p>
    <w:p w14:paraId="0C50EECA" w14:textId="77777777" w:rsidR="000A609A" w:rsidRPr="005616AE" w:rsidRDefault="000A609A" w:rsidP="00384F0C">
      <w:pPr>
        <w:numPr>
          <w:ilvl w:val="0"/>
          <w:numId w:val="60"/>
        </w:numPr>
        <w:spacing w:after="0" w:line="256" w:lineRule="auto"/>
        <w:rPr>
          <w:rFonts w:cs="Calibri"/>
        </w:rPr>
      </w:pPr>
      <w:r w:rsidRPr="005616AE">
        <w:rPr>
          <w:rFonts w:cs="Calibri"/>
          <w:b/>
          <w:bCs/>
        </w:rPr>
        <w:t>Finalisation of Acquisition Terms</w:t>
      </w:r>
      <w:r w:rsidRPr="005616AE">
        <w:rPr>
          <w:rFonts w:cs="Calibri"/>
        </w:rPr>
        <w:t xml:space="preserve">: Agreement on all financial, </w:t>
      </w:r>
      <w:proofErr w:type="gramStart"/>
      <w:r w:rsidRPr="005616AE">
        <w:rPr>
          <w:rFonts w:cs="Calibri"/>
        </w:rPr>
        <w:t>legal</w:t>
      </w:r>
      <w:proofErr w:type="gramEnd"/>
      <w:r w:rsidRPr="005616AE">
        <w:rPr>
          <w:rFonts w:cs="Calibri"/>
        </w:rPr>
        <w:t xml:space="preserve"> and contractual terms without significant concessions.</w:t>
      </w:r>
    </w:p>
    <w:p w14:paraId="17E5729C" w14:textId="77777777" w:rsidR="000A609A" w:rsidRPr="005616AE" w:rsidRDefault="000A609A" w:rsidP="00384F0C">
      <w:pPr>
        <w:numPr>
          <w:ilvl w:val="0"/>
          <w:numId w:val="60"/>
        </w:numPr>
        <w:spacing w:after="0" w:line="256" w:lineRule="auto"/>
        <w:rPr>
          <w:rFonts w:cs="Calibri"/>
        </w:rPr>
      </w:pPr>
      <w:r w:rsidRPr="005616AE">
        <w:rPr>
          <w:rFonts w:cs="Calibri"/>
          <w:b/>
          <w:bCs/>
        </w:rPr>
        <w:t>Regulatory Approvals Secured</w:t>
      </w:r>
      <w:r w:rsidRPr="005616AE">
        <w:rPr>
          <w:rFonts w:cs="Calibri"/>
        </w:rPr>
        <w:t xml:space="preserve">: All necessary regulatory approvals </w:t>
      </w:r>
      <w:proofErr w:type="gramStart"/>
      <w:r w:rsidRPr="005616AE">
        <w:rPr>
          <w:rFonts w:cs="Calibri"/>
        </w:rPr>
        <w:t>are obtained</w:t>
      </w:r>
      <w:proofErr w:type="gramEnd"/>
      <w:r w:rsidRPr="005616AE">
        <w:rPr>
          <w:rFonts w:cs="Calibri"/>
        </w:rPr>
        <w:t xml:space="preserve"> on schedule.</w:t>
      </w:r>
    </w:p>
    <w:p w14:paraId="586A7920" w14:textId="77777777" w:rsidR="000A609A" w:rsidRPr="005616AE" w:rsidRDefault="000A609A" w:rsidP="00384F0C">
      <w:pPr>
        <w:numPr>
          <w:ilvl w:val="0"/>
          <w:numId w:val="60"/>
        </w:numPr>
        <w:spacing w:after="0" w:line="256" w:lineRule="auto"/>
        <w:rPr>
          <w:rFonts w:cs="Calibri"/>
        </w:rPr>
      </w:pPr>
      <w:r w:rsidRPr="005616AE">
        <w:rPr>
          <w:rFonts w:cs="Calibri"/>
          <w:b/>
          <w:bCs/>
        </w:rPr>
        <w:t>Effective Communication</w:t>
      </w:r>
      <w:r w:rsidRPr="005616AE">
        <w:rPr>
          <w:rFonts w:cs="Calibri"/>
        </w:rPr>
        <w:t xml:space="preserve">: Internal as well as external stakeholders are well-informed, </w:t>
      </w:r>
      <w:proofErr w:type="gramStart"/>
      <w:r w:rsidRPr="005616AE">
        <w:rPr>
          <w:rFonts w:cs="Calibri"/>
        </w:rPr>
        <w:t>engaged</w:t>
      </w:r>
      <w:proofErr w:type="gramEnd"/>
      <w:r w:rsidRPr="005616AE">
        <w:rPr>
          <w:rFonts w:cs="Calibri"/>
        </w:rPr>
        <w:t xml:space="preserve"> and supportive of the acquisition.</w:t>
      </w:r>
    </w:p>
    <w:p w14:paraId="42EF1C94" w14:textId="77777777" w:rsidR="008B1424" w:rsidRPr="005616AE" w:rsidRDefault="008B1424" w:rsidP="008B1424">
      <w:pPr>
        <w:spacing w:after="0" w:line="256" w:lineRule="auto"/>
        <w:ind w:left="720"/>
        <w:rPr>
          <w:rFonts w:cs="Calibri"/>
        </w:rPr>
      </w:pPr>
    </w:p>
    <w:p w14:paraId="07B5B225" w14:textId="77777777" w:rsidR="000A609A" w:rsidRPr="005616AE" w:rsidRDefault="000A609A" w:rsidP="007F09CE">
      <w:pPr>
        <w:spacing w:after="0"/>
        <w:ind w:left="360"/>
        <w:rPr>
          <w:rFonts w:cs="Calibri"/>
        </w:rPr>
      </w:pPr>
      <w:r w:rsidRPr="005616AE">
        <w:rPr>
          <w:rFonts w:cs="Calibri"/>
        </w:rPr>
        <w:t xml:space="preserve">The acquisition planning phase is a crucial period that determines the readiness of both TD Bank and WiTricity to move forward with the acquisition. A well-executed planning phase leads to a transparent, </w:t>
      </w:r>
      <w:proofErr w:type="gramStart"/>
      <w:r w:rsidRPr="005616AE">
        <w:rPr>
          <w:rFonts w:cs="Calibri"/>
        </w:rPr>
        <w:t>compliant</w:t>
      </w:r>
      <w:proofErr w:type="gramEnd"/>
      <w:r w:rsidRPr="005616AE">
        <w:rPr>
          <w:rFonts w:cs="Calibri"/>
        </w:rPr>
        <w:t xml:space="preserve"> and strategically sound acquisition that sets the stage for successful integration as well as value creation in the post-acquisition phase.</w:t>
      </w:r>
    </w:p>
    <w:p w14:paraId="607FF009" w14:textId="77777777" w:rsidR="000A609A" w:rsidRPr="005616AE" w:rsidRDefault="000A609A" w:rsidP="000A609A">
      <w:pPr>
        <w:rPr>
          <w:rFonts w:cs="Calibri"/>
        </w:rPr>
      </w:pPr>
    </w:p>
    <w:p w14:paraId="272864C2" w14:textId="77777777" w:rsidR="000A609A" w:rsidRPr="005616AE" w:rsidRDefault="000A609A" w:rsidP="000A609A">
      <w:pPr>
        <w:pStyle w:val="Heading2"/>
        <w:rPr>
          <w:rFonts w:ascii="Calibri" w:hAnsi="Calibri" w:cs="Calibri"/>
        </w:rPr>
      </w:pPr>
      <w:bookmarkStart w:id="67" w:name="_Toc183180573"/>
      <w:bookmarkStart w:id="68" w:name="_Toc183211078"/>
      <w:r w:rsidRPr="005616AE">
        <w:rPr>
          <w:rFonts w:ascii="Calibri" w:hAnsi="Calibri" w:cs="Calibri"/>
        </w:rPr>
        <w:lastRenderedPageBreak/>
        <w:t>Integration Phase (6-12 Months)</w:t>
      </w:r>
      <w:bookmarkEnd w:id="67"/>
      <w:bookmarkEnd w:id="68"/>
    </w:p>
    <w:p w14:paraId="53AE37FF" w14:textId="5E04118A" w:rsidR="000A609A" w:rsidRPr="005616AE" w:rsidRDefault="000A609A" w:rsidP="007F09CE">
      <w:pPr>
        <w:spacing w:after="0"/>
        <w:rPr>
          <w:rFonts w:cs="Calibri"/>
        </w:rPr>
      </w:pPr>
      <w:r w:rsidRPr="005616AE">
        <w:rPr>
          <w:rFonts w:cs="Calibri"/>
        </w:rPr>
        <w:t xml:space="preserve">The </w:t>
      </w:r>
      <w:r w:rsidR="00047EEB" w:rsidRPr="005616AE">
        <w:rPr>
          <w:rFonts w:cs="Calibri"/>
        </w:rPr>
        <w:t>i</w:t>
      </w:r>
      <w:r w:rsidRPr="005616AE">
        <w:rPr>
          <w:rFonts w:cs="Calibri"/>
        </w:rPr>
        <w:t xml:space="preserve">ntegration </w:t>
      </w:r>
      <w:r w:rsidR="00047EEB" w:rsidRPr="005616AE">
        <w:rPr>
          <w:rFonts w:cs="Calibri"/>
        </w:rPr>
        <w:t>p</w:t>
      </w:r>
      <w:r w:rsidRPr="005616AE">
        <w:rPr>
          <w:rFonts w:cs="Calibri"/>
        </w:rPr>
        <w:t xml:space="preserve">hase is the core execution stage of the TD Bank and WiTricity acquisition. This period focuses on merging WiTricity's operations, technology, </w:t>
      </w:r>
      <w:proofErr w:type="gramStart"/>
      <w:r w:rsidRPr="005616AE">
        <w:rPr>
          <w:rFonts w:cs="Calibri"/>
        </w:rPr>
        <w:t>personnel</w:t>
      </w:r>
      <w:proofErr w:type="gramEnd"/>
      <w:r w:rsidRPr="005616AE">
        <w:rPr>
          <w:rFonts w:cs="Calibri"/>
        </w:rPr>
        <w:t xml:space="preserve"> and culture into TD Bank, while ensuring minimal disruption to ongoing business activities. The phase emphasises capturing value, aligning organisational </w:t>
      </w:r>
      <w:proofErr w:type="gramStart"/>
      <w:r w:rsidRPr="005616AE">
        <w:rPr>
          <w:rFonts w:cs="Calibri"/>
        </w:rPr>
        <w:t>processes</w:t>
      </w:r>
      <w:proofErr w:type="gramEnd"/>
      <w:r w:rsidRPr="005616AE">
        <w:rPr>
          <w:rFonts w:cs="Calibri"/>
        </w:rPr>
        <w:t xml:space="preserve"> and leveraging synergies identified during the planning stages to maximise the benefits of the acquisition. </w:t>
      </w:r>
    </w:p>
    <w:p w14:paraId="5DA72374" w14:textId="77777777" w:rsidR="000A609A" w:rsidRPr="005616AE" w:rsidRDefault="000A609A" w:rsidP="007F09CE">
      <w:pPr>
        <w:spacing w:after="0"/>
        <w:rPr>
          <w:rFonts w:cs="Calibri"/>
          <w:b/>
          <w:bCs/>
        </w:rPr>
      </w:pPr>
      <w:r w:rsidRPr="005616AE">
        <w:rPr>
          <w:rFonts w:cs="Calibri"/>
          <w:b/>
          <w:bCs/>
        </w:rPr>
        <w:t>Objectives</w:t>
      </w:r>
    </w:p>
    <w:p w14:paraId="7007EF9B" w14:textId="77777777" w:rsidR="000A609A" w:rsidRPr="005616AE" w:rsidRDefault="000A609A" w:rsidP="00384F0C">
      <w:pPr>
        <w:numPr>
          <w:ilvl w:val="0"/>
          <w:numId w:val="61"/>
        </w:numPr>
        <w:spacing w:after="0" w:line="256" w:lineRule="auto"/>
        <w:rPr>
          <w:rFonts w:cs="Calibri"/>
        </w:rPr>
      </w:pPr>
      <w:r w:rsidRPr="005616AE">
        <w:rPr>
          <w:rFonts w:cs="Calibri"/>
          <w:b/>
          <w:bCs/>
        </w:rPr>
        <w:t>Operational Alignment</w:t>
      </w:r>
      <w:r w:rsidRPr="005616AE">
        <w:rPr>
          <w:rFonts w:cs="Calibri"/>
        </w:rPr>
        <w:t xml:space="preserve">: Integrate WiTricity’s operations, </w:t>
      </w:r>
      <w:proofErr w:type="gramStart"/>
      <w:r w:rsidRPr="005616AE">
        <w:rPr>
          <w:rFonts w:cs="Calibri"/>
        </w:rPr>
        <w:t>workflows</w:t>
      </w:r>
      <w:proofErr w:type="gramEnd"/>
      <w:r w:rsidRPr="005616AE">
        <w:rPr>
          <w:rFonts w:cs="Calibri"/>
        </w:rPr>
        <w:t xml:space="preserve"> and business functions with TD Bank’s established systems.</w:t>
      </w:r>
    </w:p>
    <w:p w14:paraId="7B7FFEAC" w14:textId="77777777" w:rsidR="000A609A" w:rsidRPr="005616AE" w:rsidRDefault="000A609A" w:rsidP="00384F0C">
      <w:pPr>
        <w:numPr>
          <w:ilvl w:val="0"/>
          <w:numId w:val="61"/>
        </w:numPr>
        <w:spacing w:after="0" w:line="256" w:lineRule="auto"/>
        <w:rPr>
          <w:rFonts w:cs="Calibri"/>
        </w:rPr>
      </w:pPr>
      <w:r w:rsidRPr="005616AE">
        <w:rPr>
          <w:rFonts w:cs="Calibri"/>
          <w:b/>
          <w:bCs/>
        </w:rPr>
        <w:t>Technological Integration</w:t>
      </w:r>
      <w:r w:rsidRPr="005616AE">
        <w:rPr>
          <w:rFonts w:cs="Calibri"/>
        </w:rPr>
        <w:t xml:space="preserve">: Ensure seamless integration of WiTricity’s technology, </w:t>
      </w:r>
      <w:proofErr w:type="gramStart"/>
      <w:r w:rsidRPr="005616AE">
        <w:rPr>
          <w:rFonts w:cs="Calibri"/>
        </w:rPr>
        <w:t>data</w:t>
      </w:r>
      <w:proofErr w:type="gramEnd"/>
      <w:r w:rsidRPr="005616AE">
        <w:rPr>
          <w:rFonts w:cs="Calibri"/>
        </w:rPr>
        <w:t xml:space="preserve"> and infrastructure with TD Bank’s IT environment.</w:t>
      </w:r>
    </w:p>
    <w:p w14:paraId="785A05F1" w14:textId="77777777" w:rsidR="000A609A" w:rsidRPr="005616AE" w:rsidRDefault="000A609A" w:rsidP="00384F0C">
      <w:pPr>
        <w:numPr>
          <w:ilvl w:val="0"/>
          <w:numId w:val="61"/>
        </w:numPr>
        <w:spacing w:after="0" w:line="256" w:lineRule="auto"/>
        <w:rPr>
          <w:rFonts w:cs="Calibri"/>
        </w:rPr>
      </w:pPr>
      <w:r w:rsidRPr="005616AE">
        <w:rPr>
          <w:rFonts w:cs="Calibri"/>
          <w:b/>
          <w:bCs/>
        </w:rPr>
        <w:t>Synergy Realisation</w:t>
      </w:r>
      <w:r w:rsidRPr="005616AE">
        <w:rPr>
          <w:rFonts w:cs="Calibri"/>
        </w:rPr>
        <w:t>: Capitalise on cost savings, efficiency gains and revenue growth opportunities identified in earlier phases.</w:t>
      </w:r>
    </w:p>
    <w:p w14:paraId="30A2D953" w14:textId="77777777" w:rsidR="000A609A" w:rsidRPr="005616AE" w:rsidRDefault="000A609A" w:rsidP="00384F0C">
      <w:pPr>
        <w:numPr>
          <w:ilvl w:val="0"/>
          <w:numId w:val="61"/>
        </w:numPr>
        <w:spacing w:after="0" w:line="256" w:lineRule="auto"/>
        <w:rPr>
          <w:rFonts w:cs="Calibri"/>
        </w:rPr>
      </w:pPr>
      <w:r w:rsidRPr="005616AE">
        <w:rPr>
          <w:rFonts w:cs="Calibri"/>
          <w:b/>
          <w:bCs/>
        </w:rPr>
        <w:t>Cultural Integration</w:t>
      </w:r>
      <w:r w:rsidRPr="005616AE">
        <w:rPr>
          <w:rFonts w:cs="Calibri"/>
        </w:rPr>
        <w:t>: Foster a shared organisational culture that aligns with TD Bank’s values while respecting WiTricity’s heritage.</w:t>
      </w:r>
    </w:p>
    <w:p w14:paraId="727818D8" w14:textId="77777777" w:rsidR="000A609A" w:rsidRPr="005616AE" w:rsidRDefault="000A609A" w:rsidP="00384F0C">
      <w:pPr>
        <w:numPr>
          <w:ilvl w:val="0"/>
          <w:numId w:val="61"/>
        </w:numPr>
        <w:spacing w:after="0" w:line="256" w:lineRule="auto"/>
        <w:rPr>
          <w:rFonts w:cs="Calibri"/>
        </w:rPr>
      </w:pPr>
      <w:r w:rsidRPr="005616AE">
        <w:rPr>
          <w:rFonts w:cs="Calibri"/>
          <w:b/>
          <w:bCs/>
        </w:rPr>
        <w:t>Post-Acquisition Stability</w:t>
      </w:r>
      <w:r w:rsidRPr="005616AE">
        <w:rPr>
          <w:rFonts w:cs="Calibri"/>
        </w:rPr>
        <w:t xml:space="preserve">: Maintain business continuity for both companies to ensure a smooth transition for customers, </w:t>
      </w:r>
      <w:proofErr w:type="gramStart"/>
      <w:r w:rsidRPr="005616AE">
        <w:rPr>
          <w:rFonts w:cs="Calibri"/>
        </w:rPr>
        <w:t>employees</w:t>
      </w:r>
      <w:proofErr w:type="gramEnd"/>
      <w:r w:rsidRPr="005616AE">
        <w:rPr>
          <w:rFonts w:cs="Calibri"/>
        </w:rPr>
        <w:t xml:space="preserve"> and partners.</w:t>
      </w:r>
    </w:p>
    <w:p w14:paraId="045E128E" w14:textId="77777777" w:rsidR="000A609A" w:rsidRPr="005616AE" w:rsidRDefault="000A609A" w:rsidP="007F09CE">
      <w:pPr>
        <w:spacing w:after="0"/>
        <w:rPr>
          <w:rFonts w:cs="Calibri"/>
          <w:b/>
          <w:bCs/>
        </w:rPr>
      </w:pPr>
      <w:r w:rsidRPr="005616AE">
        <w:rPr>
          <w:rFonts w:cs="Calibri"/>
          <w:b/>
          <w:bCs/>
        </w:rPr>
        <w:t>Actions</w:t>
      </w:r>
    </w:p>
    <w:p w14:paraId="08635A14" w14:textId="77777777" w:rsidR="00047EEB" w:rsidRPr="005616AE" w:rsidRDefault="00047EEB" w:rsidP="007F09CE">
      <w:pPr>
        <w:spacing w:after="0"/>
        <w:rPr>
          <w:rFonts w:cs="Calibri"/>
          <w:b/>
          <w:bCs/>
        </w:rPr>
      </w:pPr>
    </w:p>
    <w:p w14:paraId="27FA7D45" w14:textId="7D1ACE25" w:rsidR="000A609A" w:rsidRPr="005616AE" w:rsidRDefault="000A609A" w:rsidP="007F09CE">
      <w:pPr>
        <w:spacing w:after="0"/>
        <w:rPr>
          <w:rFonts w:cs="Calibri"/>
          <w:b/>
          <w:bCs/>
        </w:rPr>
      </w:pPr>
      <w:r w:rsidRPr="005616AE">
        <w:rPr>
          <w:rFonts w:cs="Calibri"/>
          <w:b/>
          <w:bCs/>
        </w:rPr>
        <w:t>Establish a Centralised Integration Management Office (IMO)</w:t>
      </w:r>
    </w:p>
    <w:p w14:paraId="4FA495EF" w14:textId="77777777" w:rsidR="000A609A" w:rsidRPr="005616AE" w:rsidRDefault="000A609A" w:rsidP="007F09CE">
      <w:pPr>
        <w:spacing w:after="0"/>
        <w:rPr>
          <w:rFonts w:cs="Calibri"/>
        </w:rPr>
      </w:pPr>
      <w:r w:rsidRPr="005616AE">
        <w:rPr>
          <w:rFonts w:cs="Calibri"/>
        </w:rPr>
        <w:t xml:space="preserve">Form a </w:t>
      </w:r>
      <w:proofErr w:type="gramStart"/>
      <w:r w:rsidRPr="005616AE">
        <w:rPr>
          <w:rFonts w:cs="Calibri"/>
        </w:rPr>
        <w:t>dedicated</w:t>
      </w:r>
      <w:proofErr w:type="gramEnd"/>
      <w:r w:rsidRPr="005616AE">
        <w:rPr>
          <w:rFonts w:cs="Calibri"/>
        </w:rPr>
        <w:t xml:space="preserve"> team to lead as well as coordinate the integration process ensuring alignment with strategic objectives and timelines. Appoint an Integration Lead and key representatives from both TD Bank as well as WiTricity. Define responsibilities, timelines and milestones for the integration ensuring clear lines of authority. Set up a project management framework including communication channels, progress monitoring tools and risk management protocols. Establish a reporting structure to keep TD Bank leadership informed of progress, </w:t>
      </w:r>
      <w:proofErr w:type="gramStart"/>
      <w:r w:rsidRPr="005616AE">
        <w:rPr>
          <w:rFonts w:cs="Calibri"/>
        </w:rPr>
        <w:t>risks</w:t>
      </w:r>
      <w:proofErr w:type="gramEnd"/>
      <w:r w:rsidRPr="005616AE">
        <w:rPr>
          <w:rFonts w:cs="Calibri"/>
        </w:rPr>
        <w:t xml:space="preserve"> and any adjustments.</w:t>
      </w:r>
    </w:p>
    <w:p w14:paraId="7818D1CE" w14:textId="77777777" w:rsidR="000A609A" w:rsidRPr="005616AE" w:rsidRDefault="000A609A" w:rsidP="007F09CE">
      <w:pPr>
        <w:spacing w:after="0"/>
        <w:rPr>
          <w:rFonts w:cs="Calibri"/>
          <w:b/>
          <w:bCs/>
        </w:rPr>
      </w:pPr>
      <w:r w:rsidRPr="005616AE">
        <w:rPr>
          <w:rFonts w:cs="Calibri"/>
          <w:b/>
          <w:bCs/>
        </w:rPr>
        <w:t>Operational Integration &amp; Process Alignment</w:t>
      </w:r>
    </w:p>
    <w:p w14:paraId="6B35BFD3" w14:textId="77777777" w:rsidR="000A609A" w:rsidRPr="005616AE" w:rsidRDefault="000A609A" w:rsidP="007F09CE">
      <w:pPr>
        <w:spacing w:after="0"/>
        <w:rPr>
          <w:rFonts w:cs="Calibri"/>
        </w:rPr>
      </w:pPr>
      <w:r w:rsidRPr="005616AE">
        <w:rPr>
          <w:rFonts w:cs="Calibri"/>
        </w:rPr>
        <w:t xml:space="preserve">Align and standardise operational processes ensuring compatibility between WiTricity as well as TD Bank’s business functions. Map out WiTricity’s existing workflows and compare them with TD Bank’s standards. Implement revised Standard Operating Procedures (SOPs) for finance, HR, sales, customer service and other core functions. Update and integrate compliance protocols ensuring that WiTricity’s operations adhere to TD Bank’s regulatory requirements. Provide training to WiTricity employees on TD Bank’s systems, </w:t>
      </w:r>
      <w:proofErr w:type="gramStart"/>
      <w:r w:rsidRPr="005616AE">
        <w:rPr>
          <w:rFonts w:cs="Calibri"/>
        </w:rPr>
        <w:t>processes</w:t>
      </w:r>
      <w:proofErr w:type="gramEnd"/>
      <w:r w:rsidRPr="005616AE">
        <w:rPr>
          <w:rFonts w:cs="Calibri"/>
        </w:rPr>
        <w:t xml:space="preserve"> and compliance expectations. Develop a performance measurement system to monitor and report on integration progress.</w:t>
      </w:r>
    </w:p>
    <w:p w14:paraId="53018A13" w14:textId="77777777" w:rsidR="00047EEB" w:rsidRPr="005616AE" w:rsidRDefault="00047EEB" w:rsidP="007F09CE">
      <w:pPr>
        <w:spacing w:after="0"/>
        <w:rPr>
          <w:rFonts w:cs="Calibri"/>
          <w:b/>
          <w:bCs/>
        </w:rPr>
      </w:pPr>
    </w:p>
    <w:p w14:paraId="080CE263" w14:textId="047D3908" w:rsidR="000A609A" w:rsidRPr="005616AE" w:rsidRDefault="000A609A" w:rsidP="007F09CE">
      <w:pPr>
        <w:spacing w:after="0"/>
        <w:rPr>
          <w:rFonts w:cs="Calibri"/>
          <w:b/>
          <w:bCs/>
        </w:rPr>
      </w:pPr>
      <w:r w:rsidRPr="005616AE">
        <w:rPr>
          <w:rFonts w:cs="Calibri"/>
          <w:b/>
          <w:bCs/>
        </w:rPr>
        <w:t xml:space="preserve">Technology Integration &amp; Data Consolidation </w:t>
      </w:r>
    </w:p>
    <w:p w14:paraId="7155B69F" w14:textId="77777777" w:rsidR="000A609A" w:rsidRPr="005616AE" w:rsidRDefault="000A609A" w:rsidP="007F09CE">
      <w:pPr>
        <w:spacing w:after="0"/>
        <w:rPr>
          <w:rFonts w:cs="Calibri"/>
        </w:rPr>
      </w:pPr>
      <w:r w:rsidRPr="005616AE">
        <w:rPr>
          <w:rFonts w:cs="Calibri"/>
        </w:rPr>
        <w:t xml:space="preserve">Consolidate WiTricity’s technological assets into TD Bank’s IT ecosystem ensuring security, </w:t>
      </w:r>
      <w:proofErr w:type="gramStart"/>
      <w:r w:rsidRPr="005616AE">
        <w:rPr>
          <w:rFonts w:cs="Calibri"/>
        </w:rPr>
        <w:t>efficiency</w:t>
      </w:r>
      <w:proofErr w:type="gramEnd"/>
      <w:r w:rsidRPr="005616AE">
        <w:rPr>
          <w:rFonts w:cs="Calibri"/>
        </w:rPr>
        <w:t xml:space="preserve"> and continuity. Conduct a thorough technology assessment of WiTricity’s platforms, </w:t>
      </w:r>
      <w:proofErr w:type="gramStart"/>
      <w:r w:rsidRPr="005616AE">
        <w:rPr>
          <w:rFonts w:cs="Calibri"/>
        </w:rPr>
        <w:t>tools</w:t>
      </w:r>
      <w:proofErr w:type="gramEnd"/>
      <w:r w:rsidRPr="005616AE">
        <w:rPr>
          <w:rFonts w:cs="Calibri"/>
        </w:rPr>
        <w:t xml:space="preserve"> and infrastructure. Develop a detailed IT integration plan, addressing system compatibility, data migration, </w:t>
      </w:r>
      <w:proofErr w:type="gramStart"/>
      <w:r w:rsidRPr="005616AE">
        <w:rPr>
          <w:rFonts w:cs="Calibri"/>
        </w:rPr>
        <w:t>cybersecurity</w:t>
      </w:r>
      <w:proofErr w:type="gramEnd"/>
      <w:r w:rsidRPr="005616AE">
        <w:rPr>
          <w:rFonts w:cs="Calibri"/>
        </w:rPr>
        <w:t xml:space="preserve"> and infrastructure upgrades. Execute data migration activities ensuring data integrity, </w:t>
      </w:r>
      <w:proofErr w:type="gramStart"/>
      <w:r w:rsidRPr="005616AE">
        <w:rPr>
          <w:rFonts w:cs="Calibri"/>
        </w:rPr>
        <w:t>security</w:t>
      </w:r>
      <w:proofErr w:type="gramEnd"/>
      <w:r w:rsidRPr="005616AE">
        <w:rPr>
          <w:rFonts w:cs="Calibri"/>
        </w:rPr>
        <w:t xml:space="preserve"> and compliance with privacy standards. Integrate WiTricity’s IT support and maintenance operations with TD Bank’s helpdesk as well as support teams. </w:t>
      </w:r>
      <w:proofErr w:type="gramStart"/>
      <w:r w:rsidRPr="005616AE">
        <w:rPr>
          <w:rFonts w:cs="Calibri"/>
        </w:rPr>
        <w:t>Test</w:t>
      </w:r>
      <w:proofErr w:type="gramEnd"/>
      <w:r w:rsidRPr="005616AE">
        <w:rPr>
          <w:rFonts w:cs="Calibri"/>
        </w:rPr>
        <w:t xml:space="preserve"> and validate the integrated systems. This is to ensure they function effectively and meet TD Bank’s quality standards.</w:t>
      </w:r>
    </w:p>
    <w:p w14:paraId="61EAB70C" w14:textId="77777777" w:rsidR="00047EEB" w:rsidRPr="005616AE" w:rsidRDefault="00047EEB" w:rsidP="007F09CE">
      <w:pPr>
        <w:spacing w:after="0"/>
        <w:rPr>
          <w:rFonts w:cs="Calibri"/>
          <w:b/>
          <w:bCs/>
        </w:rPr>
      </w:pPr>
    </w:p>
    <w:p w14:paraId="004BD69F" w14:textId="78AB6265" w:rsidR="000A609A" w:rsidRPr="005616AE" w:rsidRDefault="000A609A" w:rsidP="007F09CE">
      <w:pPr>
        <w:spacing w:after="0"/>
        <w:rPr>
          <w:rFonts w:cs="Calibri"/>
          <w:b/>
          <w:bCs/>
        </w:rPr>
      </w:pPr>
      <w:r w:rsidRPr="005616AE">
        <w:rPr>
          <w:rFonts w:cs="Calibri"/>
          <w:b/>
          <w:bCs/>
        </w:rPr>
        <w:lastRenderedPageBreak/>
        <w:t>Execute Synergy &amp; Value Creation Initiatives</w:t>
      </w:r>
    </w:p>
    <w:p w14:paraId="787531C1" w14:textId="77777777" w:rsidR="000A609A" w:rsidRPr="005616AE" w:rsidRDefault="000A609A" w:rsidP="007F09CE">
      <w:pPr>
        <w:spacing w:after="0"/>
        <w:rPr>
          <w:rFonts w:cs="Calibri"/>
        </w:rPr>
      </w:pPr>
      <w:r w:rsidRPr="005616AE">
        <w:rPr>
          <w:rFonts w:cs="Calibri"/>
        </w:rPr>
        <w:t xml:space="preserve">Implement specific initiatives to capture the financial, </w:t>
      </w:r>
      <w:proofErr w:type="gramStart"/>
      <w:r w:rsidRPr="005616AE">
        <w:rPr>
          <w:rFonts w:cs="Calibri"/>
        </w:rPr>
        <w:t>operational</w:t>
      </w:r>
      <w:proofErr w:type="gramEnd"/>
      <w:r w:rsidRPr="005616AE">
        <w:rPr>
          <w:rFonts w:cs="Calibri"/>
        </w:rPr>
        <w:t xml:space="preserve"> and strategic synergies anticipated from the acquisition. Launch targeted projects to achieve cost savings including streamlining supply chains, renegotiating </w:t>
      </w:r>
      <w:proofErr w:type="gramStart"/>
      <w:r w:rsidRPr="005616AE">
        <w:rPr>
          <w:rFonts w:cs="Calibri"/>
        </w:rPr>
        <w:t>contracts</w:t>
      </w:r>
      <w:proofErr w:type="gramEnd"/>
      <w:r w:rsidRPr="005616AE">
        <w:rPr>
          <w:rFonts w:cs="Calibri"/>
        </w:rPr>
        <w:t xml:space="preserve"> and optimising resources. Develop new products and services that combine TD Bank’s financial expertise with WiTricity’s technology particularly in the EV and sustainable tech markets. Implement cross-functional teams to drive innovation and explore new revenue opportunities using WiTricity’s IP and R&amp;D. Establish metrics to measure the impact of </w:t>
      </w:r>
      <w:proofErr w:type="gramStart"/>
      <w:r w:rsidRPr="005616AE">
        <w:rPr>
          <w:rFonts w:cs="Calibri"/>
        </w:rPr>
        <w:t>synergy</w:t>
      </w:r>
      <w:proofErr w:type="gramEnd"/>
      <w:r w:rsidRPr="005616AE">
        <w:rPr>
          <w:rFonts w:cs="Calibri"/>
        </w:rPr>
        <w:t xml:space="preserve"> projects focusing on cost reductions, revenue growth and operational efficiency.</w:t>
      </w:r>
    </w:p>
    <w:p w14:paraId="76355FDC" w14:textId="77777777" w:rsidR="00047EEB" w:rsidRPr="005616AE" w:rsidRDefault="00047EEB" w:rsidP="007F09CE">
      <w:pPr>
        <w:spacing w:after="0"/>
        <w:rPr>
          <w:rFonts w:cs="Calibri"/>
          <w:b/>
          <w:bCs/>
        </w:rPr>
      </w:pPr>
    </w:p>
    <w:p w14:paraId="4302A875" w14:textId="78628280" w:rsidR="000A609A" w:rsidRPr="005616AE" w:rsidRDefault="000A609A" w:rsidP="007F09CE">
      <w:pPr>
        <w:spacing w:after="0"/>
        <w:rPr>
          <w:rFonts w:cs="Calibri"/>
          <w:b/>
          <w:bCs/>
        </w:rPr>
      </w:pPr>
      <w:r w:rsidRPr="005616AE">
        <w:rPr>
          <w:rFonts w:cs="Calibri"/>
          <w:b/>
          <w:bCs/>
        </w:rPr>
        <w:t xml:space="preserve">Cultural Integration &amp; Change Management </w:t>
      </w:r>
    </w:p>
    <w:p w14:paraId="58057595" w14:textId="77777777" w:rsidR="000A609A" w:rsidRPr="005616AE" w:rsidRDefault="000A609A" w:rsidP="007F09CE">
      <w:pPr>
        <w:spacing w:after="0"/>
        <w:rPr>
          <w:rFonts w:cs="Calibri"/>
        </w:rPr>
      </w:pPr>
      <w:r w:rsidRPr="005616AE">
        <w:rPr>
          <w:rFonts w:cs="Calibri"/>
        </w:rPr>
        <w:t xml:space="preserve">Integrate the organisational cultures of WiTricity and TD Bank to foster collaboration, engagement as well as a unified vision. Conduct cultural assessments to identify gaps, alignment opportunities and areas requiring targeted interventions. Organise workshops, </w:t>
      </w:r>
      <w:proofErr w:type="gramStart"/>
      <w:r w:rsidRPr="005616AE">
        <w:rPr>
          <w:rFonts w:cs="Calibri"/>
        </w:rPr>
        <w:t>seminars</w:t>
      </w:r>
      <w:proofErr w:type="gramEnd"/>
      <w:r w:rsidRPr="005616AE">
        <w:rPr>
          <w:rFonts w:cs="Calibri"/>
        </w:rPr>
        <w:t xml:space="preserve"> and team-building events to promote a shared understanding of goals. Roll out an internal communication strategy to keep employees informed, engaged and supportive of the integration process. Implement a mentorship program to facilitate knowledge transfer and cultural adjustment for WiTricity employees. Monitor cultural integration through employee feedback, surveys and engagement metrics adjusting strategies as needed. Conduct workshops to bridge cultural differences. Launch mentorship programs pairing WiTricity staff with TD executives. Deploy change management strategies focusing on communication, </w:t>
      </w:r>
      <w:proofErr w:type="gramStart"/>
      <w:r w:rsidRPr="005616AE">
        <w:rPr>
          <w:rFonts w:cs="Calibri"/>
        </w:rPr>
        <w:t>leadership</w:t>
      </w:r>
      <w:proofErr w:type="gramEnd"/>
      <w:r w:rsidRPr="005616AE">
        <w:rPr>
          <w:rFonts w:cs="Calibri"/>
        </w:rPr>
        <w:t xml:space="preserve"> and employee engagement.</w:t>
      </w:r>
    </w:p>
    <w:p w14:paraId="1E820F92" w14:textId="77777777" w:rsidR="000A609A" w:rsidRPr="005616AE" w:rsidRDefault="000A609A" w:rsidP="007F09CE">
      <w:pPr>
        <w:spacing w:after="0"/>
        <w:rPr>
          <w:rFonts w:cs="Calibri"/>
        </w:rPr>
      </w:pPr>
    </w:p>
    <w:p w14:paraId="7E9C0DBB" w14:textId="220AF044" w:rsidR="000A609A" w:rsidRPr="005616AE" w:rsidRDefault="000A609A" w:rsidP="007F09CE">
      <w:pPr>
        <w:spacing w:after="0"/>
        <w:rPr>
          <w:rFonts w:cs="Calibri"/>
        </w:rPr>
      </w:pPr>
      <w:r w:rsidRPr="005616AE">
        <w:rPr>
          <w:rFonts w:cs="Calibri"/>
          <w:b/>
          <w:bCs/>
        </w:rPr>
        <w:t>Financial Integration</w:t>
      </w:r>
    </w:p>
    <w:p w14:paraId="43C7B9E4" w14:textId="77777777" w:rsidR="000A609A" w:rsidRPr="005616AE" w:rsidRDefault="000A609A" w:rsidP="007F09CE">
      <w:pPr>
        <w:spacing w:after="0"/>
        <w:rPr>
          <w:rFonts w:cs="Calibri"/>
        </w:rPr>
      </w:pPr>
      <w:r w:rsidRPr="005616AE">
        <w:rPr>
          <w:rFonts w:cs="Calibri"/>
        </w:rPr>
        <w:t xml:space="preserve">Review and assess WiTricity’s accounting as well as </w:t>
      </w:r>
      <w:proofErr w:type="gramStart"/>
      <w:r w:rsidRPr="005616AE">
        <w:rPr>
          <w:rFonts w:cs="Calibri"/>
        </w:rPr>
        <w:t>financial management</w:t>
      </w:r>
      <w:proofErr w:type="gramEnd"/>
      <w:r w:rsidRPr="005616AE">
        <w:rPr>
          <w:rFonts w:cs="Calibri"/>
        </w:rPr>
        <w:t xml:space="preserve"> systems to identify compatibility with TD Bank’s systems. Consolidate financial systems (accounting, payroll, budgeting). Integrate WiTricity’s financial data into TD Bank’s reporting systems. Track integration expenses against the set budget. Merge accounting software, ERP (Enterprise Resource Planning) systems and financial reporting tools to ensure data consistency. Standardise financial metrics and reporting formats across both entities to ensure streamlined internal as well as external reporting. Train finance teams on the new combined system ensuring they are familiar with TD Bank’s financial processes and compliance requirements.</w:t>
      </w:r>
    </w:p>
    <w:p w14:paraId="60333C83" w14:textId="18B0250A" w:rsidR="000A609A" w:rsidRPr="005616AE" w:rsidRDefault="000A609A" w:rsidP="007F09CE">
      <w:pPr>
        <w:spacing w:after="0"/>
        <w:rPr>
          <w:rFonts w:cs="Calibri"/>
        </w:rPr>
      </w:pPr>
      <w:r w:rsidRPr="005616AE">
        <w:rPr>
          <w:rFonts w:cs="Calibri"/>
          <w:b/>
          <w:bCs/>
        </w:rPr>
        <w:t>Operations Alignment</w:t>
      </w:r>
    </w:p>
    <w:p w14:paraId="28A561E1" w14:textId="77777777" w:rsidR="000A609A" w:rsidRPr="005616AE" w:rsidRDefault="000A609A" w:rsidP="007F09CE">
      <w:pPr>
        <w:spacing w:after="0"/>
        <w:rPr>
          <w:rFonts w:cs="Calibri"/>
        </w:rPr>
      </w:pPr>
      <w:r w:rsidRPr="005616AE">
        <w:rPr>
          <w:rFonts w:cs="Calibri"/>
        </w:rPr>
        <w:t xml:space="preserve">Analyse WiTricity's procurement practices and compare them with TD Bank’s centralised procurement processes. Identify potential efficiencies by consolidating supplier contracts, standardising procurement protocols and aligning vendor management strategies. Integrate procurement teams to share best practices and optimise purchasing power. Align WiTricity’s HR policies (compensation, benefits, hiring practices) with TD Bank’s HR standards to create consistency across the organisation. Develop a unified employee benefits plan including health insurance, retirement plans and other benefits that reflect both companies’ employee needs. Address any gaps or duplications in HR systems ensuring both companies are using compatible platforms for performance management, </w:t>
      </w:r>
      <w:proofErr w:type="gramStart"/>
      <w:r w:rsidRPr="005616AE">
        <w:rPr>
          <w:rFonts w:cs="Calibri"/>
        </w:rPr>
        <w:t>recruitment</w:t>
      </w:r>
      <w:proofErr w:type="gramEnd"/>
      <w:r w:rsidRPr="005616AE">
        <w:rPr>
          <w:rFonts w:cs="Calibri"/>
        </w:rPr>
        <w:t xml:space="preserve"> and training.  Review and align customer service standards, service level agreements (SLAs) as well as key performance indicators (KPIs) to ensure consistency in customer support</w:t>
      </w:r>
      <w:proofErr w:type="gramStart"/>
      <w:r w:rsidRPr="005616AE">
        <w:rPr>
          <w:rFonts w:cs="Calibri"/>
        </w:rPr>
        <w:t xml:space="preserve">.  </w:t>
      </w:r>
      <w:proofErr w:type="gramEnd"/>
      <w:r w:rsidRPr="005616AE">
        <w:rPr>
          <w:rFonts w:cs="Calibri"/>
        </w:rPr>
        <w:t>Integrate customer service platforms as well as CRM systems to create a unified approach to handling customer inquiries, support tickets and feedback.</w:t>
      </w:r>
    </w:p>
    <w:p w14:paraId="6BA8CAFA" w14:textId="77777777" w:rsidR="000A609A" w:rsidRPr="005616AE" w:rsidRDefault="000A609A" w:rsidP="007F09CE">
      <w:pPr>
        <w:spacing w:after="0"/>
        <w:rPr>
          <w:rFonts w:cs="Calibri"/>
        </w:rPr>
      </w:pPr>
    </w:p>
    <w:p w14:paraId="457FDBA5" w14:textId="3889BD49" w:rsidR="000A609A" w:rsidRPr="005616AE" w:rsidRDefault="000A609A" w:rsidP="007F09CE">
      <w:pPr>
        <w:spacing w:after="0"/>
        <w:rPr>
          <w:rFonts w:cs="Calibri"/>
          <w:b/>
          <w:bCs/>
        </w:rPr>
      </w:pPr>
      <w:r w:rsidRPr="005616AE">
        <w:rPr>
          <w:rFonts w:cs="Calibri"/>
          <w:b/>
          <w:bCs/>
        </w:rPr>
        <w:t>Post-Acquisition Evaluation &amp; Reporting</w:t>
      </w:r>
    </w:p>
    <w:p w14:paraId="678F9A7F" w14:textId="60509446" w:rsidR="000A609A" w:rsidRPr="005616AE" w:rsidRDefault="000A609A" w:rsidP="007F09CE">
      <w:pPr>
        <w:spacing w:after="0"/>
        <w:rPr>
          <w:rFonts w:cs="Calibri"/>
        </w:rPr>
      </w:pPr>
      <w:r w:rsidRPr="005616AE">
        <w:rPr>
          <w:rFonts w:cs="Calibri"/>
        </w:rPr>
        <w:lastRenderedPageBreak/>
        <w:t xml:space="preserve">Conduct a comprehensive review of the integration process, measuring success against defined KPIs and identifying lessons learned. Perform a post-integration audit to evaluate the success of the integration across operational, technological, </w:t>
      </w:r>
      <w:proofErr w:type="gramStart"/>
      <w:r w:rsidRPr="005616AE">
        <w:rPr>
          <w:rFonts w:cs="Calibri"/>
        </w:rPr>
        <w:t>financial</w:t>
      </w:r>
      <w:proofErr w:type="gramEnd"/>
      <w:r w:rsidRPr="005616AE">
        <w:rPr>
          <w:rFonts w:cs="Calibri"/>
        </w:rPr>
        <w:t xml:space="preserve"> and cultural aspects. Assess whether the anticipated synergies and benefits </w:t>
      </w:r>
      <w:proofErr w:type="gramStart"/>
      <w:r w:rsidRPr="005616AE">
        <w:rPr>
          <w:rFonts w:cs="Calibri"/>
        </w:rPr>
        <w:t>were achieved</w:t>
      </w:r>
      <w:proofErr w:type="gramEnd"/>
      <w:r w:rsidRPr="005616AE">
        <w:rPr>
          <w:rFonts w:cs="Calibri"/>
        </w:rPr>
        <w:t xml:space="preserve">. Identify areas for ongoing improvement. Document lessons learned during the integration process, highlighting best practices and challenges faced. Prepare a comprehensive post-acquisition report for TD Bank’s leadership summarising key achievements, </w:t>
      </w:r>
      <w:proofErr w:type="gramStart"/>
      <w:r w:rsidRPr="005616AE">
        <w:rPr>
          <w:rFonts w:cs="Calibri"/>
        </w:rPr>
        <w:t>challenges</w:t>
      </w:r>
      <w:proofErr w:type="gramEnd"/>
      <w:r w:rsidRPr="005616AE">
        <w:rPr>
          <w:rFonts w:cs="Calibri"/>
        </w:rPr>
        <w:t xml:space="preserve"> and next steps. Develop a continuous improvement plan for any outstanding integration issues that require ongoing attention.</w:t>
      </w:r>
    </w:p>
    <w:p w14:paraId="6485B44B" w14:textId="77777777" w:rsidR="00047EEB" w:rsidRPr="005616AE" w:rsidRDefault="00047EEB" w:rsidP="007F09CE">
      <w:pPr>
        <w:spacing w:after="0"/>
        <w:rPr>
          <w:rFonts w:cs="Calibri"/>
          <w:b/>
          <w:bCs/>
        </w:rPr>
      </w:pPr>
    </w:p>
    <w:p w14:paraId="0B26F399" w14:textId="5346F72F" w:rsidR="000A609A" w:rsidRPr="005616AE" w:rsidRDefault="000A609A" w:rsidP="007F09CE">
      <w:pPr>
        <w:spacing w:after="0"/>
        <w:rPr>
          <w:rFonts w:cs="Calibri"/>
          <w:b/>
          <w:bCs/>
        </w:rPr>
      </w:pPr>
      <w:r w:rsidRPr="005616AE">
        <w:rPr>
          <w:rFonts w:cs="Calibri"/>
          <w:b/>
          <w:bCs/>
        </w:rPr>
        <w:t>Success Metrics for the Integration Phase</w:t>
      </w:r>
    </w:p>
    <w:p w14:paraId="705BF8EA" w14:textId="77777777" w:rsidR="000A609A" w:rsidRPr="005616AE" w:rsidRDefault="000A609A" w:rsidP="00384F0C">
      <w:pPr>
        <w:numPr>
          <w:ilvl w:val="0"/>
          <w:numId w:val="62"/>
        </w:numPr>
        <w:spacing w:after="0" w:line="256" w:lineRule="auto"/>
        <w:rPr>
          <w:rFonts w:cs="Calibri"/>
        </w:rPr>
      </w:pPr>
      <w:r w:rsidRPr="005616AE">
        <w:rPr>
          <w:rFonts w:cs="Calibri"/>
          <w:b/>
          <w:bCs/>
        </w:rPr>
        <w:t>Operational Stability</w:t>
      </w:r>
      <w:r w:rsidRPr="005616AE">
        <w:rPr>
          <w:rFonts w:cs="Calibri"/>
        </w:rPr>
        <w:t>: Seamless integration of processes with no significant disruptions to business operations.</w:t>
      </w:r>
    </w:p>
    <w:p w14:paraId="13691C07" w14:textId="77777777" w:rsidR="000A609A" w:rsidRPr="005616AE" w:rsidRDefault="000A609A" w:rsidP="00384F0C">
      <w:pPr>
        <w:numPr>
          <w:ilvl w:val="0"/>
          <w:numId w:val="62"/>
        </w:numPr>
        <w:spacing w:after="0" w:line="256" w:lineRule="auto"/>
        <w:rPr>
          <w:rFonts w:cs="Calibri"/>
        </w:rPr>
      </w:pPr>
      <w:r w:rsidRPr="005616AE">
        <w:rPr>
          <w:rFonts w:cs="Calibri"/>
          <w:b/>
          <w:bCs/>
        </w:rPr>
        <w:t>Technological Compatibility</w:t>
      </w:r>
      <w:r w:rsidRPr="005616AE">
        <w:rPr>
          <w:rFonts w:cs="Calibri"/>
        </w:rPr>
        <w:t>: Successful migration and alignment of IT systems without major downtime or data loss.</w:t>
      </w:r>
    </w:p>
    <w:p w14:paraId="4264E520" w14:textId="77777777" w:rsidR="000A609A" w:rsidRPr="005616AE" w:rsidRDefault="000A609A" w:rsidP="00384F0C">
      <w:pPr>
        <w:numPr>
          <w:ilvl w:val="0"/>
          <w:numId w:val="62"/>
        </w:numPr>
        <w:spacing w:after="0" w:line="256" w:lineRule="auto"/>
        <w:rPr>
          <w:rFonts w:cs="Calibri"/>
        </w:rPr>
      </w:pPr>
      <w:r w:rsidRPr="005616AE">
        <w:rPr>
          <w:rFonts w:cs="Calibri"/>
          <w:b/>
          <w:bCs/>
        </w:rPr>
        <w:t>Synergy Realisation</w:t>
      </w:r>
      <w:r w:rsidRPr="005616AE">
        <w:rPr>
          <w:rFonts w:cs="Calibri"/>
        </w:rPr>
        <w:t>: Achievement of financial targets including cost savings, efficiency gains and new revenue streams.</w:t>
      </w:r>
    </w:p>
    <w:p w14:paraId="33B6D963" w14:textId="77777777" w:rsidR="000A609A" w:rsidRPr="005616AE" w:rsidRDefault="000A609A" w:rsidP="00384F0C">
      <w:pPr>
        <w:numPr>
          <w:ilvl w:val="0"/>
          <w:numId w:val="62"/>
        </w:numPr>
        <w:spacing w:after="0" w:line="256" w:lineRule="auto"/>
        <w:rPr>
          <w:rFonts w:cs="Calibri"/>
        </w:rPr>
      </w:pPr>
      <w:r w:rsidRPr="005616AE">
        <w:rPr>
          <w:rFonts w:cs="Calibri"/>
          <w:b/>
          <w:bCs/>
        </w:rPr>
        <w:t>Employee Engagement</w:t>
      </w:r>
      <w:r w:rsidRPr="005616AE">
        <w:rPr>
          <w:rFonts w:cs="Calibri"/>
        </w:rPr>
        <w:t>: Positive feedback from employees, high retention rates and strong cultural alignment.</w:t>
      </w:r>
    </w:p>
    <w:p w14:paraId="08BE7FDD" w14:textId="77777777" w:rsidR="000A609A" w:rsidRPr="005616AE" w:rsidRDefault="000A609A" w:rsidP="00384F0C">
      <w:pPr>
        <w:numPr>
          <w:ilvl w:val="0"/>
          <w:numId w:val="62"/>
        </w:numPr>
        <w:spacing w:after="0" w:line="256" w:lineRule="auto"/>
        <w:rPr>
          <w:rFonts w:cs="Calibri"/>
        </w:rPr>
      </w:pPr>
      <w:r w:rsidRPr="005616AE">
        <w:rPr>
          <w:rFonts w:cs="Calibri"/>
          <w:b/>
          <w:bCs/>
        </w:rPr>
        <w:t>Customer Satisfaction</w:t>
      </w:r>
      <w:r w:rsidRPr="005616AE">
        <w:rPr>
          <w:rFonts w:cs="Calibri"/>
        </w:rPr>
        <w:t>: Maintained or improved customer satisfaction metrics post-integration.</w:t>
      </w:r>
    </w:p>
    <w:p w14:paraId="0F3BED0C" w14:textId="77777777" w:rsidR="000A609A" w:rsidRPr="005616AE" w:rsidRDefault="000A609A" w:rsidP="007F09CE">
      <w:pPr>
        <w:pStyle w:val="Heading2"/>
        <w:spacing w:after="0"/>
        <w:rPr>
          <w:rFonts w:ascii="Calibri" w:hAnsi="Calibri" w:cs="Calibri"/>
        </w:rPr>
      </w:pPr>
      <w:bookmarkStart w:id="69" w:name="_Toc183180574"/>
      <w:bookmarkStart w:id="70" w:name="_Toc183211079"/>
      <w:r w:rsidRPr="005616AE">
        <w:rPr>
          <w:rFonts w:ascii="Calibri" w:hAnsi="Calibri" w:cs="Calibri"/>
        </w:rPr>
        <w:t>Post-Integration Phase (12-18 Months)</w:t>
      </w:r>
      <w:bookmarkEnd w:id="69"/>
      <w:bookmarkEnd w:id="70"/>
    </w:p>
    <w:p w14:paraId="09019BD6" w14:textId="77777777" w:rsidR="000A609A" w:rsidRPr="005616AE" w:rsidRDefault="000A609A" w:rsidP="007F09CE">
      <w:pPr>
        <w:spacing w:after="0"/>
        <w:rPr>
          <w:rFonts w:cs="Calibri"/>
        </w:rPr>
      </w:pPr>
      <w:r w:rsidRPr="005616AE">
        <w:rPr>
          <w:rFonts w:cs="Calibri"/>
        </w:rPr>
        <w:t xml:space="preserve">The post-integration phase focuses on optimising the outcomes from the integration between TD Bank and WiTricity. It emphasises realising medium-term synergies, optimising </w:t>
      </w:r>
      <w:proofErr w:type="gramStart"/>
      <w:r w:rsidRPr="005616AE">
        <w:rPr>
          <w:rFonts w:cs="Calibri"/>
        </w:rPr>
        <w:t>operations</w:t>
      </w:r>
      <w:proofErr w:type="gramEnd"/>
      <w:r w:rsidRPr="005616AE">
        <w:rPr>
          <w:rFonts w:cs="Calibri"/>
        </w:rPr>
        <w:t xml:space="preserve"> and expanding market reach. It ensures continuous improvement and stakeholder communication. This phase builds on the foundation laid in the integration phase and sets the stage for long-term growth as well as success.</w:t>
      </w:r>
    </w:p>
    <w:p w14:paraId="22B6A0E3" w14:textId="77777777" w:rsidR="00047EEB" w:rsidRPr="005616AE" w:rsidRDefault="00047EEB" w:rsidP="007F09CE">
      <w:pPr>
        <w:spacing w:after="0"/>
        <w:rPr>
          <w:rFonts w:cs="Calibri"/>
          <w:b/>
          <w:bCs/>
        </w:rPr>
      </w:pPr>
    </w:p>
    <w:p w14:paraId="1DC4163E" w14:textId="2828078E" w:rsidR="000A609A" w:rsidRPr="005616AE" w:rsidRDefault="000A609A" w:rsidP="007F09CE">
      <w:pPr>
        <w:spacing w:after="0"/>
        <w:rPr>
          <w:rFonts w:cs="Calibri"/>
          <w:b/>
          <w:bCs/>
        </w:rPr>
      </w:pPr>
      <w:r w:rsidRPr="005616AE">
        <w:rPr>
          <w:rFonts w:cs="Calibri"/>
          <w:b/>
          <w:bCs/>
        </w:rPr>
        <w:t>Objectives</w:t>
      </w:r>
    </w:p>
    <w:p w14:paraId="46EAEFE4" w14:textId="6EE17FC6" w:rsidR="000A609A" w:rsidRPr="005616AE" w:rsidRDefault="000A609A" w:rsidP="00384F0C">
      <w:pPr>
        <w:pStyle w:val="ListParagraph"/>
        <w:numPr>
          <w:ilvl w:val="0"/>
          <w:numId w:val="63"/>
        </w:numPr>
        <w:spacing w:after="0" w:line="256" w:lineRule="auto"/>
        <w:rPr>
          <w:rFonts w:cs="Calibri"/>
        </w:rPr>
      </w:pPr>
      <w:r w:rsidRPr="005616AE">
        <w:rPr>
          <w:rFonts w:cs="Calibri"/>
          <w:b/>
          <w:bCs/>
        </w:rPr>
        <w:t>Realise Medium-Term Synergies:</w:t>
      </w:r>
      <w:r w:rsidRPr="005616AE">
        <w:rPr>
          <w:rFonts w:cs="Calibri"/>
        </w:rPr>
        <w:t xml:space="preserve"> Maximise the benefits of the acquisition by capitalising on product innovations, market expansion opportunities and operational efficiencies.</w:t>
      </w:r>
    </w:p>
    <w:p w14:paraId="67820F61" w14:textId="12FA8D51" w:rsidR="000A609A" w:rsidRPr="005616AE" w:rsidRDefault="000A609A" w:rsidP="00384F0C">
      <w:pPr>
        <w:pStyle w:val="ListParagraph"/>
        <w:numPr>
          <w:ilvl w:val="0"/>
          <w:numId w:val="63"/>
        </w:numPr>
        <w:spacing w:after="0" w:line="256" w:lineRule="auto"/>
        <w:rPr>
          <w:rFonts w:cs="Calibri"/>
        </w:rPr>
      </w:pPr>
      <w:r w:rsidRPr="005616AE">
        <w:rPr>
          <w:rFonts w:cs="Calibri"/>
          <w:b/>
          <w:bCs/>
        </w:rPr>
        <w:t>Monitor and Optimise Integrated Operations:</w:t>
      </w:r>
      <w:r w:rsidRPr="005616AE">
        <w:rPr>
          <w:rFonts w:cs="Calibri"/>
        </w:rPr>
        <w:t xml:space="preserve"> Fine-tune processes, systems and collaboration between TD Bank as well as WiTricity to ensure the smooth operation of the combined entity.</w:t>
      </w:r>
    </w:p>
    <w:p w14:paraId="0394DB54" w14:textId="77777777" w:rsidR="000A609A" w:rsidRPr="005616AE" w:rsidRDefault="000A609A" w:rsidP="00384F0C">
      <w:pPr>
        <w:pStyle w:val="ListParagraph"/>
        <w:numPr>
          <w:ilvl w:val="0"/>
          <w:numId w:val="63"/>
        </w:numPr>
        <w:spacing w:after="0" w:line="256" w:lineRule="auto"/>
        <w:rPr>
          <w:rFonts w:cs="Calibri"/>
        </w:rPr>
      </w:pPr>
      <w:r w:rsidRPr="005616AE">
        <w:rPr>
          <w:rFonts w:cs="Calibri"/>
          <w:b/>
          <w:bCs/>
        </w:rPr>
        <w:t>Maintain Open Communication with Stakeholders:</w:t>
      </w:r>
      <w:r w:rsidRPr="005616AE">
        <w:rPr>
          <w:rFonts w:cs="Calibri"/>
        </w:rPr>
        <w:t xml:space="preserve"> Ensure transparent and frequent communication with employees, </w:t>
      </w:r>
      <w:proofErr w:type="gramStart"/>
      <w:r w:rsidRPr="005616AE">
        <w:rPr>
          <w:rFonts w:cs="Calibri"/>
        </w:rPr>
        <w:t>customers</w:t>
      </w:r>
      <w:proofErr w:type="gramEnd"/>
      <w:r w:rsidRPr="005616AE">
        <w:rPr>
          <w:rFonts w:cs="Calibri"/>
        </w:rPr>
        <w:t xml:space="preserve"> and other stakeholders to build trust. Keep them informed of developments.</w:t>
      </w:r>
    </w:p>
    <w:p w14:paraId="55F16121" w14:textId="77777777" w:rsidR="00047EEB" w:rsidRPr="005616AE" w:rsidRDefault="00047EEB" w:rsidP="007F09CE">
      <w:pPr>
        <w:spacing w:after="0"/>
        <w:rPr>
          <w:rFonts w:cs="Calibri"/>
          <w:b/>
          <w:bCs/>
        </w:rPr>
      </w:pPr>
    </w:p>
    <w:p w14:paraId="00AEC5E4" w14:textId="2E9CF1B4" w:rsidR="000A609A" w:rsidRPr="005616AE" w:rsidRDefault="000A609A" w:rsidP="007F09CE">
      <w:pPr>
        <w:spacing w:after="0"/>
        <w:rPr>
          <w:rFonts w:cs="Calibri"/>
        </w:rPr>
      </w:pPr>
      <w:r w:rsidRPr="005616AE">
        <w:rPr>
          <w:rFonts w:cs="Calibri"/>
          <w:b/>
          <w:bCs/>
        </w:rPr>
        <w:t>Synergy Capture</w:t>
      </w:r>
    </w:p>
    <w:p w14:paraId="4BEA5AEC" w14:textId="77777777" w:rsidR="000A609A" w:rsidRPr="005616AE" w:rsidRDefault="000A609A" w:rsidP="007F09CE">
      <w:pPr>
        <w:spacing w:after="0"/>
        <w:rPr>
          <w:rFonts w:cs="Calibri"/>
        </w:rPr>
      </w:pPr>
      <w:r w:rsidRPr="005616AE">
        <w:rPr>
          <w:rFonts w:cs="Calibri"/>
        </w:rPr>
        <w:t xml:space="preserve">Measure and optimise the synergies achieved through the integration of WiTricity’s technology as well as TD Bank’s financial infrastructure. Measure the </w:t>
      </w:r>
      <w:proofErr w:type="gramStart"/>
      <w:r w:rsidRPr="005616AE">
        <w:rPr>
          <w:rFonts w:cs="Calibri"/>
        </w:rPr>
        <w:t>financial impact</w:t>
      </w:r>
      <w:proofErr w:type="gramEnd"/>
      <w:r w:rsidRPr="005616AE">
        <w:rPr>
          <w:rFonts w:cs="Calibri"/>
        </w:rPr>
        <w:t xml:space="preserve"> of the synergies focusing on cost reductions (e.g., through shared R&amp;D resources, joint product development and integrated marketing efforts). Assess the success of combining WiTricity’s innovations with TD Bank’s services and identify further opportunities to improve product offerings or eliminate redundancies. Examine how combining WiTricity’s wireless power transfer technology with TD Bank’s financial services like EV financing and green energy solutions, has led to new revenue streams. </w:t>
      </w:r>
    </w:p>
    <w:p w14:paraId="5C908075" w14:textId="77777777" w:rsidR="00047EEB" w:rsidRPr="005616AE" w:rsidRDefault="00047EEB" w:rsidP="007F09CE">
      <w:pPr>
        <w:spacing w:after="0"/>
        <w:rPr>
          <w:rFonts w:cs="Calibri"/>
          <w:b/>
          <w:bCs/>
        </w:rPr>
      </w:pPr>
    </w:p>
    <w:p w14:paraId="78AEF82F" w14:textId="26246056" w:rsidR="000A609A" w:rsidRPr="005616AE" w:rsidRDefault="000A609A" w:rsidP="007F09CE">
      <w:pPr>
        <w:spacing w:after="0"/>
        <w:rPr>
          <w:rFonts w:cs="Calibri"/>
        </w:rPr>
      </w:pPr>
      <w:r w:rsidRPr="005616AE">
        <w:rPr>
          <w:rFonts w:cs="Calibri"/>
          <w:b/>
          <w:bCs/>
        </w:rPr>
        <w:lastRenderedPageBreak/>
        <w:t>Licensing Opportunities &amp; Partnerships</w:t>
      </w:r>
    </w:p>
    <w:p w14:paraId="6B741051" w14:textId="77777777" w:rsidR="000A609A" w:rsidRPr="005616AE" w:rsidRDefault="000A609A" w:rsidP="007F09CE">
      <w:pPr>
        <w:spacing w:after="0"/>
        <w:rPr>
          <w:rFonts w:cs="Calibri"/>
        </w:rPr>
      </w:pPr>
      <w:r w:rsidRPr="005616AE">
        <w:rPr>
          <w:rFonts w:cs="Calibri"/>
        </w:rPr>
        <w:t xml:space="preserve">Explore partnerships or licensing agreements to monetise WiTricity’s technology either through direct technology sales or by partnering with other organisations interested in </w:t>
      </w:r>
      <w:proofErr w:type="gramStart"/>
      <w:r w:rsidRPr="005616AE">
        <w:rPr>
          <w:rFonts w:cs="Calibri"/>
        </w:rPr>
        <w:t>utilising</w:t>
      </w:r>
      <w:proofErr w:type="gramEnd"/>
      <w:r w:rsidRPr="005616AE">
        <w:rPr>
          <w:rFonts w:cs="Calibri"/>
        </w:rPr>
        <w:t xml:space="preserve"> their wireless power technology. Look for industries that could benefit from WiTricity’s technology (e.g., automotive, electronics, infrastructure) and identify key partners for strategic alliances.</w:t>
      </w:r>
    </w:p>
    <w:p w14:paraId="364F6EFA" w14:textId="77777777" w:rsidR="00047EEB" w:rsidRPr="005616AE" w:rsidRDefault="00047EEB" w:rsidP="007F09CE">
      <w:pPr>
        <w:spacing w:after="0"/>
        <w:rPr>
          <w:rFonts w:cs="Calibri"/>
          <w:b/>
          <w:bCs/>
        </w:rPr>
      </w:pPr>
    </w:p>
    <w:p w14:paraId="5EA2ED55" w14:textId="20213DE0" w:rsidR="000A609A" w:rsidRPr="005616AE" w:rsidRDefault="000A609A" w:rsidP="007F09CE">
      <w:pPr>
        <w:spacing w:after="0"/>
        <w:rPr>
          <w:rFonts w:cs="Calibri"/>
        </w:rPr>
      </w:pPr>
      <w:r w:rsidRPr="005616AE">
        <w:rPr>
          <w:rFonts w:cs="Calibri"/>
          <w:b/>
          <w:bCs/>
        </w:rPr>
        <w:t>Market Expansion</w:t>
      </w:r>
    </w:p>
    <w:p w14:paraId="4F846BB2" w14:textId="77777777" w:rsidR="00047EEB" w:rsidRPr="005616AE" w:rsidRDefault="00047EEB" w:rsidP="007F09CE">
      <w:pPr>
        <w:spacing w:after="0"/>
        <w:rPr>
          <w:rFonts w:cs="Calibri"/>
          <w:b/>
          <w:bCs/>
        </w:rPr>
      </w:pPr>
    </w:p>
    <w:p w14:paraId="2B77C41A" w14:textId="20614AEF" w:rsidR="000A609A" w:rsidRPr="005616AE" w:rsidRDefault="000A609A" w:rsidP="007F09CE">
      <w:pPr>
        <w:spacing w:after="0"/>
        <w:rPr>
          <w:rFonts w:cs="Calibri"/>
        </w:rPr>
      </w:pPr>
      <w:r w:rsidRPr="005616AE">
        <w:rPr>
          <w:rFonts w:cs="Calibri"/>
          <w:b/>
          <w:bCs/>
        </w:rPr>
        <w:t>Identify New Markets for WiTricity’s Technology</w:t>
      </w:r>
    </w:p>
    <w:p w14:paraId="2CAAD457" w14:textId="77777777" w:rsidR="000A609A" w:rsidRPr="005616AE" w:rsidRDefault="000A609A" w:rsidP="007F09CE">
      <w:pPr>
        <w:spacing w:after="0"/>
        <w:rPr>
          <w:rFonts w:cs="Calibri"/>
        </w:rPr>
      </w:pPr>
      <w:r w:rsidRPr="005616AE">
        <w:rPr>
          <w:rFonts w:cs="Calibri"/>
        </w:rPr>
        <w:t>Leverage TD Bank’s vast customer network and infrastructure to introduce WiTricity’s wireless power technology to new markets. This could involve electric vehicle (EV) charging infrastructure, sustainable energy solutions or new consumer products.</w:t>
      </w:r>
    </w:p>
    <w:p w14:paraId="0237576A" w14:textId="77777777" w:rsidR="00047EEB" w:rsidRPr="005616AE" w:rsidRDefault="00047EEB" w:rsidP="007F09CE">
      <w:pPr>
        <w:spacing w:after="0"/>
        <w:rPr>
          <w:rFonts w:cs="Calibri"/>
          <w:b/>
          <w:bCs/>
        </w:rPr>
      </w:pPr>
    </w:p>
    <w:p w14:paraId="30A0DE9B" w14:textId="7018CB2C" w:rsidR="000A609A" w:rsidRPr="005616AE" w:rsidRDefault="000A609A" w:rsidP="007F09CE">
      <w:pPr>
        <w:spacing w:after="0"/>
        <w:rPr>
          <w:rFonts w:cs="Calibri"/>
        </w:rPr>
      </w:pPr>
      <w:r w:rsidRPr="005616AE">
        <w:rPr>
          <w:rFonts w:cs="Calibri"/>
          <w:b/>
          <w:bCs/>
        </w:rPr>
        <w:t>Market Research</w:t>
      </w:r>
      <w:r w:rsidRPr="005616AE">
        <w:rPr>
          <w:rFonts w:cs="Calibri"/>
        </w:rPr>
        <w:t>: Conduct market analysis to identify geographies or industries where WiTricity’s solutions can gain traction. Use data from TD Bank’s customers to pinpoint areas with high growth potential.</w:t>
      </w:r>
    </w:p>
    <w:p w14:paraId="14B49DDC" w14:textId="77777777" w:rsidR="00047EEB" w:rsidRPr="005616AE" w:rsidRDefault="00047EEB" w:rsidP="007F09CE">
      <w:pPr>
        <w:spacing w:after="0"/>
        <w:rPr>
          <w:rFonts w:cs="Calibri"/>
          <w:b/>
          <w:bCs/>
        </w:rPr>
      </w:pPr>
    </w:p>
    <w:p w14:paraId="2688A159" w14:textId="0FF3BD5F" w:rsidR="000A609A" w:rsidRPr="005616AE" w:rsidRDefault="000A609A" w:rsidP="007F09CE">
      <w:pPr>
        <w:spacing w:after="0"/>
        <w:rPr>
          <w:rFonts w:cs="Calibri"/>
        </w:rPr>
      </w:pPr>
      <w:r w:rsidRPr="005616AE">
        <w:rPr>
          <w:rFonts w:cs="Calibri"/>
          <w:b/>
          <w:bCs/>
        </w:rPr>
        <w:t>Targeted Marketing Campaigns</w:t>
      </w:r>
    </w:p>
    <w:p w14:paraId="62A2A048" w14:textId="77777777" w:rsidR="000A609A" w:rsidRPr="005616AE" w:rsidRDefault="000A609A" w:rsidP="007F09CE">
      <w:pPr>
        <w:spacing w:after="0"/>
        <w:rPr>
          <w:rFonts w:cs="Calibri"/>
        </w:rPr>
      </w:pPr>
      <w:r w:rsidRPr="005616AE">
        <w:rPr>
          <w:rFonts w:cs="Calibri"/>
        </w:rPr>
        <w:t>Launch marketing campaigns tailored to different customer segments (e.g., businesses, municipalities, consumers) around the benefits of EV financing, green energy solutions and WiTricity’s technology.</w:t>
      </w:r>
    </w:p>
    <w:p w14:paraId="588C0DA1" w14:textId="77777777" w:rsidR="00047EEB" w:rsidRPr="005616AE" w:rsidRDefault="00047EEB" w:rsidP="007F09CE">
      <w:pPr>
        <w:spacing w:after="0"/>
        <w:rPr>
          <w:rFonts w:cs="Calibri"/>
          <w:b/>
          <w:bCs/>
        </w:rPr>
      </w:pPr>
    </w:p>
    <w:p w14:paraId="13EBD8E7" w14:textId="0DCBA52B" w:rsidR="000A609A" w:rsidRPr="005616AE" w:rsidRDefault="000A609A" w:rsidP="007F09CE">
      <w:pPr>
        <w:spacing w:after="0"/>
        <w:rPr>
          <w:rFonts w:cs="Calibri"/>
        </w:rPr>
      </w:pPr>
      <w:r w:rsidRPr="005616AE">
        <w:rPr>
          <w:rFonts w:cs="Calibri"/>
          <w:b/>
          <w:bCs/>
        </w:rPr>
        <w:t>Collaboration with TD Marketing</w:t>
      </w:r>
      <w:r w:rsidRPr="005616AE">
        <w:rPr>
          <w:rFonts w:cs="Calibri"/>
        </w:rPr>
        <w:t xml:space="preserve">: Use TD Bank’s established marketing platforms to create targeted advertising that highlights WiTricity’s innovations in green energy, </w:t>
      </w:r>
      <w:proofErr w:type="gramStart"/>
      <w:r w:rsidRPr="005616AE">
        <w:rPr>
          <w:rFonts w:cs="Calibri"/>
        </w:rPr>
        <w:t>sustainability</w:t>
      </w:r>
      <w:proofErr w:type="gramEnd"/>
      <w:r w:rsidRPr="005616AE">
        <w:rPr>
          <w:rFonts w:cs="Calibri"/>
        </w:rPr>
        <w:t xml:space="preserve"> and EV infrastructure.</w:t>
      </w:r>
    </w:p>
    <w:p w14:paraId="166A79B4" w14:textId="77777777" w:rsidR="00047EEB" w:rsidRPr="005616AE" w:rsidRDefault="00047EEB" w:rsidP="007F09CE">
      <w:pPr>
        <w:spacing w:after="0"/>
        <w:rPr>
          <w:rFonts w:cs="Calibri"/>
          <w:b/>
          <w:bCs/>
        </w:rPr>
      </w:pPr>
    </w:p>
    <w:p w14:paraId="59ECDB3A" w14:textId="75B40681" w:rsidR="000A609A" w:rsidRPr="005616AE" w:rsidRDefault="000A609A" w:rsidP="007F09CE">
      <w:pPr>
        <w:spacing w:after="0"/>
        <w:rPr>
          <w:rFonts w:cs="Calibri"/>
        </w:rPr>
      </w:pPr>
      <w:r w:rsidRPr="005616AE">
        <w:rPr>
          <w:rFonts w:cs="Calibri"/>
          <w:b/>
          <w:bCs/>
        </w:rPr>
        <w:t>Launch New Financial Products</w:t>
      </w:r>
      <w:r w:rsidRPr="005616AE">
        <w:rPr>
          <w:rFonts w:cs="Calibri"/>
        </w:rPr>
        <w:t>:</w:t>
      </w:r>
    </w:p>
    <w:p w14:paraId="6EA31A95" w14:textId="77777777" w:rsidR="000A609A" w:rsidRPr="005616AE" w:rsidRDefault="000A609A" w:rsidP="007F09CE">
      <w:pPr>
        <w:spacing w:after="0"/>
        <w:rPr>
          <w:rFonts w:cs="Calibri"/>
        </w:rPr>
      </w:pPr>
      <w:r w:rsidRPr="005616AE">
        <w:rPr>
          <w:rFonts w:cs="Calibri"/>
        </w:rPr>
        <w:t>Introduce new financial products and services such as EV infrastructure loans, green investment portfolios as well as financing options for sustainable technology ventures. Develop financial products that align with TD Bank’s commitment to sustainability and clean energy, providing customers with green financing options.</w:t>
      </w:r>
    </w:p>
    <w:p w14:paraId="14394FB8" w14:textId="77777777" w:rsidR="00047EEB" w:rsidRPr="005616AE" w:rsidRDefault="00047EEB" w:rsidP="007F09CE">
      <w:pPr>
        <w:spacing w:after="0"/>
        <w:rPr>
          <w:rFonts w:cs="Calibri"/>
          <w:b/>
          <w:bCs/>
        </w:rPr>
      </w:pPr>
    </w:p>
    <w:p w14:paraId="023FB028" w14:textId="728C878E" w:rsidR="000A609A" w:rsidRPr="005616AE" w:rsidRDefault="000A609A" w:rsidP="007F09CE">
      <w:pPr>
        <w:spacing w:after="0"/>
        <w:rPr>
          <w:rFonts w:cs="Calibri"/>
          <w:b/>
          <w:bCs/>
        </w:rPr>
      </w:pPr>
      <w:r w:rsidRPr="005616AE">
        <w:rPr>
          <w:rFonts w:cs="Calibri"/>
          <w:b/>
          <w:bCs/>
        </w:rPr>
        <w:t xml:space="preserve">Performance Monitoring </w:t>
      </w:r>
    </w:p>
    <w:p w14:paraId="6055A2E8" w14:textId="77777777" w:rsidR="000A609A" w:rsidRPr="005616AE" w:rsidRDefault="000A609A" w:rsidP="007F09CE">
      <w:pPr>
        <w:spacing w:after="0"/>
        <w:rPr>
          <w:rFonts w:cs="Calibri"/>
        </w:rPr>
      </w:pPr>
      <w:r w:rsidRPr="005616AE">
        <w:rPr>
          <w:rFonts w:cs="Calibri"/>
        </w:rPr>
        <w:t>Track the progress of integration and performance through established KPIs ensuring that the combined organisation is meeting both short-term as well as long-term goals.</w:t>
      </w:r>
    </w:p>
    <w:p w14:paraId="505776D9" w14:textId="77777777" w:rsidR="000A609A" w:rsidRPr="005616AE" w:rsidRDefault="000A609A" w:rsidP="00384F0C">
      <w:pPr>
        <w:numPr>
          <w:ilvl w:val="0"/>
          <w:numId w:val="64"/>
        </w:numPr>
        <w:spacing w:after="0" w:line="256" w:lineRule="auto"/>
        <w:rPr>
          <w:rFonts w:cs="Calibri"/>
        </w:rPr>
      </w:pPr>
      <w:r w:rsidRPr="005616AE">
        <w:rPr>
          <w:rFonts w:cs="Calibri"/>
          <w:b/>
          <w:bCs/>
        </w:rPr>
        <w:t>Implement a Balanced Scorecard</w:t>
      </w:r>
      <w:r w:rsidRPr="005616AE">
        <w:rPr>
          <w:rFonts w:cs="Calibri"/>
        </w:rPr>
        <w:t>:</w:t>
      </w:r>
    </w:p>
    <w:p w14:paraId="46774823" w14:textId="5024B536" w:rsidR="000A609A" w:rsidRPr="005616AE" w:rsidRDefault="000A609A" w:rsidP="007F09CE">
      <w:pPr>
        <w:spacing w:after="0"/>
        <w:rPr>
          <w:rFonts w:cs="Calibri"/>
        </w:rPr>
      </w:pPr>
      <w:r w:rsidRPr="005616AE">
        <w:rPr>
          <w:rFonts w:cs="Calibri"/>
        </w:rPr>
        <w:t xml:space="preserve">Develop and implement a balanced scorecard approach to track key financial, operational as well as strategic KPIs. This could </w:t>
      </w:r>
      <w:proofErr w:type="gramStart"/>
      <w:r w:rsidRPr="005616AE">
        <w:rPr>
          <w:rFonts w:cs="Calibri"/>
        </w:rPr>
        <w:t>include</w:t>
      </w:r>
      <w:proofErr w:type="gramEnd"/>
    </w:p>
    <w:p w14:paraId="6917305E" w14:textId="77777777" w:rsidR="000A609A" w:rsidRPr="005616AE" w:rsidRDefault="000A609A" w:rsidP="00384F0C">
      <w:pPr>
        <w:pStyle w:val="ListParagraph"/>
        <w:numPr>
          <w:ilvl w:val="0"/>
          <w:numId w:val="75"/>
        </w:numPr>
        <w:spacing w:after="0" w:line="256" w:lineRule="auto"/>
        <w:rPr>
          <w:rFonts w:cs="Calibri"/>
        </w:rPr>
      </w:pPr>
      <w:r w:rsidRPr="005616AE">
        <w:rPr>
          <w:rFonts w:cs="Calibri"/>
          <w:b/>
          <w:bCs/>
        </w:rPr>
        <w:t>Financial KPIs</w:t>
      </w:r>
      <w:r w:rsidRPr="005616AE">
        <w:rPr>
          <w:rFonts w:cs="Calibri"/>
        </w:rPr>
        <w:t>: ROI, revenue growth, cost savings, profitability.</w:t>
      </w:r>
    </w:p>
    <w:p w14:paraId="39A77531" w14:textId="77777777" w:rsidR="000A609A" w:rsidRPr="005616AE" w:rsidRDefault="000A609A" w:rsidP="00384F0C">
      <w:pPr>
        <w:pStyle w:val="ListParagraph"/>
        <w:numPr>
          <w:ilvl w:val="0"/>
          <w:numId w:val="75"/>
        </w:numPr>
        <w:spacing w:after="0" w:line="256" w:lineRule="auto"/>
        <w:rPr>
          <w:rFonts w:cs="Calibri"/>
        </w:rPr>
      </w:pPr>
      <w:r w:rsidRPr="005616AE">
        <w:rPr>
          <w:rFonts w:cs="Calibri"/>
          <w:b/>
          <w:bCs/>
        </w:rPr>
        <w:t>Operational KPIs</w:t>
      </w:r>
      <w:r w:rsidRPr="005616AE">
        <w:rPr>
          <w:rFonts w:cs="Calibri"/>
        </w:rPr>
        <w:t>: Efficiency in the supply chain, customer service response times, product delivery times.</w:t>
      </w:r>
    </w:p>
    <w:p w14:paraId="22B6C294" w14:textId="41419C88" w:rsidR="000A609A" w:rsidRPr="005616AE" w:rsidRDefault="000A609A" w:rsidP="00384F0C">
      <w:pPr>
        <w:pStyle w:val="ListParagraph"/>
        <w:numPr>
          <w:ilvl w:val="0"/>
          <w:numId w:val="75"/>
        </w:numPr>
        <w:spacing w:after="0" w:line="256" w:lineRule="auto"/>
        <w:rPr>
          <w:rFonts w:cs="Calibri"/>
        </w:rPr>
      </w:pPr>
      <w:r w:rsidRPr="005616AE">
        <w:rPr>
          <w:rFonts w:cs="Calibri"/>
          <w:b/>
          <w:bCs/>
        </w:rPr>
        <w:t>Strategic KPIs</w:t>
      </w:r>
      <w:r w:rsidRPr="005616AE">
        <w:rPr>
          <w:rFonts w:cs="Calibri"/>
        </w:rPr>
        <w:t>: Market share, customer satisfaction, new business acquisitions and the expansion of green technology offerings.</w:t>
      </w:r>
    </w:p>
    <w:p w14:paraId="24051893" w14:textId="77777777" w:rsidR="00047EEB" w:rsidRPr="005616AE" w:rsidRDefault="00047EEB" w:rsidP="007F09CE">
      <w:pPr>
        <w:spacing w:after="0"/>
        <w:rPr>
          <w:rFonts w:cs="Calibri"/>
          <w:b/>
          <w:bCs/>
        </w:rPr>
      </w:pPr>
    </w:p>
    <w:p w14:paraId="58536CEC" w14:textId="0929CF5F" w:rsidR="000A609A" w:rsidRPr="005616AE" w:rsidRDefault="000A609A" w:rsidP="007F09CE">
      <w:pPr>
        <w:spacing w:after="0"/>
        <w:rPr>
          <w:rFonts w:cs="Calibri"/>
        </w:rPr>
      </w:pPr>
      <w:r w:rsidRPr="005616AE">
        <w:rPr>
          <w:rFonts w:cs="Calibri"/>
          <w:b/>
          <w:bCs/>
        </w:rPr>
        <w:t>Customer Feedback</w:t>
      </w:r>
    </w:p>
    <w:p w14:paraId="13868CAD" w14:textId="77777777" w:rsidR="000A609A" w:rsidRPr="005616AE" w:rsidRDefault="000A609A" w:rsidP="007F09CE">
      <w:pPr>
        <w:spacing w:after="0"/>
        <w:rPr>
          <w:rFonts w:cs="Calibri"/>
        </w:rPr>
      </w:pPr>
      <w:r w:rsidRPr="005616AE">
        <w:rPr>
          <w:rFonts w:cs="Calibri"/>
        </w:rPr>
        <w:lastRenderedPageBreak/>
        <w:t>Collect regular feedback from customers on the newly integrated products and services especially those related to green technology as well as EV financing.</w:t>
      </w:r>
    </w:p>
    <w:p w14:paraId="2BCF94C0" w14:textId="77777777" w:rsidR="000A609A" w:rsidRPr="005616AE" w:rsidRDefault="000A609A" w:rsidP="007F09CE">
      <w:pPr>
        <w:spacing w:after="0"/>
        <w:rPr>
          <w:rFonts w:cs="Calibri"/>
        </w:rPr>
      </w:pPr>
      <w:r w:rsidRPr="005616AE">
        <w:rPr>
          <w:rFonts w:cs="Calibri"/>
          <w:b/>
          <w:bCs/>
        </w:rPr>
        <w:t>Survey Tools</w:t>
      </w:r>
      <w:r w:rsidRPr="005616AE">
        <w:rPr>
          <w:rFonts w:cs="Calibri"/>
        </w:rPr>
        <w:t xml:space="preserve">: Use NPS (Net Promoter Score), customer satisfaction surveys and focus groups to assess how the new offerings are </w:t>
      </w:r>
      <w:proofErr w:type="gramStart"/>
      <w:r w:rsidRPr="005616AE">
        <w:rPr>
          <w:rFonts w:cs="Calibri"/>
        </w:rPr>
        <w:t>being received</w:t>
      </w:r>
      <w:proofErr w:type="gramEnd"/>
      <w:r w:rsidRPr="005616AE">
        <w:rPr>
          <w:rFonts w:cs="Calibri"/>
        </w:rPr>
        <w:t>. Identify areas for improvement.</w:t>
      </w:r>
    </w:p>
    <w:p w14:paraId="53694931" w14:textId="77777777" w:rsidR="00047EEB" w:rsidRPr="005616AE" w:rsidRDefault="00047EEB" w:rsidP="007F09CE">
      <w:pPr>
        <w:spacing w:after="0"/>
        <w:rPr>
          <w:rFonts w:cs="Calibri"/>
          <w:b/>
          <w:bCs/>
        </w:rPr>
      </w:pPr>
    </w:p>
    <w:p w14:paraId="558A63AA" w14:textId="72737C02" w:rsidR="000A609A" w:rsidRPr="005616AE" w:rsidRDefault="000A609A" w:rsidP="007F09CE">
      <w:pPr>
        <w:spacing w:after="0"/>
        <w:rPr>
          <w:rFonts w:cs="Calibri"/>
          <w:b/>
          <w:bCs/>
        </w:rPr>
      </w:pPr>
      <w:r w:rsidRPr="005616AE">
        <w:rPr>
          <w:rFonts w:cs="Calibri"/>
          <w:b/>
          <w:bCs/>
        </w:rPr>
        <w:t>Continuous Improvement</w:t>
      </w:r>
    </w:p>
    <w:p w14:paraId="391E4966" w14:textId="77777777" w:rsidR="000A609A" w:rsidRPr="005616AE" w:rsidRDefault="000A609A" w:rsidP="007F09CE">
      <w:pPr>
        <w:spacing w:after="0"/>
        <w:rPr>
          <w:rFonts w:cs="Calibri"/>
        </w:rPr>
      </w:pPr>
      <w:r w:rsidRPr="005616AE">
        <w:rPr>
          <w:rFonts w:cs="Calibri"/>
          <w:b/>
          <w:bCs/>
        </w:rPr>
        <w:t>Objective</w:t>
      </w:r>
      <w:r w:rsidRPr="005616AE">
        <w:rPr>
          <w:rFonts w:cs="Calibri"/>
        </w:rPr>
        <w:t xml:space="preserve">: Ensure ongoing optimisation of processes, </w:t>
      </w:r>
      <w:proofErr w:type="gramStart"/>
      <w:r w:rsidRPr="005616AE">
        <w:rPr>
          <w:rFonts w:cs="Calibri"/>
        </w:rPr>
        <w:t>systems</w:t>
      </w:r>
      <w:proofErr w:type="gramEnd"/>
      <w:r w:rsidRPr="005616AE">
        <w:rPr>
          <w:rFonts w:cs="Calibri"/>
        </w:rPr>
        <w:t xml:space="preserve"> and employee capabilities. This is to maintain the momentum of the integration and continually improve performance.</w:t>
      </w:r>
    </w:p>
    <w:p w14:paraId="59F2A352" w14:textId="2B48B1DC" w:rsidR="000A609A" w:rsidRPr="005616AE" w:rsidRDefault="000A609A" w:rsidP="00384F0C">
      <w:pPr>
        <w:numPr>
          <w:ilvl w:val="0"/>
          <w:numId w:val="65"/>
        </w:numPr>
        <w:spacing w:after="0" w:line="256" w:lineRule="auto"/>
        <w:rPr>
          <w:rFonts w:cs="Calibri"/>
        </w:rPr>
      </w:pPr>
      <w:r w:rsidRPr="005616AE">
        <w:rPr>
          <w:rFonts w:cs="Calibri"/>
          <w:b/>
          <w:bCs/>
        </w:rPr>
        <w:t>Feedback-Driven Operational Adjustments</w:t>
      </w:r>
    </w:p>
    <w:p w14:paraId="4C7075C0" w14:textId="77777777" w:rsidR="000A609A" w:rsidRPr="005616AE" w:rsidRDefault="000A609A" w:rsidP="007F09CE">
      <w:pPr>
        <w:spacing w:after="0"/>
        <w:rPr>
          <w:rFonts w:cs="Calibri"/>
        </w:rPr>
      </w:pPr>
      <w:r w:rsidRPr="005616AE">
        <w:rPr>
          <w:rFonts w:cs="Calibri"/>
        </w:rPr>
        <w:t xml:space="preserve">Use feedback from employees, </w:t>
      </w:r>
      <w:proofErr w:type="gramStart"/>
      <w:r w:rsidRPr="005616AE">
        <w:rPr>
          <w:rFonts w:cs="Calibri"/>
        </w:rPr>
        <w:t>customers</w:t>
      </w:r>
      <w:proofErr w:type="gramEnd"/>
      <w:r w:rsidRPr="005616AE">
        <w:rPr>
          <w:rFonts w:cs="Calibri"/>
        </w:rPr>
        <w:t xml:space="preserve"> and other stakeholders to identify operational bottlenecks or areas for improvement. Continuously adjust business processes to enhance efficiency, improve customer satisfaction and achieve financial goals.</w:t>
      </w:r>
    </w:p>
    <w:p w14:paraId="11623559" w14:textId="1EDC0536" w:rsidR="000A609A" w:rsidRPr="005616AE" w:rsidRDefault="000A609A" w:rsidP="00384F0C">
      <w:pPr>
        <w:numPr>
          <w:ilvl w:val="0"/>
          <w:numId w:val="65"/>
        </w:numPr>
        <w:spacing w:after="0" w:line="256" w:lineRule="auto"/>
        <w:rPr>
          <w:rFonts w:cs="Calibri"/>
        </w:rPr>
      </w:pPr>
      <w:r w:rsidRPr="005616AE">
        <w:rPr>
          <w:rFonts w:cs="Calibri"/>
          <w:b/>
          <w:bCs/>
        </w:rPr>
        <w:t>Employee Training &amp; Development</w:t>
      </w:r>
    </w:p>
    <w:p w14:paraId="7FA54EB3" w14:textId="77777777" w:rsidR="000A609A" w:rsidRPr="005616AE" w:rsidRDefault="000A609A" w:rsidP="007F09CE">
      <w:pPr>
        <w:spacing w:after="0"/>
        <w:rPr>
          <w:rFonts w:cs="Calibri"/>
        </w:rPr>
      </w:pPr>
      <w:r w:rsidRPr="005616AE">
        <w:rPr>
          <w:rFonts w:cs="Calibri"/>
        </w:rPr>
        <w:t xml:space="preserve">Invest in training and development programs for both TD Bank as well as WiTricity staff to enhance skills in </w:t>
      </w:r>
      <w:proofErr w:type="gramStart"/>
      <w:r w:rsidRPr="005616AE">
        <w:rPr>
          <w:rFonts w:cs="Calibri"/>
        </w:rPr>
        <w:t>new technologies</w:t>
      </w:r>
      <w:proofErr w:type="gramEnd"/>
      <w:r w:rsidRPr="005616AE">
        <w:rPr>
          <w:rFonts w:cs="Calibri"/>
        </w:rPr>
        <w:t>, sustainability practices as well as customer service excellence. Offer specialised training in areas such as wireless energy transfer technologies, sustainable business practices and green finance solutions.</w:t>
      </w:r>
    </w:p>
    <w:p w14:paraId="03C93226" w14:textId="79C0BC9C" w:rsidR="000A609A" w:rsidRPr="005616AE" w:rsidRDefault="000A609A" w:rsidP="00384F0C">
      <w:pPr>
        <w:numPr>
          <w:ilvl w:val="0"/>
          <w:numId w:val="65"/>
        </w:numPr>
        <w:spacing w:after="0" w:line="256" w:lineRule="auto"/>
        <w:rPr>
          <w:rFonts w:cs="Calibri"/>
        </w:rPr>
      </w:pPr>
      <w:r w:rsidRPr="005616AE">
        <w:rPr>
          <w:rFonts w:cs="Calibri"/>
          <w:b/>
          <w:bCs/>
        </w:rPr>
        <w:t>Quarterly Reviews</w:t>
      </w:r>
    </w:p>
    <w:p w14:paraId="58959EDD" w14:textId="77777777" w:rsidR="000A609A" w:rsidRPr="005616AE" w:rsidRDefault="000A609A" w:rsidP="007F09CE">
      <w:pPr>
        <w:spacing w:after="0"/>
        <w:rPr>
          <w:rFonts w:cs="Calibri"/>
        </w:rPr>
      </w:pPr>
      <w:r w:rsidRPr="005616AE">
        <w:rPr>
          <w:rFonts w:cs="Calibri"/>
        </w:rPr>
        <w:t>Conduct quarterly reviews to assess progress against KPIs and integration objectives. These reviews should focus on identifying areas for improvement and ensuring alignment with long-term strategic goals. Adjust the business strategy as necessary to address emerging opportunities or challenges in the market.</w:t>
      </w:r>
    </w:p>
    <w:p w14:paraId="2C5921D4" w14:textId="77777777" w:rsidR="00047EEB" w:rsidRPr="005616AE" w:rsidRDefault="00047EEB" w:rsidP="007F09CE">
      <w:pPr>
        <w:spacing w:after="0"/>
        <w:rPr>
          <w:rFonts w:cs="Calibri"/>
          <w:b/>
          <w:bCs/>
        </w:rPr>
      </w:pPr>
    </w:p>
    <w:p w14:paraId="7EFC73ED" w14:textId="4CBDE724" w:rsidR="000A609A" w:rsidRPr="005616AE" w:rsidRDefault="000A609A" w:rsidP="007F09CE">
      <w:pPr>
        <w:spacing w:after="0"/>
        <w:rPr>
          <w:rFonts w:cs="Calibri"/>
          <w:b/>
          <w:bCs/>
        </w:rPr>
      </w:pPr>
      <w:r w:rsidRPr="005616AE">
        <w:rPr>
          <w:rFonts w:cs="Calibri"/>
          <w:b/>
          <w:bCs/>
        </w:rPr>
        <w:t>Key Success Metrics for the Post-Integration Phase</w:t>
      </w:r>
    </w:p>
    <w:p w14:paraId="35F83DAA" w14:textId="77777777" w:rsidR="000A609A" w:rsidRPr="005616AE" w:rsidRDefault="000A609A" w:rsidP="00384F0C">
      <w:pPr>
        <w:numPr>
          <w:ilvl w:val="0"/>
          <w:numId w:val="66"/>
        </w:numPr>
        <w:spacing w:after="0" w:line="256" w:lineRule="auto"/>
        <w:rPr>
          <w:rFonts w:cs="Calibri"/>
        </w:rPr>
      </w:pPr>
      <w:r w:rsidRPr="005616AE">
        <w:rPr>
          <w:rFonts w:cs="Calibri"/>
          <w:b/>
          <w:bCs/>
        </w:rPr>
        <w:t>Financial Success</w:t>
      </w:r>
      <w:r w:rsidRPr="005616AE">
        <w:rPr>
          <w:rFonts w:cs="Calibri"/>
        </w:rPr>
        <w:t>: Achievement of financial synergies, cost savings and revenue growth from integrated operations as well as product innovations.</w:t>
      </w:r>
    </w:p>
    <w:p w14:paraId="0F627243" w14:textId="77777777" w:rsidR="000A609A" w:rsidRPr="005616AE" w:rsidRDefault="000A609A" w:rsidP="00384F0C">
      <w:pPr>
        <w:numPr>
          <w:ilvl w:val="0"/>
          <w:numId w:val="66"/>
        </w:numPr>
        <w:spacing w:after="0" w:line="256" w:lineRule="auto"/>
        <w:rPr>
          <w:rFonts w:cs="Calibri"/>
        </w:rPr>
      </w:pPr>
      <w:r w:rsidRPr="005616AE">
        <w:rPr>
          <w:rFonts w:cs="Calibri"/>
          <w:b/>
          <w:bCs/>
        </w:rPr>
        <w:t>Market Expansion</w:t>
      </w:r>
      <w:r w:rsidRPr="005616AE">
        <w:rPr>
          <w:rFonts w:cs="Calibri"/>
        </w:rPr>
        <w:t>: Successful penetration of new markets for WiTricity’s technology and the launch of green financial products.</w:t>
      </w:r>
    </w:p>
    <w:p w14:paraId="4EC61D1A" w14:textId="77777777" w:rsidR="000A609A" w:rsidRPr="005616AE" w:rsidRDefault="000A609A" w:rsidP="00384F0C">
      <w:pPr>
        <w:numPr>
          <w:ilvl w:val="0"/>
          <w:numId w:val="66"/>
        </w:numPr>
        <w:spacing w:after="0" w:line="256" w:lineRule="auto"/>
        <w:rPr>
          <w:rFonts w:cs="Calibri"/>
        </w:rPr>
      </w:pPr>
      <w:r w:rsidRPr="005616AE">
        <w:rPr>
          <w:rFonts w:cs="Calibri"/>
          <w:b/>
          <w:bCs/>
        </w:rPr>
        <w:t>Customer Satisfaction</w:t>
      </w:r>
      <w:r w:rsidRPr="005616AE">
        <w:rPr>
          <w:rFonts w:cs="Calibri"/>
        </w:rPr>
        <w:t xml:space="preserve">: </w:t>
      </w:r>
      <w:proofErr w:type="gramStart"/>
      <w:r w:rsidRPr="005616AE">
        <w:rPr>
          <w:rFonts w:cs="Calibri"/>
        </w:rPr>
        <w:t>High levels</w:t>
      </w:r>
      <w:proofErr w:type="gramEnd"/>
      <w:r w:rsidRPr="005616AE">
        <w:rPr>
          <w:rFonts w:cs="Calibri"/>
        </w:rPr>
        <w:t xml:space="preserve"> of customer satisfaction with new products and services particularly those related to green energy as well as sustainable technologies.</w:t>
      </w:r>
    </w:p>
    <w:p w14:paraId="21574118" w14:textId="77777777" w:rsidR="000A609A" w:rsidRPr="005616AE" w:rsidRDefault="000A609A" w:rsidP="00384F0C">
      <w:pPr>
        <w:numPr>
          <w:ilvl w:val="0"/>
          <w:numId w:val="66"/>
        </w:numPr>
        <w:spacing w:after="0" w:line="256" w:lineRule="auto"/>
        <w:rPr>
          <w:rFonts w:cs="Calibri"/>
        </w:rPr>
      </w:pPr>
      <w:r w:rsidRPr="005616AE">
        <w:rPr>
          <w:rFonts w:cs="Calibri"/>
          <w:b/>
          <w:bCs/>
        </w:rPr>
        <w:t>Operational Efficiency</w:t>
      </w:r>
      <w:r w:rsidRPr="005616AE">
        <w:rPr>
          <w:rFonts w:cs="Calibri"/>
        </w:rPr>
        <w:t xml:space="preserve">: Increased operational efficiency, reduced </w:t>
      </w:r>
      <w:proofErr w:type="gramStart"/>
      <w:r w:rsidRPr="005616AE">
        <w:rPr>
          <w:rFonts w:cs="Calibri"/>
        </w:rPr>
        <w:t>costs</w:t>
      </w:r>
      <w:proofErr w:type="gramEnd"/>
      <w:r w:rsidRPr="005616AE">
        <w:rPr>
          <w:rFonts w:cs="Calibri"/>
        </w:rPr>
        <w:t xml:space="preserve"> and optimised processes across the combined company.</w:t>
      </w:r>
    </w:p>
    <w:p w14:paraId="2B68F69C" w14:textId="77777777" w:rsidR="000A609A" w:rsidRPr="005616AE" w:rsidRDefault="000A609A" w:rsidP="00384F0C">
      <w:pPr>
        <w:numPr>
          <w:ilvl w:val="0"/>
          <w:numId w:val="66"/>
        </w:numPr>
        <w:spacing w:after="0" w:line="256" w:lineRule="auto"/>
        <w:rPr>
          <w:rFonts w:cs="Calibri"/>
        </w:rPr>
      </w:pPr>
      <w:r w:rsidRPr="005616AE">
        <w:rPr>
          <w:rFonts w:cs="Calibri"/>
          <w:b/>
          <w:bCs/>
        </w:rPr>
        <w:t>Employee Engagement</w:t>
      </w:r>
      <w:r w:rsidRPr="005616AE">
        <w:rPr>
          <w:rFonts w:cs="Calibri"/>
        </w:rPr>
        <w:t xml:space="preserve">: Continued </w:t>
      </w:r>
      <w:proofErr w:type="gramStart"/>
      <w:r w:rsidRPr="005616AE">
        <w:rPr>
          <w:rFonts w:cs="Calibri"/>
        </w:rPr>
        <w:t>high levels</w:t>
      </w:r>
      <w:proofErr w:type="gramEnd"/>
      <w:r w:rsidRPr="005616AE">
        <w:rPr>
          <w:rFonts w:cs="Calibri"/>
        </w:rPr>
        <w:t xml:space="preserve"> of employee engagement, satisfaction and retention, supported by robust training as well as development programs.</w:t>
      </w:r>
    </w:p>
    <w:p w14:paraId="74C97DAF" w14:textId="77777777" w:rsidR="000A609A" w:rsidRPr="005616AE" w:rsidRDefault="000A609A" w:rsidP="007F09CE">
      <w:pPr>
        <w:spacing w:after="0"/>
        <w:rPr>
          <w:rFonts w:cs="Calibri"/>
        </w:rPr>
      </w:pPr>
      <w:r w:rsidRPr="005616AE">
        <w:rPr>
          <w:rFonts w:cs="Calibri"/>
        </w:rPr>
        <w:t xml:space="preserve">By focusing on </w:t>
      </w:r>
      <w:proofErr w:type="gramStart"/>
      <w:r w:rsidRPr="005616AE">
        <w:rPr>
          <w:rFonts w:cs="Calibri"/>
        </w:rPr>
        <w:t>synergy</w:t>
      </w:r>
      <w:proofErr w:type="gramEnd"/>
      <w:r w:rsidRPr="005616AE">
        <w:rPr>
          <w:rFonts w:cs="Calibri"/>
        </w:rPr>
        <w:t xml:space="preserve"> capture, market expansion, performance monitoring and continuous improvement, the post-integration phase will ensure that TD Bank as well as WiTricity realise the long-term benefits of the acquisition. This will position themselves for sustainable growth in the green technology and financial services sectors.</w:t>
      </w:r>
    </w:p>
    <w:p w14:paraId="70E7998F" w14:textId="77777777" w:rsidR="000A609A" w:rsidRPr="005616AE" w:rsidRDefault="000A609A" w:rsidP="007F09CE">
      <w:pPr>
        <w:spacing w:after="0"/>
        <w:rPr>
          <w:rFonts w:cs="Calibri"/>
        </w:rPr>
      </w:pPr>
    </w:p>
    <w:p w14:paraId="7FFAEDDE" w14:textId="77777777" w:rsidR="000A609A" w:rsidRPr="005616AE" w:rsidRDefault="000A609A" w:rsidP="007F09CE">
      <w:pPr>
        <w:pStyle w:val="Heading2"/>
        <w:spacing w:after="0"/>
        <w:rPr>
          <w:rFonts w:ascii="Calibri" w:hAnsi="Calibri" w:cs="Calibri"/>
          <w:b/>
          <w:bCs/>
        </w:rPr>
      </w:pPr>
      <w:bookmarkStart w:id="71" w:name="_Toc183180575"/>
      <w:bookmarkStart w:id="72" w:name="_Toc183211080"/>
      <w:r w:rsidRPr="005616AE">
        <w:rPr>
          <w:rStyle w:val="Heading3Char"/>
          <w:rFonts w:ascii="Calibri" w:hAnsi="Calibri" w:cs="Calibri"/>
        </w:rPr>
        <w:t>Optimisation &amp; Innovation Phase (18-24 Months)</w:t>
      </w:r>
      <w:bookmarkEnd w:id="71"/>
      <w:bookmarkEnd w:id="72"/>
    </w:p>
    <w:p w14:paraId="588465A4" w14:textId="77777777" w:rsidR="000A609A" w:rsidRPr="005616AE" w:rsidRDefault="000A609A" w:rsidP="007F09CE">
      <w:pPr>
        <w:spacing w:after="0"/>
        <w:rPr>
          <w:rFonts w:cs="Calibri"/>
        </w:rPr>
      </w:pPr>
      <w:r w:rsidRPr="005616AE">
        <w:rPr>
          <w:rFonts w:cs="Calibri"/>
        </w:rPr>
        <w:t xml:space="preserve">The optimisation &amp; innovation phase is the final stage of the integration process focusing on long-term sustainability, innovation and achieving maximum value from the merger between TD Bank as well as WiTricity. This phase emphasises continuous refinement of processes, product innovation, market leadership and scaling the benefits of the acquisition. This phase solidifies the value created through the </w:t>
      </w:r>
      <w:r w:rsidRPr="005616AE">
        <w:rPr>
          <w:rFonts w:cs="Calibri"/>
        </w:rPr>
        <w:lastRenderedPageBreak/>
        <w:t>acquisition refines operational processes and sets the stage for future expansion in green technology as well as financial products.</w:t>
      </w:r>
    </w:p>
    <w:p w14:paraId="6A3C387D" w14:textId="72109E43" w:rsidR="000A609A" w:rsidRPr="005616AE" w:rsidRDefault="000A609A" w:rsidP="007F09CE">
      <w:pPr>
        <w:spacing w:after="0"/>
        <w:rPr>
          <w:rFonts w:cs="Calibri"/>
          <w:b/>
          <w:bCs/>
        </w:rPr>
      </w:pPr>
      <w:r w:rsidRPr="005616AE">
        <w:rPr>
          <w:rFonts w:cs="Calibri"/>
          <w:b/>
          <w:bCs/>
        </w:rPr>
        <w:t>Objectives</w:t>
      </w:r>
    </w:p>
    <w:p w14:paraId="2350138A" w14:textId="77777777" w:rsidR="000A609A" w:rsidRPr="005616AE" w:rsidRDefault="000A609A" w:rsidP="00384F0C">
      <w:pPr>
        <w:numPr>
          <w:ilvl w:val="0"/>
          <w:numId w:val="67"/>
        </w:numPr>
        <w:spacing w:after="0" w:line="256" w:lineRule="auto"/>
        <w:rPr>
          <w:rFonts w:cs="Calibri"/>
        </w:rPr>
      </w:pPr>
      <w:r w:rsidRPr="005616AE">
        <w:rPr>
          <w:rFonts w:cs="Calibri"/>
          <w:b/>
          <w:bCs/>
        </w:rPr>
        <w:t>Sustain Operational Excellence</w:t>
      </w:r>
      <w:r w:rsidRPr="005616AE">
        <w:rPr>
          <w:rFonts w:cs="Calibri"/>
        </w:rPr>
        <w:t xml:space="preserve">: Optimise operations to ensure efficiency, </w:t>
      </w:r>
      <w:proofErr w:type="gramStart"/>
      <w:r w:rsidRPr="005616AE">
        <w:rPr>
          <w:rFonts w:cs="Calibri"/>
        </w:rPr>
        <w:t>cost-effectiveness</w:t>
      </w:r>
      <w:proofErr w:type="gramEnd"/>
      <w:r w:rsidRPr="005616AE">
        <w:rPr>
          <w:rFonts w:cs="Calibri"/>
        </w:rPr>
        <w:t xml:space="preserve"> and high performance.</w:t>
      </w:r>
    </w:p>
    <w:p w14:paraId="520A5FD6" w14:textId="77777777" w:rsidR="000A609A" w:rsidRPr="005616AE" w:rsidRDefault="000A609A" w:rsidP="00384F0C">
      <w:pPr>
        <w:numPr>
          <w:ilvl w:val="0"/>
          <w:numId w:val="67"/>
        </w:numPr>
        <w:spacing w:after="0" w:line="256" w:lineRule="auto"/>
        <w:rPr>
          <w:rFonts w:cs="Calibri"/>
        </w:rPr>
      </w:pPr>
      <w:r w:rsidRPr="005616AE">
        <w:rPr>
          <w:rFonts w:cs="Calibri"/>
          <w:b/>
          <w:bCs/>
        </w:rPr>
        <w:t>Drive Product &amp; Technology Innovation</w:t>
      </w:r>
      <w:r w:rsidRPr="005616AE">
        <w:rPr>
          <w:rFonts w:cs="Calibri"/>
        </w:rPr>
        <w:t>: Leverage WiTricity’s technology to create new financial products and services that capitalise on the growing green economy.</w:t>
      </w:r>
    </w:p>
    <w:p w14:paraId="730B7240" w14:textId="77777777" w:rsidR="000A609A" w:rsidRPr="005616AE" w:rsidRDefault="000A609A" w:rsidP="00384F0C">
      <w:pPr>
        <w:numPr>
          <w:ilvl w:val="0"/>
          <w:numId w:val="67"/>
        </w:numPr>
        <w:spacing w:after="0" w:line="256" w:lineRule="auto"/>
        <w:rPr>
          <w:rFonts w:cs="Calibri"/>
        </w:rPr>
      </w:pPr>
      <w:r w:rsidRPr="005616AE">
        <w:rPr>
          <w:rFonts w:cs="Calibri"/>
          <w:b/>
          <w:bCs/>
        </w:rPr>
        <w:t>Expand Market Presence</w:t>
      </w:r>
      <w:r w:rsidRPr="005616AE">
        <w:rPr>
          <w:rFonts w:cs="Calibri"/>
        </w:rPr>
        <w:t>: Solidify TD Bank’s position in the sustainable finance market and establish leadership in green technology.</w:t>
      </w:r>
    </w:p>
    <w:p w14:paraId="192AF577" w14:textId="77777777" w:rsidR="000A609A" w:rsidRPr="005616AE" w:rsidRDefault="000A609A" w:rsidP="00384F0C">
      <w:pPr>
        <w:numPr>
          <w:ilvl w:val="0"/>
          <w:numId w:val="67"/>
        </w:numPr>
        <w:spacing w:after="0" w:line="256" w:lineRule="auto"/>
        <w:rPr>
          <w:rFonts w:cs="Calibri"/>
        </w:rPr>
      </w:pPr>
      <w:r w:rsidRPr="005616AE">
        <w:rPr>
          <w:rFonts w:cs="Calibri"/>
          <w:b/>
          <w:bCs/>
        </w:rPr>
        <w:t>Maximise Long-Term Value</w:t>
      </w:r>
      <w:r w:rsidRPr="005616AE">
        <w:rPr>
          <w:rFonts w:cs="Calibri"/>
        </w:rPr>
        <w:t>: Achieve the strategic goals set during the acquisition and ensure that the integrated organisation continues to generate value.</w:t>
      </w:r>
    </w:p>
    <w:p w14:paraId="67370FF4" w14:textId="77777777" w:rsidR="00047EEB" w:rsidRPr="005616AE" w:rsidRDefault="00047EEB" w:rsidP="007F09CE">
      <w:pPr>
        <w:spacing w:after="0"/>
        <w:rPr>
          <w:rFonts w:cs="Calibri"/>
          <w:b/>
          <w:bCs/>
        </w:rPr>
      </w:pPr>
    </w:p>
    <w:p w14:paraId="2017A595" w14:textId="2C522A8C" w:rsidR="000A609A" w:rsidRPr="005616AE" w:rsidRDefault="000A609A" w:rsidP="007F09CE">
      <w:pPr>
        <w:spacing w:after="0"/>
        <w:rPr>
          <w:rFonts w:cs="Calibri"/>
          <w:b/>
          <w:bCs/>
        </w:rPr>
      </w:pPr>
      <w:r w:rsidRPr="005616AE">
        <w:rPr>
          <w:rFonts w:cs="Calibri"/>
          <w:b/>
          <w:bCs/>
        </w:rPr>
        <w:t>Actions</w:t>
      </w:r>
    </w:p>
    <w:p w14:paraId="31C424A0" w14:textId="77777777" w:rsidR="00047EEB" w:rsidRPr="005616AE" w:rsidRDefault="00047EEB" w:rsidP="007F09CE">
      <w:pPr>
        <w:spacing w:after="0"/>
        <w:rPr>
          <w:rFonts w:cs="Calibri"/>
          <w:b/>
          <w:bCs/>
        </w:rPr>
      </w:pPr>
    </w:p>
    <w:p w14:paraId="46380651" w14:textId="54B152D9" w:rsidR="000A609A" w:rsidRPr="005616AE" w:rsidRDefault="000A609A" w:rsidP="007F09CE">
      <w:pPr>
        <w:spacing w:after="0"/>
        <w:rPr>
          <w:rFonts w:cs="Calibri"/>
          <w:b/>
          <w:bCs/>
        </w:rPr>
      </w:pPr>
      <w:r w:rsidRPr="005616AE">
        <w:rPr>
          <w:rFonts w:cs="Calibri"/>
          <w:b/>
          <w:bCs/>
        </w:rPr>
        <w:t>Operational Excellence and Efficiency</w:t>
      </w:r>
    </w:p>
    <w:p w14:paraId="35A34C42" w14:textId="77777777" w:rsidR="00047EEB" w:rsidRPr="005616AE" w:rsidRDefault="00047EEB" w:rsidP="007F09CE">
      <w:pPr>
        <w:spacing w:after="0"/>
        <w:rPr>
          <w:rFonts w:cs="Calibri"/>
          <w:b/>
          <w:bCs/>
        </w:rPr>
      </w:pPr>
    </w:p>
    <w:p w14:paraId="6E572C50" w14:textId="466BEE57" w:rsidR="000A609A" w:rsidRPr="005616AE" w:rsidRDefault="000A609A" w:rsidP="007F09CE">
      <w:pPr>
        <w:spacing w:after="0"/>
        <w:rPr>
          <w:rFonts w:cs="Calibri"/>
        </w:rPr>
      </w:pPr>
      <w:r w:rsidRPr="005616AE">
        <w:rPr>
          <w:rFonts w:cs="Calibri"/>
          <w:b/>
          <w:bCs/>
        </w:rPr>
        <w:t>Continuous Process Refinement</w:t>
      </w:r>
    </w:p>
    <w:p w14:paraId="214BDF91" w14:textId="77777777" w:rsidR="000A609A" w:rsidRPr="005616AE" w:rsidRDefault="000A609A" w:rsidP="007F09CE">
      <w:pPr>
        <w:spacing w:after="0"/>
        <w:rPr>
          <w:rFonts w:cs="Calibri"/>
        </w:rPr>
      </w:pPr>
      <w:r w:rsidRPr="005616AE">
        <w:rPr>
          <w:rFonts w:cs="Calibri"/>
        </w:rPr>
        <w:t xml:space="preserve">Implement further efficiencies in core business processes using data and technology to reduce costs as well as improve service delivery. Focus on enhancing supply chain </w:t>
      </w:r>
      <w:proofErr w:type="gramStart"/>
      <w:r w:rsidRPr="005616AE">
        <w:rPr>
          <w:rFonts w:cs="Calibri"/>
        </w:rPr>
        <w:t>logistics</w:t>
      </w:r>
      <w:proofErr w:type="gramEnd"/>
      <w:r w:rsidRPr="005616AE">
        <w:rPr>
          <w:rFonts w:cs="Calibri"/>
        </w:rPr>
        <w:t>, improving customer service response times and automating manual processes where possible. Explore additional technological solutions (e.g., AI for customer service, predictive analytics for supply chain management) to increase efficiency.</w:t>
      </w:r>
    </w:p>
    <w:p w14:paraId="1B1F3676" w14:textId="77777777" w:rsidR="00047EEB" w:rsidRPr="005616AE" w:rsidRDefault="00047EEB" w:rsidP="007F09CE">
      <w:pPr>
        <w:spacing w:after="0"/>
        <w:rPr>
          <w:rFonts w:cs="Calibri"/>
          <w:b/>
          <w:bCs/>
        </w:rPr>
      </w:pPr>
    </w:p>
    <w:p w14:paraId="76CC83BB" w14:textId="4E61DB19" w:rsidR="000A609A" w:rsidRPr="005616AE" w:rsidRDefault="000A609A" w:rsidP="007F09CE">
      <w:pPr>
        <w:spacing w:after="0"/>
        <w:rPr>
          <w:rFonts w:cs="Calibri"/>
        </w:rPr>
      </w:pPr>
      <w:r w:rsidRPr="005616AE">
        <w:rPr>
          <w:rFonts w:cs="Calibri"/>
          <w:b/>
          <w:bCs/>
        </w:rPr>
        <w:t>Sustainability Initiatives</w:t>
      </w:r>
    </w:p>
    <w:p w14:paraId="1EE696C5" w14:textId="77777777" w:rsidR="000A609A" w:rsidRPr="005616AE" w:rsidRDefault="000A609A" w:rsidP="007F09CE">
      <w:pPr>
        <w:spacing w:after="0"/>
        <w:rPr>
          <w:rFonts w:cs="Calibri"/>
        </w:rPr>
      </w:pPr>
      <w:r w:rsidRPr="005616AE">
        <w:rPr>
          <w:rFonts w:cs="Calibri"/>
        </w:rPr>
        <w:t>Evaluate the environmental impact of operations and look for opportunities to enhance sustainability. This could involve using green technology in TD Bank’s infrastructure or promoting sustainable practices among customers and partners. Measure carbon footprint reduction, energy savings and adherence to sustainability goals.</w:t>
      </w:r>
    </w:p>
    <w:p w14:paraId="18345FF6" w14:textId="77777777" w:rsidR="00047EEB" w:rsidRPr="005616AE" w:rsidRDefault="00047EEB" w:rsidP="007F09CE">
      <w:pPr>
        <w:spacing w:after="0"/>
        <w:rPr>
          <w:rFonts w:cs="Calibri"/>
          <w:b/>
          <w:bCs/>
        </w:rPr>
      </w:pPr>
    </w:p>
    <w:p w14:paraId="0F32C488" w14:textId="17790152" w:rsidR="000A609A" w:rsidRPr="005616AE" w:rsidRDefault="000A609A" w:rsidP="007F09CE">
      <w:pPr>
        <w:spacing w:after="0"/>
        <w:rPr>
          <w:rFonts w:cs="Calibri"/>
        </w:rPr>
      </w:pPr>
      <w:r w:rsidRPr="005616AE">
        <w:rPr>
          <w:rFonts w:cs="Calibri"/>
          <w:b/>
          <w:bCs/>
        </w:rPr>
        <w:t>Cost Optimisation Strategies</w:t>
      </w:r>
    </w:p>
    <w:p w14:paraId="29AA5B64" w14:textId="77777777" w:rsidR="000A609A" w:rsidRPr="005616AE" w:rsidRDefault="000A609A" w:rsidP="007F09CE">
      <w:pPr>
        <w:spacing w:after="0"/>
        <w:rPr>
          <w:rFonts w:cs="Calibri"/>
        </w:rPr>
      </w:pPr>
      <w:r w:rsidRPr="005616AE">
        <w:rPr>
          <w:rFonts w:cs="Calibri"/>
        </w:rPr>
        <w:t>Conduct a thorough financial review to identify areas for further cost reduction without sacrificing quality or performance. This might involve renegotiating vendor contracts, optimising procurement or streamlining non-essential services. This may involve process mapping, value stream analysis and root cause analysis to pinpoint areas of waste. Optimise supply chain management, finance operations, customer service processes as well as technology deployments to enhance speed and reduce costs.</w:t>
      </w:r>
    </w:p>
    <w:p w14:paraId="0780D7D5" w14:textId="77777777" w:rsidR="000A609A" w:rsidRPr="005616AE" w:rsidRDefault="000A609A" w:rsidP="007F09CE">
      <w:pPr>
        <w:spacing w:after="0"/>
        <w:rPr>
          <w:rFonts w:cs="Calibri"/>
        </w:rPr>
      </w:pPr>
    </w:p>
    <w:p w14:paraId="74E4CB4F" w14:textId="77777777" w:rsidR="000A609A" w:rsidRPr="005616AE" w:rsidRDefault="000A609A" w:rsidP="007F09CE">
      <w:pPr>
        <w:spacing w:after="0"/>
        <w:rPr>
          <w:rFonts w:cs="Calibri"/>
          <w:b/>
          <w:bCs/>
        </w:rPr>
      </w:pPr>
      <w:r w:rsidRPr="005616AE">
        <w:rPr>
          <w:rFonts w:cs="Calibri"/>
          <w:b/>
          <w:bCs/>
        </w:rPr>
        <w:t xml:space="preserve">Market Expansion &amp; Leadership </w:t>
      </w:r>
    </w:p>
    <w:p w14:paraId="457C5F98" w14:textId="77777777" w:rsidR="00123224" w:rsidRPr="005616AE" w:rsidRDefault="00123224" w:rsidP="007F09CE">
      <w:pPr>
        <w:spacing w:after="0"/>
        <w:rPr>
          <w:rFonts w:cs="Calibri"/>
          <w:b/>
          <w:bCs/>
        </w:rPr>
      </w:pPr>
    </w:p>
    <w:p w14:paraId="08589A1A" w14:textId="0093E9C8" w:rsidR="000A609A" w:rsidRPr="005616AE" w:rsidRDefault="000A609A" w:rsidP="007F09CE">
      <w:pPr>
        <w:spacing w:after="0"/>
        <w:rPr>
          <w:rFonts w:cs="Calibri"/>
        </w:rPr>
      </w:pPr>
      <w:r w:rsidRPr="005616AE">
        <w:rPr>
          <w:rFonts w:cs="Calibri"/>
          <w:b/>
          <w:bCs/>
        </w:rPr>
        <w:t>Brand Positioning</w:t>
      </w:r>
    </w:p>
    <w:p w14:paraId="4A1C896C" w14:textId="77777777" w:rsidR="000A609A" w:rsidRPr="005616AE" w:rsidRDefault="000A609A" w:rsidP="007F09CE">
      <w:pPr>
        <w:spacing w:after="0"/>
        <w:rPr>
          <w:rFonts w:cs="Calibri"/>
        </w:rPr>
      </w:pPr>
      <w:r w:rsidRPr="005616AE">
        <w:rPr>
          <w:rFonts w:cs="Calibri"/>
        </w:rPr>
        <w:t xml:space="preserve">Develop a strong brand identity around TD Bank’s commitment to sustainability and green finance, highlighting its leadership in supporting green technology innovation through the WiTricity acquisition. Execute marketing campaigns emphasising TD Bank’s new capabilities, green financial </w:t>
      </w:r>
      <w:proofErr w:type="gramStart"/>
      <w:r w:rsidRPr="005616AE">
        <w:rPr>
          <w:rFonts w:cs="Calibri"/>
        </w:rPr>
        <w:t>products</w:t>
      </w:r>
      <w:proofErr w:type="gramEnd"/>
      <w:r w:rsidRPr="005616AE">
        <w:rPr>
          <w:rFonts w:cs="Calibri"/>
        </w:rPr>
        <w:t xml:space="preserve"> and partnerships in the green tech space. Create content that highlights TD Bank’s role in driving sustainable finance including thought leadership articles, case studies and white papers.</w:t>
      </w:r>
    </w:p>
    <w:p w14:paraId="01CA3AEF" w14:textId="77777777" w:rsidR="00123224" w:rsidRPr="005616AE" w:rsidRDefault="00123224" w:rsidP="007F09CE">
      <w:pPr>
        <w:spacing w:after="0"/>
        <w:rPr>
          <w:rFonts w:cs="Calibri"/>
          <w:b/>
          <w:bCs/>
        </w:rPr>
      </w:pPr>
    </w:p>
    <w:p w14:paraId="43D0D3FE" w14:textId="4F6C1E10" w:rsidR="000A609A" w:rsidRPr="005616AE" w:rsidRDefault="000A609A" w:rsidP="007F09CE">
      <w:pPr>
        <w:spacing w:after="0"/>
        <w:rPr>
          <w:rFonts w:cs="Calibri"/>
        </w:rPr>
      </w:pPr>
      <w:r w:rsidRPr="005616AE">
        <w:rPr>
          <w:rFonts w:cs="Calibri"/>
          <w:b/>
          <w:bCs/>
        </w:rPr>
        <w:t>Targeting New Customer Segments</w:t>
      </w:r>
    </w:p>
    <w:p w14:paraId="3D61965C" w14:textId="77777777" w:rsidR="000A609A" w:rsidRPr="005616AE" w:rsidRDefault="000A609A" w:rsidP="007F09CE">
      <w:pPr>
        <w:spacing w:after="0"/>
        <w:rPr>
          <w:rFonts w:cs="Calibri"/>
        </w:rPr>
      </w:pPr>
      <w:r w:rsidRPr="005616AE">
        <w:rPr>
          <w:rFonts w:cs="Calibri"/>
        </w:rPr>
        <w:t xml:space="preserve">Identify and target new customer segments that are likely to be interested in green finance as well as sustainable technology solutions such as tech-savvy consumers, businesses in the EV space and government entities focused on sustainability. Implement strategies to attract as well as convert these customers including partnerships with eco-friendly organisations, </w:t>
      </w:r>
      <w:proofErr w:type="gramStart"/>
      <w:r w:rsidRPr="005616AE">
        <w:rPr>
          <w:rFonts w:cs="Calibri"/>
        </w:rPr>
        <w:t>events</w:t>
      </w:r>
      <w:proofErr w:type="gramEnd"/>
      <w:r w:rsidRPr="005616AE">
        <w:rPr>
          <w:rFonts w:cs="Calibri"/>
        </w:rPr>
        <w:t xml:space="preserve"> and digital outreach.</w:t>
      </w:r>
    </w:p>
    <w:p w14:paraId="6267DEFB" w14:textId="77777777" w:rsidR="00123224" w:rsidRPr="005616AE" w:rsidRDefault="00123224" w:rsidP="007F09CE">
      <w:pPr>
        <w:spacing w:after="0"/>
        <w:rPr>
          <w:rFonts w:cs="Calibri"/>
          <w:b/>
          <w:bCs/>
        </w:rPr>
      </w:pPr>
    </w:p>
    <w:p w14:paraId="63D20E27" w14:textId="273975C5" w:rsidR="000A609A" w:rsidRPr="005616AE" w:rsidRDefault="000A609A" w:rsidP="007F09CE">
      <w:pPr>
        <w:spacing w:after="0"/>
        <w:rPr>
          <w:rFonts w:cs="Calibri"/>
          <w:b/>
          <w:bCs/>
        </w:rPr>
      </w:pPr>
      <w:r w:rsidRPr="005616AE">
        <w:rPr>
          <w:rFonts w:cs="Calibri"/>
          <w:b/>
          <w:bCs/>
        </w:rPr>
        <w:t>Long-Term Value Maximisation</w:t>
      </w:r>
    </w:p>
    <w:p w14:paraId="106EAA9C" w14:textId="77777777" w:rsidR="00123224" w:rsidRPr="005616AE" w:rsidRDefault="00123224" w:rsidP="007F09CE">
      <w:pPr>
        <w:spacing w:after="0"/>
        <w:rPr>
          <w:rFonts w:cs="Calibri"/>
          <w:b/>
          <w:bCs/>
        </w:rPr>
      </w:pPr>
    </w:p>
    <w:p w14:paraId="0C75D9FE" w14:textId="45E229E9" w:rsidR="000A609A" w:rsidRPr="005616AE" w:rsidRDefault="000A609A" w:rsidP="007F09CE">
      <w:pPr>
        <w:spacing w:after="0"/>
        <w:rPr>
          <w:rFonts w:cs="Calibri"/>
        </w:rPr>
      </w:pPr>
      <w:r w:rsidRPr="005616AE">
        <w:rPr>
          <w:rFonts w:cs="Calibri"/>
          <w:b/>
          <w:bCs/>
        </w:rPr>
        <w:t>Performance Metrics &amp; Evaluation</w:t>
      </w:r>
    </w:p>
    <w:p w14:paraId="2038A75D" w14:textId="77777777" w:rsidR="000A609A" w:rsidRPr="005616AE" w:rsidRDefault="000A609A" w:rsidP="007F09CE">
      <w:pPr>
        <w:spacing w:after="0"/>
        <w:rPr>
          <w:rFonts w:cs="Calibri"/>
        </w:rPr>
      </w:pPr>
      <w:r w:rsidRPr="005616AE">
        <w:rPr>
          <w:rFonts w:cs="Calibri"/>
        </w:rPr>
        <w:t>Track long-term performance metrics against the initial goals set for the acquisition. These metrics may include revenue growth, ROI, customer retention, operational cost savings and market share. Make strategic adjustments based on data insights and changing market conditions. Focus on areas that show potential for further growth or need improvement. Highlight achieved synergies and growth potential.</w:t>
      </w:r>
    </w:p>
    <w:p w14:paraId="3C3A64CA" w14:textId="77777777" w:rsidR="00123224" w:rsidRPr="005616AE" w:rsidRDefault="00123224" w:rsidP="007F09CE">
      <w:pPr>
        <w:spacing w:after="0"/>
        <w:rPr>
          <w:rFonts w:cs="Calibri"/>
          <w:b/>
          <w:bCs/>
        </w:rPr>
      </w:pPr>
    </w:p>
    <w:p w14:paraId="38795634" w14:textId="7B60661D" w:rsidR="000A609A" w:rsidRPr="005616AE" w:rsidRDefault="000A609A" w:rsidP="007F09CE">
      <w:pPr>
        <w:spacing w:after="0"/>
        <w:rPr>
          <w:rFonts w:cs="Calibri"/>
        </w:rPr>
      </w:pPr>
      <w:r w:rsidRPr="005616AE">
        <w:rPr>
          <w:rFonts w:cs="Calibri"/>
          <w:b/>
          <w:bCs/>
        </w:rPr>
        <w:t>Talent Development &amp; Retention</w:t>
      </w:r>
    </w:p>
    <w:p w14:paraId="21ECE44E" w14:textId="77777777" w:rsidR="000A609A" w:rsidRPr="005616AE" w:rsidRDefault="000A609A" w:rsidP="007F09CE">
      <w:pPr>
        <w:spacing w:after="0"/>
        <w:rPr>
          <w:rFonts w:cs="Calibri"/>
        </w:rPr>
      </w:pPr>
      <w:r w:rsidRPr="005616AE">
        <w:rPr>
          <w:rFonts w:cs="Calibri"/>
        </w:rPr>
        <w:t xml:space="preserve">Invest in leadership development programs to nurture talent within both TD Bank and WiTricity. Offer incentives to retain top talent focusing on those involved in key innovation and operational areas. Promote a culture of innovation as well as continuous learning, encouraging employees to bring forward </w:t>
      </w:r>
      <w:proofErr w:type="gramStart"/>
      <w:r w:rsidRPr="005616AE">
        <w:rPr>
          <w:rFonts w:cs="Calibri"/>
        </w:rPr>
        <w:t>new ideas</w:t>
      </w:r>
      <w:proofErr w:type="gramEnd"/>
      <w:r w:rsidRPr="005616AE">
        <w:rPr>
          <w:rFonts w:cs="Calibri"/>
        </w:rPr>
        <w:t xml:space="preserve"> for product and service improvements.</w:t>
      </w:r>
    </w:p>
    <w:p w14:paraId="060EA86F" w14:textId="77777777" w:rsidR="00123224" w:rsidRPr="005616AE" w:rsidRDefault="00123224" w:rsidP="007F09CE">
      <w:pPr>
        <w:spacing w:after="0"/>
        <w:rPr>
          <w:rFonts w:cs="Calibri"/>
          <w:b/>
          <w:bCs/>
        </w:rPr>
      </w:pPr>
    </w:p>
    <w:p w14:paraId="17FF4EE4" w14:textId="37D51EE2" w:rsidR="000A609A" w:rsidRPr="005616AE" w:rsidRDefault="000A609A" w:rsidP="007F09CE">
      <w:pPr>
        <w:spacing w:after="0"/>
        <w:rPr>
          <w:rFonts w:cs="Calibri"/>
          <w:b/>
          <w:bCs/>
        </w:rPr>
      </w:pPr>
      <w:r w:rsidRPr="005616AE">
        <w:rPr>
          <w:rFonts w:cs="Calibri"/>
          <w:b/>
          <w:bCs/>
        </w:rPr>
        <w:t>Innovation &amp; Research and Development</w:t>
      </w:r>
    </w:p>
    <w:p w14:paraId="62BAEAF8" w14:textId="77777777" w:rsidR="00123224" w:rsidRPr="005616AE" w:rsidRDefault="00123224" w:rsidP="007F09CE">
      <w:pPr>
        <w:spacing w:after="0"/>
        <w:rPr>
          <w:rFonts w:cs="Calibri"/>
          <w:b/>
          <w:bCs/>
        </w:rPr>
      </w:pPr>
    </w:p>
    <w:p w14:paraId="38825067" w14:textId="55CADE31" w:rsidR="000A609A" w:rsidRPr="005616AE" w:rsidRDefault="000A609A" w:rsidP="007F09CE">
      <w:pPr>
        <w:spacing w:after="0"/>
        <w:rPr>
          <w:rFonts w:cs="Calibri"/>
        </w:rPr>
      </w:pPr>
      <w:r w:rsidRPr="005616AE">
        <w:rPr>
          <w:rFonts w:cs="Calibri"/>
          <w:b/>
          <w:bCs/>
        </w:rPr>
        <w:t>Innovation Labs &amp; Continuous Research and Development</w:t>
      </w:r>
    </w:p>
    <w:p w14:paraId="7A535582" w14:textId="77777777" w:rsidR="000A609A" w:rsidRPr="005616AE" w:rsidRDefault="000A609A" w:rsidP="007F09CE">
      <w:pPr>
        <w:spacing w:after="0"/>
        <w:rPr>
          <w:rFonts w:cs="Calibri"/>
        </w:rPr>
      </w:pPr>
      <w:r w:rsidRPr="005616AE">
        <w:rPr>
          <w:rFonts w:cs="Calibri"/>
        </w:rPr>
        <w:t xml:space="preserve">Establish dedicated innovation labs or centres of excellence focused on green technology, digital </w:t>
      </w:r>
      <w:proofErr w:type="gramStart"/>
      <w:r w:rsidRPr="005616AE">
        <w:rPr>
          <w:rFonts w:cs="Calibri"/>
        </w:rPr>
        <w:t>finance</w:t>
      </w:r>
      <w:proofErr w:type="gramEnd"/>
      <w:r w:rsidRPr="005616AE">
        <w:rPr>
          <w:rFonts w:cs="Calibri"/>
        </w:rPr>
        <w:t xml:space="preserve"> and sustainable solutions. Foster partnerships with academic institutions, green technology start-ups and research organisations to drive future innovation. Allocate funding for high-potential projects emerging from these labs to maintain a competitive edge in the market.</w:t>
      </w:r>
    </w:p>
    <w:p w14:paraId="2BD642BC" w14:textId="77777777" w:rsidR="00123224" w:rsidRPr="005616AE" w:rsidRDefault="00123224" w:rsidP="007F09CE">
      <w:pPr>
        <w:spacing w:after="0"/>
        <w:rPr>
          <w:rFonts w:cs="Calibri"/>
          <w:b/>
          <w:bCs/>
        </w:rPr>
      </w:pPr>
    </w:p>
    <w:p w14:paraId="6A04511D" w14:textId="20385309" w:rsidR="000A609A" w:rsidRPr="005616AE" w:rsidRDefault="000A609A" w:rsidP="007F09CE">
      <w:pPr>
        <w:spacing w:after="0"/>
        <w:rPr>
          <w:rFonts w:cs="Calibri"/>
          <w:b/>
          <w:bCs/>
        </w:rPr>
      </w:pPr>
      <w:r w:rsidRPr="005616AE">
        <w:rPr>
          <w:rFonts w:cs="Calibri"/>
          <w:b/>
          <w:bCs/>
        </w:rPr>
        <w:t>Establish a Research and Development Centre</w:t>
      </w:r>
    </w:p>
    <w:p w14:paraId="42A8AD29" w14:textId="77777777" w:rsidR="000A609A" w:rsidRPr="005616AE" w:rsidRDefault="000A609A" w:rsidP="007F09CE">
      <w:pPr>
        <w:spacing w:after="0"/>
        <w:rPr>
          <w:rFonts w:cs="Calibri"/>
        </w:rPr>
      </w:pPr>
      <w:r w:rsidRPr="005616AE">
        <w:rPr>
          <w:rFonts w:cs="Calibri"/>
        </w:rPr>
        <w:t>Drive technological as well as product innovation through targeted research and development initiatives. Set up a dedicated R&amp;D centre focused on advancing wireless energy technology, sustainable energy solutions and integrating these with financial products. The centre should aim to be a hub for future innovations, attracting top talent and fostering a culture of creativity. Prioritise research on WiTricity’s wireless charging technology particularly for electric vehicles (EVs) as well as other sustainable energy solutions.</w:t>
      </w:r>
    </w:p>
    <w:p w14:paraId="52EB1959" w14:textId="77777777" w:rsidR="00123224" w:rsidRPr="005616AE" w:rsidRDefault="00123224" w:rsidP="007F09CE">
      <w:pPr>
        <w:spacing w:after="0"/>
        <w:rPr>
          <w:rFonts w:cs="Calibri"/>
          <w:b/>
          <w:bCs/>
        </w:rPr>
      </w:pPr>
    </w:p>
    <w:p w14:paraId="5C07DFC0" w14:textId="2DF2B3DE" w:rsidR="000A609A" w:rsidRPr="005616AE" w:rsidRDefault="000A609A" w:rsidP="007F09CE">
      <w:pPr>
        <w:spacing w:after="0"/>
        <w:rPr>
          <w:rFonts w:cs="Calibri"/>
        </w:rPr>
      </w:pPr>
      <w:r w:rsidRPr="005616AE">
        <w:rPr>
          <w:rFonts w:cs="Calibri"/>
          <w:b/>
          <w:bCs/>
        </w:rPr>
        <w:t>Leverage WiTricity’s Technology</w:t>
      </w:r>
    </w:p>
    <w:p w14:paraId="351FAB22" w14:textId="77777777" w:rsidR="000A609A" w:rsidRPr="005616AE" w:rsidRDefault="000A609A" w:rsidP="007F09CE">
      <w:pPr>
        <w:spacing w:after="0"/>
        <w:rPr>
          <w:rFonts w:cs="Calibri"/>
        </w:rPr>
      </w:pPr>
      <w:r w:rsidRPr="005616AE">
        <w:rPr>
          <w:rFonts w:cs="Calibri"/>
        </w:rPr>
        <w:t xml:space="preserve">Use WiTricity’s expertise in wireless energy transfer to develop innovative applications that can </w:t>
      </w:r>
      <w:proofErr w:type="gramStart"/>
      <w:r w:rsidRPr="005616AE">
        <w:rPr>
          <w:rFonts w:cs="Calibri"/>
        </w:rPr>
        <w:t>be integrated</w:t>
      </w:r>
      <w:proofErr w:type="gramEnd"/>
      <w:r w:rsidRPr="005616AE">
        <w:rPr>
          <w:rFonts w:cs="Calibri"/>
        </w:rPr>
        <w:t xml:space="preserve"> into TD Bank’s offerings. Explore opportunities in EV charging solutions, </w:t>
      </w:r>
      <w:proofErr w:type="gramStart"/>
      <w:r w:rsidRPr="005616AE">
        <w:rPr>
          <w:rFonts w:cs="Calibri"/>
        </w:rPr>
        <w:t>home</w:t>
      </w:r>
      <w:proofErr w:type="gramEnd"/>
      <w:r w:rsidRPr="005616AE">
        <w:rPr>
          <w:rFonts w:cs="Calibri"/>
        </w:rPr>
        <w:t xml:space="preserve"> and office energy solutions or B2B collaborations in green technology. Allocate funds to further research and development focusing on advancing wireless power technology as well as in identifying additional applications.</w:t>
      </w:r>
    </w:p>
    <w:p w14:paraId="7D7FE149" w14:textId="77777777" w:rsidR="00123224" w:rsidRPr="005616AE" w:rsidRDefault="00123224" w:rsidP="007F09CE">
      <w:pPr>
        <w:spacing w:after="0"/>
        <w:rPr>
          <w:rFonts w:cs="Calibri"/>
          <w:b/>
          <w:bCs/>
        </w:rPr>
      </w:pPr>
    </w:p>
    <w:p w14:paraId="1AF4FDC9" w14:textId="73B8396C" w:rsidR="000A609A" w:rsidRPr="005616AE" w:rsidRDefault="000A609A" w:rsidP="007F09CE">
      <w:pPr>
        <w:spacing w:after="0"/>
        <w:rPr>
          <w:rFonts w:cs="Calibri"/>
        </w:rPr>
      </w:pPr>
      <w:r w:rsidRPr="005616AE">
        <w:rPr>
          <w:rFonts w:cs="Calibri"/>
          <w:b/>
          <w:bCs/>
        </w:rPr>
        <w:t>Explore New Business Models</w:t>
      </w:r>
    </w:p>
    <w:p w14:paraId="43B8D7F8" w14:textId="77777777" w:rsidR="000A609A" w:rsidRPr="005616AE" w:rsidRDefault="000A609A" w:rsidP="007F09CE">
      <w:pPr>
        <w:spacing w:after="0"/>
        <w:rPr>
          <w:rFonts w:cs="Calibri"/>
        </w:rPr>
      </w:pPr>
      <w:r w:rsidRPr="005616AE">
        <w:rPr>
          <w:rFonts w:cs="Calibri"/>
        </w:rPr>
        <w:lastRenderedPageBreak/>
        <w:t>Experiment with innovative business models such as subscription-based services for wireless charging stations or “pay-as-you-go” models for energy solutions. Assess the feasibility of launching new revenue streams that use WiTricity’s technology. Conduct market research and pilot programs to validate the potential success of these business models.</w:t>
      </w:r>
    </w:p>
    <w:p w14:paraId="2657071A" w14:textId="77777777" w:rsidR="00123224" w:rsidRPr="005616AE" w:rsidRDefault="00123224" w:rsidP="007F09CE">
      <w:pPr>
        <w:spacing w:after="0"/>
        <w:rPr>
          <w:rFonts w:cs="Calibri"/>
          <w:b/>
          <w:bCs/>
        </w:rPr>
      </w:pPr>
    </w:p>
    <w:p w14:paraId="254217AB" w14:textId="68F1FBD5" w:rsidR="000A609A" w:rsidRPr="005616AE" w:rsidRDefault="000A609A" w:rsidP="007F09CE">
      <w:pPr>
        <w:spacing w:after="0"/>
        <w:rPr>
          <w:rFonts w:cs="Calibri"/>
        </w:rPr>
      </w:pPr>
      <w:r w:rsidRPr="005616AE">
        <w:rPr>
          <w:rFonts w:cs="Calibri"/>
          <w:b/>
          <w:bCs/>
        </w:rPr>
        <w:t>Government and Industry Engagement</w:t>
      </w:r>
    </w:p>
    <w:p w14:paraId="7392B50A" w14:textId="77777777" w:rsidR="000A609A" w:rsidRPr="005616AE" w:rsidRDefault="000A609A" w:rsidP="007F09CE">
      <w:pPr>
        <w:spacing w:after="0"/>
        <w:rPr>
          <w:rFonts w:cs="Calibri"/>
        </w:rPr>
      </w:pPr>
      <w:r w:rsidRPr="005616AE">
        <w:rPr>
          <w:rFonts w:cs="Calibri"/>
        </w:rPr>
        <w:t>Engage with governmental bodies and industry associations to explore funding opportunities, grants as well as incentives for green technology projects. Partner with academic institutions, research organisations and industry experts to collaborate on innovative projects. Seek strategic alliances with automotive manufacturers, utility companies and other relevant sectors to drive wireless energy adoption.</w:t>
      </w:r>
    </w:p>
    <w:p w14:paraId="5E382A21" w14:textId="77777777" w:rsidR="000A609A" w:rsidRPr="005616AE" w:rsidRDefault="000A609A" w:rsidP="007F09CE">
      <w:pPr>
        <w:spacing w:after="0"/>
        <w:rPr>
          <w:rFonts w:cs="Calibri"/>
        </w:rPr>
      </w:pPr>
    </w:p>
    <w:p w14:paraId="2BB52A9A" w14:textId="74F86B94" w:rsidR="000A609A" w:rsidRPr="005616AE" w:rsidRDefault="000A609A" w:rsidP="007F09CE">
      <w:pPr>
        <w:spacing w:after="0"/>
        <w:rPr>
          <w:rFonts w:cs="Calibri"/>
        </w:rPr>
      </w:pPr>
      <w:r w:rsidRPr="005616AE">
        <w:rPr>
          <w:rFonts w:cs="Calibri"/>
          <w:b/>
          <w:bCs/>
        </w:rPr>
        <w:t>Process Optimisation</w:t>
      </w:r>
    </w:p>
    <w:p w14:paraId="2B048F16" w14:textId="77777777" w:rsidR="00123224" w:rsidRPr="005616AE" w:rsidRDefault="00123224" w:rsidP="007F09CE">
      <w:pPr>
        <w:spacing w:after="0"/>
        <w:rPr>
          <w:rFonts w:cs="Calibri"/>
          <w:b/>
          <w:bCs/>
        </w:rPr>
      </w:pPr>
    </w:p>
    <w:p w14:paraId="60301E06" w14:textId="295B34C7" w:rsidR="000A609A" w:rsidRPr="005616AE" w:rsidRDefault="000A609A" w:rsidP="007F09CE">
      <w:pPr>
        <w:spacing w:after="0"/>
        <w:rPr>
          <w:rFonts w:cs="Calibri"/>
        </w:rPr>
      </w:pPr>
      <w:r w:rsidRPr="005616AE">
        <w:rPr>
          <w:rFonts w:cs="Calibri"/>
          <w:b/>
          <w:bCs/>
        </w:rPr>
        <w:t>Scale Successful Pilot Projects</w:t>
      </w:r>
    </w:p>
    <w:p w14:paraId="30FCC258" w14:textId="77777777" w:rsidR="000A609A" w:rsidRPr="005616AE" w:rsidRDefault="000A609A" w:rsidP="007F09CE">
      <w:pPr>
        <w:spacing w:after="0"/>
        <w:rPr>
          <w:rFonts w:cs="Calibri"/>
        </w:rPr>
      </w:pPr>
      <w:r w:rsidRPr="005616AE">
        <w:rPr>
          <w:rFonts w:cs="Calibri"/>
        </w:rPr>
        <w:t>Identify successful pilot projects initiated during earlier phases of integration and scale them organisation wide. This could include technology solutions, customer service initiatives or sustainable energy practices that have shown strong results. Ensure that projects are adaptable and capable of handling larger volumes while maintaining quality as well as performance.</w:t>
      </w:r>
    </w:p>
    <w:p w14:paraId="6BB86E9A" w14:textId="77777777" w:rsidR="000A609A" w:rsidRPr="005616AE" w:rsidRDefault="000A609A" w:rsidP="007F09CE">
      <w:pPr>
        <w:spacing w:after="0"/>
        <w:rPr>
          <w:rFonts w:cs="Calibri"/>
        </w:rPr>
      </w:pPr>
    </w:p>
    <w:p w14:paraId="1D77F279" w14:textId="406AD205" w:rsidR="000A609A" w:rsidRPr="005616AE" w:rsidRDefault="000A609A" w:rsidP="007F09CE">
      <w:pPr>
        <w:spacing w:after="0"/>
        <w:rPr>
          <w:rFonts w:cs="Calibri"/>
        </w:rPr>
      </w:pPr>
      <w:r w:rsidRPr="005616AE">
        <w:rPr>
          <w:rFonts w:cs="Calibri"/>
          <w:b/>
          <w:bCs/>
        </w:rPr>
        <w:t>Reporting &amp; Accountability</w:t>
      </w:r>
    </w:p>
    <w:p w14:paraId="7BD4AF6F" w14:textId="77777777" w:rsidR="00123224" w:rsidRPr="005616AE" w:rsidRDefault="00123224" w:rsidP="007F09CE">
      <w:pPr>
        <w:spacing w:after="0"/>
        <w:rPr>
          <w:rFonts w:cs="Calibri"/>
          <w:b/>
          <w:bCs/>
        </w:rPr>
      </w:pPr>
    </w:p>
    <w:p w14:paraId="1D9DCE6C" w14:textId="6F2BBBE8" w:rsidR="000A609A" w:rsidRPr="005616AE" w:rsidRDefault="000A609A" w:rsidP="007F09CE">
      <w:pPr>
        <w:spacing w:after="0"/>
        <w:rPr>
          <w:rFonts w:cs="Calibri"/>
        </w:rPr>
      </w:pPr>
      <w:r w:rsidRPr="005616AE">
        <w:rPr>
          <w:rFonts w:cs="Calibri"/>
          <w:b/>
          <w:bCs/>
        </w:rPr>
        <w:t>Detailed Reports to TD’s Board</w:t>
      </w:r>
    </w:p>
    <w:p w14:paraId="4A04BD21" w14:textId="77777777" w:rsidR="000A609A" w:rsidRPr="005616AE" w:rsidRDefault="000A609A" w:rsidP="007F09CE">
      <w:pPr>
        <w:spacing w:after="0"/>
        <w:rPr>
          <w:rFonts w:cs="Calibri"/>
        </w:rPr>
      </w:pPr>
      <w:r w:rsidRPr="005616AE">
        <w:rPr>
          <w:rFonts w:cs="Calibri"/>
        </w:rPr>
        <w:t>Prepare detailed reports summarising the integration’s results highlighting key achievements, challenges faced, and lessons learned. These reports should include quantitative data (financial metrics, cost savings, revenue growth) and qualitative analysis (strategic insights, market positioning). Outline recommendations for future strategies based on the integration’s success focusing on new opportunities for growth and innovation.</w:t>
      </w:r>
    </w:p>
    <w:p w14:paraId="408CA892" w14:textId="77777777" w:rsidR="00123224" w:rsidRPr="005616AE" w:rsidRDefault="00123224" w:rsidP="007F09CE">
      <w:pPr>
        <w:spacing w:after="0"/>
        <w:rPr>
          <w:rFonts w:cs="Calibri"/>
          <w:b/>
          <w:bCs/>
        </w:rPr>
      </w:pPr>
    </w:p>
    <w:p w14:paraId="32D88829" w14:textId="50574F5E" w:rsidR="000A609A" w:rsidRPr="005616AE" w:rsidRDefault="000A609A" w:rsidP="007F09CE">
      <w:pPr>
        <w:spacing w:after="0"/>
        <w:rPr>
          <w:rFonts w:cs="Calibri"/>
        </w:rPr>
      </w:pPr>
      <w:r w:rsidRPr="005616AE">
        <w:rPr>
          <w:rFonts w:cs="Calibri"/>
          <w:b/>
          <w:bCs/>
        </w:rPr>
        <w:t>Transparency with Shareholders and Customers</w:t>
      </w:r>
    </w:p>
    <w:p w14:paraId="37EC5952" w14:textId="77777777" w:rsidR="000A609A" w:rsidRPr="005616AE" w:rsidRDefault="000A609A" w:rsidP="007F09CE">
      <w:pPr>
        <w:spacing w:after="0"/>
        <w:rPr>
          <w:rFonts w:cs="Calibri"/>
        </w:rPr>
      </w:pPr>
      <w:r w:rsidRPr="005616AE">
        <w:rPr>
          <w:rFonts w:cs="Calibri"/>
        </w:rPr>
        <w:t xml:space="preserve"> Maintain open communication channels with shareholders, </w:t>
      </w:r>
      <w:proofErr w:type="gramStart"/>
      <w:r w:rsidRPr="005616AE">
        <w:rPr>
          <w:rFonts w:cs="Calibri"/>
        </w:rPr>
        <w:t>customers</w:t>
      </w:r>
      <w:proofErr w:type="gramEnd"/>
      <w:r w:rsidRPr="005616AE">
        <w:rPr>
          <w:rFonts w:cs="Calibri"/>
        </w:rPr>
        <w:t xml:space="preserve"> and other stakeholders. Provide clear updates on how the acquisition has impacted TD Bank’s strategy, financial </w:t>
      </w:r>
      <w:proofErr w:type="gramStart"/>
      <w:r w:rsidRPr="005616AE">
        <w:rPr>
          <w:rFonts w:cs="Calibri"/>
        </w:rPr>
        <w:t>health</w:t>
      </w:r>
      <w:proofErr w:type="gramEnd"/>
      <w:r w:rsidRPr="005616AE">
        <w:rPr>
          <w:rFonts w:cs="Calibri"/>
        </w:rPr>
        <w:t xml:space="preserve"> and market position. </w:t>
      </w:r>
      <w:proofErr w:type="gramStart"/>
      <w:r w:rsidRPr="005616AE">
        <w:rPr>
          <w:rFonts w:cs="Calibri"/>
        </w:rPr>
        <w:t>Utilise</w:t>
      </w:r>
      <w:proofErr w:type="gramEnd"/>
      <w:r w:rsidRPr="005616AE">
        <w:rPr>
          <w:rFonts w:cs="Calibri"/>
        </w:rPr>
        <w:t xml:space="preserve"> annual reports, press releases and customer newsletters to share successes, updates as well as future goals.</w:t>
      </w:r>
    </w:p>
    <w:p w14:paraId="0CEF3880" w14:textId="77777777" w:rsidR="00123224" w:rsidRPr="005616AE" w:rsidRDefault="00123224" w:rsidP="007F09CE">
      <w:pPr>
        <w:spacing w:after="0"/>
        <w:rPr>
          <w:rFonts w:cs="Calibri"/>
          <w:b/>
          <w:bCs/>
        </w:rPr>
      </w:pPr>
    </w:p>
    <w:p w14:paraId="012B831F" w14:textId="2D7F6FC2" w:rsidR="000A609A" w:rsidRPr="005616AE" w:rsidRDefault="000A609A" w:rsidP="007F09CE">
      <w:pPr>
        <w:spacing w:after="0"/>
        <w:rPr>
          <w:rFonts w:cs="Calibri"/>
        </w:rPr>
      </w:pPr>
      <w:r w:rsidRPr="005616AE">
        <w:rPr>
          <w:rFonts w:cs="Calibri"/>
          <w:b/>
          <w:bCs/>
        </w:rPr>
        <w:t>Annual Review Processes</w:t>
      </w:r>
    </w:p>
    <w:p w14:paraId="7D51F80D" w14:textId="77777777" w:rsidR="000A609A" w:rsidRPr="005616AE" w:rsidRDefault="000A609A" w:rsidP="007F09CE">
      <w:pPr>
        <w:spacing w:after="0"/>
        <w:rPr>
          <w:rFonts w:cs="Calibri"/>
        </w:rPr>
      </w:pPr>
      <w:r w:rsidRPr="005616AE">
        <w:rPr>
          <w:rFonts w:cs="Calibri"/>
        </w:rPr>
        <w:t>Implement annual review processes to assess the long-term value generated from the acquisition. Use performance metrics, feedback from stakeholders and market analysis to evaluate progress. Identify areas for improvement or expansion based on evolving market trends and customer needs.</w:t>
      </w:r>
    </w:p>
    <w:p w14:paraId="4CA608FA" w14:textId="77777777" w:rsidR="000A609A" w:rsidRPr="005616AE" w:rsidRDefault="000A609A" w:rsidP="007F09CE">
      <w:pPr>
        <w:spacing w:after="0"/>
        <w:rPr>
          <w:rFonts w:cs="Calibri"/>
          <w:b/>
          <w:bCs/>
        </w:rPr>
      </w:pPr>
      <w:r w:rsidRPr="005616AE">
        <w:rPr>
          <w:rFonts w:cs="Calibri"/>
          <w:b/>
          <w:bCs/>
        </w:rPr>
        <w:t>Key Success Metrics for the Optimisation &amp; Innovation Phase</w:t>
      </w:r>
    </w:p>
    <w:p w14:paraId="18B346C0" w14:textId="77777777" w:rsidR="000A609A" w:rsidRPr="005616AE" w:rsidRDefault="000A609A" w:rsidP="00384F0C">
      <w:pPr>
        <w:numPr>
          <w:ilvl w:val="0"/>
          <w:numId w:val="68"/>
        </w:numPr>
        <w:spacing w:after="0" w:line="256" w:lineRule="auto"/>
        <w:rPr>
          <w:rFonts w:cs="Calibri"/>
        </w:rPr>
      </w:pPr>
      <w:r w:rsidRPr="005616AE">
        <w:rPr>
          <w:rFonts w:cs="Calibri"/>
          <w:b/>
          <w:bCs/>
        </w:rPr>
        <w:t>R&amp;D Impact</w:t>
      </w:r>
      <w:r w:rsidRPr="005616AE">
        <w:rPr>
          <w:rFonts w:cs="Calibri"/>
        </w:rPr>
        <w:t>: Success in launching new products or services developed by the R&amp;D centre as well as the number of patents or innovations generated.</w:t>
      </w:r>
    </w:p>
    <w:p w14:paraId="30ADE4C1" w14:textId="77777777" w:rsidR="000A609A" w:rsidRPr="005616AE" w:rsidRDefault="000A609A" w:rsidP="00384F0C">
      <w:pPr>
        <w:numPr>
          <w:ilvl w:val="0"/>
          <w:numId w:val="68"/>
        </w:numPr>
        <w:spacing w:after="0" w:line="256" w:lineRule="auto"/>
        <w:rPr>
          <w:rFonts w:cs="Calibri"/>
        </w:rPr>
      </w:pPr>
      <w:r w:rsidRPr="005616AE">
        <w:rPr>
          <w:rFonts w:cs="Calibri"/>
          <w:b/>
          <w:bCs/>
        </w:rPr>
        <w:t>Operational Efficiency</w:t>
      </w:r>
      <w:r w:rsidRPr="005616AE">
        <w:rPr>
          <w:rFonts w:cs="Calibri"/>
        </w:rPr>
        <w:t xml:space="preserve">: Measurable improvements in key processes such as reduced cycle times, lower operational </w:t>
      </w:r>
      <w:proofErr w:type="gramStart"/>
      <w:r w:rsidRPr="005616AE">
        <w:rPr>
          <w:rFonts w:cs="Calibri"/>
        </w:rPr>
        <w:t>costs</w:t>
      </w:r>
      <w:proofErr w:type="gramEnd"/>
      <w:r w:rsidRPr="005616AE">
        <w:rPr>
          <w:rFonts w:cs="Calibri"/>
        </w:rPr>
        <w:t xml:space="preserve"> and increased productivity.</w:t>
      </w:r>
    </w:p>
    <w:p w14:paraId="1A2D9203" w14:textId="77777777" w:rsidR="000A609A" w:rsidRPr="005616AE" w:rsidRDefault="000A609A" w:rsidP="00384F0C">
      <w:pPr>
        <w:numPr>
          <w:ilvl w:val="0"/>
          <w:numId w:val="68"/>
        </w:numPr>
        <w:spacing w:after="0" w:line="256" w:lineRule="auto"/>
        <w:rPr>
          <w:rFonts w:cs="Calibri"/>
        </w:rPr>
      </w:pPr>
      <w:r w:rsidRPr="005616AE">
        <w:rPr>
          <w:rFonts w:cs="Calibri"/>
          <w:b/>
          <w:bCs/>
        </w:rPr>
        <w:lastRenderedPageBreak/>
        <w:t>Innovation ROI</w:t>
      </w:r>
      <w:r w:rsidRPr="005616AE">
        <w:rPr>
          <w:rFonts w:cs="Calibri"/>
        </w:rPr>
        <w:t>: Financial returns from new business models, technology implementations and strategic partnerships demonstrating the added value of the acquisition.</w:t>
      </w:r>
    </w:p>
    <w:p w14:paraId="61474505" w14:textId="77777777" w:rsidR="000A609A" w:rsidRPr="005616AE" w:rsidRDefault="000A609A" w:rsidP="00384F0C">
      <w:pPr>
        <w:numPr>
          <w:ilvl w:val="0"/>
          <w:numId w:val="68"/>
        </w:numPr>
        <w:spacing w:after="0" w:line="256" w:lineRule="auto"/>
        <w:rPr>
          <w:rFonts w:cs="Calibri"/>
        </w:rPr>
      </w:pPr>
      <w:r w:rsidRPr="005616AE">
        <w:rPr>
          <w:rFonts w:cs="Calibri"/>
          <w:b/>
          <w:bCs/>
        </w:rPr>
        <w:t>Market Expansion</w:t>
      </w:r>
      <w:r w:rsidRPr="005616AE">
        <w:rPr>
          <w:rFonts w:cs="Calibri"/>
        </w:rPr>
        <w:t>: Growth in market share and customer acquisition in sustainable finance, green technology as well as other target sectors.</w:t>
      </w:r>
    </w:p>
    <w:p w14:paraId="062FB90C" w14:textId="77777777" w:rsidR="000A609A" w:rsidRPr="005616AE" w:rsidRDefault="000A609A" w:rsidP="00384F0C">
      <w:pPr>
        <w:numPr>
          <w:ilvl w:val="0"/>
          <w:numId w:val="68"/>
        </w:numPr>
        <w:spacing w:after="0" w:line="256" w:lineRule="auto"/>
        <w:rPr>
          <w:rFonts w:cs="Calibri"/>
        </w:rPr>
      </w:pPr>
      <w:r w:rsidRPr="005616AE">
        <w:rPr>
          <w:rFonts w:cs="Calibri"/>
          <w:b/>
          <w:bCs/>
        </w:rPr>
        <w:t>Stakeholder Satisfaction</w:t>
      </w:r>
      <w:r w:rsidRPr="005616AE">
        <w:rPr>
          <w:rFonts w:cs="Calibri"/>
        </w:rPr>
        <w:t xml:space="preserve">: </w:t>
      </w:r>
      <w:proofErr w:type="gramStart"/>
      <w:r w:rsidRPr="005616AE">
        <w:rPr>
          <w:rFonts w:cs="Calibri"/>
        </w:rPr>
        <w:t>High levels</w:t>
      </w:r>
      <w:proofErr w:type="gramEnd"/>
      <w:r w:rsidRPr="005616AE">
        <w:rPr>
          <w:rFonts w:cs="Calibri"/>
        </w:rPr>
        <w:t xml:space="preserve"> of satisfaction from shareholders, customers and employees based on feedback.</w:t>
      </w:r>
    </w:p>
    <w:p w14:paraId="5400DF0D" w14:textId="29BAA7BE" w:rsidR="00C512AF" w:rsidRPr="005616AE" w:rsidRDefault="000A609A" w:rsidP="007F09CE">
      <w:pPr>
        <w:spacing w:after="0"/>
        <w:rPr>
          <w:rFonts w:cs="Calibri"/>
        </w:rPr>
      </w:pPr>
      <w:r w:rsidRPr="005616AE">
        <w:rPr>
          <w:rFonts w:cs="Calibri"/>
        </w:rPr>
        <w:t xml:space="preserve">By the end of the optimisation &amp; innovation phase TD Bank should have a fully integrated and streamlined operation with a solid foundation in sustainable technology as well as finance. The emphasis on innovation and optimisation will position the bank for future growth ensuring that the long-term objectives of the acquisition </w:t>
      </w:r>
      <w:proofErr w:type="gramStart"/>
      <w:r w:rsidRPr="005616AE">
        <w:rPr>
          <w:rFonts w:cs="Calibri"/>
        </w:rPr>
        <w:t>are fully realised</w:t>
      </w:r>
      <w:proofErr w:type="gramEnd"/>
      <w:r w:rsidRPr="005616AE">
        <w:rPr>
          <w:rFonts w:cs="Calibri"/>
        </w:rPr>
        <w:t>. TD Bank will remain at the forefront of the green technology and financial services industries. This phase will ensure that the acquisition not only meets but exceeds its long-term strategic goals positioning the merged entity for future success.</w:t>
      </w:r>
    </w:p>
    <w:p w14:paraId="11BC9897" w14:textId="77777777" w:rsidR="00185F97" w:rsidRPr="005616AE" w:rsidRDefault="00185F97" w:rsidP="007F09CE">
      <w:pPr>
        <w:pStyle w:val="Heading1"/>
        <w:spacing w:after="0"/>
        <w:rPr>
          <w:rFonts w:ascii="Calibri" w:hAnsi="Calibri" w:cs="Calibri"/>
        </w:rPr>
      </w:pPr>
      <w:bookmarkStart w:id="73" w:name="_Toc183211081"/>
      <w:r w:rsidRPr="005616AE">
        <w:rPr>
          <w:rFonts w:ascii="Calibri" w:hAnsi="Calibri" w:cs="Calibri"/>
        </w:rPr>
        <w:t>Test Strategy</w:t>
      </w:r>
      <w:bookmarkEnd w:id="73"/>
    </w:p>
    <w:p w14:paraId="0B368F8F" w14:textId="77777777" w:rsidR="00185F97" w:rsidRPr="005616AE" w:rsidRDefault="00185F97" w:rsidP="007F09CE">
      <w:pPr>
        <w:pStyle w:val="Heading2"/>
        <w:spacing w:after="0"/>
        <w:rPr>
          <w:rFonts w:ascii="Calibri" w:hAnsi="Calibri" w:cs="Calibri"/>
        </w:rPr>
      </w:pPr>
      <w:bookmarkStart w:id="74" w:name="_Toc183211082"/>
      <w:r w:rsidRPr="005616AE">
        <w:rPr>
          <w:rFonts w:ascii="Calibri" w:hAnsi="Calibri" w:cs="Calibri"/>
        </w:rPr>
        <w:t>Scope and Overview</w:t>
      </w:r>
      <w:bookmarkEnd w:id="74"/>
    </w:p>
    <w:p w14:paraId="472E04FD" w14:textId="73F3A091" w:rsidR="00185F97" w:rsidRPr="005616AE" w:rsidRDefault="00185F97" w:rsidP="007F09CE">
      <w:pPr>
        <w:spacing w:after="0" w:line="276" w:lineRule="auto"/>
        <w:rPr>
          <w:rFonts w:cs="Calibri"/>
          <w:b/>
          <w:bCs/>
        </w:rPr>
      </w:pPr>
      <w:r w:rsidRPr="005616AE">
        <w:rPr>
          <w:rFonts w:cs="Calibri"/>
          <w:b/>
          <w:bCs/>
        </w:rPr>
        <w:t>Scope</w:t>
      </w:r>
    </w:p>
    <w:p w14:paraId="4B8245E9" w14:textId="77777777" w:rsidR="00185F97" w:rsidRPr="005616AE" w:rsidRDefault="00185F97" w:rsidP="007F09CE">
      <w:pPr>
        <w:spacing w:after="0" w:line="276" w:lineRule="auto"/>
        <w:rPr>
          <w:rFonts w:cs="Calibri"/>
        </w:rPr>
      </w:pPr>
      <w:r w:rsidRPr="005616AE">
        <w:rPr>
          <w:rFonts w:cs="Calibri"/>
        </w:rPr>
        <w:t xml:space="preserve">The primary objective of the testing is to ensure that WiTricity's wireless charging technology integrates seamlessly with TD Bank’s existing operations, </w:t>
      </w:r>
      <w:proofErr w:type="gramStart"/>
      <w:r w:rsidRPr="005616AE">
        <w:rPr>
          <w:rFonts w:cs="Calibri"/>
        </w:rPr>
        <w:t>system</w:t>
      </w:r>
      <w:proofErr w:type="gramEnd"/>
      <w:r w:rsidRPr="005616AE">
        <w:rPr>
          <w:rFonts w:cs="Calibri"/>
        </w:rPr>
        <w:t xml:space="preserve"> and customer-facing services. To achieve this, the scope </w:t>
      </w:r>
      <w:proofErr w:type="gramStart"/>
      <w:r w:rsidRPr="005616AE">
        <w:rPr>
          <w:rFonts w:cs="Calibri"/>
        </w:rPr>
        <w:t>is divided</w:t>
      </w:r>
      <w:proofErr w:type="gramEnd"/>
      <w:r w:rsidRPr="005616AE">
        <w:rPr>
          <w:rFonts w:cs="Calibri"/>
        </w:rPr>
        <w:t xml:space="preserve"> into the following components:</w:t>
      </w:r>
    </w:p>
    <w:p w14:paraId="5FC0D9FA" w14:textId="6463D269" w:rsidR="00185F97" w:rsidRPr="005616AE" w:rsidRDefault="00185F97" w:rsidP="007F09CE">
      <w:pPr>
        <w:spacing w:after="0" w:line="276" w:lineRule="auto"/>
        <w:rPr>
          <w:rFonts w:cs="Calibri"/>
          <w:b/>
          <w:bCs/>
        </w:rPr>
      </w:pPr>
      <w:r w:rsidRPr="005616AE">
        <w:rPr>
          <w:rFonts w:cs="Calibri"/>
          <w:b/>
          <w:bCs/>
        </w:rPr>
        <w:t>System Integration Testing</w:t>
      </w:r>
    </w:p>
    <w:p w14:paraId="04773FF7" w14:textId="648BEA2C" w:rsidR="00185F97" w:rsidRPr="005616AE" w:rsidRDefault="00185F97" w:rsidP="007F09CE">
      <w:pPr>
        <w:spacing w:after="0" w:line="276" w:lineRule="auto"/>
        <w:rPr>
          <w:rFonts w:cs="Calibri"/>
        </w:rPr>
      </w:pPr>
      <w:r w:rsidRPr="005616AE">
        <w:rPr>
          <w:rFonts w:cs="Calibri"/>
        </w:rPr>
        <w:t xml:space="preserve">Ensure WiTricity’s wireless charging hardware and software can integrate effectively with TD Bank’s core banking systems which </w:t>
      </w:r>
      <w:proofErr w:type="gramStart"/>
      <w:r w:rsidRPr="005616AE">
        <w:rPr>
          <w:rFonts w:cs="Calibri"/>
        </w:rPr>
        <w:t>include</w:t>
      </w:r>
      <w:proofErr w:type="gramEnd"/>
    </w:p>
    <w:p w14:paraId="6DDD88AC" w14:textId="77777777" w:rsidR="00185F97" w:rsidRPr="005616AE" w:rsidRDefault="00185F97" w:rsidP="00384F0C">
      <w:pPr>
        <w:pStyle w:val="ListParagraph"/>
        <w:numPr>
          <w:ilvl w:val="0"/>
          <w:numId w:val="43"/>
        </w:numPr>
        <w:spacing w:after="0" w:line="276" w:lineRule="auto"/>
        <w:rPr>
          <w:rFonts w:cs="Calibri"/>
        </w:rPr>
      </w:pPr>
      <w:r w:rsidRPr="005616AE">
        <w:rPr>
          <w:rFonts w:cs="Calibri"/>
          <w:b/>
          <w:bCs/>
        </w:rPr>
        <w:t>Branch-Level Devices:</w:t>
      </w:r>
      <w:r w:rsidRPr="005616AE">
        <w:rPr>
          <w:rFonts w:cs="Calibri"/>
        </w:rPr>
        <w:t xml:space="preserve"> Test integration with branch-level devices by ensuring smooth data exchange and operational reliability.</w:t>
      </w:r>
    </w:p>
    <w:p w14:paraId="66D11330" w14:textId="77777777" w:rsidR="00185F97" w:rsidRPr="005616AE" w:rsidRDefault="00185F97" w:rsidP="00384F0C">
      <w:pPr>
        <w:pStyle w:val="ListParagraph"/>
        <w:numPr>
          <w:ilvl w:val="0"/>
          <w:numId w:val="43"/>
        </w:numPr>
        <w:spacing w:after="0" w:line="276" w:lineRule="auto"/>
        <w:rPr>
          <w:rFonts w:cs="Calibri"/>
        </w:rPr>
      </w:pPr>
      <w:r w:rsidRPr="005616AE">
        <w:rPr>
          <w:rFonts w:cs="Calibri"/>
          <w:b/>
          <w:bCs/>
        </w:rPr>
        <w:t>Transaction Systems:</w:t>
      </w:r>
      <w:r w:rsidRPr="005616AE">
        <w:rPr>
          <w:rFonts w:cs="Calibri"/>
        </w:rPr>
        <w:t xml:space="preserve"> Validate that payment or usage logs generated by the charging stations </w:t>
      </w:r>
      <w:proofErr w:type="gramStart"/>
      <w:r w:rsidRPr="005616AE">
        <w:rPr>
          <w:rFonts w:cs="Calibri"/>
        </w:rPr>
        <w:t>are correctly recorded</w:t>
      </w:r>
      <w:proofErr w:type="gramEnd"/>
      <w:r w:rsidRPr="005616AE">
        <w:rPr>
          <w:rFonts w:cs="Calibri"/>
        </w:rPr>
        <w:t xml:space="preserve"> and reflected in TD Bank’s transaction systems without discrepancies.</w:t>
      </w:r>
    </w:p>
    <w:p w14:paraId="7DD9F712" w14:textId="77777777" w:rsidR="00185F97" w:rsidRPr="005616AE" w:rsidRDefault="00185F97" w:rsidP="00384F0C">
      <w:pPr>
        <w:pStyle w:val="ListParagraph"/>
        <w:numPr>
          <w:ilvl w:val="0"/>
          <w:numId w:val="43"/>
        </w:numPr>
        <w:spacing w:after="0" w:line="276" w:lineRule="auto"/>
        <w:rPr>
          <w:rFonts w:cs="Calibri"/>
        </w:rPr>
      </w:pPr>
      <w:r w:rsidRPr="005616AE">
        <w:rPr>
          <w:rFonts w:cs="Calibri"/>
          <w:b/>
          <w:bCs/>
        </w:rPr>
        <w:t>Mobile Apps:</w:t>
      </w:r>
      <w:r w:rsidRPr="005616AE">
        <w:rPr>
          <w:rFonts w:cs="Calibri"/>
        </w:rPr>
        <w:t xml:space="preserve"> Test compatibility with TD Bank’s customer-facing mobile apps to provide users real-time updates on charging session status, billing information or loyalty rewards.</w:t>
      </w:r>
    </w:p>
    <w:p w14:paraId="2DE85730" w14:textId="66A386A1" w:rsidR="00185F97" w:rsidRPr="005616AE" w:rsidRDefault="00185F97" w:rsidP="007F09CE">
      <w:pPr>
        <w:spacing w:after="0" w:line="276" w:lineRule="auto"/>
        <w:rPr>
          <w:rFonts w:cs="Calibri"/>
          <w:b/>
          <w:bCs/>
        </w:rPr>
      </w:pPr>
      <w:r w:rsidRPr="005616AE">
        <w:rPr>
          <w:rFonts w:cs="Calibri"/>
          <w:b/>
          <w:bCs/>
        </w:rPr>
        <w:t>Customer Experience Testing</w:t>
      </w:r>
    </w:p>
    <w:p w14:paraId="4565AAC6" w14:textId="2A70B6DD" w:rsidR="00185F97" w:rsidRPr="005616AE" w:rsidRDefault="00185F97" w:rsidP="007F09CE">
      <w:pPr>
        <w:spacing w:after="0" w:line="276" w:lineRule="auto"/>
        <w:rPr>
          <w:rFonts w:cs="Calibri"/>
        </w:rPr>
      </w:pPr>
      <w:r w:rsidRPr="005616AE">
        <w:rPr>
          <w:rFonts w:cs="Calibri"/>
        </w:rPr>
        <w:t xml:space="preserve">Focus on </w:t>
      </w:r>
      <w:proofErr w:type="gramStart"/>
      <w:r w:rsidRPr="005616AE">
        <w:rPr>
          <w:rFonts w:cs="Calibri"/>
        </w:rPr>
        <w:t>testing</w:t>
      </w:r>
      <w:proofErr w:type="gramEnd"/>
      <w:r w:rsidRPr="005616AE">
        <w:rPr>
          <w:rFonts w:cs="Calibri"/>
        </w:rPr>
        <w:t xml:space="preserve"> the end-to-end experience for TD Bank customers who interact with the wireless charging technology. Key areas </w:t>
      </w:r>
      <w:proofErr w:type="gramStart"/>
      <w:r w:rsidRPr="005616AE">
        <w:rPr>
          <w:rFonts w:cs="Calibri"/>
        </w:rPr>
        <w:t>include</w:t>
      </w:r>
      <w:proofErr w:type="gramEnd"/>
    </w:p>
    <w:p w14:paraId="68553BB4" w14:textId="77777777" w:rsidR="00185F97" w:rsidRPr="005616AE" w:rsidRDefault="00185F97" w:rsidP="00384F0C">
      <w:pPr>
        <w:pStyle w:val="ListParagraph"/>
        <w:numPr>
          <w:ilvl w:val="0"/>
          <w:numId w:val="42"/>
        </w:numPr>
        <w:spacing w:after="0" w:line="276" w:lineRule="auto"/>
        <w:rPr>
          <w:rFonts w:cs="Calibri"/>
        </w:rPr>
      </w:pPr>
      <w:r w:rsidRPr="005616AE">
        <w:rPr>
          <w:rFonts w:cs="Calibri"/>
          <w:b/>
          <w:bCs/>
        </w:rPr>
        <w:t>Usability Testing:</w:t>
      </w:r>
      <w:r w:rsidRPr="005616AE">
        <w:rPr>
          <w:rFonts w:cs="Calibri"/>
        </w:rPr>
        <w:t xml:space="preserve"> Evaluate how intuitive and straightforward it is for customers to locate, use as well as monitor the wireless charging facilities.</w:t>
      </w:r>
    </w:p>
    <w:p w14:paraId="28E05710" w14:textId="77777777" w:rsidR="00185F97" w:rsidRPr="005616AE" w:rsidRDefault="00185F97" w:rsidP="00384F0C">
      <w:pPr>
        <w:pStyle w:val="ListParagraph"/>
        <w:numPr>
          <w:ilvl w:val="0"/>
          <w:numId w:val="42"/>
        </w:numPr>
        <w:spacing w:after="0" w:line="276" w:lineRule="auto"/>
        <w:rPr>
          <w:rFonts w:cs="Calibri"/>
        </w:rPr>
      </w:pPr>
      <w:r w:rsidRPr="005616AE">
        <w:rPr>
          <w:rFonts w:cs="Calibri"/>
          <w:b/>
          <w:bCs/>
        </w:rPr>
        <w:t>Accessibility:</w:t>
      </w:r>
      <w:r w:rsidRPr="005616AE">
        <w:rPr>
          <w:rFonts w:cs="Calibri"/>
        </w:rPr>
        <w:t xml:space="preserve"> Ensure the charging infrastructure is inclusive, meeting accessibility standards for individuals with disabilities.</w:t>
      </w:r>
    </w:p>
    <w:p w14:paraId="4178BF27" w14:textId="77777777" w:rsidR="00185F97" w:rsidRPr="005616AE" w:rsidRDefault="00185F97" w:rsidP="00384F0C">
      <w:pPr>
        <w:pStyle w:val="ListParagraph"/>
        <w:numPr>
          <w:ilvl w:val="0"/>
          <w:numId w:val="42"/>
        </w:numPr>
        <w:spacing w:after="0" w:line="276" w:lineRule="auto"/>
        <w:rPr>
          <w:rFonts w:cs="Calibri"/>
        </w:rPr>
      </w:pPr>
      <w:r w:rsidRPr="005616AE">
        <w:rPr>
          <w:rFonts w:cs="Calibri"/>
          <w:b/>
          <w:bCs/>
        </w:rPr>
        <w:t>Feedback Collection:</w:t>
      </w:r>
      <w:r w:rsidRPr="005616AE">
        <w:rPr>
          <w:rFonts w:cs="Calibri"/>
        </w:rPr>
        <w:t xml:space="preserve"> Gather customer feedback during pilot testing phases to refine the system based on real-world usage.</w:t>
      </w:r>
    </w:p>
    <w:p w14:paraId="504A19CD" w14:textId="2937CC38" w:rsidR="00185F97" w:rsidRPr="005616AE" w:rsidRDefault="00185F97" w:rsidP="007F09CE">
      <w:pPr>
        <w:spacing w:after="0" w:line="276" w:lineRule="auto"/>
        <w:rPr>
          <w:rFonts w:cs="Calibri"/>
          <w:b/>
          <w:bCs/>
        </w:rPr>
      </w:pPr>
      <w:r w:rsidRPr="005616AE">
        <w:rPr>
          <w:rFonts w:cs="Calibri"/>
          <w:b/>
          <w:bCs/>
        </w:rPr>
        <w:t>Regulatory and Compliance Testing</w:t>
      </w:r>
    </w:p>
    <w:p w14:paraId="45CCB71F" w14:textId="41241719" w:rsidR="00185F97" w:rsidRPr="005616AE" w:rsidRDefault="00185F97" w:rsidP="007F09CE">
      <w:pPr>
        <w:spacing w:after="0" w:line="276" w:lineRule="auto"/>
        <w:rPr>
          <w:rFonts w:cs="Calibri"/>
        </w:rPr>
      </w:pPr>
      <w:r w:rsidRPr="005616AE">
        <w:rPr>
          <w:rFonts w:cs="Calibri"/>
        </w:rPr>
        <w:t xml:space="preserve">Adherence to industry standards and legal regulations is critical. Testing will </w:t>
      </w:r>
      <w:proofErr w:type="gramStart"/>
      <w:r w:rsidRPr="005616AE">
        <w:rPr>
          <w:rFonts w:cs="Calibri"/>
        </w:rPr>
        <w:t>validate</w:t>
      </w:r>
      <w:proofErr w:type="gramEnd"/>
    </w:p>
    <w:p w14:paraId="5999FE72" w14:textId="77777777" w:rsidR="00185F97" w:rsidRPr="005616AE" w:rsidRDefault="00185F97" w:rsidP="00384F0C">
      <w:pPr>
        <w:pStyle w:val="ListParagraph"/>
        <w:numPr>
          <w:ilvl w:val="0"/>
          <w:numId w:val="41"/>
        </w:numPr>
        <w:spacing w:after="0" w:line="276" w:lineRule="auto"/>
        <w:rPr>
          <w:rFonts w:cs="Calibri"/>
        </w:rPr>
      </w:pPr>
      <w:r w:rsidRPr="005616AE">
        <w:rPr>
          <w:rFonts w:cs="Calibri"/>
          <w:b/>
          <w:bCs/>
        </w:rPr>
        <w:lastRenderedPageBreak/>
        <w:t>Payment Card Industry Data Security Standard:</w:t>
      </w:r>
      <w:r w:rsidRPr="005616AE">
        <w:rPr>
          <w:rFonts w:cs="Calibri"/>
        </w:rPr>
        <w:t xml:space="preserve"> Ensure secure handling of payment data for any transactions related to charging services.</w:t>
      </w:r>
    </w:p>
    <w:p w14:paraId="03C3419F" w14:textId="77777777" w:rsidR="00185F97" w:rsidRPr="005616AE" w:rsidRDefault="00185F97" w:rsidP="00384F0C">
      <w:pPr>
        <w:pStyle w:val="ListParagraph"/>
        <w:numPr>
          <w:ilvl w:val="0"/>
          <w:numId w:val="41"/>
        </w:numPr>
        <w:spacing w:after="0" w:line="276" w:lineRule="auto"/>
        <w:rPr>
          <w:rFonts w:cs="Calibri"/>
        </w:rPr>
      </w:pPr>
      <w:r w:rsidRPr="005616AE">
        <w:rPr>
          <w:rFonts w:cs="Calibri"/>
          <w:b/>
          <w:bCs/>
        </w:rPr>
        <w:t>Energy Efficiency Standards:</w:t>
      </w:r>
      <w:r w:rsidRPr="005616AE">
        <w:rPr>
          <w:rFonts w:cs="Calibri"/>
        </w:rPr>
        <w:t xml:space="preserve"> Test compliance with local and national energy regulations to meet sustainability goals.</w:t>
      </w:r>
    </w:p>
    <w:p w14:paraId="74B91AF2" w14:textId="77777777" w:rsidR="00185F97" w:rsidRPr="005616AE" w:rsidRDefault="00185F97" w:rsidP="00384F0C">
      <w:pPr>
        <w:pStyle w:val="ListParagraph"/>
        <w:numPr>
          <w:ilvl w:val="0"/>
          <w:numId w:val="41"/>
        </w:numPr>
        <w:spacing w:after="0" w:line="276" w:lineRule="auto"/>
        <w:rPr>
          <w:rFonts w:cs="Calibri"/>
        </w:rPr>
      </w:pPr>
      <w:r w:rsidRPr="005616AE">
        <w:rPr>
          <w:rFonts w:cs="Calibri"/>
          <w:b/>
          <w:bCs/>
        </w:rPr>
        <w:t>Banking-Specific Standards:</w:t>
      </w:r>
      <w:r w:rsidRPr="005616AE">
        <w:rPr>
          <w:rFonts w:cs="Calibri"/>
        </w:rPr>
        <w:t xml:space="preserve"> Confirm that the integration adheres to cybersecurity and operational guidelines specific to the financial industry.</w:t>
      </w:r>
    </w:p>
    <w:p w14:paraId="7C4B99DD" w14:textId="5CA24953" w:rsidR="00185F97" w:rsidRPr="005616AE" w:rsidRDefault="00185F97" w:rsidP="007F09CE">
      <w:pPr>
        <w:spacing w:after="0" w:line="276" w:lineRule="auto"/>
        <w:rPr>
          <w:rFonts w:cs="Calibri"/>
          <w:b/>
          <w:bCs/>
        </w:rPr>
      </w:pPr>
      <w:r w:rsidRPr="005616AE">
        <w:rPr>
          <w:rFonts w:cs="Calibri"/>
          <w:b/>
          <w:bCs/>
        </w:rPr>
        <w:t>Infrastructure Readiness Testing</w:t>
      </w:r>
    </w:p>
    <w:p w14:paraId="7B5ABF79" w14:textId="2096F99E" w:rsidR="00185F97" w:rsidRPr="005616AE" w:rsidRDefault="00185F97" w:rsidP="007F09CE">
      <w:pPr>
        <w:spacing w:after="0" w:line="276" w:lineRule="auto"/>
        <w:rPr>
          <w:rFonts w:cs="Calibri"/>
        </w:rPr>
      </w:pPr>
      <w:r w:rsidRPr="005616AE">
        <w:rPr>
          <w:rFonts w:cs="Calibri"/>
        </w:rPr>
        <w:t xml:space="preserve">Assess the physical and digital infrastructure readiness for deploying wireless charging technology. Testing activities </w:t>
      </w:r>
      <w:proofErr w:type="gramStart"/>
      <w:r w:rsidRPr="005616AE">
        <w:rPr>
          <w:rFonts w:cs="Calibri"/>
        </w:rPr>
        <w:t>include</w:t>
      </w:r>
      <w:proofErr w:type="gramEnd"/>
    </w:p>
    <w:p w14:paraId="63707F77" w14:textId="77777777" w:rsidR="00185F97" w:rsidRPr="005616AE" w:rsidRDefault="00185F97" w:rsidP="00384F0C">
      <w:pPr>
        <w:pStyle w:val="ListParagraph"/>
        <w:numPr>
          <w:ilvl w:val="0"/>
          <w:numId w:val="44"/>
        </w:numPr>
        <w:spacing w:after="0" w:line="276" w:lineRule="auto"/>
        <w:rPr>
          <w:rFonts w:cs="Calibri"/>
        </w:rPr>
      </w:pPr>
      <w:r w:rsidRPr="005616AE">
        <w:rPr>
          <w:rFonts w:cs="Calibri"/>
          <w:b/>
          <w:bCs/>
        </w:rPr>
        <w:t>Site Surveys:</w:t>
      </w:r>
      <w:r w:rsidRPr="005616AE">
        <w:rPr>
          <w:rFonts w:cs="Calibri"/>
        </w:rPr>
        <w:t xml:space="preserve"> Analyse branch layouts to identify optimal locations for deploying charging stations, considering power supply, customer convenience and safety.</w:t>
      </w:r>
    </w:p>
    <w:p w14:paraId="6DD6D178" w14:textId="77777777" w:rsidR="00185F97" w:rsidRPr="005616AE" w:rsidRDefault="00185F97" w:rsidP="00384F0C">
      <w:pPr>
        <w:pStyle w:val="ListParagraph"/>
        <w:numPr>
          <w:ilvl w:val="0"/>
          <w:numId w:val="44"/>
        </w:numPr>
        <w:spacing w:after="0" w:line="276" w:lineRule="auto"/>
        <w:rPr>
          <w:rFonts w:cs="Calibri"/>
        </w:rPr>
      </w:pPr>
      <w:r w:rsidRPr="005616AE">
        <w:rPr>
          <w:rFonts w:cs="Calibri"/>
          <w:b/>
          <w:bCs/>
        </w:rPr>
        <w:t>Network Compatibility:</w:t>
      </w:r>
      <w:r w:rsidRPr="005616AE">
        <w:rPr>
          <w:rFonts w:cs="Calibri"/>
        </w:rPr>
        <w:t xml:space="preserve"> Validate that existing branch networks can support the additional data traffic generated by charging devices without performance degradation.</w:t>
      </w:r>
    </w:p>
    <w:p w14:paraId="652ECF3E" w14:textId="77777777" w:rsidR="00185F97" w:rsidRPr="005616AE" w:rsidRDefault="00185F97" w:rsidP="00384F0C">
      <w:pPr>
        <w:pStyle w:val="ListParagraph"/>
        <w:numPr>
          <w:ilvl w:val="0"/>
          <w:numId w:val="44"/>
        </w:numPr>
        <w:spacing w:after="0" w:line="276" w:lineRule="auto"/>
        <w:rPr>
          <w:rFonts w:cs="Calibri"/>
        </w:rPr>
      </w:pPr>
      <w:r w:rsidRPr="005616AE">
        <w:rPr>
          <w:rFonts w:cs="Calibri"/>
          <w:b/>
          <w:bCs/>
        </w:rPr>
        <w:t>Power Management:</w:t>
      </w:r>
      <w:r w:rsidRPr="005616AE">
        <w:rPr>
          <w:rFonts w:cs="Calibri"/>
        </w:rPr>
        <w:t xml:space="preserve"> Ensure the branch power infrastructure can </w:t>
      </w:r>
      <w:proofErr w:type="gramStart"/>
      <w:r w:rsidRPr="005616AE">
        <w:rPr>
          <w:rFonts w:cs="Calibri"/>
        </w:rPr>
        <w:t>handle</w:t>
      </w:r>
      <w:proofErr w:type="gramEnd"/>
      <w:r w:rsidRPr="005616AE">
        <w:rPr>
          <w:rFonts w:cs="Calibri"/>
        </w:rPr>
        <w:t xml:space="preserve"> the demands of wireless charging systems without causing outages or interruptions.</w:t>
      </w:r>
    </w:p>
    <w:p w14:paraId="4FD17808" w14:textId="5AF2EC93" w:rsidR="00185F97" w:rsidRPr="005616AE" w:rsidRDefault="00185F97" w:rsidP="007F09CE">
      <w:pPr>
        <w:spacing w:after="0" w:line="276" w:lineRule="auto"/>
        <w:rPr>
          <w:rFonts w:cs="Calibri"/>
          <w:b/>
          <w:bCs/>
        </w:rPr>
      </w:pPr>
      <w:r w:rsidRPr="005616AE">
        <w:rPr>
          <w:rFonts w:cs="Calibri"/>
          <w:b/>
          <w:bCs/>
        </w:rPr>
        <w:t>Data Flow Validation</w:t>
      </w:r>
    </w:p>
    <w:p w14:paraId="31F6A412" w14:textId="10D88DDD" w:rsidR="00185F97" w:rsidRPr="005616AE" w:rsidRDefault="00185F97" w:rsidP="007F09CE">
      <w:pPr>
        <w:spacing w:after="0" w:line="276" w:lineRule="auto"/>
        <w:rPr>
          <w:rFonts w:cs="Calibri"/>
        </w:rPr>
      </w:pPr>
      <w:r w:rsidRPr="005616AE">
        <w:rPr>
          <w:rFonts w:cs="Calibri"/>
        </w:rPr>
        <w:t xml:space="preserve">Ensure the accuracy and consistency of data generated by WiTricity’s charging systems as it flows into TD Bank’s backend systems. This </w:t>
      </w:r>
      <w:proofErr w:type="gramStart"/>
      <w:r w:rsidRPr="005616AE">
        <w:rPr>
          <w:rFonts w:cs="Calibri"/>
        </w:rPr>
        <w:t>includes</w:t>
      </w:r>
      <w:proofErr w:type="gramEnd"/>
    </w:p>
    <w:p w14:paraId="5E012639" w14:textId="77777777" w:rsidR="00185F97" w:rsidRPr="005616AE" w:rsidRDefault="00185F97" w:rsidP="00384F0C">
      <w:pPr>
        <w:pStyle w:val="ListParagraph"/>
        <w:numPr>
          <w:ilvl w:val="0"/>
          <w:numId w:val="45"/>
        </w:numPr>
        <w:spacing w:after="0" w:line="276" w:lineRule="auto"/>
        <w:rPr>
          <w:rFonts w:cs="Calibri"/>
        </w:rPr>
      </w:pPr>
      <w:r w:rsidRPr="005616AE">
        <w:rPr>
          <w:rFonts w:cs="Calibri"/>
          <w:b/>
          <w:bCs/>
        </w:rPr>
        <w:t>Logging and Reporting:</w:t>
      </w:r>
      <w:r w:rsidRPr="005616AE">
        <w:rPr>
          <w:rFonts w:cs="Calibri"/>
        </w:rPr>
        <w:t xml:space="preserve"> Verify that all charging session details including start time, duration, energy usage and payment details </w:t>
      </w:r>
      <w:proofErr w:type="gramStart"/>
      <w:r w:rsidRPr="005616AE">
        <w:rPr>
          <w:rFonts w:cs="Calibri"/>
        </w:rPr>
        <w:t>are logged</w:t>
      </w:r>
      <w:proofErr w:type="gramEnd"/>
      <w:r w:rsidRPr="005616AE">
        <w:rPr>
          <w:rFonts w:cs="Calibri"/>
        </w:rPr>
        <w:t xml:space="preserve"> accurately. This can </w:t>
      </w:r>
      <w:proofErr w:type="gramStart"/>
      <w:r w:rsidRPr="005616AE">
        <w:rPr>
          <w:rFonts w:cs="Calibri"/>
        </w:rPr>
        <w:t>be retrieved</w:t>
      </w:r>
      <w:proofErr w:type="gramEnd"/>
      <w:r w:rsidRPr="005616AE">
        <w:rPr>
          <w:rFonts w:cs="Calibri"/>
        </w:rPr>
        <w:t xml:space="preserve"> for audits.</w:t>
      </w:r>
    </w:p>
    <w:p w14:paraId="6D2430D2" w14:textId="3567805B" w:rsidR="00185F97" w:rsidRPr="005616AE" w:rsidRDefault="00185F97" w:rsidP="00384F0C">
      <w:pPr>
        <w:pStyle w:val="ListParagraph"/>
        <w:numPr>
          <w:ilvl w:val="0"/>
          <w:numId w:val="45"/>
        </w:numPr>
        <w:spacing w:after="0" w:line="276" w:lineRule="auto"/>
        <w:rPr>
          <w:rFonts w:cs="Calibri"/>
        </w:rPr>
      </w:pPr>
      <w:r w:rsidRPr="005616AE">
        <w:rPr>
          <w:rFonts w:cs="Calibri"/>
          <w:b/>
          <w:bCs/>
        </w:rPr>
        <w:t>Data Synchronisation:</w:t>
      </w:r>
      <w:r w:rsidRPr="005616AE">
        <w:rPr>
          <w:rFonts w:cs="Calibri"/>
        </w:rPr>
        <w:t xml:space="preserve"> Ensure real-time synchronisation between charging systems. TD’s databases for reporting, </w:t>
      </w:r>
      <w:proofErr w:type="gramStart"/>
      <w:r w:rsidRPr="005616AE">
        <w:rPr>
          <w:rFonts w:cs="Calibri"/>
        </w:rPr>
        <w:t>billing</w:t>
      </w:r>
      <w:proofErr w:type="gramEnd"/>
      <w:r w:rsidRPr="005616AE">
        <w:rPr>
          <w:rFonts w:cs="Calibri"/>
        </w:rPr>
        <w:t xml:space="preserve"> and analytics purposes.</w:t>
      </w:r>
    </w:p>
    <w:p w14:paraId="2071D982" w14:textId="77777777" w:rsidR="00185F97" w:rsidRPr="005616AE" w:rsidRDefault="00185F97" w:rsidP="00384F0C">
      <w:pPr>
        <w:pStyle w:val="ListParagraph"/>
        <w:numPr>
          <w:ilvl w:val="0"/>
          <w:numId w:val="45"/>
        </w:numPr>
        <w:spacing w:after="0" w:line="276" w:lineRule="auto"/>
        <w:rPr>
          <w:rFonts w:cs="Calibri"/>
        </w:rPr>
      </w:pPr>
      <w:r w:rsidRPr="005616AE">
        <w:rPr>
          <w:rFonts w:cs="Calibri"/>
          <w:b/>
          <w:bCs/>
        </w:rPr>
        <w:t>Error Handling:</w:t>
      </w:r>
      <w:r w:rsidRPr="005616AE">
        <w:rPr>
          <w:rFonts w:cs="Calibri"/>
        </w:rPr>
        <w:t xml:space="preserve"> Test how the system </w:t>
      </w:r>
      <w:proofErr w:type="gramStart"/>
      <w:r w:rsidRPr="005616AE">
        <w:rPr>
          <w:rFonts w:cs="Calibri"/>
        </w:rPr>
        <w:t>handles</w:t>
      </w:r>
      <w:proofErr w:type="gramEnd"/>
      <w:r w:rsidRPr="005616AE">
        <w:rPr>
          <w:rFonts w:cs="Calibri"/>
        </w:rPr>
        <w:t xml:space="preserve"> discrepancies such as interrupted charging sessions or failed transactions. To ensure appropriate error messages </w:t>
      </w:r>
      <w:proofErr w:type="gramStart"/>
      <w:r w:rsidRPr="005616AE">
        <w:rPr>
          <w:rFonts w:cs="Calibri"/>
        </w:rPr>
        <w:t>are generated</w:t>
      </w:r>
      <w:proofErr w:type="gramEnd"/>
      <w:r w:rsidRPr="005616AE">
        <w:rPr>
          <w:rFonts w:cs="Calibri"/>
        </w:rPr>
        <w:t xml:space="preserve"> for users and administrators.</w:t>
      </w:r>
    </w:p>
    <w:p w14:paraId="4AB21563" w14:textId="5EC71579" w:rsidR="00185F97" w:rsidRPr="005616AE" w:rsidRDefault="00185F97" w:rsidP="007F09CE">
      <w:pPr>
        <w:spacing w:after="0" w:line="276" w:lineRule="auto"/>
        <w:rPr>
          <w:rFonts w:cs="Calibri"/>
          <w:b/>
          <w:bCs/>
        </w:rPr>
      </w:pPr>
      <w:r w:rsidRPr="005616AE">
        <w:rPr>
          <w:rFonts w:cs="Calibri"/>
          <w:b/>
          <w:bCs/>
        </w:rPr>
        <w:t>Overview</w:t>
      </w:r>
    </w:p>
    <w:p w14:paraId="2CEB438B" w14:textId="77777777" w:rsidR="00185F97" w:rsidRPr="005616AE" w:rsidRDefault="00185F97" w:rsidP="007F09CE">
      <w:pPr>
        <w:spacing w:after="0" w:line="276" w:lineRule="auto"/>
        <w:rPr>
          <w:rFonts w:cs="Calibri"/>
        </w:rPr>
      </w:pPr>
      <w:r w:rsidRPr="005616AE">
        <w:rPr>
          <w:rFonts w:cs="Calibri"/>
        </w:rPr>
        <w:t>WiTricity’s wireless charging technology represents a strategic move for TD Bank to integrate sustainability and innovation into its services. This integration aligns with TD Bank’s goals in the following ways:</w:t>
      </w:r>
    </w:p>
    <w:p w14:paraId="588AF766" w14:textId="168FBA05" w:rsidR="00185F97" w:rsidRPr="005616AE" w:rsidRDefault="00185F97" w:rsidP="007F09CE">
      <w:pPr>
        <w:spacing w:after="0" w:line="276" w:lineRule="auto"/>
        <w:rPr>
          <w:rFonts w:cs="Calibri"/>
        </w:rPr>
      </w:pPr>
      <w:r w:rsidRPr="005616AE">
        <w:rPr>
          <w:rFonts w:cs="Calibri"/>
          <w:b/>
          <w:bCs/>
        </w:rPr>
        <w:t>Enhancing Sustainability</w:t>
      </w:r>
    </w:p>
    <w:p w14:paraId="6641DDF7" w14:textId="77777777" w:rsidR="00185F97" w:rsidRPr="005616AE" w:rsidRDefault="00185F97" w:rsidP="007F09CE">
      <w:pPr>
        <w:spacing w:after="0" w:line="276" w:lineRule="auto"/>
        <w:rPr>
          <w:rFonts w:cs="Calibri"/>
        </w:rPr>
      </w:pPr>
      <w:r w:rsidRPr="005616AE">
        <w:rPr>
          <w:rFonts w:cs="Calibri"/>
        </w:rPr>
        <w:t>Supporting eco-friendly technology aligns with TD Bank’s environmental commitments and broader sustainability initiatives as outlined in its corporate social responsibility (CSR) framework.</w:t>
      </w:r>
    </w:p>
    <w:p w14:paraId="07ED4BBD" w14:textId="22E01D59" w:rsidR="00185F97" w:rsidRPr="005616AE" w:rsidRDefault="00185F97" w:rsidP="007F09CE">
      <w:pPr>
        <w:spacing w:after="0" w:line="276" w:lineRule="auto"/>
        <w:rPr>
          <w:rFonts w:cs="Calibri"/>
        </w:rPr>
      </w:pPr>
      <w:r w:rsidRPr="005616AE">
        <w:rPr>
          <w:rFonts w:cs="Calibri"/>
          <w:b/>
          <w:bCs/>
        </w:rPr>
        <w:t>Improving Customer Experience</w:t>
      </w:r>
    </w:p>
    <w:p w14:paraId="357F4091" w14:textId="77777777" w:rsidR="00185F97" w:rsidRPr="005616AE" w:rsidRDefault="00185F97" w:rsidP="007F09CE">
      <w:pPr>
        <w:spacing w:after="0" w:line="276" w:lineRule="auto"/>
        <w:rPr>
          <w:rFonts w:cs="Calibri"/>
        </w:rPr>
      </w:pPr>
      <w:r w:rsidRPr="005616AE">
        <w:rPr>
          <w:rFonts w:cs="Calibri"/>
        </w:rPr>
        <w:t>Offering wireless charging facilities enhances convenience and promotes TD Bank as a customer-focused, forward-thinking institution. This innovation could attract tech-savvy customers and increase loyalty among existing ones.</w:t>
      </w:r>
    </w:p>
    <w:p w14:paraId="6DDCC946" w14:textId="0AD29668" w:rsidR="00185F97" w:rsidRPr="005616AE" w:rsidRDefault="00185F97" w:rsidP="007F09CE">
      <w:pPr>
        <w:spacing w:after="0" w:line="276" w:lineRule="auto"/>
        <w:rPr>
          <w:rFonts w:cs="Calibri"/>
        </w:rPr>
      </w:pPr>
      <w:r w:rsidRPr="005616AE">
        <w:rPr>
          <w:rFonts w:cs="Calibri"/>
          <w:b/>
          <w:bCs/>
        </w:rPr>
        <w:t>Adhering to Regulatory Benchmarks</w:t>
      </w:r>
    </w:p>
    <w:p w14:paraId="4A227106" w14:textId="77777777" w:rsidR="00185F97" w:rsidRPr="005616AE" w:rsidRDefault="00185F97" w:rsidP="007F09CE">
      <w:pPr>
        <w:spacing w:after="0" w:line="276" w:lineRule="auto"/>
        <w:rPr>
          <w:rFonts w:cs="Calibri"/>
        </w:rPr>
      </w:pPr>
      <w:r w:rsidRPr="005616AE">
        <w:rPr>
          <w:rFonts w:cs="Calibri"/>
        </w:rPr>
        <w:t>This test strategy ensures compliance with both financial industry regulations as well as environmental standards by maintaining TD Bank’s reputation as a trusted and responsible organisation.</w:t>
      </w:r>
    </w:p>
    <w:p w14:paraId="2656D0EB" w14:textId="77777777" w:rsidR="00185F97" w:rsidRPr="005616AE" w:rsidRDefault="00185F97" w:rsidP="007F09CE">
      <w:pPr>
        <w:pStyle w:val="Heading2"/>
        <w:spacing w:after="0"/>
        <w:rPr>
          <w:rFonts w:ascii="Calibri" w:hAnsi="Calibri" w:cs="Calibri"/>
        </w:rPr>
      </w:pPr>
      <w:bookmarkStart w:id="75" w:name="_Toc183211083"/>
      <w:r w:rsidRPr="005616AE">
        <w:rPr>
          <w:rFonts w:ascii="Calibri" w:hAnsi="Calibri" w:cs="Calibri"/>
        </w:rPr>
        <w:lastRenderedPageBreak/>
        <w:t>Testing Methodology</w:t>
      </w:r>
      <w:bookmarkEnd w:id="75"/>
    </w:p>
    <w:p w14:paraId="6B9983C3" w14:textId="77777777" w:rsidR="00185F97" w:rsidRPr="005616AE" w:rsidRDefault="00185F97" w:rsidP="007F09CE">
      <w:pPr>
        <w:spacing w:after="0" w:line="276" w:lineRule="auto"/>
        <w:rPr>
          <w:rFonts w:cs="Calibri"/>
        </w:rPr>
      </w:pPr>
      <w:r w:rsidRPr="005616AE">
        <w:rPr>
          <w:rFonts w:cs="Calibri"/>
        </w:rPr>
        <w:t xml:space="preserve">The testing methodology ensures both functional and non-functional aspects of WiTricity’s wireless charging technology </w:t>
      </w:r>
      <w:proofErr w:type="gramStart"/>
      <w:r w:rsidRPr="005616AE">
        <w:rPr>
          <w:rFonts w:cs="Calibri"/>
        </w:rPr>
        <w:t>are comprehensively validated</w:t>
      </w:r>
      <w:proofErr w:type="gramEnd"/>
      <w:r w:rsidRPr="005616AE">
        <w:rPr>
          <w:rFonts w:cs="Calibri"/>
        </w:rPr>
        <w:t xml:space="preserve"> to meet TD Bank’s operational as well as customer experience goals.</w:t>
      </w:r>
    </w:p>
    <w:p w14:paraId="7B60B91C" w14:textId="77777777" w:rsidR="00185F97" w:rsidRPr="005616AE" w:rsidRDefault="00185F97" w:rsidP="007F09CE">
      <w:pPr>
        <w:pStyle w:val="Heading3"/>
        <w:spacing w:after="0"/>
        <w:rPr>
          <w:rFonts w:cs="Calibri"/>
        </w:rPr>
      </w:pPr>
      <w:bookmarkStart w:id="76" w:name="_Toc183211084"/>
      <w:r w:rsidRPr="005616AE">
        <w:rPr>
          <w:rFonts w:cs="Calibri"/>
        </w:rPr>
        <w:t>Functional Testing</w:t>
      </w:r>
      <w:bookmarkEnd w:id="76"/>
    </w:p>
    <w:p w14:paraId="48AA6F51" w14:textId="77777777" w:rsidR="00185F97" w:rsidRPr="005616AE" w:rsidRDefault="00185F97" w:rsidP="00460B09">
      <w:pPr>
        <w:spacing w:after="0" w:line="276" w:lineRule="auto"/>
        <w:rPr>
          <w:rFonts w:cs="Calibri"/>
          <w:b/>
          <w:bCs/>
        </w:rPr>
      </w:pPr>
      <w:r w:rsidRPr="005616AE">
        <w:rPr>
          <w:rFonts w:cs="Calibri"/>
          <w:b/>
          <w:bCs/>
        </w:rPr>
        <w:t xml:space="preserve">Core Functionalities </w:t>
      </w:r>
    </w:p>
    <w:p w14:paraId="4D7D51EA" w14:textId="238569DA" w:rsidR="00185F97" w:rsidRPr="005616AE" w:rsidRDefault="00185F97" w:rsidP="007F09CE">
      <w:pPr>
        <w:spacing w:after="0" w:line="276" w:lineRule="auto"/>
        <w:rPr>
          <w:rFonts w:cs="Calibri"/>
          <w:b/>
          <w:bCs/>
        </w:rPr>
      </w:pPr>
      <w:r w:rsidRPr="005616AE">
        <w:rPr>
          <w:rFonts w:cs="Calibri"/>
          <w:b/>
          <w:bCs/>
        </w:rPr>
        <w:t>Charging Station Operations</w:t>
      </w:r>
    </w:p>
    <w:p w14:paraId="5BBC4F87" w14:textId="77777777" w:rsidR="00185F97" w:rsidRPr="005616AE" w:rsidRDefault="00185F97" w:rsidP="00384F0C">
      <w:pPr>
        <w:pStyle w:val="ListParagraph"/>
        <w:numPr>
          <w:ilvl w:val="0"/>
          <w:numId w:val="27"/>
        </w:numPr>
        <w:spacing w:after="0" w:line="276" w:lineRule="auto"/>
        <w:rPr>
          <w:rFonts w:cs="Calibri"/>
        </w:rPr>
      </w:pPr>
      <w:r w:rsidRPr="005616AE">
        <w:rPr>
          <w:rFonts w:cs="Calibri"/>
        </w:rPr>
        <w:t>Validate that wireless charging stations work seamlessly when accessed by customers or staff.</w:t>
      </w:r>
    </w:p>
    <w:p w14:paraId="6243DFDB" w14:textId="77777777" w:rsidR="00185F97" w:rsidRPr="005616AE" w:rsidRDefault="00185F97" w:rsidP="00384F0C">
      <w:pPr>
        <w:pStyle w:val="ListParagraph"/>
        <w:numPr>
          <w:ilvl w:val="0"/>
          <w:numId w:val="27"/>
        </w:numPr>
        <w:spacing w:after="0" w:line="276" w:lineRule="auto"/>
        <w:rPr>
          <w:rFonts w:cs="Calibri"/>
        </w:rPr>
      </w:pPr>
      <w:proofErr w:type="gramStart"/>
      <w:r w:rsidRPr="005616AE">
        <w:rPr>
          <w:rFonts w:cs="Calibri"/>
        </w:rPr>
        <w:t>Test</w:t>
      </w:r>
      <w:proofErr w:type="gramEnd"/>
      <w:r w:rsidRPr="005616AE">
        <w:rPr>
          <w:rFonts w:cs="Calibri"/>
        </w:rPr>
        <w:t xml:space="preserve"> all essential functions including starting, monitoring and ending charging sessions.</w:t>
      </w:r>
    </w:p>
    <w:p w14:paraId="60EFD163" w14:textId="77777777" w:rsidR="00185F97" w:rsidRPr="005616AE" w:rsidRDefault="00185F97" w:rsidP="00384F0C">
      <w:pPr>
        <w:pStyle w:val="ListParagraph"/>
        <w:numPr>
          <w:ilvl w:val="0"/>
          <w:numId w:val="27"/>
        </w:numPr>
        <w:spacing w:after="0" w:line="276" w:lineRule="auto"/>
        <w:rPr>
          <w:rFonts w:cs="Calibri"/>
        </w:rPr>
      </w:pPr>
      <w:r w:rsidRPr="005616AE">
        <w:rPr>
          <w:rFonts w:cs="Calibri"/>
        </w:rPr>
        <w:t>Verify proper interaction between the charging stations and supporting systems such as branch power management as well as device authentication services.</w:t>
      </w:r>
    </w:p>
    <w:p w14:paraId="6B40B454" w14:textId="4F0C3CCD" w:rsidR="00185F97" w:rsidRPr="005616AE" w:rsidRDefault="00185F97" w:rsidP="007F09CE">
      <w:pPr>
        <w:spacing w:after="0" w:line="276" w:lineRule="auto"/>
        <w:rPr>
          <w:rFonts w:cs="Calibri"/>
          <w:b/>
          <w:bCs/>
        </w:rPr>
      </w:pPr>
      <w:r w:rsidRPr="005616AE">
        <w:rPr>
          <w:rFonts w:cs="Calibri"/>
          <w:b/>
          <w:bCs/>
        </w:rPr>
        <w:t>Transaction Flow Validation</w:t>
      </w:r>
    </w:p>
    <w:p w14:paraId="2C52F3E7" w14:textId="77777777" w:rsidR="00185F97" w:rsidRPr="005616AE" w:rsidRDefault="00185F97" w:rsidP="007F09CE">
      <w:pPr>
        <w:spacing w:after="0" w:line="276" w:lineRule="auto"/>
        <w:rPr>
          <w:rFonts w:cs="Calibri"/>
        </w:rPr>
      </w:pPr>
      <w:r w:rsidRPr="005616AE">
        <w:rPr>
          <w:rFonts w:cs="Calibri"/>
        </w:rPr>
        <w:t>For customers using the charging service, validate that payment systems process transactions correctly. This involves:</w:t>
      </w:r>
    </w:p>
    <w:p w14:paraId="0563A24A" w14:textId="77777777" w:rsidR="00185F97" w:rsidRPr="005616AE" w:rsidRDefault="00185F97" w:rsidP="00384F0C">
      <w:pPr>
        <w:pStyle w:val="ListParagraph"/>
        <w:numPr>
          <w:ilvl w:val="0"/>
          <w:numId w:val="28"/>
        </w:numPr>
        <w:spacing w:after="0" w:line="276" w:lineRule="auto"/>
        <w:rPr>
          <w:rFonts w:cs="Calibri"/>
        </w:rPr>
      </w:pPr>
      <w:r w:rsidRPr="005616AE">
        <w:rPr>
          <w:rFonts w:cs="Calibri"/>
        </w:rPr>
        <w:t>Ensuring seamless integration with TD Bank’s payment gateways and loyalty programs.</w:t>
      </w:r>
    </w:p>
    <w:p w14:paraId="5A559B4A" w14:textId="77777777" w:rsidR="00185F97" w:rsidRPr="005616AE" w:rsidRDefault="00185F97" w:rsidP="00384F0C">
      <w:pPr>
        <w:pStyle w:val="ListParagraph"/>
        <w:numPr>
          <w:ilvl w:val="0"/>
          <w:numId w:val="28"/>
        </w:numPr>
        <w:spacing w:after="0" w:line="276" w:lineRule="auto"/>
        <w:rPr>
          <w:rFonts w:cs="Calibri"/>
        </w:rPr>
      </w:pPr>
      <w:r w:rsidRPr="005616AE">
        <w:rPr>
          <w:rFonts w:cs="Calibri"/>
        </w:rPr>
        <w:t xml:space="preserve">Testing scenarios where charging fees (if applicable) </w:t>
      </w:r>
      <w:proofErr w:type="gramStart"/>
      <w:r w:rsidRPr="005616AE">
        <w:rPr>
          <w:rFonts w:cs="Calibri"/>
        </w:rPr>
        <w:t>are linked</w:t>
      </w:r>
      <w:proofErr w:type="gramEnd"/>
      <w:r w:rsidRPr="005616AE">
        <w:rPr>
          <w:rFonts w:cs="Calibri"/>
        </w:rPr>
        <w:t xml:space="preserve"> to customer accounts or loyalty points redemption.</w:t>
      </w:r>
    </w:p>
    <w:p w14:paraId="21335EBF" w14:textId="77777777" w:rsidR="00185F97" w:rsidRPr="005616AE" w:rsidRDefault="00185F97" w:rsidP="00384F0C">
      <w:pPr>
        <w:pStyle w:val="ListParagraph"/>
        <w:numPr>
          <w:ilvl w:val="0"/>
          <w:numId w:val="28"/>
        </w:numPr>
        <w:spacing w:after="0" w:line="276" w:lineRule="auto"/>
        <w:rPr>
          <w:rFonts w:cs="Calibri"/>
        </w:rPr>
      </w:pPr>
      <w:r w:rsidRPr="005616AE">
        <w:rPr>
          <w:rFonts w:cs="Calibri"/>
        </w:rPr>
        <w:t>Cross-check transaction logs to ensure accurate reporting for reconciliation purposes.</w:t>
      </w:r>
    </w:p>
    <w:p w14:paraId="4AC67856" w14:textId="77777777" w:rsidR="00185F97" w:rsidRPr="005616AE" w:rsidRDefault="00185F97" w:rsidP="007F09CE">
      <w:pPr>
        <w:pStyle w:val="ListParagraph"/>
        <w:spacing w:after="0" w:line="276" w:lineRule="auto"/>
        <w:rPr>
          <w:rFonts w:cs="Calibri"/>
        </w:rPr>
      </w:pPr>
    </w:p>
    <w:p w14:paraId="3B0368DD" w14:textId="74FAA802" w:rsidR="00185F97" w:rsidRPr="005616AE" w:rsidRDefault="00185F97" w:rsidP="00C512AF">
      <w:pPr>
        <w:spacing w:after="0" w:line="276" w:lineRule="auto"/>
        <w:rPr>
          <w:rFonts w:cs="Calibri"/>
          <w:b/>
          <w:bCs/>
        </w:rPr>
      </w:pPr>
      <w:r w:rsidRPr="005616AE">
        <w:rPr>
          <w:rFonts w:cs="Calibri"/>
          <w:b/>
          <w:bCs/>
        </w:rPr>
        <w:t>Edge Cases</w:t>
      </w:r>
    </w:p>
    <w:p w14:paraId="0CDAB62A" w14:textId="6F2EE456" w:rsidR="00185F97" w:rsidRPr="005616AE" w:rsidRDefault="00185F97" w:rsidP="007F09CE">
      <w:pPr>
        <w:spacing w:after="0" w:line="276" w:lineRule="auto"/>
        <w:rPr>
          <w:rFonts w:cs="Calibri"/>
          <w:b/>
          <w:bCs/>
        </w:rPr>
      </w:pPr>
      <w:r w:rsidRPr="005616AE">
        <w:rPr>
          <w:rFonts w:cs="Calibri"/>
          <w:b/>
          <w:bCs/>
        </w:rPr>
        <w:t>Device-Specific Scenarios</w:t>
      </w:r>
    </w:p>
    <w:p w14:paraId="3D8B0E7F" w14:textId="77777777" w:rsidR="00185F97" w:rsidRPr="005616AE" w:rsidRDefault="00185F97" w:rsidP="00384F0C">
      <w:pPr>
        <w:pStyle w:val="ListParagraph"/>
        <w:numPr>
          <w:ilvl w:val="0"/>
          <w:numId w:val="29"/>
        </w:numPr>
        <w:spacing w:after="0" w:line="276" w:lineRule="auto"/>
        <w:rPr>
          <w:rFonts w:cs="Calibri"/>
        </w:rPr>
      </w:pPr>
      <w:r w:rsidRPr="005616AE">
        <w:rPr>
          <w:rFonts w:cs="Calibri"/>
        </w:rPr>
        <w:t xml:space="preserve">Assess the compatibility of charging stations with a variety of devices (smartphones, tablets, laptops, </w:t>
      </w:r>
      <w:proofErr w:type="gramStart"/>
      <w:r w:rsidRPr="005616AE">
        <w:rPr>
          <w:rFonts w:cs="Calibri"/>
        </w:rPr>
        <w:t>etc.</w:t>
      </w:r>
      <w:proofErr w:type="gramEnd"/>
      <w:r w:rsidRPr="005616AE">
        <w:rPr>
          <w:rFonts w:cs="Calibri"/>
        </w:rPr>
        <w:t>) to ensure that all are supported regardless of variations in power demands and charging protocols.</w:t>
      </w:r>
    </w:p>
    <w:p w14:paraId="1AB8028B" w14:textId="77777777" w:rsidR="00185F97" w:rsidRPr="005616AE" w:rsidRDefault="00185F97" w:rsidP="00384F0C">
      <w:pPr>
        <w:pStyle w:val="ListParagraph"/>
        <w:numPr>
          <w:ilvl w:val="0"/>
          <w:numId w:val="29"/>
        </w:numPr>
        <w:spacing w:after="0" w:line="276" w:lineRule="auto"/>
        <w:rPr>
          <w:rFonts w:cs="Calibri"/>
        </w:rPr>
      </w:pPr>
      <w:r w:rsidRPr="005616AE">
        <w:rPr>
          <w:rFonts w:cs="Calibri"/>
        </w:rPr>
        <w:t>Simulate edge cases such as devices with damaged batteries or non-standard charging configurations to evaluate error handling.</w:t>
      </w:r>
    </w:p>
    <w:p w14:paraId="20465142" w14:textId="4F4041F3" w:rsidR="00185F97" w:rsidRPr="005616AE" w:rsidRDefault="00185F97" w:rsidP="007F09CE">
      <w:pPr>
        <w:spacing w:after="0" w:line="276" w:lineRule="auto"/>
        <w:rPr>
          <w:rFonts w:cs="Calibri"/>
          <w:b/>
          <w:bCs/>
        </w:rPr>
      </w:pPr>
      <w:r w:rsidRPr="005616AE">
        <w:rPr>
          <w:rFonts w:cs="Calibri"/>
          <w:b/>
          <w:bCs/>
        </w:rPr>
        <w:t>Concurrent Sessions</w:t>
      </w:r>
    </w:p>
    <w:p w14:paraId="44A824BF" w14:textId="77777777" w:rsidR="00185F97" w:rsidRPr="005616AE" w:rsidRDefault="00185F97" w:rsidP="00384F0C">
      <w:pPr>
        <w:pStyle w:val="ListParagraph"/>
        <w:numPr>
          <w:ilvl w:val="0"/>
          <w:numId w:val="30"/>
        </w:numPr>
        <w:spacing w:after="0" w:line="276" w:lineRule="auto"/>
        <w:rPr>
          <w:rFonts w:cs="Calibri"/>
        </w:rPr>
      </w:pPr>
      <w:r w:rsidRPr="005616AE">
        <w:rPr>
          <w:rFonts w:cs="Calibri"/>
        </w:rPr>
        <w:t>Validate the functionality of charging stations under simultaneous usage by multiple devices.</w:t>
      </w:r>
    </w:p>
    <w:p w14:paraId="01969014" w14:textId="77777777" w:rsidR="00185F97" w:rsidRPr="005616AE" w:rsidRDefault="00185F97" w:rsidP="00384F0C">
      <w:pPr>
        <w:pStyle w:val="ListParagraph"/>
        <w:numPr>
          <w:ilvl w:val="0"/>
          <w:numId w:val="30"/>
        </w:numPr>
        <w:spacing w:after="0" w:line="276" w:lineRule="auto"/>
        <w:rPr>
          <w:rFonts w:cs="Calibri"/>
        </w:rPr>
      </w:pPr>
      <w:proofErr w:type="gramStart"/>
      <w:r w:rsidRPr="005616AE">
        <w:rPr>
          <w:rFonts w:cs="Calibri"/>
        </w:rPr>
        <w:t>Test</w:t>
      </w:r>
      <w:proofErr w:type="gramEnd"/>
      <w:r w:rsidRPr="005616AE">
        <w:rPr>
          <w:rFonts w:cs="Calibri"/>
        </w:rPr>
        <w:t xml:space="preserve"> load balancing mechanisms to ensure equitable power distribution and prevent overloading or performance degradation.</w:t>
      </w:r>
    </w:p>
    <w:p w14:paraId="0821F6D5" w14:textId="77777777" w:rsidR="00185F97" w:rsidRPr="005616AE" w:rsidRDefault="00185F97" w:rsidP="007F09CE">
      <w:pPr>
        <w:pStyle w:val="Heading3"/>
        <w:spacing w:after="0"/>
        <w:rPr>
          <w:rFonts w:cs="Calibri"/>
        </w:rPr>
      </w:pPr>
      <w:bookmarkStart w:id="77" w:name="_Toc183211085"/>
      <w:r w:rsidRPr="005616AE">
        <w:rPr>
          <w:rStyle w:val="Strong"/>
          <w:rFonts w:cs="Calibri"/>
          <w:b w:val="0"/>
          <w:bCs w:val="0"/>
        </w:rPr>
        <w:t>Non-Functional Testing</w:t>
      </w:r>
      <w:bookmarkEnd w:id="77"/>
    </w:p>
    <w:p w14:paraId="1A06F943" w14:textId="4B95DCB1" w:rsidR="00185F97" w:rsidRPr="005616AE" w:rsidRDefault="00185F97" w:rsidP="00C512AF">
      <w:pPr>
        <w:pStyle w:val="NormalWeb"/>
        <w:spacing w:before="0" w:beforeAutospacing="0" w:after="0" w:afterAutospacing="0" w:line="276" w:lineRule="auto"/>
        <w:jc w:val="both"/>
        <w:rPr>
          <w:rFonts w:ascii="Calibri" w:hAnsi="Calibri" w:cs="Calibri"/>
          <w:sz w:val="22"/>
          <w:szCs w:val="22"/>
          <w:lang w:val="en-GB"/>
        </w:rPr>
      </w:pPr>
      <w:r w:rsidRPr="005616AE">
        <w:rPr>
          <w:rStyle w:val="Strong"/>
          <w:rFonts w:ascii="Calibri" w:eastAsiaTheme="majorEastAsia" w:hAnsi="Calibri" w:cs="Calibri"/>
          <w:sz w:val="22"/>
          <w:szCs w:val="22"/>
          <w:lang w:val="en-GB"/>
        </w:rPr>
        <w:t>Performance Testing</w:t>
      </w:r>
    </w:p>
    <w:p w14:paraId="189540F1" w14:textId="6E6FA18F" w:rsidR="00185F97" w:rsidRPr="005616AE" w:rsidRDefault="00185F97" w:rsidP="00DD1E23">
      <w:pPr>
        <w:pStyle w:val="NormalWeb"/>
        <w:spacing w:before="0" w:beforeAutospacing="0" w:after="0" w:afterAutospacing="0" w:line="276" w:lineRule="auto"/>
        <w:jc w:val="both"/>
        <w:rPr>
          <w:rFonts w:ascii="Calibri" w:hAnsi="Calibri" w:cs="Calibri"/>
          <w:b/>
          <w:bCs/>
          <w:sz w:val="22"/>
          <w:szCs w:val="22"/>
          <w:lang w:val="en-GB"/>
        </w:rPr>
      </w:pPr>
      <w:r w:rsidRPr="005616AE">
        <w:rPr>
          <w:rStyle w:val="Strong"/>
          <w:rFonts w:ascii="Calibri" w:eastAsiaTheme="majorEastAsia" w:hAnsi="Calibri" w:cs="Calibri"/>
          <w:sz w:val="22"/>
          <w:szCs w:val="22"/>
          <w:lang w:val="en-GB"/>
        </w:rPr>
        <w:t>Charging Speed and Latency</w:t>
      </w:r>
    </w:p>
    <w:p w14:paraId="30E92539" w14:textId="77777777" w:rsidR="00185F97" w:rsidRPr="005616AE" w:rsidRDefault="00185F97" w:rsidP="00384F0C">
      <w:pPr>
        <w:pStyle w:val="ListParagraph"/>
        <w:numPr>
          <w:ilvl w:val="0"/>
          <w:numId w:val="46"/>
        </w:numPr>
        <w:spacing w:after="0" w:line="276" w:lineRule="auto"/>
        <w:rPr>
          <w:rFonts w:cs="Calibri"/>
        </w:rPr>
      </w:pPr>
      <w:r w:rsidRPr="005616AE">
        <w:rPr>
          <w:rFonts w:cs="Calibri"/>
        </w:rPr>
        <w:t>Measure charging speed under various scenarios, ensuring it meets or exceeds defined benchmarks.</w:t>
      </w:r>
    </w:p>
    <w:p w14:paraId="7B45B85C" w14:textId="77777777" w:rsidR="00185F97" w:rsidRPr="005616AE" w:rsidRDefault="00185F97" w:rsidP="00384F0C">
      <w:pPr>
        <w:pStyle w:val="ListParagraph"/>
        <w:numPr>
          <w:ilvl w:val="0"/>
          <w:numId w:val="46"/>
        </w:numPr>
        <w:spacing w:after="0" w:line="276" w:lineRule="auto"/>
        <w:rPr>
          <w:rFonts w:cs="Calibri"/>
        </w:rPr>
      </w:pPr>
      <w:r w:rsidRPr="005616AE">
        <w:rPr>
          <w:rFonts w:cs="Calibri"/>
        </w:rPr>
        <w:t>Analyse latency in initiating charging sessions aiming for near-instantaneous response times.</w:t>
      </w:r>
    </w:p>
    <w:p w14:paraId="3CBE8FE7" w14:textId="0EC9CAA4" w:rsidR="00185F97" w:rsidRPr="005616AE" w:rsidRDefault="00185F97" w:rsidP="00DD1E23">
      <w:pPr>
        <w:pStyle w:val="NormalWeb"/>
        <w:spacing w:before="0" w:beforeAutospacing="0" w:after="0" w:afterAutospacing="0" w:line="276" w:lineRule="auto"/>
        <w:jc w:val="both"/>
        <w:rPr>
          <w:rFonts w:ascii="Calibri" w:hAnsi="Calibri" w:cs="Calibri"/>
          <w:b/>
          <w:bCs/>
          <w:sz w:val="22"/>
          <w:szCs w:val="22"/>
          <w:lang w:val="en-GB"/>
        </w:rPr>
      </w:pPr>
      <w:r w:rsidRPr="005616AE">
        <w:rPr>
          <w:rStyle w:val="Strong"/>
          <w:rFonts w:ascii="Calibri" w:eastAsiaTheme="majorEastAsia" w:hAnsi="Calibri" w:cs="Calibri"/>
          <w:sz w:val="22"/>
          <w:szCs w:val="22"/>
          <w:lang w:val="en-GB"/>
        </w:rPr>
        <w:t>Load Conditions</w:t>
      </w:r>
    </w:p>
    <w:p w14:paraId="75A3777E" w14:textId="77777777" w:rsidR="00185F97" w:rsidRPr="005616AE" w:rsidRDefault="00185F97" w:rsidP="00384F0C">
      <w:pPr>
        <w:pStyle w:val="ListParagraph"/>
        <w:numPr>
          <w:ilvl w:val="0"/>
          <w:numId w:val="47"/>
        </w:numPr>
        <w:spacing w:after="0" w:line="276" w:lineRule="auto"/>
        <w:rPr>
          <w:rFonts w:cs="Calibri"/>
        </w:rPr>
      </w:pPr>
      <w:r w:rsidRPr="005616AE">
        <w:rPr>
          <w:rFonts w:cs="Calibri"/>
        </w:rPr>
        <w:t>Simulate peak branch traffic with heavy usage of charging stations to identify potential bottlenecks.</w:t>
      </w:r>
    </w:p>
    <w:p w14:paraId="1B2C102A" w14:textId="77777777" w:rsidR="00185F97" w:rsidRPr="005616AE" w:rsidRDefault="00185F97" w:rsidP="00384F0C">
      <w:pPr>
        <w:pStyle w:val="ListParagraph"/>
        <w:numPr>
          <w:ilvl w:val="0"/>
          <w:numId w:val="47"/>
        </w:numPr>
        <w:spacing w:after="0" w:line="276" w:lineRule="auto"/>
        <w:rPr>
          <w:rFonts w:cs="Calibri"/>
        </w:rPr>
      </w:pPr>
      <w:proofErr w:type="gramStart"/>
      <w:r w:rsidRPr="005616AE">
        <w:rPr>
          <w:rFonts w:cs="Calibri"/>
        </w:rPr>
        <w:lastRenderedPageBreak/>
        <w:t>Test</w:t>
      </w:r>
      <w:proofErr w:type="gramEnd"/>
      <w:r w:rsidRPr="005616AE">
        <w:rPr>
          <w:rFonts w:cs="Calibri"/>
        </w:rPr>
        <w:t xml:space="preserve"> the system’s ability to handle stress conditions without performance drops.</w:t>
      </w:r>
    </w:p>
    <w:p w14:paraId="637807A2" w14:textId="77777777" w:rsidR="00A120B0" w:rsidRPr="005616AE" w:rsidRDefault="00A120B0" w:rsidP="00A120B0">
      <w:pPr>
        <w:pStyle w:val="ListParagraph"/>
        <w:spacing w:after="0" w:line="276" w:lineRule="auto"/>
        <w:rPr>
          <w:rFonts w:cs="Calibri"/>
        </w:rPr>
      </w:pPr>
    </w:p>
    <w:p w14:paraId="0474EA9C" w14:textId="3555E493" w:rsidR="00185F97" w:rsidRPr="005616AE" w:rsidRDefault="00185F97" w:rsidP="00C512AF">
      <w:pPr>
        <w:pStyle w:val="NormalWeb"/>
        <w:spacing w:before="0" w:beforeAutospacing="0" w:after="0" w:afterAutospacing="0" w:line="276" w:lineRule="auto"/>
        <w:jc w:val="both"/>
        <w:rPr>
          <w:rFonts w:ascii="Calibri" w:hAnsi="Calibri" w:cs="Calibri"/>
          <w:sz w:val="22"/>
          <w:szCs w:val="22"/>
          <w:lang w:val="en-GB"/>
        </w:rPr>
      </w:pPr>
      <w:r w:rsidRPr="005616AE">
        <w:rPr>
          <w:rStyle w:val="Strong"/>
          <w:rFonts w:ascii="Calibri" w:eastAsiaTheme="majorEastAsia" w:hAnsi="Calibri" w:cs="Calibri"/>
          <w:sz w:val="22"/>
          <w:szCs w:val="22"/>
          <w:lang w:val="en-GB"/>
        </w:rPr>
        <w:t>Security Testing</w:t>
      </w:r>
    </w:p>
    <w:p w14:paraId="145923DD" w14:textId="4EBCA013" w:rsidR="00185F97" w:rsidRPr="005616AE" w:rsidRDefault="00185F97" w:rsidP="00DD1E23">
      <w:pPr>
        <w:pStyle w:val="NormalWeb"/>
        <w:spacing w:before="0" w:beforeAutospacing="0" w:after="0" w:afterAutospacing="0" w:line="276" w:lineRule="auto"/>
        <w:jc w:val="both"/>
        <w:rPr>
          <w:rFonts w:ascii="Calibri" w:hAnsi="Calibri" w:cs="Calibri"/>
          <w:b/>
          <w:bCs/>
          <w:sz w:val="22"/>
          <w:szCs w:val="22"/>
          <w:lang w:val="en-GB"/>
        </w:rPr>
      </w:pPr>
      <w:r w:rsidRPr="005616AE">
        <w:rPr>
          <w:rStyle w:val="Strong"/>
          <w:rFonts w:ascii="Calibri" w:eastAsiaTheme="majorEastAsia" w:hAnsi="Calibri" w:cs="Calibri"/>
          <w:sz w:val="22"/>
          <w:szCs w:val="22"/>
          <w:lang w:val="en-GB"/>
        </w:rPr>
        <w:t>Encryption Protocol Validation</w:t>
      </w:r>
    </w:p>
    <w:p w14:paraId="3AC189CF" w14:textId="77777777" w:rsidR="00185F97" w:rsidRPr="005616AE" w:rsidRDefault="00185F97" w:rsidP="00384F0C">
      <w:pPr>
        <w:pStyle w:val="ListParagraph"/>
        <w:numPr>
          <w:ilvl w:val="0"/>
          <w:numId w:val="48"/>
        </w:numPr>
        <w:spacing w:after="0" w:line="276" w:lineRule="auto"/>
        <w:rPr>
          <w:rFonts w:cs="Calibri"/>
        </w:rPr>
      </w:pPr>
      <w:proofErr w:type="gramStart"/>
      <w:r w:rsidRPr="005616AE">
        <w:rPr>
          <w:rFonts w:cs="Calibri"/>
        </w:rPr>
        <w:t>Test</w:t>
      </w:r>
      <w:proofErr w:type="gramEnd"/>
      <w:r w:rsidRPr="005616AE">
        <w:rPr>
          <w:rFonts w:cs="Calibri"/>
        </w:rPr>
        <w:t xml:space="preserve"> the encryption mechanisms used for device authentication and data transmission, ensuring secure communication between devices and charging stations.</w:t>
      </w:r>
    </w:p>
    <w:p w14:paraId="2DD0B0B4" w14:textId="77777777" w:rsidR="00185F97" w:rsidRPr="005616AE" w:rsidRDefault="00185F97" w:rsidP="00384F0C">
      <w:pPr>
        <w:pStyle w:val="ListParagraph"/>
        <w:numPr>
          <w:ilvl w:val="0"/>
          <w:numId w:val="48"/>
        </w:numPr>
        <w:spacing w:after="0" w:line="276" w:lineRule="auto"/>
        <w:rPr>
          <w:rFonts w:cs="Calibri"/>
        </w:rPr>
      </w:pPr>
      <w:r w:rsidRPr="005616AE">
        <w:rPr>
          <w:rFonts w:cs="Calibri"/>
        </w:rPr>
        <w:t>Verify compliance with cybersecurity standards, including protocols to prevent data breaches.</w:t>
      </w:r>
    </w:p>
    <w:p w14:paraId="3A17AF73" w14:textId="6AC6266A" w:rsidR="00185F97" w:rsidRPr="005616AE" w:rsidRDefault="00185F97" w:rsidP="00DD1E23">
      <w:pPr>
        <w:pStyle w:val="NormalWeb"/>
        <w:spacing w:before="0" w:beforeAutospacing="0" w:after="0" w:afterAutospacing="0" w:line="276" w:lineRule="auto"/>
        <w:jc w:val="both"/>
        <w:rPr>
          <w:rFonts w:ascii="Calibri" w:hAnsi="Calibri" w:cs="Calibri"/>
          <w:b/>
          <w:bCs/>
          <w:sz w:val="22"/>
          <w:szCs w:val="22"/>
          <w:lang w:val="en-GB"/>
        </w:rPr>
      </w:pPr>
      <w:r w:rsidRPr="005616AE">
        <w:rPr>
          <w:rStyle w:val="Strong"/>
          <w:rFonts w:ascii="Calibri" w:eastAsiaTheme="majorEastAsia" w:hAnsi="Calibri" w:cs="Calibri"/>
          <w:sz w:val="22"/>
          <w:szCs w:val="22"/>
          <w:lang w:val="en-GB"/>
        </w:rPr>
        <w:t>Resilience Against Tampering</w:t>
      </w:r>
    </w:p>
    <w:p w14:paraId="39B2A240" w14:textId="3B024954" w:rsidR="00185F97" w:rsidRPr="005616AE" w:rsidRDefault="00185F97" w:rsidP="00384F0C">
      <w:pPr>
        <w:pStyle w:val="ListParagraph"/>
        <w:numPr>
          <w:ilvl w:val="0"/>
          <w:numId w:val="49"/>
        </w:numPr>
        <w:spacing w:after="0" w:line="276" w:lineRule="auto"/>
        <w:rPr>
          <w:rFonts w:cs="Calibri"/>
        </w:rPr>
      </w:pPr>
      <w:proofErr w:type="gramStart"/>
      <w:r w:rsidRPr="005616AE">
        <w:rPr>
          <w:rFonts w:cs="Calibri"/>
        </w:rPr>
        <w:t>Test</w:t>
      </w:r>
      <w:proofErr w:type="gramEnd"/>
      <w:r w:rsidRPr="005616AE">
        <w:rPr>
          <w:rFonts w:cs="Calibri"/>
        </w:rPr>
        <w:t xml:space="preserve"> the system’s response to unauthorised access attempts including physical tampering and network-level attacks.</w:t>
      </w:r>
    </w:p>
    <w:p w14:paraId="15073211" w14:textId="3643AEBF" w:rsidR="00185F97" w:rsidRPr="005616AE" w:rsidRDefault="00185F97" w:rsidP="00384F0C">
      <w:pPr>
        <w:pStyle w:val="ListParagraph"/>
        <w:numPr>
          <w:ilvl w:val="0"/>
          <w:numId w:val="49"/>
        </w:numPr>
        <w:spacing w:after="0" w:line="276" w:lineRule="auto"/>
        <w:rPr>
          <w:rFonts w:cs="Calibri"/>
        </w:rPr>
      </w:pPr>
      <w:r w:rsidRPr="005616AE">
        <w:rPr>
          <w:rFonts w:cs="Calibri"/>
        </w:rPr>
        <w:t>Simulate common security threats such as man-in-the-middle attacks as well as validate the system’s ability to detect and neutralise them.</w:t>
      </w:r>
    </w:p>
    <w:p w14:paraId="0A05BC09" w14:textId="77777777" w:rsidR="00A120B0" w:rsidRPr="005616AE" w:rsidRDefault="00A120B0" w:rsidP="00A120B0">
      <w:pPr>
        <w:pStyle w:val="ListParagraph"/>
        <w:spacing w:after="0" w:line="276" w:lineRule="auto"/>
        <w:rPr>
          <w:rFonts w:cs="Calibri"/>
        </w:rPr>
      </w:pPr>
    </w:p>
    <w:p w14:paraId="50186E39" w14:textId="35C185C3" w:rsidR="00185F97" w:rsidRPr="005616AE" w:rsidRDefault="00185F97" w:rsidP="00C512AF">
      <w:pPr>
        <w:pStyle w:val="NormalWeb"/>
        <w:spacing w:before="0" w:beforeAutospacing="0" w:after="0" w:afterAutospacing="0" w:line="276" w:lineRule="auto"/>
        <w:jc w:val="both"/>
        <w:rPr>
          <w:rFonts w:ascii="Calibri" w:hAnsi="Calibri" w:cs="Calibri"/>
          <w:sz w:val="22"/>
          <w:szCs w:val="22"/>
          <w:lang w:val="en-GB"/>
        </w:rPr>
      </w:pPr>
      <w:r w:rsidRPr="005616AE">
        <w:rPr>
          <w:rStyle w:val="Strong"/>
          <w:rFonts w:ascii="Calibri" w:eastAsiaTheme="majorEastAsia" w:hAnsi="Calibri" w:cs="Calibri"/>
          <w:sz w:val="22"/>
          <w:szCs w:val="22"/>
          <w:lang w:val="en-GB"/>
        </w:rPr>
        <w:t>Usability Testing</w:t>
      </w:r>
    </w:p>
    <w:p w14:paraId="54495573" w14:textId="17EE58EB" w:rsidR="00185F97" w:rsidRPr="005616AE" w:rsidRDefault="00185F97" w:rsidP="00DD1E23">
      <w:pPr>
        <w:pStyle w:val="NormalWeb"/>
        <w:spacing w:before="0" w:beforeAutospacing="0" w:after="0" w:afterAutospacing="0" w:line="276" w:lineRule="auto"/>
        <w:jc w:val="both"/>
        <w:rPr>
          <w:rFonts w:ascii="Calibri" w:hAnsi="Calibri" w:cs="Calibri"/>
          <w:b/>
          <w:bCs/>
          <w:sz w:val="22"/>
          <w:szCs w:val="22"/>
          <w:lang w:val="en-GB"/>
        </w:rPr>
      </w:pPr>
      <w:r w:rsidRPr="005616AE">
        <w:rPr>
          <w:rStyle w:val="Strong"/>
          <w:rFonts w:ascii="Calibri" w:eastAsiaTheme="majorEastAsia" w:hAnsi="Calibri" w:cs="Calibri"/>
          <w:sz w:val="22"/>
          <w:szCs w:val="22"/>
          <w:lang w:val="en-GB"/>
        </w:rPr>
        <w:t>Intuitiveness of the Charging Interface</w:t>
      </w:r>
    </w:p>
    <w:p w14:paraId="1C600754" w14:textId="77777777" w:rsidR="00185F97" w:rsidRPr="005616AE" w:rsidRDefault="00185F97" w:rsidP="00384F0C">
      <w:pPr>
        <w:pStyle w:val="ListParagraph"/>
        <w:numPr>
          <w:ilvl w:val="0"/>
          <w:numId w:val="50"/>
        </w:numPr>
        <w:spacing w:after="0" w:line="276" w:lineRule="auto"/>
        <w:rPr>
          <w:rFonts w:cs="Calibri"/>
        </w:rPr>
      </w:pPr>
      <w:r w:rsidRPr="005616AE">
        <w:rPr>
          <w:rFonts w:cs="Calibri"/>
        </w:rPr>
        <w:t>Assess the ease of use of the charging system interface by focusing on user-friendliness for both customers and branch staff.</w:t>
      </w:r>
    </w:p>
    <w:p w14:paraId="2B05E03B" w14:textId="77777777" w:rsidR="00185F97" w:rsidRPr="005616AE" w:rsidRDefault="00185F97" w:rsidP="00384F0C">
      <w:pPr>
        <w:pStyle w:val="ListParagraph"/>
        <w:numPr>
          <w:ilvl w:val="0"/>
          <w:numId w:val="50"/>
        </w:numPr>
        <w:spacing w:after="0" w:line="276" w:lineRule="auto"/>
        <w:rPr>
          <w:rFonts w:cs="Calibri"/>
        </w:rPr>
      </w:pPr>
      <w:r w:rsidRPr="005616AE">
        <w:rPr>
          <w:rFonts w:cs="Calibri"/>
        </w:rPr>
        <w:t>Validate that the interface provides clear instructions for initiating and ending charging sessions as well as error resolution steps.</w:t>
      </w:r>
    </w:p>
    <w:p w14:paraId="1B78128D" w14:textId="44C36B0B" w:rsidR="00185F97" w:rsidRPr="005616AE" w:rsidRDefault="00185F97" w:rsidP="00DD1E23">
      <w:pPr>
        <w:pStyle w:val="NormalWeb"/>
        <w:spacing w:before="0" w:beforeAutospacing="0" w:after="0" w:afterAutospacing="0" w:line="276" w:lineRule="auto"/>
        <w:jc w:val="both"/>
        <w:rPr>
          <w:rFonts w:ascii="Calibri" w:hAnsi="Calibri" w:cs="Calibri"/>
          <w:b/>
          <w:bCs/>
          <w:sz w:val="22"/>
          <w:szCs w:val="22"/>
          <w:lang w:val="en-GB"/>
        </w:rPr>
      </w:pPr>
      <w:r w:rsidRPr="005616AE">
        <w:rPr>
          <w:rStyle w:val="Strong"/>
          <w:rFonts w:ascii="Calibri" w:eastAsiaTheme="majorEastAsia" w:hAnsi="Calibri" w:cs="Calibri"/>
          <w:sz w:val="22"/>
          <w:szCs w:val="22"/>
          <w:lang w:val="en-GB"/>
        </w:rPr>
        <w:t>Feedback and Error Messaging</w:t>
      </w:r>
    </w:p>
    <w:p w14:paraId="686C59E7" w14:textId="77777777" w:rsidR="00185F97" w:rsidRPr="005616AE" w:rsidRDefault="00185F97" w:rsidP="00384F0C">
      <w:pPr>
        <w:pStyle w:val="ListParagraph"/>
        <w:numPr>
          <w:ilvl w:val="0"/>
          <w:numId w:val="51"/>
        </w:numPr>
        <w:spacing w:after="0" w:line="276" w:lineRule="auto"/>
        <w:rPr>
          <w:rFonts w:cs="Calibri"/>
        </w:rPr>
      </w:pPr>
      <w:proofErr w:type="gramStart"/>
      <w:r w:rsidRPr="005616AE">
        <w:rPr>
          <w:rFonts w:cs="Calibri"/>
        </w:rPr>
        <w:t>Test</w:t>
      </w:r>
      <w:proofErr w:type="gramEnd"/>
      <w:r w:rsidRPr="005616AE">
        <w:rPr>
          <w:rFonts w:cs="Calibri"/>
        </w:rPr>
        <w:t xml:space="preserve"> the effectiveness of feedback mechanisms by ensuring users are informed of their charging status, any errors encountered and possible troubleshooting steps.</w:t>
      </w:r>
    </w:p>
    <w:p w14:paraId="1FC1D2FA" w14:textId="77777777" w:rsidR="00185F97" w:rsidRPr="005616AE" w:rsidRDefault="00185F97" w:rsidP="00384F0C">
      <w:pPr>
        <w:pStyle w:val="ListParagraph"/>
        <w:numPr>
          <w:ilvl w:val="0"/>
          <w:numId w:val="51"/>
        </w:numPr>
        <w:spacing w:after="0" w:line="276" w:lineRule="auto"/>
        <w:rPr>
          <w:rFonts w:cs="Calibri"/>
        </w:rPr>
      </w:pPr>
      <w:r w:rsidRPr="005616AE">
        <w:rPr>
          <w:rFonts w:cs="Calibri"/>
        </w:rPr>
        <w:t>Gather user feedback during pilot phases to identify and resolve usability challenges.</w:t>
      </w:r>
    </w:p>
    <w:p w14:paraId="03F0538A" w14:textId="77777777" w:rsidR="00A120B0" w:rsidRPr="005616AE" w:rsidRDefault="00A120B0" w:rsidP="00A120B0">
      <w:pPr>
        <w:pStyle w:val="ListParagraph"/>
        <w:spacing w:after="0" w:line="276" w:lineRule="auto"/>
        <w:rPr>
          <w:rFonts w:cs="Calibri"/>
        </w:rPr>
      </w:pPr>
    </w:p>
    <w:p w14:paraId="69C7956A" w14:textId="77777777" w:rsidR="00185F97" w:rsidRPr="005616AE" w:rsidRDefault="00185F97" w:rsidP="00DD1E23">
      <w:pPr>
        <w:spacing w:after="0" w:line="276" w:lineRule="auto"/>
        <w:rPr>
          <w:rFonts w:cs="Calibri"/>
          <w:b/>
          <w:bCs/>
        </w:rPr>
      </w:pPr>
      <w:r w:rsidRPr="005616AE">
        <w:rPr>
          <w:rFonts w:cs="Calibri"/>
          <w:b/>
          <w:bCs/>
        </w:rPr>
        <w:t>Agile Testing Approach</w:t>
      </w:r>
    </w:p>
    <w:p w14:paraId="28BBE01F" w14:textId="77777777" w:rsidR="00185F97" w:rsidRPr="005616AE" w:rsidRDefault="00185F97" w:rsidP="00C512AF">
      <w:pPr>
        <w:spacing w:after="0" w:line="276" w:lineRule="auto"/>
        <w:rPr>
          <w:rFonts w:cs="Calibri"/>
          <w:b/>
          <w:bCs/>
        </w:rPr>
      </w:pPr>
      <w:r w:rsidRPr="005616AE">
        <w:rPr>
          <w:rFonts w:cs="Calibri"/>
          <w:b/>
          <w:bCs/>
        </w:rPr>
        <w:t>Iterative Testing Cycles:</w:t>
      </w:r>
    </w:p>
    <w:p w14:paraId="4A91CC38" w14:textId="1E657F69" w:rsidR="00185F97" w:rsidRPr="005616AE" w:rsidRDefault="00185F97" w:rsidP="00DD1E23">
      <w:pPr>
        <w:spacing w:after="0" w:line="276" w:lineRule="auto"/>
        <w:rPr>
          <w:rFonts w:cs="Calibri"/>
        </w:rPr>
      </w:pPr>
      <w:r w:rsidRPr="005616AE">
        <w:rPr>
          <w:rFonts w:cs="Calibri"/>
        </w:rPr>
        <w:t xml:space="preserve">Implement testing in multiple iterations or sprints, with each cycle focusing on a specific set of </w:t>
      </w:r>
      <w:proofErr w:type="gramStart"/>
      <w:r w:rsidRPr="005616AE">
        <w:rPr>
          <w:rFonts w:cs="Calibri"/>
        </w:rPr>
        <w:t>functionalities</w:t>
      </w:r>
      <w:proofErr w:type="gramEnd"/>
    </w:p>
    <w:p w14:paraId="56545AB5" w14:textId="77777777" w:rsidR="00185F97" w:rsidRPr="005616AE" w:rsidRDefault="00185F97" w:rsidP="00384F0C">
      <w:pPr>
        <w:pStyle w:val="ListParagraph"/>
        <w:numPr>
          <w:ilvl w:val="0"/>
          <w:numId w:val="31"/>
        </w:numPr>
        <w:spacing w:after="0" w:line="276" w:lineRule="auto"/>
        <w:rPr>
          <w:rFonts w:cs="Calibri"/>
        </w:rPr>
      </w:pPr>
      <w:r w:rsidRPr="005616AE">
        <w:rPr>
          <w:rFonts w:cs="Calibri"/>
          <w:b/>
          <w:bCs/>
        </w:rPr>
        <w:t>Early sprints:</w:t>
      </w:r>
      <w:r w:rsidRPr="005616AE">
        <w:rPr>
          <w:rFonts w:cs="Calibri"/>
        </w:rPr>
        <w:t xml:space="preserve"> Core integration testing and basic functionality.</w:t>
      </w:r>
    </w:p>
    <w:p w14:paraId="7D28ADD6" w14:textId="77777777" w:rsidR="00185F97" w:rsidRPr="005616AE" w:rsidRDefault="00185F97" w:rsidP="00384F0C">
      <w:pPr>
        <w:pStyle w:val="ListParagraph"/>
        <w:numPr>
          <w:ilvl w:val="0"/>
          <w:numId w:val="31"/>
        </w:numPr>
        <w:spacing w:after="0" w:line="276" w:lineRule="auto"/>
        <w:rPr>
          <w:rFonts w:cs="Calibri"/>
        </w:rPr>
      </w:pPr>
      <w:r w:rsidRPr="005616AE">
        <w:rPr>
          <w:rFonts w:cs="Calibri"/>
          <w:b/>
          <w:bCs/>
        </w:rPr>
        <w:t>Mid-stage sprints:</w:t>
      </w:r>
      <w:r w:rsidRPr="005616AE">
        <w:rPr>
          <w:rFonts w:cs="Calibri"/>
        </w:rPr>
        <w:t xml:space="preserve"> Advanced scenarios, such as concurrent usage, non-functional aspects like performance and security.</w:t>
      </w:r>
    </w:p>
    <w:p w14:paraId="0C1AE7F1" w14:textId="439C09BC" w:rsidR="00185F97" w:rsidRPr="005616AE" w:rsidRDefault="00185F97" w:rsidP="00384F0C">
      <w:pPr>
        <w:pStyle w:val="ListParagraph"/>
        <w:numPr>
          <w:ilvl w:val="0"/>
          <w:numId w:val="31"/>
        </w:numPr>
        <w:spacing w:after="0" w:line="276" w:lineRule="auto"/>
        <w:rPr>
          <w:rFonts w:cs="Calibri"/>
        </w:rPr>
      </w:pPr>
      <w:r w:rsidRPr="005616AE">
        <w:rPr>
          <w:rFonts w:cs="Calibri"/>
          <w:b/>
          <w:bCs/>
        </w:rPr>
        <w:t>Final sprints:</w:t>
      </w:r>
      <w:r w:rsidRPr="005616AE">
        <w:rPr>
          <w:rFonts w:cs="Calibri"/>
        </w:rPr>
        <w:t xml:space="preserve"> End-to-end testing and user acceptance testing (UAT).</w:t>
      </w:r>
    </w:p>
    <w:p w14:paraId="10C2DB58" w14:textId="77777777" w:rsidR="00166698" w:rsidRPr="005616AE" w:rsidRDefault="00166698" w:rsidP="00166698">
      <w:pPr>
        <w:pStyle w:val="ListParagraph"/>
        <w:spacing w:after="0" w:line="276" w:lineRule="auto"/>
        <w:rPr>
          <w:rFonts w:cs="Calibri"/>
        </w:rPr>
      </w:pPr>
    </w:p>
    <w:p w14:paraId="716BCADC" w14:textId="2978291B" w:rsidR="00185F97" w:rsidRPr="005616AE" w:rsidRDefault="00185F97" w:rsidP="00C512AF">
      <w:pPr>
        <w:spacing w:after="0" w:line="276" w:lineRule="auto"/>
        <w:rPr>
          <w:rFonts w:cs="Calibri"/>
          <w:b/>
          <w:bCs/>
        </w:rPr>
      </w:pPr>
      <w:r w:rsidRPr="005616AE">
        <w:rPr>
          <w:rFonts w:cs="Calibri"/>
          <w:b/>
          <w:bCs/>
        </w:rPr>
        <w:t>Prioritisation of Critical Features</w:t>
      </w:r>
    </w:p>
    <w:p w14:paraId="4F5247FE" w14:textId="77777777" w:rsidR="00185F97" w:rsidRPr="005616AE" w:rsidRDefault="00185F97" w:rsidP="00384F0C">
      <w:pPr>
        <w:pStyle w:val="ListParagraph"/>
        <w:numPr>
          <w:ilvl w:val="0"/>
          <w:numId w:val="32"/>
        </w:numPr>
        <w:spacing w:after="0" w:line="276" w:lineRule="auto"/>
        <w:rPr>
          <w:rFonts w:cs="Calibri"/>
        </w:rPr>
      </w:pPr>
      <w:r w:rsidRPr="005616AE">
        <w:rPr>
          <w:rFonts w:cs="Calibri"/>
        </w:rPr>
        <w:t>Begin with critical integrations such as payment systems and device authentication.</w:t>
      </w:r>
    </w:p>
    <w:p w14:paraId="22A0AEAC" w14:textId="77777777" w:rsidR="00185F97" w:rsidRPr="005616AE" w:rsidRDefault="00185F97" w:rsidP="00384F0C">
      <w:pPr>
        <w:pStyle w:val="ListParagraph"/>
        <w:numPr>
          <w:ilvl w:val="0"/>
          <w:numId w:val="32"/>
        </w:numPr>
        <w:spacing w:after="0" w:line="276" w:lineRule="auto"/>
        <w:rPr>
          <w:rFonts w:cs="Calibri"/>
        </w:rPr>
      </w:pPr>
      <w:r w:rsidRPr="005616AE">
        <w:rPr>
          <w:rFonts w:cs="Calibri"/>
        </w:rPr>
        <w:t>Gradually expand to secondary features like advanced user feedback mechanisms or loyalty program integration.</w:t>
      </w:r>
    </w:p>
    <w:p w14:paraId="0959B655" w14:textId="77777777" w:rsidR="00185F97" w:rsidRPr="005616AE" w:rsidRDefault="00185F97" w:rsidP="00DD1E23">
      <w:pPr>
        <w:pStyle w:val="ListParagraph"/>
        <w:spacing w:after="0" w:line="276" w:lineRule="auto"/>
        <w:rPr>
          <w:rFonts w:cs="Calibri"/>
        </w:rPr>
      </w:pPr>
    </w:p>
    <w:p w14:paraId="18137BBB" w14:textId="01CDACFB" w:rsidR="00185F97" w:rsidRPr="005616AE" w:rsidRDefault="00185F97" w:rsidP="00C512AF">
      <w:pPr>
        <w:spacing w:after="0" w:line="276" w:lineRule="auto"/>
        <w:rPr>
          <w:rFonts w:cs="Calibri"/>
          <w:b/>
          <w:bCs/>
        </w:rPr>
      </w:pPr>
      <w:r w:rsidRPr="005616AE">
        <w:rPr>
          <w:rFonts w:cs="Calibri"/>
          <w:b/>
          <w:bCs/>
        </w:rPr>
        <w:t>Collaboration Between Teams</w:t>
      </w:r>
    </w:p>
    <w:p w14:paraId="3E7E7CA4" w14:textId="6C610B32" w:rsidR="00185F97" w:rsidRPr="005616AE" w:rsidRDefault="00185F97" w:rsidP="00384F0C">
      <w:pPr>
        <w:pStyle w:val="ListParagraph"/>
        <w:numPr>
          <w:ilvl w:val="0"/>
          <w:numId w:val="33"/>
        </w:numPr>
        <w:spacing w:after="0" w:line="276" w:lineRule="auto"/>
        <w:rPr>
          <w:rFonts w:cs="Calibri"/>
        </w:rPr>
      </w:pPr>
      <w:r w:rsidRPr="005616AE">
        <w:rPr>
          <w:rFonts w:cs="Calibri"/>
        </w:rPr>
        <w:t>Foster continuous communication between TD Bank’s IT team and WiTricity’s technical team. This collaboration ensures rapid issue resolution and minimises bottlenecks.</w:t>
      </w:r>
    </w:p>
    <w:p w14:paraId="158072E7" w14:textId="77777777" w:rsidR="00185F97" w:rsidRPr="005616AE" w:rsidRDefault="00185F97" w:rsidP="00384F0C">
      <w:pPr>
        <w:pStyle w:val="ListParagraph"/>
        <w:numPr>
          <w:ilvl w:val="0"/>
          <w:numId w:val="33"/>
        </w:numPr>
        <w:spacing w:after="0" w:line="276" w:lineRule="auto"/>
        <w:rPr>
          <w:rFonts w:cs="Calibri"/>
        </w:rPr>
      </w:pPr>
      <w:r w:rsidRPr="005616AE">
        <w:rPr>
          <w:rFonts w:cs="Calibri"/>
        </w:rPr>
        <w:lastRenderedPageBreak/>
        <w:t>Use agile tools (e.g., Jira, Trello) to track progress, log issues, and share updates.</w:t>
      </w:r>
    </w:p>
    <w:p w14:paraId="7BC4BACA" w14:textId="77777777" w:rsidR="00185F97" w:rsidRPr="005616AE" w:rsidRDefault="00185F97" w:rsidP="00DD1E23">
      <w:pPr>
        <w:pStyle w:val="Heading2"/>
        <w:spacing w:after="0"/>
        <w:rPr>
          <w:rFonts w:ascii="Calibri" w:hAnsi="Calibri" w:cs="Calibri"/>
        </w:rPr>
      </w:pPr>
      <w:bookmarkStart w:id="78" w:name="_Toc183211086"/>
      <w:r w:rsidRPr="005616AE">
        <w:rPr>
          <w:rFonts w:ascii="Calibri" w:hAnsi="Calibri" w:cs="Calibri"/>
        </w:rPr>
        <w:t>Testing Environment Specifications</w:t>
      </w:r>
      <w:bookmarkEnd w:id="78"/>
      <w:r w:rsidRPr="005616AE">
        <w:rPr>
          <w:rFonts w:ascii="Calibri" w:hAnsi="Calibri" w:cs="Calibri"/>
        </w:rPr>
        <w:t xml:space="preserve"> </w:t>
      </w:r>
    </w:p>
    <w:p w14:paraId="453EE466" w14:textId="2F1B32FA" w:rsidR="00185F97" w:rsidRPr="005616AE" w:rsidRDefault="00185F97" w:rsidP="00DD1E23">
      <w:pPr>
        <w:spacing w:after="0" w:line="276" w:lineRule="auto"/>
        <w:rPr>
          <w:rFonts w:cs="Calibri"/>
        </w:rPr>
      </w:pPr>
      <w:r w:rsidRPr="005616AE">
        <w:rPr>
          <w:rFonts w:cs="Calibri"/>
        </w:rPr>
        <w:t xml:space="preserve">The testing environment must accurately represent both TD Bank’s operational needs and real-world customer interactions to ensure the smooth integration as well as performance of WiTricity’s wireless charging technology. Below are the key specifications for setting up the testing </w:t>
      </w:r>
      <w:proofErr w:type="gramStart"/>
      <w:r w:rsidRPr="005616AE">
        <w:rPr>
          <w:rFonts w:cs="Calibri"/>
        </w:rPr>
        <w:t>environment</w:t>
      </w:r>
      <w:proofErr w:type="gramEnd"/>
    </w:p>
    <w:p w14:paraId="18CCF134" w14:textId="5C0B0DBF" w:rsidR="00185F97" w:rsidRPr="005616AE" w:rsidRDefault="00185F97" w:rsidP="00DD1E23">
      <w:pPr>
        <w:spacing w:after="0"/>
        <w:rPr>
          <w:rFonts w:cs="Calibri"/>
          <w:b/>
          <w:bCs/>
          <w:lang w:eastAsia="en-IN"/>
        </w:rPr>
      </w:pPr>
      <w:r w:rsidRPr="005616AE">
        <w:rPr>
          <w:rFonts w:cs="Calibri"/>
          <w:b/>
          <w:bCs/>
          <w:lang w:eastAsia="en-IN"/>
        </w:rPr>
        <w:t>Hardware Specifications</w:t>
      </w:r>
    </w:p>
    <w:p w14:paraId="094E0AB2" w14:textId="77777777" w:rsidR="00185F97" w:rsidRPr="005616AE" w:rsidRDefault="00185F97" w:rsidP="00384F0C">
      <w:pPr>
        <w:pStyle w:val="ListParagraph"/>
        <w:numPr>
          <w:ilvl w:val="0"/>
          <w:numId w:val="34"/>
        </w:numPr>
        <w:spacing w:after="0" w:line="278" w:lineRule="auto"/>
        <w:rPr>
          <w:rFonts w:cs="Calibri"/>
          <w:lang w:eastAsia="en-IN"/>
        </w:rPr>
      </w:pPr>
      <w:r w:rsidRPr="005616AE">
        <w:rPr>
          <w:rFonts w:cs="Calibri"/>
          <w:lang w:eastAsia="en-IN"/>
        </w:rPr>
        <w:t>Deploy charging stations in test branches with varied layouts to replicate real-world conditions.</w:t>
      </w:r>
    </w:p>
    <w:p w14:paraId="11FD07FD" w14:textId="77777777" w:rsidR="00185F97" w:rsidRPr="005616AE" w:rsidRDefault="00185F97" w:rsidP="00384F0C">
      <w:pPr>
        <w:pStyle w:val="ListParagraph"/>
        <w:numPr>
          <w:ilvl w:val="0"/>
          <w:numId w:val="34"/>
        </w:numPr>
        <w:spacing w:after="0" w:line="278" w:lineRule="auto"/>
        <w:rPr>
          <w:rFonts w:cs="Calibri"/>
          <w:lang w:eastAsia="en-IN"/>
        </w:rPr>
      </w:pPr>
      <w:r w:rsidRPr="005616AE">
        <w:rPr>
          <w:rFonts w:cs="Calibri"/>
          <w:lang w:eastAsia="en-IN"/>
        </w:rPr>
        <w:t>Include test devices with varying operating systems, charging capabilities and form factors.</w:t>
      </w:r>
    </w:p>
    <w:p w14:paraId="332826AA" w14:textId="557DF41E" w:rsidR="00185F97" w:rsidRPr="005616AE" w:rsidRDefault="00185F97" w:rsidP="00DD1E23">
      <w:pPr>
        <w:spacing w:after="0"/>
        <w:rPr>
          <w:rFonts w:cs="Calibri"/>
          <w:b/>
          <w:bCs/>
          <w:lang w:eastAsia="en-IN"/>
        </w:rPr>
      </w:pPr>
      <w:r w:rsidRPr="005616AE">
        <w:rPr>
          <w:rFonts w:cs="Calibri"/>
          <w:b/>
          <w:bCs/>
          <w:lang w:eastAsia="en-IN"/>
        </w:rPr>
        <w:t>Software Requirements</w:t>
      </w:r>
    </w:p>
    <w:p w14:paraId="2660129D" w14:textId="77777777" w:rsidR="00185F97" w:rsidRPr="005616AE" w:rsidRDefault="00185F97" w:rsidP="00384F0C">
      <w:pPr>
        <w:pStyle w:val="ListParagraph"/>
        <w:numPr>
          <w:ilvl w:val="0"/>
          <w:numId w:val="35"/>
        </w:numPr>
        <w:spacing w:after="0" w:line="278" w:lineRule="auto"/>
        <w:rPr>
          <w:rFonts w:cs="Calibri"/>
          <w:lang w:eastAsia="en-IN"/>
        </w:rPr>
      </w:pPr>
      <w:r w:rsidRPr="005616AE">
        <w:rPr>
          <w:rFonts w:cs="Calibri"/>
          <w:lang w:eastAsia="en-IN"/>
        </w:rPr>
        <w:t>Use WiTricity’s charging control software integrated with TD Bank’s backend systems.</w:t>
      </w:r>
    </w:p>
    <w:p w14:paraId="4EB6D61E" w14:textId="77777777" w:rsidR="00185F97" w:rsidRPr="005616AE" w:rsidRDefault="00185F97" w:rsidP="00384F0C">
      <w:pPr>
        <w:pStyle w:val="ListParagraph"/>
        <w:numPr>
          <w:ilvl w:val="0"/>
          <w:numId w:val="35"/>
        </w:numPr>
        <w:spacing w:after="0" w:line="278" w:lineRule="auto"/>
        <w:rPr>
          <w:rFonts w:cs="Calibri"/>
          <w:lang w:eastAsia="en-IN"/>
        </w:rPr>
      </w:pPr>
      <w:r w:rsidRPr="005616AE">
        <w:rPr>
          <w:rFonts w:cs="Calibri"/>
          <w:lang w:eastAsia="en-IN"/>
        </w:rPr>
        <w:t>Enable simulation of APIs to evaluate the interactions between the charging technology and TD’s existing applications.</w:t>
      </w:r>
    </w:p>
    <w:p w14:paraId="574128DE" w14:textId="5660AA9C" w:rsidR="00185F97" w:rsidRPr="005616AE" w:rsidRDefault="00185F97" w:rsidP="00DD1E23">
      <w:pPr>
        <w:spacing w:after="0"/>
        <w:rPr>
          <w:rFonts w:cs="Calibri"/>
          <w:b/>
          <w:bCs/>
          <w:lang w:eastAsia="en-IN"/>
        </w:rPr>
      </w:pPr>
      <w:r w:rsidRPr="005616AE">
        <w:rPr>
          <w:rFonts w:cs="Calibri"/>
          <w:b/>
          <w:bCs/>
          <w:lang w:eastAsia="en-IN"/>
        </w:rPr>
        <w:t>Network Setup</w:t>
      </w:r>
    </w:p>
    <w:p w14:paraId="79C9C308" w14:textId="77777777" w:rsidR="00185F97" w:rsidRPr="005616AE" w:rsidRDefault="00185F97" w:rsidP="00384F0C">
      <w:pPr>
        <w:pStyle w:val="ListParagraph"/>
        <w:numPr>
          <w:ilvl w:val="0"/>
          <w:numId w:val="36"/>
        </w:numPr>
        <w:spacing w:after="0" w:line="278" w:lineRule="auto"/>
        <w:rPr>
          <w:rFonts w:cs="Calibri"/>
          <w:lang w:eastAsia="en-IN"/>
        </w:rPr>
      </w:pPr>
      <w:r w:rsidRPr="005616AE">
        <w:rPr>
          <w:rFonts w:cs="Calibri"/>
          <w:lang w:eastAsia="en-IN"/>
        </w:rPr>
        <w:t>Ensure secure, isolated test environments to simulate branch-level and customer home scenarios.</w:t>
      </w:r>
    </w:p>
    <w:p w14:paraId="4C4C09CF" w14:textId="77777777" w:rsidR="00185F97" w:rsidRPr="005616AE" w:rsidRDefault="00185F97" w:rsidP="00384F0C">
      <w:pPr>
        <w:pStyle w:val="ListParagraph"/>
        <w:numPr>
          <w:ilvl w:val="0"/>
          <w:numId w:val="36"/>
        </w:numPr>
        <w:spacing w:after="0" w:line="278" w:lineRule="auto"/>
        <w:rPr>
          <w:rFonts w:cs="Calibri"/>
          <w:lang w:eastAsia="en-IN"/>
        </w:rPr>
      </w:pPr>
      <w:r w:rsidRPr="005616AE">
        <w:rPr>
          <w:rFonts w:cs="Calibri"/>
          <w:lang w:eastAsia="en-IN"/>
        </w:rPr>
        <w:t>Validate the stability of both wired and wireless networks during high-load conditions.</w:t>
      </w:r>
    </w:p>
    <w:p w14:paraId="1C212670" w14:textId="71EE19CC" w:rsidR="00185F97" w:rsidRPr="005616AE" w:rsidRDefault="00185F97" w:rsidP="00DD1E23">
      <w:pPr>
        <w:spacing w:after="0"/>
        <w:rPr>
          <w:rFonts w:cs="Calibri"/>
          <w:b/>
          <w:bCs/>
          <w:lang w:eastAsia="en-IN"/>
        </w:rPr>
      </w:pPr>
      <w:r w:rsidRPr="005616AE">
        <w:rPr>
          <w:rFonts w:cs="Calibri"/>
          <w:b/>
          <w:bCs/>
          <w:lang w:eastAsia="en-IN"/>
        </w:rPr>
        <w:t>Branch Simulation</w:t>
      </w:r>
    </w:p>
    <w:p w14:paraId="3ECC612B"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lang w:eastAsia="en-IN"/>
        </w:rPr>
        <w:t>Set up a model branch for end-to-end operational testing, replicating real branch workflows and customer interactions.</w:t>
      </w:r>
    </w:p>
    <w:p w14:paraId="41B8773A" w14:textId="77777777" w:rsidR="00185F97" w:rsidRPr="005616AE" w:rsidRDefault="00185F97" w:rsidP="00DD1E23">
      <w:pPr>
        <w:pStyle w:val="Heading2"/>
        <w:spacing w:after="0"/>
        <w:rPr>
          <w:rFonts w:ascii="Calibri" w:hAnsi="Calibri" w:cs="Calibri"/>
        </w:rPr>
      </w:pPr>
      <w:bookmarkStart w:id="79" w:name="_Toc183211087"/>
      <w:r w:rsidRPr="005616AE">
        <w:rPr>
          <w:rFonts w:ascii="Calibri" w:hAnsi="Calibri" w:cs="Calibri"/>
        </w:rPr>
        <w:t>Testing Tools</w:t>
      </w:r>
      <w:bookmarkEnd w:id="79"/>
    </w:p>
    <w:p w14:paraId="5CC2C648" w14:textId="73E6A252" w:rsidR="00185F97" w:rsidRPr="005616AE" w:rsidRDefault="00185F97" w:rsidP="00DD1E23">
      <w:pPr>
        <w:spacing w:after="0"/>
        <w:rPr>
          <w:rFonts w:cs="Calibri"/>
        </w:rPr>
      </w:pPr>
      <w:r w:rsidRPr="005616AE">
        <w:rPr>
          <w:rStyle w:val="Strong"/>
          <w:rFonts w:cs="Calibri"/>
        </w:rPr>
        <w:t>Functional Testing Tools</w:t>
      </w:r>
    </w:p>
    <w:p w14:paraId="373DACAC" w14:textId="77777777" w:rsidR="00185F97" w:rsidRPr="005616AE" w:rsidRDefault="00185F97" w:rsidP="00DD1E23">
      <w:pPr>
        <w:spacing w:after="0"/>
        <w:rPr>
          <w:rFonts w:cs="Calibri"/>
        </w:rPr>
      </w:pPr>
      <w:proofErr w:type="gramStart"/>
      <w:r w:rsidRPr="005616AE">
        <w:rPr>
          <w:rStyle w:val="Strong"/>
          <w:rFonts w:cs="Calibri"/>
        </w:rPr>
        <w:t>Postman</w:t>
      </w:r>
      <w:proofErr w:type="gramEnd"/>
      <w:r w:rsidRPr="005616AE">
        <w:rPr>
          <w:rFonts w:cs="Calibri"/>
        </w:rPr>
        <w:t>: For testing API integrations with WiTricity’s backend systems.</w:t>
      </w:r>
    </w:p>
    <w:p w14:paraId="54160745" w14:textId="77777777" w:rsidR="00185F97" w:rsidRPr="005616AE" w:rsidRDefault="00185F97" w:rsidP="00DD1E23">
      <w:pPr>
        <w:spacing w:after="0"/>
        <w:rPr>
          <w:rFonts w:cs="Calibri"/>
        </w:rPr>
      </w:pPr>
      <w:r w:rsidRPr="005616AE">
        <w:rPr>
          <w:rStyle w:val="Strong"/>
          <w:rFonts w:cs="Calibri"/>
        </w:rPr>
        <w:t>Selenium</w:t>
      </w:r>
      <w:r w:rsidRPr="005616AE">
        <w:rPr>
          <w:rFonts w:cs="Calibri"/>
        </w:rPr>
        <w:t>: Automate testing of customer-facing web and mobile interfaces.</w:t>
      </w:r>
    </w:p>
    <w:p w14:paraId="6C21B22A" w14:textId="77777777" w:rsidR="00185F97" w:rsidRPr="005616AE" w:rsidRDefault="00185F97" w:rsidP="00DD1E23">
      <w:pPr>
        <w:spacing w:after="0"/>
        <w:rPr>
          <w:rFonts w:cs="Calibri"/>
        </w:rPr>
      </w:pPr>
      <w:r w:rsidRPr="005616AE">
        <w:rPr>
          <w:rStyle w:val="Strong"/>
          <w:rFonts w:cs="Calibri"/>
        </w:rPr>
        <w:t>Non-Functional Testing Tools:</w:t>
      </w:r>
    </w:p>
    <w:p w14:paraId="63BCD5C3" w14:textId="77777777" w:rsidR="00185F97" w:rsidRPr="005616AE" w:rsidRDefault="00185F97" w:rsidP="00DD1E23">
      <w:pPr>
        <w:spacing w:after="0"/>
        <w:rPr>
          <w:rFonts w:cs="Calibri"/>
        </w:rPr>
      </w:pPr>
      <w:r w:rsidRPr="005616AE">
        <w:rPr>
          <w:rStyle w:val="Strong"/>
          <w:rFonts w:cs="Calibri"/>
        </w:rPr>
        <w:t>JMeter</w:t>
      </w:r>
      <w:r w:rsidRPr="005616AE">
        <w:rPr>
          <w:rFonts w:cs="Calibri"/>
        </w:rPr>
        <w:t>: To simulate and measure system performance under peak load conditions.</w:t>
      </w:r>
    </w:p>
    <w:p w14:paraId="5E61983E" w14:textId="77777777" w:rsidR="00185F97" w:rsidRPr="005616AE" w:rsidRDefault="00185F97" w:rsidP="00DD1E23">
      <w:pPr>
        <w:spacing w:after="0"/>
        <w:rPr>
          <w:rFonts w:cs="Calibri"/>
        </w:rPr>
      </w:pPr>
      <w:r w:rsidRPr="005616AE">
        <w:rPr>
          <w:rStyle w:val="Strong"/>
          <w:rFonts w:cs="Calibri"/>
        </w:rPr>
        <w:t>Nessus/Burp Suite</w:t>
      </w:r>
      <w:r w:rsidRPr="005616AE">
        <w:rPr>
          <w:rFonts w:cs="Calibri"/>
        </w:rPr>
        <w:t>: To evaluate for vulnerabilities in wireless communication protocols.</w:t>
      </w:r>
    </w:p>
    <w:p w14:paraId="611A6CC5" w14:textId="77777777" w:rsidR="00185F97" w:rsidRPr="005616AE" w:rsidRDefault="00185F97" w:rsidP="00DD1E23">
      <w:pPr>
        <w:spacing w:after="0"/>
        <w:rPr>
          <w:rFonts w:cs="Calibri"/>
        </w:rPr>
      </w:pPr>
      <w:r w:rsidRPr="005616AE">
        <w:rPr>
          <w:rStyle w:val="Strong"/>
          <w:rFonts w:cs="Calibri"/>
        </w:rPr>
        <w:t>Monitoring Tools:</w:t>
      </w:r>
    </w:p>
    <w:p w14:paraId="4DCBB122" w14:textId="77777777" w:rsidR="00185F97" w:rsidRPr="005616AE" w:rsidRDefault="00185F97" w:rsidP="00DD1E23">
      <w:pPr>
        <w:spacing w:after="0"/>
        <w:rPr>
          <w:rFonts w:cs="Calibri"/>
        </w:rPr>
      </w:pPr>
      <w:r w:rsidRPr="005616AE">
        <w:rPr>
          <w:rStyle w:val="Strong"/>
          <w:rFonts w:cs="Calibri"/>
        </w:rPr>
        <w:t>Splunk</w:t>
      </w:r>
      <w:r w:rsidRPr="005616AE">
        <w:rPr>
          <w:rFonts w:cs="Calibri"/>
        </w:rPr>
        <w:t>: For real-time log monitoring and analysis during testing phases.</w:t>
      </w:r>
    </w:p>
    <w:p w14:paraId="1A5750F4" w14:textId="77777777" w:rsidR="00185F97" w:rsidRPr="005616AE" w:rsidRDefault="00185F97" w:rsidP="00DD1E23">
      <w:pPr>
        <w:spacing w:after="0"/>
        <w:rPr>
          <w:rFonts w:cs="Calibri"/>
        </w:rPr>
      </w:pPr>
      <w:r w:rsidRPr="005616AE">
        <w:rPr>
          <w:rStyle w:val="Strong"/>
          <w:rFonts w:cs="Calibri"/>
        </w:rPr>
        <w:t>AppDynamics</w:t>
      </w:r>
      <w:r w:rsidRPr="005616AE">
        <w:rPr>
          <w:rFonts w:cs="Calibri"/>
        </w:rPr>
        <w:t>: To monitor system performance metrics like CPU usage and transaction response times.</w:t>
      </w:r>
    </w:p>
    <w:p w14:paraId="22C94DD3" w14:textId="77777777" w:rsidR="00185F97" w:rsidRPr="005616AE" w:rsidRDefault="00185F97" w:rsidP="00DD1E23">
      <w:pPr>
        <w:pStyle w:val="Heading2"/>
        <w:spacing w:after="0"/>
        <w:rPr>
          <w:rFonts w:ascii="Calibri" w:hAnsi="Calibri" w:cs="Calibri"/>
        </w:rPr>
      </w:pPr>
      <w:bookmarkStart w:id="80" w:name="_Toc183211088"/>
      <w:r w:rsidRPr="005616AE">
        <w:rPr>
          <w:rFonts w:ascii="Calibri" w:hAnsi="Calibri" w:cs="Calibri"/>
        </w:rPr>
        <w:t>Release Controls</w:t>
      </w:r>
      <w:bookmarkEnd w:id="80"/>
    </w:p>
    <w:p w14:paraId="1FBB5F70" w14:textId="2AF89766" w:rsidR="00185F97" w:rsidRPr="005616AE" w:rsidRDefault="00185F97" w:rsidP="00DD1E23">
      <w:pPr>
        <w:spacing w:after="0"/>
        <w:rPr>
          <w:rFonts w:cs="Calibri"/>
          <w:b/>
          <w:bCs/>
          <w:lang w:eastAsia="en-IN"/>
        </w:rPr>
      </w:pPr>
      <w:r w:rsidRPr="005616AE">
        <w:rPr>
          <w:rFonts w:cs="Calibri"/>
          <w:b/>
          <w:bCs/>
          <w:lang w:eastAsia="en-IN"/>
        </w:rPr>
        <w:t>Release Phases</w:t>
      </w:r>
    </w:p>
    <w:p w14:paraId="7248FF9C" w14:textId="1DD4FB33" w:rsidR="00185F97" w:rsidRPr="005616AE" w:rsidRDefault="00185F97" w:rsidP="00420761">
      <w:pPr>
        <w:spacing w:after="0" w:line="278" w:lineRule="auto"/>
        <w:rPr>
          <w:rFonts w:cs="Calibri"/>
          <w:b/>
          <w:bCs/>
          <w:lang w:eastAsia="en-IN"/>
        </w:rPr>
      </w:pPr>
      <w:r w:rsidRPr="005616AE">
        <w:rPr>
          <w:rFonts w:cs="Calibri"/>
          <w:b/>
          <w:bCs/>
          <w:lang w:eastAsia="en-IN"/>
        </w:rPr>
        <w:t>Phase 1: Pilot Implementation</w:t>
      </w:r>
    </w:p>
    <w:p w14:paraId="7582FF27" w14:textId="77777777" w:rsidR="00185F97" w:rsidRPr="005616AE" w:rsidRDefault="00185F97" w:rsidP="00420761">
      <w:p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 xml:space="preserve">The pilot phase focuses on a controlled deployment of WiTricity’s wireless charging units in a select number of TD Bank branches. These branches </w:t>
      </w:r>
      <w:proofErr w:type="gramStart"/>
      <w:r w:rsidRPr="005616AE">
        <w:rPr>
          <w:rFonts w:eastAsia="Times New Roman" w:cs="Calibri"/>
          <w:kern w:val="0"/>
          <w:lang w:eastAsia="en-IN"/>
          <w14:ligatures w14:val="none"/>
        </w:rPr>
        <w:t>are chosen</w:t>
      </w:r>
      <w:proofErr w:type="gramEnd"/>
      <w:r w:rsidRPr="005616AE">
        <w:rPr>
          <w:rFonts w:eastAsia="Times New Roman" w:cs="Calibri"/>
          <w:kern w:val="0"/>
          <w:lang w:eastAsia="en-IN"/>
          <w14:ligatures w14:val="none"/>
        </w:rPr>
        <w:t xml:space="preserve"> strategically to represent diverse customer demographics and branch layouts by ensuring that the initial testing captures a wide range of operational scenarios.</w:t>
      </w:r>
    </w:p>
    <w:p w14:paraId="3D836232" w14:textId="1C6DB0EE" w:rsidR="00185F97" w:rsidRPr="005616AE" w:rsidRDefault="00185F97" w:rsidP="00420761">
      <w:pPr>
        <w:spacing w:after="0" w:line="240" w:lineRule="auto"/>
        <w:rPr>
          <w:rFonts w:eastAsia="Times New Roman" w:cs="Calibri"/>
          <w:b/>
          <w:bCs/>
          <w:kern w:val="0"/>
          <w:lang w:eastAsia="en-IN"/>
          <w14:ligatures w14:val="none"/>
        </w:rPr>
      </w:pPr>
      <w:r w:rsidRPr="005616AE">
        <w:rPr>
          <w:rFonts w:eastAsia="Times New Roman" w:cs="Calibri"/>
          <w:b/>
          <w:bCs/>
          <w:kern w:val="0"/>
          <w:lang w:eastAsia="en-IN"/>
          <w14:ligatures w14:val="none"/>
        </w:rPr>
        <w:t>Key Activities</w:t>
      </w:r>
    </w:p>
    <w:p w14:paraId="745AE8B6" w14:textId="77777777" w:rsidR="00185F97" w:rsidRPr="005616AE" w:rsidRDefault="00185F97" w:rsidP="00384F0C">
      <w:pPr>
        <w:numPr>
          <w:ilvl w:val="0"/>
          <w:numId w:val="56"/>
        </w:numPr>
        <w:spacing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t>Installation and Configuration:</w:t>
      </w:r>
      <w:r w:rsidRPr="005616AE">
        <w:rPr>
          <w:rFonts w:eastAsia="Times New Roman" w:cs="Calibri"/>
          <w:kern w:val="0"/>
          <w:lang w:eastAsia="en-IN"/>
          <w14:ligatures w14:val="none"/>
        </w:rPr>
        <w:t xml:space="preserve"> Deploy and configure the charging units in a limited number of branches.</w:t>
      </w:r>
    </w:p>
    <w:p w14:paraId="5E9E7212" w14:textId="77777777" w:rsidR="00185F97" w:rsidRPr="005616AE" w:rsidRDefault="00185F97" w:rsidP="00384F0C">
      <w:pPr>
        <w:numPr>
          <w:ilvl w:val="0"/>
          <w:numId w:val="56"/>
        </w:numPr>
        <w:spacing w:before="100" w:beforeAutospacing="1"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t>Functionality Testing:</w:t>
      </w:r>
      <w:r w:rsidRPr="005616AE">
        <w:rPr>
          <w:rFonts w:eastAsia="Times New Roman" w:cs="Calibri"/>
          <w:kern w:val="0"/>
          <w:lang w:eastAsia="en-IN"/>
          <w14:ligatures w14:val="none"/>
        </w:rPr>
        <w:t xml:space="preserve"> Monitor the performance of the charging stations including charging efficiency, system uptime as well as integration with TD’s existing payment and loyalty systems.</w:t>
      </w:r>
    </w:p>
    <w:p w14:paraId="7F8B025D" w14:textId="77777777" w:rsidR="00185F97" w:rsidRPr="005616AE" w:rsidRDefault="00185F97" w:rsidP="00384F0C">
      <w:pPr>
        <w:numPr>
          <w:ilvl w:val="0"/>
          <w:numId w:val="56"/>
        </w:numPr>
        <w:spacing w:before="100" w:beforeAutospacing="1"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lastRenderedPageBreak/>
        <w:t>User Feedback Collection:</w:t>
      </w:r>
      <w:r w:rsidRPr="005616AE">
        <w:rPr>
          <w:rFonts w:eastAsia="Times New Roman" w:cs="Calibri"/>
          <w:kern w:val="0"/>
          <w:lang w:eastAsia="en-IN"/>
          <w14:ligatures w14:val="none"/>
        </w:rPr>
        <w:t xml:space="preserve"> Actively gather feedback from customers and staff on their experience with the charging stations to identify usability improvements or potential technical issues.</w:t>
      </w:r>
    </w:p>
    <w:p w14:paraId="12E6A439" w14:textId="77777777" w:rsidR="00185F97" w:rsidRPr="005616AE" w:rsidRDefault="00185F97" w:rsidP="00384F0C">
      <w:pPr>
        <w:numPr>
          <w:ilvl w:val="0"/>
          <w:numId w:val="56"/>
        </w:numPr>
        <w:spacing w:before="100" w:beforeAutospacing="1"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t>Issue Logging and Fixing:</w:t>
      </w:r>
      <w:r w:rsidRPr="005616AE">
        <w:rPr>
          <w:rFonts w:eastAsia="Times New Roman" w:cs="Calibri"/>
          <w:kern w:val="0"/>
          <w:lang w:eastAsia="en-IN"/>
          <w14:ligatures w14:val="none"/>
        </w:rPr>
        <w:t xml:space="preserve"> Address any technical or operational issues identified during this phase by ensuring the charging units operate as expected.</w:t>
      </w:r>
    </w:p>
    <w:p w14:paraId="3536CAB1" w14:textId="3158BB01" w:rsidR="00185F97" w:rsidRPr="005616AE" w:rsidRDefault="00185F97" w:rsidP="00E878CD">
      <w:pPr>
        <w:spacing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t>Outcome</w:t>
      </w:r>
      <w:r w:rsidRPr="005616AE">
        <w:rPr>
          <w:rFonts w:eastAsia="Times New Roman" w:cs="Calibri"/>
          <w:kern w:val="0"/>
          <w:lang w:eastAsia="en-IN"/>
          <w14:ligatures w14:val="none"/>
        </w:rPr>
        <w:br/>
        <w:t xml:space="preserve">The pilot implementation provides valuable insights into the system’s functionality, </w:t>
      </w:r>
      <w:proofErr w:type="gramStart"/>
      <w:r w:rsidRPr="005616AE">
        <w:rPr>
          <w:rFonts w:eastAsia="Times New Roman" w:cs="Calibri"/>
          <w:kern w:val="0"/>
          <w:lang w:eastAsia="en-IN"/>
          <w14:ligatures w14:val="none"/>
        </w:rPr>
        <w:t>reliability</w:t>
      </w:r>
      <w:proofErr w:type="gramEnd"/>
      <w:r w:rsidRPr="005616AE">
        <w:rPr>
          <w:rFonts w:eastAsia="Times New Roman" w:cs="Calibri"/>
          <w:kern w:val="0"/>
          <w:lang w:eastAsia="en-IN"/>
          <w14:ligatures w14:val="none"/>
        </w:rPr>
        <w:t xml:space="preserve"> and customer acceptance by creating a foundation for the next phase of rollout.</w:t>
      </w:r>
    </w:p>
    <w:p w14:paraId="6CAC0045" w14:textId="77777777" w:rsidR="00E878CD" w:rsidRPr="005616AE" w:rsidRDefault="00E878CD" w:rsidP="00E878CD">
      <w:pPr>
        <w:spacing w:after="0" w:line="278" w:lineRule="auto"/>
        <w:rPr>
          <w:rFonts w:cs="Calibri"/>
          <w:b/>
          <w:bCs/>
          <w:lang w:eastAsia="en-IN"/>
        </w:rPr>
      </w:pPr>
    </w:p>
    <w:p w14:paraId="120AB3AF" w14:textId="0EB59086" w:rsidR="00185F97" w:rsidRPr="005616AE" w:rsidRDefault="00185F97" w:rsidP="00E878CD">
      <w:pPr>
        <w:spacing w:after="0" w:line="278" w:lineRule="auto"/>
        <w:rPr>
          <w:rFonts w:cs="Calibri"/>
          <w:b/>
          <w:bCs/>
          <w:lang w:eastAsia="en-IN"/>
        </w:rPr>
      </w:pPr>
      <w:r w:rsidRPr="005616AE">
        <w:rPr>
          <w:rFonts w:cs="Calibri"/>
          <w:b/>
          <w:bCs/>
          <w:lang w:eastAsia="en-IN"/>
        </w:rPr>
        <w:t>Phase 2: Gradual Rollout</w:t>
      </w:r>
    </w:p>
    <w:p w14:paraId="3F9BE9B6" w14:textId="77777777" w:rsidR="00185F97" w:rsidRPr="005616AE" w:rsidRDefault="00185F97" w:rsidP="00DD1E23">
      <w:pPr>
        <w:spacing w:after="0"/>
        <w:rPr>
          <w:rFonts w:cs="Calibri"/>
          <w:lang w:eastAsia="en-IN"/>
        </w:rPr>
      </w:pPr>
      <w:r w:rsidRPr="005616AE">
        <w:rPr>
          <w:rFonts w:cs="Calibri"/>
          <w:lang w:eastAsia="en-IN"/>
        </w:rPr>
        <w:t>Based on the findings from the pilot phase, the deployment expands to additional branches in a phased manner by ensuring scalability and addressing any issues that arise during the broader implementation.</w:t>
      </w:r>
    </w:p>
    <w:p w14:paraId="5B61BA3D" w14:textId="0EA49D18" w:rsidR="00185F97" w:rsidRPr="005616AE" w:rsidRDefault="00185F97" w:rsidP="00DD1E23">
      <w:pPr>
        <w:spacing w:after="0"/>
        <w:rPr>
          <w:rFonts w:cs="Calibri"/>
          <w:b/>
          <w:bCs/>
          <w:lang w:eastAsia="en-IN"/>
        </w:rPr>
      </w:pPr>
      <w:r w:rsidRPr="005616AE">
        <w:rPr>
          <w:rFonts w:cs="Calibri"/>
          <w:b/>
          <w:bCs/>
          <w:lang w:eastAsia="en-IN"/>
        </w:rPr>
        <w:t>Key Activities</w:t>
      </w:r>
    </w:p>
    <w:p w14:paraId="4F32AF2B"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Regional Expansion:</w:t>
      </w:r>
      <w:r w:rsidRPr="005616AE">
        <w:rPr>
          <w:rFonts w:cs="Calibri"/>
          <w:lang w:eastAsia="en-IN"/>
        </w:rPr>
        <w:t xml:space="preserve"> Roll out the charging stations to branches in select regions considering customer traffic, branch size and technological infrastructure readiness.</w:t>
      </w:r>
    </w:p>
    <w:p w14:paraId="6676EBDF"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Operational Monitoring:</w:t>
      </w:r>
      <w:r w:rsidRPr="005616AE">
        <w:rPr>
          <w:rFonts w:cs="Calibri"/>
          <w:lang w:eastAsia="en-IN"/>
        </w:rPr>
        <w:t xml:space="preserve"> Continuously monitor the charging stations’ performance across multiple locations by focusing on metrics such as charging speed, transaction success rates and network stability.</w:t>
      </w:r>
    </w:p>
    <w:p w14:paraId="7B43AF63"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Ongoing Training:</w:t>
      </w:r>
      <w:r w:rsidRPr="005616AE">
        <w:rPr>
          <w:rFonts w:cs="Calibri"/>
          <w:lang w:eastAsia="en-IN"/>
        </w:rPr>
        <w:t xml:space="preserve"> Provide training to staff at newly equipped branches to ensure they can assist customers effectively and troubleshoot minor issues.</w:t>
      </w:r>
    </w:p>
    <w:p w14:paraId="6EAC5FF3" w14:textId="6D88DCCA"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Feedback and Adjustments:</w:t>
      </w:r>
      <w:r w:rsidRPr="005616AE">
        <w:rPr>
          <w:rFonts w:cs="Calibri"/>
          <w:lang w:eastAsia="en-IN"/>
        </w:rPr>
        <w:t xml:space="preserve"> Collect ongoing feedback and implement iterative improvements to optimise the technology as well as customer experience.</w:t>
      </w:r>
    </w:p>
    <w:p w14:paraId="65E9D833" w14:textId="4091B850" w:rsidR="00185F97" w:rsidRPr="005616AE" w:rsidRDefault="00185F97" w:rsidP="00DD1E23">
      <w:pPr>
        <w:spacing w:after="0"/>
        <w:rPr>
          <w:rFonts w:cs="Calibri"/>
          <w:b/>
          <w:bCs/>
          <w:lang w:eastAsia="en-IN"/>
        </w:rPr>
      </w:pPr>
      <w:r w:rsidRPr="005616AE">
        <w:rPr>
          <w:rFonts w:cs="Calibri"/>
          <w:b/>
          <w:bCs/>
          <w:lang w:eastAsia="en-IN"/>
        </w:rPr>
        <w:t>Outcome</w:t>
      </w:r>
    </w:p>
    <w:p w14:paraId="5717FE28" w14:textId="77777777" w:rsidR="00185F97" w:rsidRPr="005616AE" w:rsidRDefault="00185F97" w:rsidP="00DD1E23">
      <w:pPr>
        <w:spacing w:after="0"/>
        <w:rPr>
          <w:rFonts w:cs="Calibri"/>
          <w:lang w:eastAsia="en-IN"/>
        </w:rPr>
      </w:pPr>
      <w:r w:rsidRPr="005616AE">
        <w:rPr>
          <w:rFonts w:cs="Calibri"/>
          <w:lang w:eastAsia="en-IN"/>
        </w:rPr>
        <w:t>This phase helps identify any region-specific challenges or technical inconsistencies. This ensures that the deployment process is smooth and efficient before the final phase.</w:t>
      </w:r>
    </w:p>
    <w:p w14:paraId="05958F29" w14:textId="77777777" w:rsidR="00E878CD" w:rsidRPr="005616AE" w:rsidRDefault="00E878CD" w:rsidP="00DD1E23">
      <w:pPr>
        <w:spacing w:after="0"/>
        <w:rPr>
          <w:rFonts w:cs="Calibri"/>
          <w:lang w:eastAsia="en-IN"/>
        </w:rPr>
      </w:pPr>
    </w:p>
    <w:p w14:paraId="4E7E385F" w14:textId="41267E99" w:rsidR="00185F97" w:rsidRPr="005616AE" w:rsidRDefault="00185F97" w:rsidP="00E878CD">
      <w:pPr>
        <w:spacing w:after="0" w:line="278" w:lineRule="auto"/>
        <w:rPr>
          <w:rFonts w:cs="Calibri"/>
          <w:b/>
          <w:bCs/>
          <w:lang w:eastAsia="en-IN"/>
        </w:rPr>
      </w:pPr>
      <w:r w:rsidRPr="005616AE">
        <w:rPr>
          <w:rFonts w:cs="Calibri"/>
          <w:b/>
          <w:bCs/>
          <w:lang w:eastAsia="en-IN"/>
        </w:rPr>
        <w:t>Phase 3: Full Deployment</w:t>
      </w:r>
    </w:p>
    <w:p w14:paraId="5B45674E" w14:textId="77777777" w:rsidR="00185F97" w:rsidRPr="005616AE" w:rsidRDefault="00185F97" w:rsidP="00DD1E23">
      <w:pPr>
        <w:spacing w:after="0"/>
        <w:rPr>
          <w:rFonts w:cs="Calibri"/>
          <w:lang w:eastAsia="en-IN"/>
        </w:rPr>
      </w:pPr>
      <w:r w:rsidRPr="005616AE">
        <w:rPr>
          <w:rFonts w:cs="Calibri"/>
          <w:lang w:eastAsia="en-IN"/>
        </w:rPr>
        <w:t>After the success of the pilot and gradual rollout, the project moves to the final stage: deploying WiTricity’s wireless charging technology nationwide across all TD Bank branches.</w:t>
      </w:r>
    </w:p>
    <w:p w14:paraId="10991087" w14:textId="34F8A032" w:rsidR="00185F97" w:rsidRPr="005616AE" w:rsidRDefault="00185F97" w:rsidP="00DD1E23">
      <w:pPr>
        <w:spacing w:after="0"/>
        <w:rPr>
          <w:rFonts w:cs="Calibri"/>
          <w:b/>
          <w:bCs/>
          <w:lang w:eastAsia="en-IN"/>
        </w:rPr>
      </w:pPr>
      <w:r w:rsidRPr="005616AE">
        <w:rPr>
          <w:rFonts w:cs="Calibri"/>
          <w:b/>
          <w:bCs/>
          <w:lang w:eastAsia="en-IN"/>
        </w:rPr>
        <w:t>Key Activities</w:t>
      </w:r>
    </w:p>
    <w:p w14:paraId="5B1BC1D0"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Comprehensive Rollout:</w:t>
      </w:r>
      <w:r w:rsidRPr="005616AE">
        <w:rPr>
          <w:rFonts w:cs="Calibri"/>
          <w:lang w:eastAsia="en-IN"/>
        </w:rPr>
        <w:t xml:space="preserve"> Equip all remaining branches with charging units by ensuring the infrastructure supports the </w:t>
      </w:r>
      <w:proofErr w:type="gramStart"/>
      <w:r w:rsidRPr="005616AE">
        <w:rPr>
          <w:rFonts w:cs="Calibri"/>
          <w:lang w:eastAsia="en-IN"/>
        </w:rPr>
        <w:t>new technology</w:t>
      </w:r>
      <w:proofErr w:type="gramEnd"/>
      <w:r w:rsidRPr="005616AE">
        <w:rPr>
          <w:rFonts w:cs="Calibri"/>
          <w:lang w:eastAsia="en-IN"/>
        </w:rPr>
        <w:t>.</w:t>
      </w:r>
    </w:p>
    <w:p w14:paraId="52E7404C"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System Validation:</w:t>
      </w:r>
      <w:r w:rsidRPr="005616AE">
        <w:rPr>
          <w:rFonts w:cs="Calibri"/>
          <w:lang w:eastAsia="en-IN"/>
        </w:rPr>
        <w:t xml:space="preserve"> Conduct final system validation to ensure all branches meet functional, security and compliance standards.</w:t>
      </w:r>
    </w:p>
    <w:p w14:paraId="0C9A877E"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Customer Awareness Campaign:</w:t>
      </w:r>
      <w:r w:rsidRPr="005616AE">
        <w:rPr>
          <w:rFonts w:cs="Calibri"/>
          <w:lang w:eastAsia="en-IN"/>
        </w:rPr>
        <w:t xml:space="preserve"> Launch a marketing campaign to inform customers about the availability of wireless charging at TD Bank branches by highlighting its benefits and alignment with TD’s sustainability goals.</w:t>
      </w:r>
    </w:p>
    <w:p w14:paraId="1F4CA51F"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b/>
          <w:bCs/>
          <w:lang w:eastAsia="en-IN"/>
        </w:rPr>
        <w:t>Post-Deployment Support:</w:t>
      </w:r>
      <w:r w:rsidRPr="005616AE">
        <w:rPr>
          <w:rFonts w:cs="Calibri"/>
          <w:lang w:eastAsia="en-IN"/>
        </w:rPr>
        <w:t xml:space="preserve"> Establish a robust support framework for addressing customer or branch-level issues promptly and provide ongoing maintenance for the technology.</w:t>
      </w:r>
    </w:p>
    <w:p w14:paraId="5A676084" w14:textId="3CDDC9DE" w:rsidR="00185F97" w:rsidRPr="005616AE" w:rsidRDefault="00185F97" w:rsidP="00DD1E23">
      <w:pPr>
        <w:spacing w:after="0"/>
        <w:rPr>
          <w:rFonts w:cs="Calibri"/>
          <w:b/>
          <w:bCs/>
          <w:lang w:eastAsia="en-IN"/>
        </w:rPr>
      </w:pPr>
      <w:r w:rsidRPr="005616AE">
        <w:rPr>
          <w:rFonts w:cs="Calibri"/>
          <w:b/>
          <w:bCs/>
          <w:lang w:eastAsia="en-IN"/>
        </w:rPr>
        <w:t>Outcome</w:t>
      </w:r>
    </w:p>
    <w:p w14:paraId="4AEE8204" w14:textId="77777777" w:rsidR="00185F97" w:rsidRPr="005616AE" w:rsidRDefault="00185F97" w:rsidP="00DD1E23">
      <w:pPr>
        <w:spacing w:after="0"/>
        <w:rPr>
          <w:rFonts w:cs="Calibri"/>
          <w:lang w:eastAsia="en-IN"/>
        </w:rPr>
      </w:pPr>
      <w:r w:rsidRPr="005616AE">
        <w:rPr>
          <w:rFonts w:cs="Calibri"/>
          <w:lang w:eastAsia="en-IN"/>
        </w:rPr>
        <w:t xml:space="preserve">The nationwide rollout ensures that all TD Bank branches </w:t>
      </w:r>
      <w:proofErr w:type="gramStart"/>
      <w:r w:rsidRPr="005616AE">
        <w:rPr>
          <w:rFonts w:cs="Calibri"/>
          <w:lang w:eastAsia="en-IN"/>
        </w:rPr>
        <w:t>are equipped</w:t>
      </w:r>
      <w:proofErr w:type="gramEnd"/>
      <w:r w:rsidRPr="005616AE">
        <w:rPr>
          <w:rFonts w:cs="Calibri"/>
          <w:lang w:eastAsia="en-IN"/>
        </w:rPr>
        <w:t xml:space="preserve"> with wireless charging technology by enhancing customer satisfaction as well as supporting TD’s strategic goals of innovation and sustainability.</w:t>
      </w:r>
    </w:p>
    <w:p w14:paraId="3AFEBA08" w14:textId="1E6C5D77" w:rsidR="00185F97" w:rsidRPr="005616AE" w:rsidRDefault="00185F97" w:rsidP="00DD1E23">
      <w:pPr>
        <w:spacing w:after="0"/>
        <w:rPr>
          <w:rFonts w:cs="Calibri"/>
          <w:b/>
          <w:bCs/>
          <w:lang w:eastAsia="en-IN"/>
        </w:rPr>
      </w:pPr>
      <w:r w:rsidRPr="005616AE">
        <w:rPr>
          <w:rFonts w:cs="Calibri"/>
          <w:b/>
          <w:bCs/>
          <w:lang w:eastAsia="en-IN"/>
        </w:rPr>
        <w:t>Change Management</w:t>
      </w:r>
    </w:p>
    <w:p w14:paraId="593391EE"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lang w:eastAsia="en-IN"/>
        </w:rPr>
        <w:lastRenderedPageBreak/>
        <w:t>Maintain a strict change control process to track modifications to software, hardware, or configuration settings.</w:t>
      </w:r>
    </w:p>
    <w:p w14:paraId="2A724D2D" w14:textId="77777777" w:rsidR="00185F97" w:rsidRPr="005616AE" w:rsidRDefault="00185F97" w:rsidP="00384F0C">
      <w:pPr>
        <w:pStyle w:val="ListParagraph"/>
        <w:numPr>
          <w:ilvl w:val="0"/>
          <w:numId w:val="37"/>
        </w:numPr>
        <w:spacing w:after="0" w:line="278" w:lineRule="auto"/>
        <w:rPr>
          <w:rFonts w:cs="Calibri"/>
          <w:lang w:eastAsia="en-IN"/>
        </w:rPr>
      </w:pPr>
      <w:r w:rsidRPr="005616AE">
        <w:rPr>
          <w:rFonts w:cs="Calibri"/>
          <w:lang w:eastAsia="en-IN"/>
        </w:rPr>
        <w:t>Document and validate all changes through regression testing.</w:t>
      </w:r>
    </w:p>
    <w:p w14:paraId="7E077888" w14:textId="6D66DE55" w:rsidR="00185F97" w:rsidRPr="005616AE" w:rsidRDefault="00185F97" w:rsidP="00DD1E23">
      <w:pPr>
        <w:spacing w:after="0"/>
        <w:rPr>
          <w:rFonts w:cs="Calibri"/>
          <w:b/>
          <w:bCs/>
          <w:lang w:eastAsia="en-IN"/>
        </w:rPr>
      </w:pPr>
      <w:r w:rsidRPr="005616AE">
        <w:rPr>
          <w:rFonts w:cs="Calibri"/>
          <w:b/>
          <w:bCs/>
          <w:lang w:eastAsia="en-IN"/>
        </w:rPr>
        <w:t>Exit Criteria</w:t>
      </w:r>
    </w:p>
    <w:p w14:paraId="7FA7FAA7" w14:textId="77777777" w:rsidR="00185F97" w:rsidRPr="005616AE" w:rsidRDefault="00185F97" w:rsidP="00384F0C">
      <w:pPr>
        <w:pStyle w:val="ListParagraph"/>
        <w:numPr>
          <w:ilvl w:val="0"/>
          <w:numId w:val="38"/>
        </w:numPr>
        <w:spacing w:after="0" w:line="278" w:lineRule="auto"/>
        <w:rPr>
          <w:rFonts w:cs="Calibri"/>
          <w:lang w:eastAsia="en-IN"/>
        </w:rPr>
      </w:pPr>
      <w:r w:rsidRPr="005616AE">
        <w:rPr>
          <w:rFonts w:cs="Calibri"/>
          <w:lang w:eastAsia="en-IN"/>
        </w:rPr>
        <w:t>No open high-severity defects.</w:t>
      </w:r>
    </w:p>
    <w:p w14:paraId="6A47E59B" w14:textId="77777777" w:rsidR="00185F97" w:rsidRPr="005616AE" w:rsidRDefault="00185F97" w:rsidP="00384F0C">
      <w:pPr>
        <w:pStyle w:val="ListParagraph"/>
        <w:numPr>
          <w:ilvl w:val="0"/>
          <w:numId w:val="38"/>
        </w:numPr>
        <w:spacing w:after="0" w:line="278" w:lineRule="auto"/>
        <w:rPr>
          <w:rFonts w:cs="Calibri"/>
          <w:lang w:eastAsia="en-IN"/>
        </w:rPr>
      </w:pPr>
      <w:r w:rsidRPr="005616AE">
        <w:rPr>
          <w:rFonts w:cs="Calibri"/>
          <w:lang w:eastAsia="en-IN"/>
        </w:rPr>
        <w:t>Full compliance with regulatory standards.</w:t>
      </w:r>
    </w:p>
    <w:p w14:paraId="63405EC5" w14:textId="77777777" w:rsidR="00185F97" w:rsidRPr="005616AE" w:rsidRDefault="00185F97" w:rsidP="00384F0C">
      <w:pPr>
        <w:pStyle w:val="ListParagraph"/>
        <w:numPr>
          <w:ilvl w:val="0"/>
          <w:numId w:val="38"/>
        </w:numPr>
        <w:spacing w:after="0" w:line="278" w:lineRule="auto"/>
        <w:rPr>
          <w:rFonts w:cs="Calibri"/>
          <w:lang w:eastAsia="en-IN"/>
        </w:rPr>
      </w:pPr>
      <w:r w:rsidRPr="005616AE">
        <w:rPr>
          <w:rFonts w:cs="Calibri"/>
          <w:lang w:eastAsia="en-IN"/>
        </w:rPr>
        <w:t>User acceptance sign-off from stakeholders.</w:t>
      </w:r>
    </w:p>
    <w:p w14:paraId="3780A83F" w14:textId="77777777" w:rsidR="00185F97" w:rsidRPr="005616AE" w:rsidRDefault="00185F97" w:rsidP="00DD1E23">
      <w:pPr>
        <w:pStyle w:val="Heading2"/>
        <w:spacing w:after="0"/>
        <w:rPr>
          <w:rFonts w:ascii="Calibri" w:hAnsi="Calibri" w:cs="Calibri"/>
        </w:rPr>
      </w:pPr>
      <w:bookmarkStart w:id="81" w:name="_Toc183211089"/>
      <w:r w:rsidRPr="005616AE">
        <w:rPr>
          <w:rFonts w:ascii="Calibri" w:hAnsi="Calibri" w:cs="Calibri"/>
        </w:rPr>
        <w:t>Risk Analysis</w:t>
      </w:r>
      <w:bookmarkEnd w:id="81"/>
    </w:p>
    <w:p w14:paraId="5DC35C51" w14:textId="5238F048" w:rsidR="00185F97" w:rsidRPr="005616AE" w:rsidRDefault="00185F97" w:rsidP="00DD1E23">
      <w:pPr>
        <w:spacing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t>Technical Risks</w:t>
      </w:r>
    </w:p>
    <w:p w14:paraId="2AB96AB1" w14:textId="77777777" w:rsidR="00185F97" w:rsidRPr="005616AE" w:rsidRDefault="00185F97" w:rsidP="00384F0C">
      <w:pPr>
        <w:pStyle w:val="ListParagraph"/>
        <w:numPr>
          <w:ilvl w:val="0"/>
          <w:numId w:val="54"/>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Incompatibility between WiTricity’s systems and TD Bank’s legacy infrastructure.</w:t>
      </w:r>
    </w:p>
    <w:p w14:paraId="263EC4EB" w14:textId="77777777" w:rsidR="00185F97" w:rsidRPr="005616AE" w:rsidRDefault="00185F97" w:rsidP="00384F0C">
      <w:pPr>
        <w:pStyle w:val="ListParagraph"/>
        <w:numPr>
          <w:ilvl w:val="0"/>
          <w:numId w:val="54"/>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Hardware failure in high-traffic branches.</w:t>
      </w:r>
    </w:p>
    <w:p w14:paraId="51154330" w14:textId="26597DB9" w:rsidR="00185F97" w:rsidRPr="005616AE" w:rsidRDefault="00185F97" w:rsidP="00DD1E23">
      <w:pPr>
        <w:spacing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t>Operational Risks</w:t>
      </w:r>
    </w:p>
    <w:p w14:paraId="37BF5DC8" w14:textId="77777777" w:rsidR="00185F97" w:rsidRPr="005616AE" w:rsidRDefault="00185F97" w:rsidP="00384F0C">
      <w:pPr>
        <w:pStyle w:val="ListParagraph"/>
        <w:numPr>
          <w:ilvl w:val="0"/>
          <w:numId w:val="53"/>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Insufficient training for branch staff in managing charging stations.</w:t>
      </w:r>
    </w:p>
    <w:p w14:paraId="437D9739" w14:textId="77777777" w:rsidR="00185F97" w:rsidRPr="005616AE" w:rsidRDefault="00185F97" w:rsidP="00384F0C">
      <w:pPr>
        <w:pStyle w:val="ListParagraph"/>
        <w:numPr>
          <w:ilvl w:val="0"/>
          <w:numId w:val="53"/>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Delayed response to customer queries about the modern technology.</w:t>
      </w:r>
    </w:p>
    <w:p w14:paraId="441F502E" w14:textId="3197C47B" w:rsidR="00185F97" w:rsidRPr="005616AE" w:rsidRDefault="00185F97" w:rsidP="00DD1E23">
      <w:pPr>
        <w:spacing w:after="0" w:line="240" w:lineRule="auto"/>
        <w:rPr>
          <w:rFonts w:eastAsia="Times New Roman" w:cs="Calibri"/>
          <w:kern w:val="0"/>
          <w:lang w:eastAsia="en-IN"/>
          <w14:ligatures w14:val="none"/>
        </w:rPr>
      </w:pPr>
      <w:r w:rsidRPr="005616AE">
        <w:rPr>
          <w:rFonts w:eastAsia="Times New Roman" w:cs="Calibri"/>
          <w:b/>
          <w:bCs/>
          <w:kern w:val="0"/>
          <w:lang w:eastAsia="en-IN"/>
          <w14:ligatures w14:val="none"/>
        </w:rPr>
        <w:t>Regulatory Risks</w:t>
      </w:r>
    </w:p>
    <w:p w14:paraId="0053D2D3" w14:textId="77777777" w:rsidR="00185F97" w:rsidRPr="005616AE" w:rsidRDefault="00185F97" w:rsidP="00384F0C">
      <w:pPr>
        <w:pStyle w:val="ListParagraph"/>
        <w:numPr>
          <w:ilvl w:val="0"/>
          <w:numId w:val="55"/>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Non-compliance with energy efficiency standards.</w:t>
      </w:r>
    </w:p>
    <w:p w14:paraId="2ACBA186" w14:textId="77777777" w:rsidR="00185F97" w:rsidRPr="005616AE" w:rsidRDefault="00185F97" w:rsidP="00384F0C">
      <w:pPr>
        <w:pStyle w:val="ListParagraph"/>
        <w:numPr>
          <w:ilvl w:val="0"/>
          <w:numId w:val="55"/>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Security vulnerabilities in wireless communications.</w:t>
      </w:r>
    </w:p>
    <w:p w14:paraId="61006659" w14:textId="6DF6D6B5" w:rsidR="00185F97" w:rsidRPr="005616AE" w:rsidRDefault="00185F97" w:rsidP="00DD1E23">
      <w:pPr>
        <w:spacing w:after="0"/>
        <w:rPr>
          <w:rFonts w:cs="Calibri"/>
          <w:b/>
          <w:bCs/>
          <w:lang w:eastAsia="en-IN"/>
        </w:rPr>
      </w:pPr>
      <w:r w:rsidRPr="005616AE">
        <w:rPr>
          <w:rFonts w:cs="Calibri"/>
          <w:b/>
          <w:bCs/>
          <w:lang w:eastAsia="en-IN"/>
        </w:rPr>
        <w:t>Mitigation Measures</w:t>
      </w:r>
    </w:p>
    <w:p w14:paraId="6763564C" w14:textId="77777777" w:rsidR="00185F97" w:rsidRPr="005616AE" w:rsidRDefault="00185F97" w:rsidP="00384F0C">
      <w:pPr>
        <w:numPr>
          <w:ilvl w:val="0"/>
          <w:numId w:val="39"/>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Conduct compatibility testing early to identify integration challenges.</w:t>
      </w:r>
    </w:p>
    <w:p w14:paraId="68F28603" w14:textId="77777777" w:rsidR="00185F97" w:rsidRPr="005616AE" w:rsidRDefault="00185F97" w:rsidP="00384F0C">
      <w:pPr>
        <w:numPr>
          <w:ilvl w:val="0"/>
          <w:numId w:val="39"/>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Train staff on managing wireless charging stations and troubleshooting common issues.</w:t>
      </w:r>
    </w:p>
    <w:p w14:paraId="3B0C0A37" w14:textId="77777777" w:rsidR="00185F97" w:rsidRPr="005616AE" w:rsidRDefault="00185F97" w:rsidP="00384F0C">
      <w:pPr>
        <w:numPr>
          <w:ilvl w:val="0"/>
          <w:numId w:val="39"/>
        </w:numPr>
        <w:spacing w:after="0" w:line="240" w:lineRule="auto"/>
        <w:rPr>
          <w:rFonts w:eastAsia="Times New Roman" w:cs="Calibri"/>
          <w:kern w:val="0"/>
          <w:lang w:eastAsia="en-IN"/>
          <w14:ligatures w14:val="none"/>
        </w:rPr>
      </w:pPr>
      <w:r w:rsidRPr="005616AE">
        <w:rPr>
          <w:rFonts w:eastAsia="Times New Roman" w:cs="Calibri"/>
          <w:kern w:val="0"/>
          <w:lang w:eastAsia="en-IN"/>
          <w14:ligatures w14:val="none"/>
        </w:rPr>
        <w:t>Perform penetration testing to address security vulnerabilities before deployment.</w:t>
      </w:r>
    </w:p>
    <w:p w14:paraId="57F0B3C0" w14:textId="77777777" w:rsidR="00185F97" w:rsidRPr="005616AE" w:rsidRDefault="00185F97" w:rsidP="00DD1E23">
      <w:pPr>
        <w:pStyle w:val="Heading2"/>
        <w:spacing w:after="0"/>
        <w:rPr>
          <w:rFonts w:ascii="Calibri" w:hAnsi="Calibri" w:cs="Calibri"/>
        </w:rPr>
      </w:pPr>
      <w:bookmarkStart w:id="82" w:name="_Toc183211090"/>
      <w:r w:rsidRPr="005616AE">
        <w:rPr>
          <w:rFonts w:ascii="Calibri" w:hAnsi="Calibri" w:cs="Calibri"/>
        </w:rPr>
        <w:t>Review and Approvals</w:t>
      </w:r>
      <w:bookmarkEnd w:id="82"/>
    </w:p>
    <w:p w14:paraId="482CA970" w14:textId="76D1FC18" w:rsidR="00185F97" w:rsidRPr="005616AE" w:rsidRDefault="00185F97" w:rsidP="00DD1E23">
      <w:pPr>
        <w:spacing w:after="0"/>
        <w:rPr>
          <w:rFonts w:cs="Calibri"/>
        </w:rPr>
      </w:pPr>
      <w:r w:rsidRPr="005616AE">
        <w:rPr>
          <w:rStyle w:val="Strong"/>
          <w:rFonts w:cs="Calibri"/>
        </w:rPr>
        <w:t>Review Process</w:t>
      </w:r>
    </w:p>
    <w:p w14:paraId="746CFB9C" w14:textId="77777777" w:rsidR="00185F97" w:rsidRPr="005616AE" w:rsidRDefault="00185F97" w:rsidP="00384F0C">
      <w:pPr>
        <w:pStyle w:val="ListParagraph"/>
        <w:numPr>
          <w:ilvl w:val="0"/>
          <w:numId w:val="52"/>
        </w:numPr>
        <w:spacing w:after="0" w:line="278" w:lineRule="auto"/>
        <w:rPr>
          <w:rFonts w:cs="Calibri"/>
        </w:rPr>
      </w:pPr>
      <w:r w:rsidRPr="005616AE">
        <w:rPr>
          <w:rFonts w:cs="Calibri"/>
        </w:rPr>
        <w:t>Cross-functional teams from TD Bank such as IT, operations, and legal as well as WiTricity technical and R&amp;D teams will review the test results.</w:t>
      </w:r>
    </w:p>
    <w:p w14:paraId="13FD8C48" w14:textId="77777777" w:rsidR="00185F97" w:rsidRPr="005616AE" w:rsidRDefault="00185F97" w:rsidP="00384F0C">
      <w:pPr>
        <w:pStyle w:val="ListParagraph"/>
        <w:numPr>
          <w:ilvl w:val="0"/>
          <w:numId w:val="52"/>
        </w:numPr>
        <w:spacing w:after="0" w:line="278" w:lineRule="auto"/>
        <w:rPr>
          <w:rFonts w:cs="Calibri"/>
        </w:rPr>
      </w:pPr>
      <w:r w:rsidRPr="005616AE">
        <w:rPr>
          <w:rFonts w:cs="Calibri"/>
        </w:rPr>
        <w:t>Conduct bi-weekly status meetings to align on testing progress and resolve outstanding issues.</w:t>
      </w:r>
    </w:p>
    <w:p w14:paraId="00FB5C55" w14:textId="3F172ACE" w:rsidR="00185F97" w:rsidRPr="005616AE" w:rsidRDefault="00185F97" w:rsidP="00DD1E23">
      <w:pPr>
        <w:spacing w:after="0"/>
        <w:rPr>
          <w:rFonts w:cs="Calibri"/>
        </w:rPr>
      </w:pPr>
      <w:r w:rsidRPr="005616AE">
        <w:rPr>
          <w:rStyle w:val="Strong"/>
          <w:rFonts w:cs="Calibri"/>
        </w:rPr>
        <w:t>Approval Workflow</w:t>
      </w:r>
    </w:p>
    <w:p w14:paraId="4611E8DE" w14:textId="2B621CC7" w:rsidR="00185F97" w:rsidRPr="005616AE" w:rsidRDefault="00185F97" w:rsidP="00384F0C">
      <w:pPr>
        <w:pStyle w:val="ListParagraph"/>
        <w:numPr>
          <w:ilvl w:val="0"/>
          <w:numId w:val="40"/>
        </w:numPr>
        <w:spacing w:after="0" w:line="278" w:lineRule="auto"/>
        <w:rPr>
          <w:rFonts w:cs="Calibri"/>
          <w:b/>
          <w:bCs/>
        </w:rPr>
      </w:pPr>
      <w:r w:rsidRPr="005616AE">
        <w:rPr>
          <w:rStyle w:val="Strong"/>
          <w:rFonts w:cs="Calibri"/>
        </w:rPr>
        <w:t>Internal Approvals</w:t>
      </w:r>
    </w:p>
    <w:p w14:paraId="381F6B23" w14:textId="77777777" w:rsidR="00185F97" w:rsidRPr="005616AE" w:rsidRDefault="00185F97" w:rsidP="00DD1E23">
      <w:pPr>
        <w:pStyle w:val="ListParagraph"/>
        <w:spacing w:after="0"/>
        <w:rPr>
          <w:rFonts w:cs="Calibri"/>
        </w:rPr>
      </w:pPr>
      <w:r w:rsidRPr="005616AE">
        <w:rPr>
          <w:rFonts w:cs="Calibri"/>
        </w:rPr>
        <w:t>TD Bank’s IT leadership and compliance officers must approve test results.</w:t>
      </w:r>
    </w:p>
    <w:p w14:paraId="285DDE88" w14:textId="3E10F3B4" w:rsidR="00185F97" w:rsidRPr="005616AE" w:rsidRDefault="00185F97" w:rsidP="00384F0C">
      <w:pPr>
        <w:pStyle w:val="ListParagraph"/>
        <w:numPr>
          <w:ilvl w:val="0"/>
          <w:numId w:val="40"/>
        </w:numPr>
        <w:spacing w:after="0" w:line="278" w:lineRule="auto"/>
        <w:rPr>
          <w:rFonts w:cs="Calibri"/>
          <w:b/>
          <w:bCs/>
        </w:rPr>
      </w:pPr>
      <w:r w:rsidRPr="005616AE">
        <w:rPr>
          <w:rStyle w:val="Strong"/>
          <w:rFonts w:cs="Calibri"/>
        </w:rPr>
        <w:t>External Approvals</w:t>
      </w:r>
    </w:p>
    <w:p w14:paraId="342EBF74" w14:textId="77777777" w:rsidR="00185F97" w:rsidRPr="005616AE" w:rsidRDefault="00185F97" w:rsidP="00DD1E23">
      <w:pPr>
        <w:pStyle w:val="ListParagraph"/>
        <w:spacing w:after="0"/>
        <w:rPr>
          <w:rFonts w:cs="Calibri"/>
        </w:rPr>
      </w:pPr>
      <w:r w:rsidRPr="005616AE">
        <w:rPr>
          <w:rFonts w:cs="Calibri"/>
        </w:rPr>
        <w:t>Obtain validation from third-party auditors on compliance with industry standards.</w:t>
      </w:r>
    </w:p>
    <w:p w14:paraId="007399E4" w14:textId="70C12E0F" w:rsidR="00185F97" w:rsidRPr="005616AE" w:rsidRDefault="00185F97" w:rsidP="00384F0C">
      <w:pPr>
        <w:pStyle w:val="ListParagraph"/>
        <w:numPr>
          <w:ilvl w:val="0"/>
          <w:numId w:val="40"/>
        </w:numPr>
        <w:spacing w:after="0" w:line="278" w:lineRule="auto"/>
        <w:rPr>
          <w:rFonts w:cs="Calibri"/>
          <w:b/>
          <w:bCs/>
        </w:rPr>
      </w:pPr>
      <w:r w:rsidRPr="005616AE">
        <w:rPr>
          <w:rStyle w:val="Strong"/>
          <w:rFonts w:cs="Calibri"/>
        </w:rPr>
        <w:t>Go-Live Sign-Off</w:t>
      </w:r>
    </w:p>
    <w:p w14:paraId="6DE35DA6" w14:textId="77777777" w:rsidR="00185F97" w:rsidRPr="005616AE" w:rsidRDefault="00185F97" w:rsidP="00DD1E23">
      <w:pPr>
        <w:pStyle w:val="ListParagraph"/>
        <w:spacing w:after="0"/>
        <w:rPr>
          <w:rFonts w:cs="Calibri"/>
        </w:rPr>
      </w:pPr>
      <w:r w:rsidRPr="005616AE">
        <w:rPr>
          <w:rFonts w:cs="Calibri"/>
        </w:rPr>
        <w:t xml:space="preserve">Final approval will </w:t>
      </w:r>
      <w:proofErr w:type="gramStart"/>
      <w:r w:rsidRPr="005616AE">
        <w:rPr>
          <w:rFonts w:cs="Calibri"/>
        </w:rPr>
        <w:t>be granted</w:t>
      </w:r>
      <w:proofErr w:type="gramEnd"/>
      <w:r w:rsidRPr="005616AE">
        <w:rPr>
          <w:rFonts w:cs="Calibri"/>
        </w:rPr>
        <w:t xml:space="preserve"> after a successful UAT cycle with no critical issues reported.</w:t>
      </w:r>
    </w:p>
    <w:p w14:paraId="468C8E62" w14:textId="77777777" w:rsidR="00185F97" w:rsidRPr="005616AE" w:rsidRDefault="00185F97" w:rsidP="00DD1E23">
      <w:pPr>
        <w:spacing w:after="0"/>
        <w:rPr>
          <w:rFonts w:cs="Calibri"/>
        </w:rPr>
      </w:pPr>
    </w:p>
    <w:p w14:paraId="63453E28" w14:textId="77777777" w:rsidR="00400DA8" w:rsidRPr="005616AE" w:rsidRDefault="00400DA8" w:rsidP="00DD1E23">
      <w:pPr>
        <w:rPr>
          <w:rFonts w:cs="Calibri"/>
        </w:rPr>
      </w:pPr>
    </w:p>
    <w:p w14:paraId="726E73DF" w14:textId="77777777" w:rsidR="00400DA8" w:rsidRPr="005616AE" w:rsidRDefault="00400DA8" w:rsidP="00DD1E23">
      <w:pPr>
        <w:rPr>
          <w:rFonts w:cs="Calibri"/>
        </w:rPr>
      </w:pPr>
    </w:p>
    <w:p w14:paraId="12602F12" w14:textId="77777777" w:rsidR="00400DA8" w:rsidRPr="005616AE" w:rsidRDefault="00400DA8" w:rsidP="00DD1E23">
      <w:pPr>
        <w:rPr>
          <w:rFonts w:cs="Calibri"/>
        </w:rPr>
      </w:pPr>
    </w:p>
    <w:p w14:paraId="0EFA7F2A" w14:textId="77777777" w:rsidR="00400DA8" w:rsidRPr="005616AE" w:rsidRDefault="00400DA8" w:rsidP="00DD1E23">
      <w:pPr>
        <w:rPr>
          <w:rFonts w:cs="Calibri"/>
        </w:rPr>
      </w:pPr>
    </w:p>
    <w:p w14:paraId="54C82418" w14:textId="3AB8BBE7" w:rsidR="006507C7" w:rsidRPr="005616AE" w:rsidRDefault="00B20690" w:rsidP="00B20690">
      <w:pPr>
        <w:pStyle w:val="Heading1"/>
        <w:rPr>
          <w:rFonts w:ascii="Calibri" w:hAnsi="Calibri" w:cs="Calibri"/>
        </w:rPr>
      </w:pPr>
      <w:bookmarkStart w:id="83" w:name="_Toc183211091"/>
      <w:r w:rsidRPr="005616AE">
        <w:rPr>
          <w:rFonts w:ascii="Calibri" w:hAnsi="Calibri" w:cs="Calibri"/>
        </w:rPr>
        <w:lastRenderedPageBreak/>
        <w:t>News Board</w:t>
      </w:r>
      <w:bookmarkEnd w:id="83"/>
    </w:p>
    <w:p w14:paraId="0A99DA68" w14:textId="77777777" w:rsidR="00165337" w:rsidRPr="005616AE" w:rsidRDefault="00165337" w:rsidP="0016689C">
      <w:pPr>
        <w:spacing w:after="0"/>
        <w:rPr>
          <w:rFonts w:cs="Calibri"/>
          <w:b/>
          <w:bCs/>
        </w:rPr>
      </w:pPr>
      <w:r w:rsidRPr="005616AE">
        <w:rPr>
          <w:rFonts w:cs="Calibri"/>
          <w:b/>
          <w:bCs/>
        </w:rPr>
        <w:t>Inflation Rate Rises to 2% in October 2024</w:t>
      </w:r>
    </w:p>
    <w:p w14:paraId="4B5C72DD" w14:textId="77777777" w:rsidR="00165337" w:rsidRPr="005616AE" w:rsidRDefault="00165337" w:rsidP="0016689C">
      <w:pPr>
        <w:spacing w:after="0"/>
        <w:rPr>
          <w:rFonts w:cs="Calibri"/>
        </w:rPr>
      </w:pPr>
      <w:r w:rsidRPr="005616AE">
        <w:rPr>
          <w:rFonts w:cs="Calibri"/>
        </w:rPr>
        <w:t xml:space="preserve">Canada's inflation rate unexpectedly jumped to 2% in October, exceeding expectations of 1.9%. This rise was </w:t>
      </w:r>
      <w:proofErr w:type="gramStart"/>
      <w:r w:rsidRPr="005616AE">
        <w:rPr>
          <w:rFonts w:cs="Calibri"/>
        </w:rPr>
        <w:t>mainly driven</w:t>
      </w:r>
      <w:proofErr w:type="gramEnd"/>
      <w:r w:rsidRPr="005616AE">
        <w:rPr>
          <w:rFonts w:cs="Calibri"/>
        </w:rPr>
        <w:t xml:space="preserve"> by higher gasoline prices and increased mortgage interest costs. Although this shift brings the inflation rate in line with the Bank of Canada's target is causing experts to reconsider expectations for future interest rate cuts. The increase suggests that inflationary pressures are still present making it less likely that the Bank of Canada will implement significant rate cuts in the near term. Key factors contributing to the rise in inflation include elevated food and energy costs. These essentials are pushing up the overall consumer price index making everyday living more expensive for Canadians. Despite this economist believe that the central bank will remain cautious in its approach to monetary policy to ensure the inflation rate remains stable.</w:t>
      </w:r>
    </w:p>
    <w:p w14:paraId="34AF7322" w14:textId="77777777" w:rsidR="00165337" w:rsidRPr="005616AE" w:rsidRDefault="00165337" w:rsidP="0016689C">
      <w:pPr>
        <w:spacing w:after="0"/>
        <w:rPr>
          <w:rFonts w:cs="Calibri"/>
          <w:b/>
          <w:bCs/>
        </w:rPr>
      </w:pPr>
      <w:r w:rsidRPr="005616AE">
        <w:rPr>
          <w:rFonts w:cs="Calibri"/>
          <w:b/>
          <w:bCs/>
        </w:rPr>
        <w:t>Impact on TD Bank</w:t>
      </w:r>
    </w:p>
    <w:p w14:paraId="49E0B9F1" w14:textId="77777777" w:rsidR="00165337" w:rsidRPr="005616AE" w:rsidRDefault="00165337" w:rsidP="0016689C">
      <w:pPr>
        <w:spacing w:after="0"/>
        <w:rPr>
          <w:rFonts w:cs="Calibri"/>
        </w:rPr>
      </w:pPr>
      <w:r w:rsidRPr="005616AE">
        <w:rPr>
          <w:rFonts w:cs="Calibri"/>
        </w:rPr>
        <w:t xml:space="preserve">The rise in Canada's inflation rate to 2% in October 2024 has </w:t>
      </w:r>
      <w:proofErr w:type="gramStart"/>
      <w:r w:rsidRPr="005616AE">
        <w:rPr>
          <w:rFonts w:cs="Calibri"/>
        </w:rPr>
        <w:t>several</w:t>
      </w:r>
      <w:proofErr w:type="gramEnd"/>
      <w:r w:rsidRPr="005616AE">
        <w:rPr>
          <w:rFonts w:cs="Calibri"/>
        </w:rPr>
        <w:t xml:space="preserve"> implications for TD Bank. The unexpected rise in inflation suggests that the Bank of Canada may be less likely to proceed with substantial interest rate cuts </w:t>
      </w:r>
      <w:proofErr w:type="gramStart"/>
      <w:r w:rsidRPr="005616AE">
        <w:rPr>
          <w:rFonts w:cs="Calibri"/>
        </w:rPr>
        <w:t>in the near future</w:t>
      </w:r>
      <w:proofErr w:type="gramEnd"/>
      <w:r w:rsidRPr="005616AE">
        <w:rPr>
          <w:rFonts w:cs="Calibri"/>
        </w:rPr>
        <w:t xml:space="preserve">. This impacts TD Bank’s interest rate strategy particularly for loans and mortgages. Higher or stable interest rates could mean that borrowing costs for customers remain elevated which may lead to slower growth in lending and mortgage activity for the bank. Rising inflation can increase operational costs for TD Bank particularly with expenses related to energy, </w:t>
      </w:r>
      <w:proofErr w:type="gramStart"/>
      <w:r w:rsidRPr="005616AE">
        <w:rPr>
          <w:rFonts w:cs="Calibri"/>
        </w:rPr>
        <w:t>transportation</w:t>
      </w:r>
      <w:proofErr w:type="gramEnd"/>
      <w:r w:rsidRPr="005616AE">
        <w:rPr>
          <w:rFonts w:cs="Calibri"/>
        </w:rPr>
        <w:t xml:space="preserve"> and staffing. Managing these costs while maintaining profitability will be crucial. TD Bank might need to implement efficiency measures or reassess budget allocations to offset inflation-driven expenses. Consumer spending power may decrease leading to cautious borrowing and reduced demand for credit. This makes it essential for TD Bank to communicate effectively with clients and adapt its financial products to meet the needs of cost-conscious customers. The bank's ability to navigate these challenges will be key to maintaining stability and growth.</w:t>
      </w:r>
    </w:p>
    <w:p w14:paraId="4D4A1D2E" w14:textId="77777777" w:rsidR="00165337" w:rsidRPr="005616AE" w:rsidRDefault="00165337" w:rsidP="0016689C">
      <w:pPr>
        <w:spacing w:after="0"/>
        <w:rPr>
          <w:rFonts w:cs="Calibri"/>
          <w:b/>
          <w:bCs/>
        </w:rPr>
      </w:pPr>
      <w:r w:rsidRPr="005616AE">
        <w:rPr>
          <w:rFonts w:cs="Calibri"/>
          <w:b/>
          <w:bCs/>
        </w:rPr>
        <w:t>Impact on acquisition of WiTricity</w:t>
      </w:r>
    </w:p>
    <w:p w14:paraId="2F4E4441" w14:textId="77777777" w:rsidR="00165337" w:rsidRPr="005616AE" w:rsidRDefault="00165337" w:rsidP="0016689C">
      <w:pPr>
        <w:spacing w:after="0"/>
        <w:rPr>
          <w:rFonts w:cs="Calibri"/>
        </w:rPr>
      </w:pPr>
      <w:r w:rsidRPr="005616AE">
        <w:rPr>
          <w:rFonts w:cs="Calibri"/>
        </w:rPr>
        <w:t xml:space="preserve">With inflation rising the Bank of Canada may be hesitant to cut interest rates. This means that the cost of financing the acquisition of WiTricity could remain high. TD Bank may face higher borrowing costs or tighter financial conditions affecting the overall budget for the acquisition and integration process. Elevated inflation could lead to higher operational costs for WiTricity post-acquisition particularly in areas like energy, </w:t>
      </w:r>
      <w:proofErr w:type="gramStart"/>
      <w:r w:rsidRPr="005616AE">
        <w:rPr>
          <w:rFonts w:cs="Calibri"/>
        </w:rPr>
        <w:t>materials</w:t>
      </w:r>
      <w:proofErr w:type="gramEnd"/>
      <w:r w:rsidRPr="005616AE">
        <w:rPr>
          <w:rFonts w:cs="Calibri"/>
        </w:rPr>
        <w:t xml:space="preserve"> and labour. TD Bank will need to account for these inflation-driven expenses as it integrates WiTricity into its operations which could influence the financial returns of the acquisition. Despite inflation TD Bank’s acquisition of WiTricity could still benefit from a strong focus on green technology and sustainability. Inflation increases the importance of investments that offer long-term stability and innovation. WiTricity’s expertise in wireless EV charging could position TD Bank to tap into green incentives and growing demand for sustainable technology even in an inflationary environment. Overall, while inflation introduces financial challenges TD Bank’s acquisition of WiTricity could still provide long-term benefits particularly in aligning with sustainable market trends. Careful management of costs and strategic positioning in the green technology sector will be crucial for success.</w:t>
      </w:r>
    </w:p>
    <w:p w14:paraId="689D4395" w14:textId="77777777" w:rsidR="00165337" w:rsidRPr="005616AE" w:rsidRDefault="00165337" w:rsidP="0016689C">
      <w:pPr>
        <w:spacing w:after="0"/>
        <w:rPr>
          <w:rFonts w:cs="Calibri"/>
        </w:rPr>
      </w:pPr>
    </w:p>
    <w:p w14:paraId="7436A064" w14:textId="77777777" w:rsidR="00165337" w:rsidRPr="005616AE" w:rsidRDefault="00165337" w:rsidP="0016689C">
      <w:pPr>
        <w:spacing w:after="0"/>
        <w:rPr>
          <w:rFonts w:cs="Calibri"/>
        </w:rPr>
      </w:pPr>
      <w:r w:rsidRPr="005616AE">
        <w:rPr>
          <w:rFonts w:cs="Calibri"/>
          <w:b/>
          <w:bCs/>
        </w:rPr>
        <w:t>TD Announces Changes to Senior Executive Team</w:t>
      </w:r>
    </w:p>
    <w:p w14:paraId="6EB4006E" w14:textId="77777777" w:rsidR="00165337" w:rsidRPr="005616AE" w:rsidRDefault="00165337" w:rsidP="0016689C">
      <w:pPr>
        <w:spacing w:after="0"/>
        <w:rPr>
          <w:rFonts w:cs="Calibri"/>
        </w:rPr>
      </w:pPr>
      <w:r w:rsidRPr="005616AE">
        <w:rPr>
          <w:rFonts w:cs="Calibri"/>
        </w:rPr>
        <w:t>On November 22, 2024,</w:t>
      </w:r>
      <w:r w:rsidRPr="005616AE">
        <w:rPr>
          <w:rFonts w:cs="Calibri"/>
          <w:i/>
          <w:iCs/>
        </w:rPr>
        <w:t xml:space="preserve"> </w:t>
      </w:r>
      <w:r w:rsidRPr="005616AE">
        <w:rPr>
          <w:rFonts w:cs="Calibri"/>
        </w:rPr>
        <w:t xml:space="preserve">TD Bank Group has announced changes to its senior executive team as part of its ongoing efforts to strengthen leadership and drive continued growth. The changes reflect the bank’s </w:t>
      </w:r>
      <w:r w:rsidRPr="005616AE">
        <w:rPr>
          <w:rFonts w:cs="Calibri"/>
        </w:rPr>
        <w:lastRenderedPageBreak/>
        <w:t>commitment to enhancing its strategic focus and ensuring the organisation is well-positioned for future opportunities.</w:t>
      </w:r>
    </w:p>
    <w:p w14:paraId="0A816F94" w14:textId="77777777" w:rsidR="00165337" w:rsidRPr="005616AE" w:rsidRDefault="00165337" w:rsidP="0016689C">
      <w:pPr>
        <w:spacing w:after="0"/>
        <w:rPr>
          <w:rFonts w:cs="Calibri"/>
        </w:rPr>
      </w:pPr>
      <w:r w:rsidRPr="005616AE">
        <w:rPr>
          <w:rFonts w:cs="Calibri"/>
        </w:rPr>
        <w:t xml:space="preserve">Key changes include the appointment of new leadership in key business areas, with a focus on driving innovation and operational excellence. Michelle Myers will take over as Global Chief Auditor succeeding Anita O'Dell who is retiring. Myers, a seasoned leader with deep expertise in audit and corporate finance will report directly to TD's CEO. Keith Lam currently Deputy U.S. Chief Auditor will </w:t>
      </w:r>
      <w:proofErr w:type="gramStart"/>
      <w:r w:rsidRPr="005616AE">
        <w:rPr>
          <w:rFonts w:cs="Calibri"/>
        </w:rPr>
        <w:t>act as</w:t>
      </w:r>
      <w:proofErr w:type="gramEnd"/>
      <w:r w:rsidRPr="005616AE">
        <w:rPr>
          <w:rFonts w:cs="Calibri"/>
        </w:rPr>
        <w:t xml:space="preserve"> U.S. Chief Auditor. These changes aim to strengthen leadership and enhance TD’s governance and operational focus.</w:t>
      </w:r>
    </w:p>
    <w:p w14:paraId="22A23EBC" w14:textId="77777777" w:rsidR="00165337" w:rsidRPr="005616AE" w:rsidRDefault="00165337" w:rsidP="0016689C">
      <w:pPr>
        <w:spacing w:after="0"/>
        <w:rPr>
          <w:rFonts w:cs="Calibri"/>
          <w:b/>
          <w:bCs/>
        </w:rPr>
      </w:pPr>
      <w:r w:rsidRPr="005616AE">
        <w:rPr>
          <w:rFonts w:cs="Calibri"/>
          <w:b/>
          <w:bCs/>
        </w:rPr>
        <w:t>Impact on TD Bank</w:t>
      </w:r>
    </w:p>
    <w:p w14:paraId="454D6E17" w14:textId="77777777" w:rsidR="00165337" w:rsidRPr="005616AE" w:rsidRDefault="00165337" w:rsidP="0016689C">
      <w:pPr>
        <w:spacing w:after="0"/>
        <w:rPr>
          <w:rFonts w:cs="Calibri"/>
        </w:rPr>
      </w:pPr>
      <w:r w:rsidRPr="005616AE">
        <w:rPr>
          <w:rFonts w:cs="Calibri"/>
        </w:rPr>
        <w:t xml:space="preserve">The recent changes to TD Bank's senior executive team signal a strong commitment to enhancing governance, operational </w:t>
      </w:r>
      <w:proofErr w:type="gramStart"/>
      <w:r w:rsidRPr="005616AE">
        <w:rPr>
          <w:rFonts w:cs="Calibri"/>
        </w:rPr>
        <w:t>focus</w:t>
      </w:r>
      <w:proofErr w:type="gramEnd"/>
      <w:r w:rsidRPr="005616AE">
        <w:rPr>
          <w:rFonts w:cs="Calibri"/>
        </w:rPr>
        <w:t xml:space="preserve"> and strategic leadership. The appointment of Michelle Myers as Global Chief Auditor and the promotion of Keith Lam to U.S. Chief Auditor reflect TD's dedication to strengthening its leadership across key areas. These shifts are expected to improve oversight, drive operational </w:t>
      </w:r>
      <w:proofErr w:type="gramStart"/>
      <w:r w:rsidRPr="005616AE">
        <w:rPr>
          <w:rFonts w:cs="Calibri"/>
        </w:rPr>
        <w:t>excellence</w:t>
      </w:r>
      <w:proofErr w:type="gramEnd"/>
      <w:r w:rsidRPr="005616AE">
        <w:rPr>
          <w:rFonts w:cs="Calibri"/>
        </w:rPr>
        <w:t xml:space="preserve"> and further align TD with long-term growth objectives reinforcing its position in a competitive market.</w:t>
      </w:r>
    </w:p>
    <w:p w14:paraId="4685403F" w14:textId="77777777" w:rsidR="00165337" w:rsidRPr="005616AE" w:rsidRDefault="00165337" w:rsidP="0016689C">
      <w:pPr>
        <w:spacing w:after="0"/>
        <w:rPr>
          <w:rFonts w:cs="Calibri"/>
          <w:b/>
          <w:bCs/>
        </w:rPr>
      </w:pPr>
      <w:r w:rsidRPr="005616AE">
        <w:rPr>
          <w:rFonts w:cs="Calibri"/>
          <w:b/>
          <w:bCs/>
        </w:rPr>
        <w:t>Impact on acquisition of WiTricity</w:t>
      </w:r>
    </w:p>
    <w:p w14:paraId="00FE8D34" w14:textId="77777777" w:rsidR="00165337" w:rsidRPr="005616AE" w:rsidRDefault="00165337" w:rsidP="0016689C">
      <w:pPr>
        <w:spacing w:after="0"/>
        <w:rPr>
          <w:rFonts w:cs="Calibri"/>
        </w:rPr>
      </w:pPr>
      <w:r w:rsidRPr="005616AE">
        <w:rPr>
          <w:rFonts w:cs="Calibri"/>
        </w:rPr>
        <w:t xml:space="preserve">The recent leadership changes at TD Bank could positively impact its acquisition of WiTricity by strengthening governance and operational focus. With Michelle Myers' appointment as Global Chief Auditor TD Bank may now have enhanced governance and operational oversight. This could result in a more rigorous audit process and enhanced due diligence during the acquisition of WiTricity. This is especially important in an acquisition where regulatory scrutiny and internal controls need to </w:t>
      </w:r>
      <w:proofErr w:type="gramStart"/>
      <w:r w:rsidRPr="005616AE">
        <w:rPr>
          <w:rFonts w:cs="Calibri"/>
        </w:rPr>
        <w:t>be closely examined</w:t>
      </w:r>
      <w:proofErr w:type="gramEnd"/>
      <w:r w:rsidRPr="005616AE">
        <w:rPr>
          <w:rFonts w:cs="Calibri"/>
        </w:rPr>
        <w:t xml:space="preserve">. With new leadership aiming to drive innovation TD may view WiTricity’s technology as an important part of its future growth. The acquisition might </w:t>
      </w:r>
      <w:proofErr w:type="gramStart"/>
      <w:r w:rsidRPr="005616AE">
        <w:rPr>
          <w:rFonts w:cs="Calibri"/>
        </w:rPr>
        <w:t>be viewed</w:t>
      </w:r>
      <w:proofErr w:type="gramEnd"/>
      <w:r w:rsidRPr="005616AE">
        <w:rPr>
          <w:rFonts w:cs="Calibri"/>
        </w:rPr>
        <w:t xml:space="preserve"> as a strategic move to advance TD’s position in emerging sectors like wireless power aligning with the bank’s efforts to foster innovation. Overall, the leadership changes could enhance the governance and innovation surrounding the WiTricity acquisition ensuring that the bank is well-prepared for future opportunities and challenges in the integration process.</w:t>
      </w:r>
    </w:p>
    <w:p w14:paraId="5139AF24" w14:textId="77777777" w:rsidR="001159AE" w:rsidRPr="005616AE" w:rsidRDefault="001159AE" w:rsidP="0016689C">
      <w:pPr>
        <w:spacing w:after="0"/>
        <w:rPr>
          <w:rFonts w:cs="Calibri"/>
        </w:rPr>
      </w:pPr>
    </w:p>
    <w:p w14:paraId="407BAEFA" w14:textId="77777777" w:rsidR="00165337" w:rsidRPr="005616AE" w:rsidRDefault="00165337" w:rsidP="0016689C">
      <w:pPr>
        <w:spacing w:after="0"/>
        <w:rPr>
          <w:rFonts w:cs="Calibri"/>
        </w:rPr>
      </w:pPr>
      <w:r w:rsidRPr="005616AE">
        <w:rPr>
          <w:rFonts w:cs="Calibri"/>
          <w:b/>
          <w:bCs/>
        </w:rPr>
        <w:t>TD Asset Management Announces TD ETF Distributions</w:t>
      </w:r>
    </w:p>
    <w:p w14:paraId="63F4714E" w14:textId="77777777" w:rsidR="00165337" w:rsidRPr="005616AE" w:rsidRDefault="00165337" w:rsidP="0016689C">
      <w:pPr>
        <w:spacing w:after="0"/>
        <w:rPr>
          <w:rFonts w:cs="Calibri"/>
        </w:rPr>
      </w:pPr>
      <w:r w:rsidRPr="005616AE">
        <w:rPr>
          <w:rFonts w:cs="Calibri"/>
        </w:rPr>
        <w:t xml:space="preserve">On November 20, 2024, TD Asset Management Inc. (TDAM) has announced the upcoming distributions for </w:t>
      </w:r>
      <w:proofErr w:type="gramStart"/>
      <w:r w:rsidRPr="005616AE">
        <w:rPr>
          <w:rFonts w:cs="Calibri"/>
        </w:rPr>
        <w:t>several of</w:t>
      </w:r>
      <w:proofErr w:type="gramEnd"/>
      <w:r w:rsidRPr="005616AE">
        <w:rPr>
          <w:rFonts w:cs="Calibri"/>
        </w:rPr>
        <w:t xml:space="preserve"> its TD Exchange-Traded Funds (ETFs). These distributions reflect the </w:t>
      </w:r>
      <w:proofErr w:type="gramStart"/>
      <w:r w:rsidRPr="005616AE">
        <w:rPr>
          <w:rFonts w:cs="Calibri"/>
        </w:rPr>
        <w:t>strong performance</w:t>
      </w:r>
      <w:proofErr w:type="gramEnd"/>
      <w:r w:rsidRPr="005616AE">
        <w:rPr>
          <w:rFonts w:cs="Calibri"/>
        </w:rPr>
        <w:t xml:space="preserve"> of the funds and are set to be paid to unitholders on November 28, 2024.</w:t>
      </w:r>
    </w:p>
    <w:p w14:paraId="33ABA364" w14:textId="77777777" w:rsidR="00165337" w:rsidRPr="005616AE" w:rsidRDefault="00165337" w:rsidP="0016689C">
      <w:pPr>
        <w:spacing w:after="0"/>
        <w:rPr>
          <w:rFonts w:cs="Calibri"/>
        </w:rPr>
      </w:pPr>
      <w:r w:rsidRPr="005616AE">
        <w:rPr>
          <w:rFonts w:cs="Calibri"/>
        </w:rPr>
        <w:t>The details for the distribution amounts are:</w:t>
      </w:r>
    </w:p>
    <w:p w14:paraId="5AA7F5F0" w14:textId="77777777" w:rsidR="00165337" w:rsidRPr="005616AE" w:rsidRDefault="00165337" w:rsidP="00384F0C">
      <w:pPr>
        <w:numPr>
          <w:ilvl w:val="0"/>
          <w:numId w:val="71"/>
        </w:numPr>
        <w:spacing w:after="0" w:line="256" w:lineRule="auto"/>
        <w:rPr>
          <w:rFonts w:cs="Calibri"/>
        </w:rPr>
      </w:pPr>
      <w:r w:rsidRPr="005616AE">
        <w:rPr>
          <w:rFonts w:cs="Calibri"/>
        </w:rPr>
        <w:t xml:space="preserve">TD Canadian Equity Fund </w:t>
      </w:r>
    </w:p>
    <w:p w14:paraId="7892E461" w14:textId="77777777" w:rsidR="00165337" w:rsidRPr="005616AE" w:rsidRDefault="00165337" w:rsidP="00384F0C">
      <w:pPr>
        <w:numPr>
          <w:ilvl w:val="0"/>
          <w:numId w:val="71"/>
        </w:numPr>
        <w:spacing w:after="0" w:line="256" w:lineRule="auto"/>
        <w:rPr>
          <w:rFonts w:cs="Calibri"/>
        </w:rPr>
      </w:pPr>
      <w:r w:rsidRPr="005616AE">
        <w:rPr>
          <w:rFonts w:cs="Calibri"/>
        </w:rPr>
        <w:t>TD Global Technology Leaders Fund</w:t>
      </w:r>
    </w:p>
    <w:p w14:paraId="36506888" w14:textId="77777777" w:rsidR="00165337" w:rsidRPr="005616AE" w:rsidRDefault="00165337" w:rsidP="00384F0C">
      <w:pPr>
        <w:numPr>
          <w:ilvl w:val="0"/>
          <w:numId w:val="71"/>
        </w:numPr>
        <w:spacing w:after="0" w:line="256" w:lineRule="auto"/>
        <w:rPr>
          <w:rFonts w:cs="Calibri"/>
        </w:rPr>
      </w:pPr>
      <w:r w:rsidRPr="005616AE">
        <w:rPr>
          <w:rFonts w:cs="Calibri"/>
        </w:rPr>
        <w:t xml:space="preserve">TD U.S. Equity Fund </w:t>
      </w:r>
    </w:p>
    <w:p w14:paraId="45C6F6A8" w14:textId="77777777" w:rsidR="00165337" w:rsidRPr="005616AE" w:rsidRDefault="00165337" w:rsidP="0016689C">
      <w:pPr>
        <w:spacing w:after="0"/>
        <w:rPr>
          <w:rFonts w:cs="Calibri"/>
        </w:rPr>
      </w:pPr>
      <w:r w:rsidRPr="005616AE">
        <w:rPr>
          <w:rFonts w:cs="Calibri"/>
        </w:rPr>
        <w:t xml:space="preserve">Investors holding units in these ETFs will receive their respective distributions in cash, which will </w:t>
      </w:r>
      <w:proofErr w:type="gramStart"/>
      <w:r w:rsidRPr="005616AE">
        <w:rPr>
          <w:rFonts w:cs="Calibri"/>
        </w:rPr>
        <w:t>be deposited</w:t>
      </w:r>
      <w:proofErr w:type="gramEnd"/>
      <w:r w:rsidRPr="005616AE">
        <w:rPr>
          <w:rFonts w:cs="Calibri"/>
        </w:rPr>
        <w:t xml:space="preserve"> directly into their accounts. For more information on the specific amounts or other inquiries, investors </w:t>
      </w:r>
      <w:proofErr w:type="gramStart"/>
      <w:r w:rsidRPr="005616AE">
        <w:rPr>
          <w:rFonts w:cs="Calibri"/>
        </w:rPr>
        <w:t>are encouraged</w:t>
      </w:r>
      <w:proofErr w:type="gramEnd"/>
      <w:r w:rsidRPr="005616AE">
        <w:rPr>
          <w:rFonts w:cs="Calibri"/>
        </w:rPr>
        <w:t xml:space="preserve"> to visit TD Asset Management’s official website.</w:t>
      </w:r>
    </w:p>
    <w:p w14:paraId="7CF16F48" w14:textId="77777777" w:rsidR="00165337" w:rsidRPr="005616AE" w:rsidRDefault="00165337" w:rsidP="0016689C">
      <w:pPr>
        <w:spacing w:after="0"/>
        <w:rPr>
          <w:rFonts w:cs="Calibri"/>
        </w:rPr>
      </w:pPr>
      <w:r w:rsidRPr="005616AE">
        <w:rPr>
          <w:rFonts w:cs="Calibri"/>
        </w:rPr>
        <w:t>TDAM’s commitment to delivering value to its investors remains strong and these distributions reflect the continued strength of its ETF offerings.</w:t>
      </w:r>
    </w:p>
    <w:p w14:paraId="55471EB5" w14:textId="77777777" w:rsidR="00165337" w:rsidRPr="005616AE" w:rsidRDefault="00165337" w:rsidP="0016689C">
      <w:pPr>
        <w:spacing w:after="0"/>
        <w:rPr>
          <w:rFonts w:cs="Calibri"/>
          <w:b/>
          <w:bCs/>
        </w:rPr>
      </w:pPr>
      <w:r w:rsidRPr="005616AE">
        <w:rPr>
          <w:rFonts w:cs="Calibri"/>
          <w:b/>
          <w:bCs/>
        </w:rPr>
        <w:t>Impact on TD Bank</w:t>
      </w:r>
    </w:p>
    <w:p w14:paraId="2471E1D8" w14:textId="77777777" w:rsidR="00165337" w:rsidRPr="005616AE" w:rsidRDefault="00165337" w:rsidP="0016689C">
      <w:pPr>
        <w:spacing w:after="0"/>
        <w:rPr>
          <w:rFonts w:cs="Calibri"/>
        </w:rPr>
      </w:pPr>
      <w:r w:rsidRPr="005616AE">
        <w:rPr>
          <w:rFonts w:cs="Calibri"/>
        </w:rPr>
        <w:t xml:space="preserve">The announcement of TD Asset Management Inc.'s (TDAM) ETF distributions positively impacts TD Bank in </w:t>
      </w:r>
      <w:proofErr w:type="gramStart"/>
      <w:r w:rsidRPr="005616AE">
        <w:rPr>
          <w:rFonts w:cs="Calibri"/>
        </w:rPr>
        <w:t>several</w:t>
      </w:r>
      <w:proofErr w:type="gramEnd"/>
      <w:r w:rsidRPr="005616AE">
        <w:rPr>
          <w:rFonts w:cs="Calibri"/>
        </w:rPr>
        <w:t xml:space="preserve"> ways. It enhances the bank's reputation by </w:t>
      </w:r>
      <w:proofErr w:type="gramStart"/>
      <w:r w:rsidRPr="005616AE">
        <w:rPr>
          <w:rFonts w:cs="Calibri"/>
        </w:rPr>
        <w:t>showcasing</w:t>
      </w:r>
      <w:proofErr w:type="gramEnd"/>
      <w:r w:rsidRPr="005616AE">
        <w:rPr>
          <w:rFonts w:cs="Calibri"/>
        </w:rPr>
        <w:t xml:space="preserve"> its strength in asset management and attracting new investors seeking reliable returns. The distribution news might attract more investors to </w:t>
      </w:r>
      <w:r w:rsidRPr="005616AE">
        <w:rPr>
          <w:rFonts w:cs="Calibri"/>
        </w:rPr>
        <w:lastRenderedPageBreak/>
        <w:t xml:space="preserve">TDAM's ETFs as distributions are a key factor in </w:t>
      </w:r>
      <w:proofErr w:type="gramStart"/>
      <w:r w:rsidRPr="005616AE">
        <w:rPr>
          <w:rFonts w:cs="Calibri"/>
        </w:rPr>
        <w:t>many</w:t>
      </w:r>
      <w:proofErr w:type="gramEnd"/>
      <w:r w:rsidRPr="005616AE">
        <w:rPr>
          <w:rFonts w:cs="Calibri"/>
        </w:rPr>
        <w:t xml:space="preserve"> investment decisions. If these ETFs perform well and offer appealing returns TD Bank could see an increase in inflows into their funds benefiting TDAM’s overall performance. A well-received distribution announcement indicates that TDAM is managing its funds effectively reflecting positively on TD Bank’s broader financial stability and leadership in investment services. Consistent and substantial distributions also help retain existing clients by increasing satisfaction, while reinforcing investor confidence in the bank’s financial stability</w:t>
      </w:r>
      <w:proofErr w:type="gramStart"/>
      <w:r w:rsidRPr="005616AE">
        <w:rPr>
          <w:rFonts w:cs="Calibri"/>
        </w:rPr>
        <w:t xml:space="preserve">.  </w:t>
      </w:r>
      <w:proofErr w:type="gramEnd"/>
      <w:r w:rsidRPr="005616AE">
        <w:rPr>
          <w:rFonts w:cs="Calibri"/>
        </w:rPr>
        <w:t>Overall, this development positions TD Bank as a strong player in the investment space strengthening its market presence and supporting future growth.</w:t>
      </w:r>
    </w:p>
    <w:p w14:paraId="3FF1D803" w14:textId="77777777" w:rsidR="00165337" w:rsidRPr="005616AE" w:rsidRDefault="00165337" w:rsidP="0016689C">
      <w:pPr>
        <w:spacing w:after="0"/>
        <w:rPr>
          <w:rFonts w:cs="Calibri"/>
          <w:b/>
          <w:bCs/>
        </w:rPr>
      </w:pPr>
      <w:r w:rsidRPr="005616AE">
        <w:rPr>
          <w:rFonts w:cs="Calibri"/>
          <w:b/>
          <w:bCs/>
        </w:rPr>
        <w:t>Impact on acquisition of WiTricity</w:t>
      </w:r>
    </w:p>
    <w:p w14:paraId="3BF8BBF0" w14:textId="77777777" w:rsidR="00165337" w:rsidRPr="005616AE" w:rsidRDefault="00165337" w:rsidP="0016689C">
      <w:pPr>
        <w:spacing w:after="0"/>
        <w:rPr>
          <w:rFonts w:cs="Calibri"/>
        </w:rPr>
      </w:pPr>
      <w:r w:rsidRPr="005616AE">
        <w:rPr>
          <w:rFonts w:cs="Calibri"/>
        </w:rPr>
        <w:t xml:space="preserve">The announcement of TD Asset Management’s (TDAM) ETF distributions on November 19, 2024, has indirect but significant implications for TD Bank’s acquisition of WiTricity. The positive reception of TDAM's ETFs and the distribution news can enhance investor confidence in TD Bank’s overall financial stability and investment strategies. A successful distribution strategy positions TD Bank as a strong and </w:t>
      </w:r>
      <w:proofErr w:type="gramStart"/>
      <w:r w:rsidRPr="005616AE">
        <w:rPr>
          <w:rFonts w:cs="Calibri"/>
        </w:rPr>
        <w:t>reliable</w:t>
      </w:r>
      <w:proofErr w:type="gramEnd"/>
      <w:r w:rsidRPr="005616AE">
        <w:rPr>
          <w:rFonts w:cs="Calibri"/>
        </w:rPr>
        <w:t xml:space="preserve"> player in the financial services space which may help secure favourable terms or investor support in the WiTricity acquisition. If TD Bank's asset management division continues to perform well it could increase resources available to support the integration and growth of WiTricity strengthening the bank’s position in the emerging electric vehicle and wireless charging markets.</w:t>
      </w:r>
    </w:p>
    <w:p w14:paraId="0F6BC4EE" w14:textId="7A4E2EBE" w:rsidR="00165337" w:rsidRPr="005616AE" w:rsidRDefault="00165337" w:rsidP="00165337">
      <w:pPr>
        <w:rPr>
          <w:rFonts w:cs="Calibri"/>
        </w:rPr>
      </w:pPr>
      <w:r w:rsidRPr="005616AE">
        <w:rPr>
          <w:rFonts w:cs="Calibri"/>
          <w:kern w:val="0"/>
          <w14:ligatures w14:val="none"/>
        </w:rPr>
        <w:br w:type="page"/>
      </w:r>
    </w:p>
    <w:p w14:paraId="08D2D629" w14:textId="3817A0E5" w:rsidR="00B20690" w:rsidRPr="005616AE" w:rsidRDefault="00B20690" w:rsidP="00B20690">
      <w:pPr>
        <w:pStyle w:val="Heading1"/>
        <w:rPr>
          <w:rFonts w:ascii="Calibri" w:hAnsi="Calibri" w:cs="Calibri"/>
        </w:rPr>
      </w:pPr>
      <w:bookmarkStart w:id="84" w:name="_Toc183211092"/>
      <w:r w:rsidRPr="005616AE">
        <w:rPr>
          <w:rFonts w:ascii="Calibri" w:hAnsi="Calibri" w:cs="Calibri"/>
        </w:rPr>
        <w:lastRenderedPageBreak/>
        <w:t>Conclusion</w:t>
      </w:r>
      <w:bookmarkEnd w:id="84"/>
    </w:p>
    <w:p w14:paraId="21A27B44" w14:textId="1560234A" w:rsidR="00CE18E6" w:rsidRPr="005616AE" w:rsidRDefault="00CE18E6" w:rsidP="00CE18E6">
      <w:pPr>
        <w:spacing w:after="0"/>
      </w:pPr>
      <w:r w:rsidRPr="005616AE">
        <w:t>The recommendations in this report demonstrate a clear path for TD Bank to lead the industry with innovative and sustainable solutions. Among the evaluated strategies, adopting WiTricity’s wireless EV charging technology offers the most transformative potential and positions TD Bank as a pioneer in the green finance sector. This initiative provides a unique opportunity to enhance customer loyalty and create a new revenue stream while reinforcing the bank’s ESG commitments.</w:t>
      </w:r>
    </w:p>
    <w:p w14:paraId="7B44D5E1" w14:textId="18F49801" w:rsidR="00CE18E6" w:rsidRPr="005616AE" w:rsidRDefault="00CE18E6" w:rsidP="00CE18E6">
      <w:pPr>
        <w:spacing w:after="0"/>
      </w:pPr>
      <w:r w:rsidRPr="005616AE">
        <w:t xml:space="preserve">The alternatives, including space economy financing and </w:t>
      </w:r>
      <w:proofErr w:type="spellStart"/>
      <w:r w:rsidRPr="005616AE">
        <w:t>TForce</w:t>
      </w:r>
      <w:proofErr w:type="spellEnd"/>
      <w:r w:rsidRPr="005616AE">
        <w:t xml:space="preserve"> Logistics acquisition, offer additional value but lack the same level of market impact. Space economy financing provides long-term potential in a high-growth industry but carries substantial risks due to its speculative nature. Similarly, the </w:t>
      </w:r>
      <w:proofErr w:type="spellStart"/>
      <w:r w:rsidRPr="005616AE">
        <w:t>TForce</w:t>
      </w:r>
      <w:proofErr w:type="spellEnd"/>
      <w:r w:rsidRPr="005616AE">
        <w:t xml:space="preserve"> Logistics acquisition delivers steady revenue diversification but does not offer the groundbreaking market disruption of wireless EV charging. Choosing inaction under the "Do-Nothing" scenario would lead to missed opportunities and risk the erosion of TD’s competitive edge in an increasingly dynamic market.</w:t>
      </w:r>
    </w:p>
    <w:p w14:paraId="1ACE0FA7" w14:textId="0FD4C17A" w:rsidR="00CE18E6" w:rsidRPr="005616AE" w:rsidRDefault="00CE18E6" w:rsidP="00CE18E6">
      <w:pPr>
        <w:spacing w:after="0"/>
      </w:pPr>
      <w:r w:rsidRPr="005616AE">
        <w:t>By prioriti</w:t>
      </w:r>
      <w:r w:rsidR="00B37AFD" w:rsidRPr="005616AE">
        <w:t>s</w:t>
      </w:r>
      <w:r w:rsidRPr="005616AE">
        <w:t>ing WiTricity’s wireless EV charging technology, TD Bank can secure its position as a forward-thinking organi</w:t>
      </w:r>
      <w:r w:rsidR="00B37AFD" w:rsidRPr="005616AE">
        <w:t>s</w:t>
      </w:r>
      <w:r w:rsidRPr="005616AE">
        <w:t xml:space="preserve">ation that integrates sustainability with innovation. This strategic decision allows the bank to drive significant long-term growth and achieve competitive differentiation while meeting the demands of eco-conscious customers. </w:t>
      </w:r>
      <w:proofErr w:type="spellStart"/>
      <w:r w:rsidRPr="005616AE">
        <w:t>ProcessPro</w:t>
      </w:r>
      <w:proofErr w:type="spellEnd"/>
      <w:r w:rsidRPr="005616AE">
        <w:t xml:space="preserve"> Partners is confident that these recommendations will empower TD Bank to build a sustainable and innovative future.</w:t>
      </w:r>
    </w:p>
    <w:p w14:paraId="1BB5DA0E" w14:textId="77777777" w:rsidR="0020330E" w:rsidRPr="005616AE" w:rsidRDefault="0020330E" w:rsidP="0020330E"/>
    <w:p w14:paraId="7E721823" w14:textId="77777777" w:rsidR="00CE18E6" w:rsidRPr="005616AE" w:rsidRDefault="00CE18E6" w:rsidP="0020330E"/>
    <w:p w14:paraId="1325F21E" w14:textId="77777777" w:rsidR="00CE18E6" w:rsidRPr="005616AE" w:rsidRDefault="00CE18E6" w:rsidP="0020330E"/>
    <w:p w14:paraId="2238CB8E" w14:textId="77777777" w:rsidR="00CE18E6" w:rsidRPr="005616AE" w:rsidRDefault="00CE18E6" w:rsidP="0020330E"/>
    <w:p w14:paraId="2B50F4AB" w14:textId="77777777" w:rsidR="00CE18E6" w:rsidRPr="005616AE" w:rsidRDefault="00CE18E6" w:rsidP="0020330E"/>
    <w:p w14:paraId="04744821" w14:textId="77777777" w:rsidR="00CE18E6" w:rsidRPr="005616AE" w:rsidRDefault="00CE18E6" w:rsidP="0020330E"/>
    <w:p w14:paraId="4A269957" w14:textId="77777777" w:rsidR="00CE18E6" w:rsidRPr="005616AE" w:rsidRDefault="00CE18E6" w:rsidP="0020330E"/>
    <w:p w14:paraId="72AF0B9D" w14:textId="77777777" w:rsidR="00CE18E6" w:rsidRPr="005616AE" w:rsidRDefault="00CE18E6" w:rsidP="0020330E"/>
    <w:p w14:paraId="5DBC0AFC" w14:textId="77777777" w:rsidR="00CE18E6" w:rsidRPr="005616AE" w:rsidRDefault="00CE18E6" w:rsidP="0020330E"/>
    <w:p w14:paraId="4E21BF5F" w14:textId="77777777" w:rsidR="00CE18E6" w:rsidRPr="005616AE" w:rsidRDefault="00CE18E6" w:rsidP="0020330E"/>
    <w:p w14:paraId="4A67BD40" w14:textId="77777777" w:rsidR="00CE18E6" w:rsidRPr="005616AE" w:rsidRDefault="00CE18E6" w:rsidP="0020330E"/>
    <w:p w14:paraId="004DAB25" w14:textId="77777777" w:rsidR="00CE18E6" w:rsidRPr="005616AE" w:rsidRDefault="00CE18E6" w:rsidP="0020330E"/>
    <w:p w14:paraId="45991873" w14:textId="77777777" w:rsidR="00CE18E6" w:rsidRPr="005616AE" w:rsidRDefault="00CE18E6" w:rsidP="0020330E"/>
    <w:p w14:paraId="78352A89" w14:textId="77777777" w:rsidR="00CE18E6" w:rsidRPr="005616AE" w:rsidRDefault="00CE18E6" w:rsidP="0020330E"/>
    <w:p w14:paraId="2B982910" w14:textId="77777777" w:rsidR="00CE18E6" w:rsidRPr="005616AE" w:rsidRDefault="00CE18E6" w:rsidP="0020330E"/>
    <w:p w14:paraId="58396F54" w14:textId="02E1B7BB" w:rsidR="00B20690" w:rsidRPr="005616AE" w:rsidRDefault="00B20690" w:rsidP="00B20690">
      <w:pPr>
        <w:pStyle w:val="Heading1"/>
        <w:rPr>
          <w:rFonts w:ascii="Calibri" w:hAnsi="Calibri" w:cs="Calibri"/>
        </w:rPr>
      </w:pPr>
      <w:bookmarkStart w:id="85" w:name="_Toc183211093"/>
      <w:r w:rsidRPr="005616AE">
        <w:rPr>
          <w:rFonts w:ascii="Calibri" w:hAnsi="Calibri" w:cs="Calibri"/>
        </w:rPr>
        <w:lastRenderedPageBreak/>
        <w:t>Call of Action</w:t>
      </w:r>
      <w:bookmarkEnd w:id="85"/>
    </w:p>
    <w:p w14:paraId="1A654A70" w14:textId="77777777" w:rsidR="00947BF3" w:rsidRPr="005616AE" w:rsidRDefault="00947BF3" w:rsidP="00947BF3">
      <w:pPr>
        <w:spacing w:after="0"/>
        <w:rPr>
          <w:rFonts w:cs="Calibri"/>
        </w:rPr>
      </w:pPr>
      <w:r w:rsidRPr="005616AE">
        <w:rPr>
          <w:rFonts w:cs="Calibri"/>
        </w:rPr>
        <w:t xml:space="preserve">We believe that acquiring WiTricity offers TD Bank an unparalleled opportunity to strengthen its market leadership, accelerate its sustainability goals, and diversify its growth portfolio. By acquiring WiTricity, TD Bank will not only position itself at the forefront of the green energy transition but also unlock a new world of innovative solutions that benefit the bank, its </w:t>
      </w:r>
      <w:proofErr w:type="gramStart"/>
      <w:r w:rsidRPr="005616AE">
        <w:rPr>
          <w:rFonts w:cs="Calibri"/>
        </w:rPr>
        <w:t>stakeholders</w:t>
      </w:r>
      <w:proofErr w:type="gramEnd"/>
      <w:r w:rsidRPr="005616AE">
        <w:rPr>
          <w:rFonts w:cs="Calibri"/>
        </w:rPr>
        <w:t xml:space="preserve"> and the planet.</w:t>
      </w:r>
    </w:p>
    <w:p w14:paraId="3AE56355" w14:textId="77777777" w:rsidR="00947BF3" w:rsidRPr="005616AE" w:rsidRDefault="00947BF3" w:rsidP="00947BF3">
      <w:pPr>
        <w:spacing w:after="0"/>
        <w:rPr>
          <w:rFonts w:cs="Calibri"/>
        </w:rPr>
      </w:pPr>
      <w:r w:rsidRPr="005616AE">
        <w:rPr>
          <w:rFonts w:cs="Calibri"/>
          <w:b/>
          <w:bCs/>
        </w:rPr>
        <w:t>Exclusive Access to Industry-Leading IP:</w:t>
      </w:r>
      <w:r w:rsidRPr="005616AE">
        <w:rPr>
          <w:rFonts w:cs="Calibri"/>
        </w:rPr>
        <w:t xml:space="preserve"> WiTricity brings with it a vast portfolio of intellectual property (IP) securing TD Bank exclusive access to industry-leading wireless charging technologies. This provides TD Bank a competitive advantage in both financial innovation and technology partnerships across industries including electric vehicles, </w:t>
      </w:r>
      <w:proofErr w:type="gramStart"/>
      <w:r w:rsidRPr="005616AE">
        <w:rPr>
          <w:rFonts w:cs="Calibri"/>
        </w:rPr>
        <w:t>energy</w:t>
      </w:r>
      <w:proofErr w:type="gramEnd"/>
      <w:r w:rsidRPr="005616AE">
        <w:rPr>
          <w:rFonts w:cs="Calibri"/>
        </w:rPr>
        <w:t xml:space="preserve"> and infrastructure.</w:t>
      </w:r>
    </w:p>
    <w:p w14:paraId="0D209A02" w14:textId="77777777" w:rsidR="00947BF3" w:rsidRPr="005616AE" w:rsidRDefault="00947BF3" w:rsidP="00947BF3">
      <w:pPr>
        <w:spacing w:after="0"/>
        <w:rPr>
          <w:rFonts w:cs="Calibri"/>
        </w:rPr>
      </w:pPr>
      <w:r w:rsidRPr="005616AE">
        <w:rPr>
          <w:rFonts w:cs="Calibri"/>
          <w:b/>
          <w:bCs/>
        </w:rPr>
        <w:t>Position as a Green Tech Leader</w:t>
      </w:r>
      <w:r w:rsidRPr="005616AE">
        <w:rPr>
          <w:rFonts w:cs="Calibri"/>
        </w:rPr>
        <w:t>: By acquiring WiTricity TD Bank can position itself as an essential player in the green tech revolution, which is rapidly gaining global attention. This acquisition will boost brand equity resonate with customers who value sustainability and attract new clients especially those within the electric vehicle and clean energy sectors.</w:t>
      </w:r>
    </w:p>
    <w:p w14:paraId="36C1084F" w14:textId="77777777" w:rsidR="00947BF3" w:rsidRPr="005616AE" w:rsidRDefault="00947BF3" w:rsidP="00947BF3">
      <w:pPr>
        <w:spacing w:after="0"/>
        <w:rPr>
          <w:rFonts w:cs="Calibri"/>
        </w:rPr>
      </w:pPr>
      <w:r w:rsidRPr="005616AE">
        <w:rPr>
          <w:rFonts w:cs="Calibri"/>
          <w:b/>
          <w:bCs/>
        </w:rPr>
        <w:t>Strategic Partnerships and Growth</w:t>
      </w:r>
      <w:r w:rsidRPr="005616AE">
        <w:rPr>
          <w:rFonts w:cs="Calibri"/>
        </w:rPr>
        <w:t>: WiTricity’s established network of partners across the automotive, energy, and infrastructure sectors opens the door for TD Bank to form strategic alliances with global leaders in clean energy, electric mobility, and infrastructure. These partnerships will enhance your ability to offer specialised financing options and grow your presence in the growing EV and smart city markets.</w:t>
      </w:r>
    </w:p>
    <w:p w14:paraId="2668806A" w14:textId="77777777" w:rsidR="00947BF3" w:rsidRPr="005616AE" w:rsidRDefault="00947BF3" w:rsidP="00947BF3">
      <w:pPr>
        <w:spacing w:after="0"/>
        <w:rPr>
          <w:rFonts w:cs="Calibri"/>
        </w:rPr>
      </w:pPr>
      <w:r w:rsidRPr="005616AE">
        <w:rPr>
          <w:rFonts w:cs="Calibri"/>
          <w:b/>
          <w:bCs/>
        </w:rPr>
        <w:t>Exponential Return on Investment (ROI)</w:t>
      </w:r>
      <w:r w:rsidRPr="005616AE">
        <w:rPr>
          <w:rFonts w:cs="Calibri"/>
        </w:rPr>
        <w:t xml:space="preserve">: Based on our comprehensive feasibility analysis we can confidently say that this investment will provide a significant return over time. </w:t>
      </w:r>
      <w:proofErr w:type="gramStart"/>
      <w:r w:rsidRPr="005616AE">
        <w:rPr>
          <w:rFonts w:cs="Calibri"/>
        </w:rPr>
        <w:t>Here’s</w:t>
      </w:r>
      <w:proofErr w:type="gramEnd"/>
      <w:r w:rsidRPr="005616AE">
        <w:rPr>
          <w:rFonts w:cs="Calibri"/>
        </w:rPr>
        <w:t xml:space="preserve"> a breakdown of the ROI trajectory over the next 20 years highlighting the incredible potential for growth and profitability. While the first few years may show slower returns due to setup and initial investment costs the long-term potential is extraordinary.</w:t>
      </w:r>
    </w:p>
    <w:p w14:paraId="02F70270" w14:textId="44B8A78D" w:rsidR="00947BF3" w:rsidRPr="005616AE" w:rsidRDefault="00947BF3" w:rsidP="00384F0C">
      <w:pPr>
        <w:pStyle w:val="ListParagraph"/>
        <w:numPr>
          <w:ilvl w:val="0"/>
          <w:numId w:val="72"/>
        </w:numPr>
        <w:spacing w:after="0" w:line="256" w:lineRule="auto"/>
        <w:rPr>
          <w:rFonts w:cs="Calibri"/>
        </w:rPr>
      </w:pPr>
      <w:r w:rsidRPr="005616AE">
        <w:rPr>
          <w:rFonts w:cs="Calibri"/>
          <w:b/>
          <w:bCs/>
        </w:rPr>
        <w:t>Year 5–10:</w:t>
      </w:r>
      <w:r w:rsidRPr="005616AE">
        <w:rPr>
          <w:rFonts w:cs="Calibri"/>
        </w:rPr>
        <w:t xml:space="preserve"> Starting at Year 5 the ROI begins a remarkable upward growth reaching 114% by year 10. This represents a transformational return as WiTricity's technology gains widespread adoption and TD Bank capitalises on its leadership in the EV charging infrastructure market.</w:t>
      </w:r>
    </w:p>
    <w:p w14:paraId="59252501" w14:textId="77777777" w:rsidR="00947BF3" w:rsidRPr="005616AE" w:rsidRDefault="00947BF3" w:rsidP="00384F0C">
      <w:pPr>
        <w:pStyle w:val="ListParagraph"/>
        <w:numPr>
          <w:ilvl w:val="0"/>
          <w:numId w:val="72"/>
        </w:numPr>
        <w:spacing w:after="0" w:line="256" w:lineRule="auto"/>
        <w:rPr>
          <w:rFonts w:cs="Calibri"/>
        </w:rPr>
      </w:pPr>
      <w:r w:rsidRPr="005616AE">
        <w:rPr>
          <w:rFonts w:cs="Calibri"/>
          <w:b/>
          <w:bCs/>
        </w:rPr>
        <w:t>Year 11–15:</w:t>
      </w:r>
      <w:r w:rsidRPr="005616AE">
        <w:rPr>
          <w:rFonts w:cs="Calibri"/>
        </w:rPr>
        <w:t xml:space="preserve"> The investment starts to pay off exponentially with ROI jumping to 275% by Year 15. This growth rate is indicative of the market demand for wireless charging solutions and TD Bank’s increasing market share as the go-to provider of green energy infrastructure.</w:t>
      </w:r>
    </w:p>
    <w:p w14:paraId="0109788D" w14:textId="77777777" w:rsidR="00947BF3" w:rsidRPr="005616AE" w:rsidRDefault="00947BF3" w:rsidP="00384F0C">
      <w:pPr>
        <w:numPr>
          <w:ilvl w:val="0"/>
          <w:numId w:val="73"/>
        </w:numPr>
        <w:spacing w:after="0" w:line="256" w:lineRule="auto"/>
        <w:rPr>
          <w:rFonts w:cs="Calibri"/>
        </w:rPr>
      </w:pPr>
      <w:r w:rsidRPr="005616AE">
        <w:rPr>
          <w:rFonts w:cs="Calibri"/>
          <w:b/>
          <w:bCs/>
        </w:rPr>
        <w:t>Year 16–20:</w:t>
      </w:r>
      <w:r w:rsidRPr="005616AE">
        <w:rPr>
          <w:rFonts w:cs="Calibri"/>
        </w:rPr>
        <w:t xml:space="preserve"> By Year 20 the ROI peaks at 449% delivering a stunning return as TD Bank’s position as an industry leader in the wireless charging market solidifies. The combination of long-term strategic partnerships, market leadership and sustained revenue streams will ensure TD Bank’s position at the forefront of the sustainable EV market. As WiTricity's technology becomes more integral to the EV infrastructure the returns will continue to rise reaching significant peaks as the market matures.</w:t>
      </w:r>
    </w:p>
    <w:p w14:paraId="636273E4" w14:textId="77777777" w:rsidR="00947BF3" w:rsidRPr="005616AE" w:rsidRDefault="00947BF3" w:rsidP="00947BF3">
      <w:pPr>
        <w:spacing w:after="0"/>
        <w:rPr>
          <w:rFonts w:cs="Calibri"/>
        </w:rPr>
      </w:pPr>
      <w:r w:rsidRPr="005616AE">
        <w:rPr>
          <w:rFonts w:cs="Calibri"/>
          <w:b/>
          <w:bCs/>
        </w:rPr>
        <w:t>Total Projected Revenue</w:t>
      </w:r>
      <w:r w:rsidRPr="005616AE">
        <w:rPr>
          <w:rFonts w:cs="Calibri"/>
        </w:rPr>
        <w:t xml:space="preserve">: The ROI projections demonstrate that this acquisition is not just an opportunity for short-term </w:t>
      </w:r>
      <w:proofErr w:type="gramStart"/>
      <w:r w:rsidRPr="005616AE">
        <w:rPr>
          <w:rFonts w:cs="Calibri"/>
        </w:rPr>
        <w:t>gains</w:t>
      </w:r>
      <w:proofErr w:type="gramEnd"/>
      <w:r w:rsidRPr="005616AE">
        <w:rPr>
          <w:rFonts w:cs="Calibri"/>
        </w:rPr>
        <w:t xml:space="preserve"> but it is a chance to generate exponential returns in the future. With increased EV adoption, charging stations, equipment sales and government incentives we project $469 million in revenue over the next 20 years which will make this a highly profitable venture for TD Bank.</w:t>
      </w:r>
    </w:p>
    <w:p w14:paraId="5304D449" w14:textId="7B00A024" w:rsidR="00947BF3" w:rsidRPr="005616AE" w:rsidRDefault="00947BF3" w:rsidP="00947BF3">
      <w:pPr>
        <w:spacing w:after="0"/>
        <w:rPr>
          <w:rFonts w:cs="Calibri"/>
          <w:b/>
          <w:bCs/>
        </w:rPr>
      </w:pPr>
      <w:r w:rsidRPr="005616AE">
        <w:rPr>
          <w:rFonts w:cs="Calibri"/>
          <w:b/>
          <w:bCs/>
        </w:rPr>
        <w:t>Next Steps</w:t>
      </w:r>
    </w:p>
    <w:p w14:paraId="7B50CD62" w14:textId="77777777" w:rsidR="00947BF3" w:rsidRPr="005616AE" w:rsidRDefault="00947BF3" w:rsidP="00947BF3">
      <w:pPr>
        <w:spacing w:after="0"/>
        <w:rPr>
          <w:rFonts w:cs="Calibri"/>
        </w:rPr>
      </w:pPr>
      <w:r w:rsidRPr="005616AE">
        <w:rPr>
          <w:rFonts w:cs="Calibri"/>
        </w:rPr>
        <w:t>We invite you to explore this exciting opportunity further and discuss how acquiring WiTricity can be a game-changing move for TD Bank. Our team is ready to provide guidance and support throughout the process.</w:t>
      </w:r>
    </w:p>
    <w:p w14:paraId="65E412C6" w14:textId="77777777" w:rsidR="00947BF3" w:rsidRPr="005616AE" w:rsidRDefault="00947BF3" w:rsidP="00947BF3">
      <w:pPr>
        <w:spacing w:after="0"/>
        <w:rPr>
          <w:rFonts w:cs="Calibri"/>
        </w:rPr>
      </w:pPr>
      <w:r w:rsidRPr="005616AE">
        <w:rPr>
          <w:rFonts w:cs="Calibri"/>
        </w:rPr>
        <w:lastRenderedPageBreak/>
        <w:t>We recommend a strategy session at your earliest convenience to dive deeper into the benefits of this exciting opportunity and explore the next steps in the process.</w:t>
      </w:r>
    </w:p>
    <w:p w14:paraId="79B11E9A" w14:textId="77777777" w:rsidR="00947BF3" w:rsidRPr="005616AE" w:rsidRDefault="00947BF3" w:rsidP="00947BF3">
      <w:pPr>
        <w:spacing w:after="0"/>
        <w:rPr>
          <w:rFonts w:cs="Calibri"/>
        </w:rPr>
      </w:pPr>
      <w:r w:rsidRPr="005616AE">
        <w:rPr>
          <w:rFonts w:cs="Calibri"/>
        </w:rPr>
        <w:t xml:space="preserve">This is more than an acquisition. </w:t>
      </w:r>
      <w:proofErr w:type="gramStart"/>
      <w:r w:rsidRPr="005616AE">
        <w:rPr>
          <w:rFonts w:cs="Calibri"/>
        </w:rPr>
        <w:t>It’s</w:t>
      </w:r>
      <w:proofErr w:type="gramEnd"/>
      <w:r w:rsidRPr="005616AE">
        <w:rPr>
          <w:rFonts w:cs="Calibri"/>
        </w:rPr>
        <w:t xml:space="preserve"> an opportunity to reshape the future.</w:t>
      </w:r>
    </w:p>
    <w:p w14:paraId="1AEFF0A2" w14:textId="77777777" w:rsidR="00947BF3" w:rsidRPr="005616AE" w:rsidRDefault="00947BF3" w:rsidP="00947BF3">
      <w:pPr>
        <w:spacing w:after="0"/>
        <w:rPr>
          <w:rFonts w:cs="Calibri"/>
        </w:rPr>
      </w:pPr>
      <w:proofErr w:type="gramStart"/>
      <w:r w:rsidRPr="005616AE">
        <w:rPr>
          <w:rFonts w:cs="Calibri"/>
        </w:rPr>
        <w:t>Let’s</w:t>
      </w:r>
      <w:proofErr w:type="gramEnd"/>
      <w:r w:rsidRPr="005616AE">
        <w:rPr>
          <w:rFonts w:cs="Calibri"/>
        </w:rPr>
        <w:t xml:space="preserve"> make it happen together.</w:t>
      </w:r>
    </w:p>
    <w:p w14:paraId="01EF45E8" w14:textId="77777777" w:rsidR="00947BF3" w:rsidRPr="005616AE" w:rsidRDefault="00947BF3" w:rsidP="00947BF3">
      <w:pPr>
        <w:spacing w:after="0"/>
        <w:rPr>
          <w:rFonts w:cs="Calibri"/>
        </w:rPr>
      </w:pPr>
      <w:r w:rsidRPr="005616AE">
        <w:rPr>
          <w:rFonts w:cs="Calibri"/>
        </w:rPr>
        <w:t>Process Pro Partners</w:t>
      </w:r>
    </w:p>
    <w:p w14:paraId="53597A98" w14:textId="77777777" w:rsidR="00947BF3" w:rsidRPr="005616AE" w:rsidRDefault="00947BF3" w:rsidP="00947BF3">
      <w:pPr>
        <w:rPr>
          <w:rFonts w:cs="Calibri"/>
        </w:rPr>
      </w:pPr>
    </w:p>
    <w:p w14:paraId="129640A7" w14:textId="77777777" w:rsidR="001159AE" w:rsidRPr="005616AE" w:rsidRDefault="001159AE" w:rsidP="001159AE"/>
    <w:p w14:paraId="4D609D6B" w14:textId="77777777" w:rsidR="00396473" w:rsidRPr="005616AE" w:rsidRDefault="00396473" w:rsidP="001159AE"/>
    <w:p w14:paraId="782CBD4F" w14:textId="77777777" w:rsidR="00396473" w:rsidRPr="005616AE" w:rsidRDefault="00396473" w:rsidP="001159AE"/>
    <w:p w14:paraId="01576BDB" w14:textId="77777777" w:rsidR="00396473" w:rsidRPr="005616AE" w:rsidRDefault="00396473" w:rsidP="001159AE"/>
    <w:p w14:paraId="534E23F8" w14:textId="77777777" w:rsidR="00396473" w:rsidRPr="005616AE" w:rsidRDefault="00396473" w:rsidP="001159AE"/>
    <w:p w14:paraId="39B6F919" w14:textId="77777777" w:rsidR="00396473" w:rsidRPr="005616AE" w:rsidRDefault="00396473" w:rsidP="001159AE"/>
    <w:p w14:paraId="21556EC7" w14:textId="77777777" w:rsidR="00396473" w:rsidRPr="005616AE" w:rsidRDefault="00396473" w:rsidP="001159AE"/>
    <w:p w14:paraId="0E73B0C9" w14:textId="77777777" w:rsidR="00031C36" w:rsidRPr="005616AE" w:rsidRDefault="00031C36" w:rsidP="001159AE"/>
    <w:p w14:paraId="6762CB03" w14:textId="77777777" w:rsidR="00031C36" w:rsidRPr="005616AE" w:rsidRDefault="00031C36" w:rsidP="001159AE"/>
    <w:p w14:paraId="7DAB8DDE" w14:textId="77777777" w:rsidR="00031C36" w:rsidRPr="005616AE" w:rsidRDefault="00031C36" w:rsidP="001159AE"/>
    <w:p w14:paraId="5B5E0E4A" w14:textId="77777777" w:rsidR="00031C36" w:rsidRPr="005616AE" w:rsidRDefault="00031C36" w:rsidP="001159AE"/>
    <w:p w14:paraId="239AAB7D" w14:textId="77777777" w:rsidR="00031C36" w:rsidRPr="005616AE" w:rsidRDefault="00031C36" w:rsidP="001159AE"/>
    <w:p w14:paraId="5B3DDC62" w14:textId="77777777" w:rsidR="00031C36" w:rsidRPr="005616AE" w:rsidRDefault="00031C36" w:rsidP="001159AE"/>
    <w:p w14:paraId="7FD3A64D" w14:textId="77777777" w:rsidR="00031C36" w:rsidRPr="005616AE" w:rsidRDefault="00031C36" w:rsidP="001159AE"/>
    <w:p w14:paraId="1176F99D" w14:textId="77777777" w:rsidR="00031C36" w:rsidRPr="005616AE" w:rsidRDefault="00031C36" w:rsidP="001159AE"/>
    <w:p w14:paraId="2BF2FCF4" w14:textId="77777777" w:rsidR="00031C36" w:rsidRPr="005616AE" w:rsidRDefault="00031C36" w:rsidP="001159AE"/>
    <w:p w14:paraId="37588FC2" w14:textId="77777777" w:rsidR="00031C36" w:rsidRPr="005616AE" w:rsidRDefault="00031C36" w:rsidP="001159AE"/>
    <w:p w14:paraId="3999768C" w14:textId="77777777" w:rsidR="00031C36" w:rsidRPr="005616AE" w:rsidRDefault="00031C36" w:rsidP="001159AE"/>
    <w:p w14:paraId="09CAA29E" w14:textId="77777777" w:rsidR="00031C36" w:rsidRPr="005616AE" w:rsidRDefault="00031C36" w:rsidP="001159AE"/>
    <w:p w14:paraId="086651E0" w14:textId="77777777" w:rsidR="00031C36" w:rsidRPr="005616AE" w:rsidRDefault="00031C36" w:rsidP="001159AE"/>
    <w:p w14:paraId="68E39920" w14:textId="77777777" w:rsidR="00031C36" w:rsidRPr="005616AE" w:rsidRDefault="00031C36" w:rsidP="001159AE"/>
    <w:p w14:paraId="1C7F0CEF" w14:textId="77777777" w:rsidR="00031C36" w:rsidRPr="005616AE" w:rsidRDefault="00031C36" w:rsidP="001159AE"/>
    <w:p w14:paraId="6BAF1FA5" w14:textId="77777777" w:rsidR="00396473" w:rsidRPr="005616AE" w:rsidRDefault="00396473" w:rsidP="001159AE"/>
    <w:p w14:paraId="57FF3EDC" w14:textId="24728D99" w:rsidR="00BE1377" w:rsidRPr="005616AE" w:rsidRDefault="00BE1377" w:rsidP="00F2521A">
      <w:pPr>
        <w:pStyle w:val="Heading1"/>
        <w:rPr>
          <w:rFonts w:ascii="Calibri" w:hAnsi="Calibri" w:cs="Calibri"/>
        </w:rPr>
      </w:pPr>
      <w:bookmarkStart w:id="86" w:name="_Toc183211094"/>
      <w:r w:rsidRPr="005616AE">
        <w:rPr>
          <w:rFonts w:ascii="Calibri" w:hAnsi="Calibri" w:cs="Calibri"/>
        </w:rPr>
        <w:lastRenderedPageBreak/>
        <w:t>References</w:t>
      </w:r>
      <w:bookmarkEnd w:id="86"/>
      <w:r w:rsidRPr="005616AE">
        <w:rPr>
          <w:rFonts w:ascii="Calibri" w:hAnsi="Calibri" w:cs="Calibri"/>
        </w:rPr>
        <w:t xml:space="preserve"> </w:t>
      </w:r>
    </w:p>
    <w:p w14:paraId="0CC92151" w14:textId="77777777" w:rsidR="008B5571" w:rsidRPr="005616AE" w:rsidRDefault="0040754F" w:rsidP="008B5571">
      <w:pPr>
        <w:spacing w:after="0"/>
      </w:pPr>
      <w:r w:rsidRPr="005616AE">
        <w:t xml:space="preserve">Alberta Motor Association (AMA). (n.d.). Cost of charging an electric vehicle (EV). Retrieved from </w:t>
      </w:r>
    </w:p>
    <w:p w14:paraId="79AD0F98" w14:textId="533D10F0" w:rsidR="0040754F" w:rsidRPr="005616AE" w:rsidRDefault="008B5571" w:rsidP="008B5571">
      <w:pPr>
        <w:spacing w:after="0"/>
        <w:ind w:firstLine="720"/>
      </w:pPr>
      <w:hyperlink r:id="rId15" w:history="1">
        <w:r w:rsidRPr="005616AE">
          <w:rPr>
            <w:rStyle w:val="Hyperlink"/>
          </w:rPr>
          <w:t>https://ama.ab.ca/electric-vehicles/charging/cost</w:t>
        </w:r>
      </w:hyperlink>
      <w:r w:rsidR="0040754F" w:rsidRPr="005616AE">
        <w:t xml:space="preserve"> </w:t>
      </w:r>
    </w:p>
    <w:p w14:paraId="55CF7516" w14:textId="41694155" w:rsidR="00FE71A4" w:rsidRPr="005616AE" w:rsidRDefault="00FE71A4" w:rsidP="00FE71A4">
      <w:pPr>
        <w:spacing w:after="0"/>
      </w:pPr>
      <w:r w:rsidRPr="005616AE">
        <w:t>CTV News. (2024). Canadian inflation back at 2 per cent ahead of year-end interest rate decision.</w:t>
      </w:r>
    </w:p>
    <w:p w14:paraId="4EDA7135" w14:textId="728A8D2D" w:rsidR="00FE71A4" w:rsidRPr="005616AE" w:rsidRDefault="008356C5" w:rsidP="008356C5">
      <w:pPr>
        <w:spacing w:after="0"/>
        <w:ind w:left="720"/>
      </w:pPr>
      <w:hyperlink r:id="rId16" w:history="1">
        <w:r w:rsidRPr="005616AE">
          <w:rPr>
            <w:rStyle w:val="Hyperlink"/>
          </w:rPr>
          <w:t>https://www.ctvnews.ca/business/canada-s-inflation-rate-jumps-back-to-2-likely-curbing-large-rate-cut-bets-1.7114985</w:t>
        </w:r>
      </w:hyperlink>
      <w:r w:rsidRPr="005616AE">
        <w:t xml:space="preserve"> </w:t>
      </w:r>
    </w:p>
    <w:p w14:paraId="128FBEF2" w14:textId="77777777" w:rsidR="0040754F" w:rsidRPr="005616AE" w:rsidRDefault="0040754F" w:rsidP="008B5571">
      <w:pPr>
        <w:spacing w:after="0"/>
      </w:pPr>
      <w:r w:rsidRPr="005616AE">
        <w:t xml:space="preserve">Natural Resources Canada. (n.d.). Zero Emission Vehicle Infrastructure Program (ZEVIP). Government of Canada. Retrieved from </w:t>
      </w:r>
    </w:p>
    <w:p w14:paraId="11F0996E" w14:textId="4B02FB55" w:rsidR="0040754F" w:rsidRPr="005616AE" w:rsidRDefault="008B5571" w:rsidP="008B5571">
      <w:pPr>
        <w:spacing w:after="0"/>
        <w:ind w:left="720"/>
        <w:rPr>
          <w:rFonts w:asciiTheme="minorHAnsi" w:hAnsiTheme="minorHAnsi"/>
        </w:rPr>
      </w:pPr>
      <w:hyperlink r:id="rId17" w:history="1">
        <w:r w:rsidRPr="005616AE">
          <w:rPr>
            <w:rStyle w:val="Hyperlink"/>
          </w:rPr>
          <w:t>https://natural-resources.canada.ca/energy-efficiency/transportation-alternative-fuels/zero-emission-vehicle-infrastructure-program/21876</w:t>
        </w:r>
      </w:hyperlink>
      <w:r w:rsidR="0040754F" w:rsidRPr="005616AE">
        <w:t xml:space="preserve"> </w:t>
      </w:r>
    </w:p>
    <w:p w14:paraId="697A2352" w14:textId="77777777" w:rsidR="008B5571" w:rsidRPr="005616AE" w:rsidRDefault="0040754F" w:rsidP="008B5571">
      <w:pPr>
        <w:spacing w:after="0"/>
      </w:pPr>
      <w:r w:rsidRPr="005616AE">
        <w:t xml:space="preserve">Next Move Strategy Consulting. (n.d.). Canada electric vehicle (EV) charging market. Retrieved from </w:t>
      </w:r>
    </w:p>
    <w:p w14:paraId="563ACD47" w14:textId="428C9B92" w:rsidR="0040754F" w:rsidRPr="005616AE" w:rsidRDefault="008B5571" w:rsidP="008B5571">
      <w:pPr>
        <w:spacing w:after="0"/>
        <w:ind w:firstLine="720"/>
      </w:pPr>
      <w:hyperlink r:id="rId18" w:history="1">
        <w:r w:rsidRPr="005616AE">
          <w:rPr>
            <w:rStyle w:val="Hyperlink"/>
          </w:rPr>
          <w:t>https://www.nextmsc.com/report/canada-electric-vehicle-ev-charging-market</w:t>
        </w:r>
      </w:hyperlink>
      <w:r w:rsidR="0040754F" w:rsidRPr="005616AE">
        <w:t xml:space="preserve"> </w:t>
      </w:r>
    </w:p>
    <w:p w14:paraId="1222C730" w14:textId="3A6642BD" w:rsidR="00C52D8D" w:rsidRPr="005616AE" w:rsidRDefault="00C52D8D" w:rsidP="00C52D8D">
      <w:pPr>
        <w:spacing w:after="0"/>
        <w:ind w:left="720" w:hanging="720"/>
        <w:jc w:val="left"/>
        <w:rPr>
          <w:rFonts w:cs="Calibri"/>
        </w:rPr>
      </w:pPr>
      <w:r w:rsidRPr="005616AE">
        <w:rPr>
          <w:rFonts w:cs="Calibri"/>
        </w:rPr>
        <w:t xml:space="preserve">Reuters. (2024). Bank of Canada most likely to cut rates by 50 bps next week. </w:t>
      </w:r>
      <w:hyperlink r:id="rId19" w:tgtFrame="_new" w:history="1">
        <w:r w:rsidRPr="005616AE">
          <w:rPr>
            <w:rStyle w:val="Hyperlink"/>
            <w:rFonts w:cs="Calibri"/>
          </w:rPr>
          <w:t>https://www.reuters.com/markets/rates-bonds/bank-canada-most-likely-cut-rates-by-50-bps-next-week-2024-10-18/</w:t>
        </w:r>
      </w:hyperlink>
    </w:p>
    <w:p w14:paraId="30E0F92E" w14:textId="77777777" w:rsidR="0005395E" w:rsidRPr="005616AE" w:rsidRDefault="0005395E" w:rsidP="008B5571">
      <w:pPr>
        <w:spacing w:after="0"/>
        <w:ind w:left="720" w:hanging="720"/>
        <w:rPr>
          <w:rFonts w:cs="Calibri"/>
        </w:rPr>
      </w:pPr>
      <w:r w:rsidRPr="005616AE">
        <w:rPr>
          <w:rFonts w:cs="Calibri"/>
        </w:rPr>
        <w:t>TD Bank. (2024). TD Bank Group comments on expected impact of the Charles Schwab investment.</w:t>
      </w:r>
    </w:p>
    <w:p w14:paraId="6FF389FD" w14:textId="2C152B3F" w:rsidR="0005395E" w:rsidRPr="005616AE" w:rsidRDefault="0005395E" w:rsidP="00C52D8D">
      <w:pPr>
        <w:spacing w:after="0"/>
        <w:ind w:left="720"/>
        <w:rPr>
          <w:rStyle w:val="Hyperlink"/>
          <w:rFonts w:cs="Calibri"/>
        </w:rPr>
      </w:pPr>
      <w:hyperlink r:id="rId20" w:history="1">
        <w:r w:rsidRPr="005616AE">
          <w:rPr>
            <w:rStyle w:val="Hyperlink"/>
            <w:rFonts w:cs="Calibri"/>
          </w:rPr>
          <w:t>https://stories.td.com/ca/en/news/2024-10-16-td-bank-group-comments-on-expected-impact-of-the-charles-sch</w:t>
        </w:r>
      </w:hyperlink>
    </w:p>
    <w:p w14:paraId="447B0B3E" w14:textId="3CF7F625" w:rsidR="00EE09D0" w:rsidRPr="005616AE" w:rsidRDefault="00EE09D0" w:rsidP="00EE09D0">
      <w:pPr>
        <w:spacing w:after="0"/>
        <w:rPr>
          <w:rFonts w:cs="Calibri"/>
        </w:rPr>
      </w:pPr>
      <w:r w:rsidRPr="005616AE">
        <w:rPr>
          <w:rFonts w:cs="Calibri"/>
        </w:rPr>
        <w:t xml:space="preserve">TD Bank. (2024). </w:t>
      </w:r>
      <w:r w:rsidR="001A0165" w:rsidRPr="005616AE">
        <w:rPr>
          <w:rFonts w:cs="Calibri"/>
        </w:rPr>
        <w:t>TD Asset Management Inc. Announces Estimated Annual Reinvested Distributions for TD ETFs</w:t>
      </w:r>
      <w:r w:rsidR="00944539" w:rsidRPr="005616AE">
        <w:rPr>
          <w:rFonts w:cs="Calibri"/>
        </w:rPr>
        <w:t>.</w:t>
      </w:r>
    </w:p>
    <w:p w14:paraId="74CCB035" w14:textId="01625441" w:rsidR="001A0165" w:rsidRPr="005616AE" w:rsidRDefault="001A0165" w:rsidP="001A0165">
      <w:pPr>
        <w:spacing w:after="0"/>
        <w:ind w:left="720"/>
        <w:rPr>
          <w:rFonts w:cs="Calibri"/>
        </w:rPr>
      </w:pPr>
      <w:hyperlink r:id="rId21" w:history="1">
        <w:r w:rsidRPr="005616AE">
          <w:rPr>
            <w:rStyle w:val="Hyperlink"/>
            <w:rFonts w:cs="Calibri"/>
          </w:rPr>
          <w:t>https://stories.td.com/ca/en/news/2024-11-21-td-asset-management-inc.-announces-estimated-annual-reinvest</w:t>
        </w:r>
      </w:hyperlink>
      <w:r w:rsidRPr="005616AE">
        <w:rPr>
          <w:rFonts w:cs="Calibri"/>
        </w:rPr>
        <w:t xml:space="preserve"> </w:t>
      </w:r>
    </w:p>
    <w:p w14:paraId="56406EE5" w14:textId="7BF9E5F6" w:rsidR="001A0165" w:rsidRPr="005616AE" w:rsidRDefault="00944539" w:rsidP="001A0165">
      <w:pPr>
        <w:spacing w:after="0"/>
        <w:rPr>
          <w:rFonts w:cs="Calibri"/>
        </w:rPr>
      </w:pPr>
      <w:r w:rsidRPr="005616AE">
        <w:rPr>
          <w:rFonts w:cs="Calibri"/>
        </w:rPr>
        <w:t xml:space="preserve">TD Bank. (2024). </w:t>
      </w:r>
      <w:r w:rsidR="00676C64" w:rsidRPr="005616AE">
        <w:rPr>
          <w:rFonts w:cs="Calibri"/>
        </w:rPr>
        <w:t>TD announces changes to its senior executive team.</w:t>
      </w:r>
    </w:p>
    <w:p w14:paraId="493B264A" w14:textId="090C3105" w:rsidR="00676C64" w:rsidRPr="00B52941" w:rsidRDefault="008356C5" w:rsidP="008356C5">
      <w:pPr>
        <w:spacing w:after="0"/>
        <w:ind w:left="720"/>
        <w:rPr>
          <w:rFonts w:cs="Calibri"/>
        </w:rPr>
      </w:pPr>
      <w:hyperlink r:id="rId22" w:history="1">
        <w:r w:rsidRPr="005616AE">
          <w:rPr>
            <w:rStyle w:val="Hyperlink"/>
            <w:rFonts w:cs="Calibri"/>
          </w:rPr>
          <w:t>https://stories.td.com/ca/en/news/2024-11-22-td-announces-changes-to-its-senior-executive-team</w:t>
        </w:r>
      </w:hyperlink>
      <w:r w:rsidRPr="005616AE">
        <w:rPr>
          <w:rFonts w:cs="Calibri"/>
        </w:rPr>
        <w:t xml:space="preserve"> </w:t>
      </w:r>
    </w:p>
    <w:sectPr w:rsidR="00676C64" w:rsidRPr="00B52941" w:rsidSect="00BE1377">
      <w:headerReference w:type="default" r:id="rId23"/>
      <w:footerReference w:type="default" r:id="rId24"/>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09FD5" w14:textId="77777777" w:rsidR="00C94625" w:rsidRPr="005616AE" w:rsidRDefault="00C94625" w:rsidP="00BE1377">
      <w:pPr>
        <w:spacing w:after="0" w:line="240" w:lineRule="auto"/>
      </w:pPr>
      <w:r w:rsidRPr="005616AE">
        <w:separator/>
      </w:r>
    </w:p>
  </w:endnote>
  <w:endnote w:type="continuationSeparator" w:id="0">
    <w:p w14:paraId="683DF400" w14:textId="77777777" w:rsidR="00C94625" w:rsidRPr="005616AE" w:rsidRDefault="00C94625" w:rsidP="00BE1377">
      <w:pPr>
        <w:spacing w:after="0" w:line="240" w:lineRule="auto"/>
      </w:pPr>
      <w:r w:rsidRPr="005616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868335"/>
      <w:docPartObj>
        <w:docPartGallery w:val="Page Numbers (Bottom of Page)"/>
        <w:docPartUnique/>
      </w:docPartObj>
    </w:sdtPr>
    <w:sdtContent>
      <w:p w14:paraId="19216252" w14:textId="26BEE396" w:rsidR="00BE1377" w:rsidRPr="005616AE" w:rsidRDefault="00BE1377">
        <w:pPr>
          <w:pStyle w:val="Footer"/>
          <w:jc w:val="right"/>
        </w:pPr>
        <w:r w:rsidRPr="005616AE">
          <w:t xml:space="preserve">Page | </w:t>
        </w:r>
        <w:r w:rsidRPr="005616AE">
          <w:fldChar w:fldCharType="begin"/>
        </w:r>
        <w:r w:rsidRPr="005616AE">
          <w:instrText xml:space="preserve"> PAGE   \* MERGEFORMAT </w:instrText>
        </w:r>
        <w:r w:rsidRPr="005616AE">
          <w:fldChar w:fldCharType="separate"/>
        </w:r>
        <w:r w:rsidRPr="005616AE">
          <w:t>2</w:t>
        </w:r>
        <w:r w:rsidRPr="005616AE">
          <w:fldChar w:fldCharType="end"/>
        </w:r>
        <w:r w:rsidRPr="005616AE">
          <w:t xml:space="preserve"> </w:t>
        </w:r>
      </w:p>
    </w:sdtContent>
  </w:sdt>
  <w:p w14:paraId="3572E050" w14:textId="77777777" w:rsidR="00BE1377" w:rsidRPr="005616AE" w:rsidRDefault="00BE1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154ED" w14:textId="77777777" w:rsidR="00C94625" w:rsidRPr="005616AE" w:rsidRDefault="00C94625" w:rsidP="00BE1377">
      <w:pPr>
        <w:spacing w:after="0" w:line="240" w:lineRule="auto"/>
      </w:pPr>
      <w:r w:rsidRPr="005616AE">
        <w:separator/>
      </w:r>
    </w:p>
  </w:footnote>
  <w:footnote w:type="continuationSeparator" w:id="0">
    <w:p w14:paraId="170B87E0" w14:textId="77777777" w:rsidR="00C94625" w:rsidRPr="005616AE" w:rsidRDefault="00C94625" w:rsidP="00BE1377">
      <w:pPr>
        <w:spacing w:after="0" w:line="240" w:lineRule="auto"/>
      </w:pPr>
      <w:r w:rsidRPr="005616A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FF119" w14:textId="0618935D" w:rsidR="00BE1377" w:rsidRPr="005616AE" w:rsidRDefault="00BE1377" w:rsidP="00BE1377">
    <w:pPr>
      <w:pStyle w:val="Header"/>
      <w:jc w:val="left"/>
    </w:pPr>
    <w:r w:rsidRPr="005616AE">
      <w:rPr>
        <w:rFonts w:cs="Calibri"/>
        <w:sz w:val="18"/>
        <w:szCs w:val="18"/>
      </w:rPr>
      <w:drawing>
        <wp:anchor distT="0" distB="0" distL="114300" distR="114300" simplePos="0" relativeHeight="251659264" behindDoc="1" locked="0" layoutInCell="1" allowOverlap="1" wp14:anchorId="1A6FB92B" wp14:editId="34550F0B">
          <wp:simplePos x="0" y="0"/>
          <wp:positionH relativeFrom="margin">
            <wp:posOffset>6013450</wp:posOffset>
          </wp:positionH>
          <wp:positionV relativeFrom="page">
            <wp:posOffset>335915</wp:posOffset>
          </wp:positionV>
          <wp:extent cx="374650" cy="384810"/>
          <wp:effectExtent l="0" t="0" r="6350" b="0"/>
          <wp:wrapThrough wrapText="bothSides">
            <wp:wrapPolygon edited="0">
              <wp:start x="0" y="0"/>
              <wp:lineTo x="0" y="20317"/>
              <wp:lineTo x="20868" y="20317"/>
              <wp:lineTo x="20868" y="0"/>
              <wp:lineTo x="0" y="0"/>
            </wp:wrapPolygon>
          </wp:wrapThrough>
          <wp:docPr id="1569331431"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4092" name="Picture 2" descr="A logo for a company&#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064" t="15948" r="16496" b="15944"/>
                  <a:stretch/>
                </pic:blipFill>
                <pic:spPr bwMode="auto">
                  <a:xfrm>
                    <a:off x="0" y="0"/>
                    <a:ext cx="374650" cy="384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5616AE">
      <w:rPr>
        <w:sz w:val="18"/>
        <w:szCs w:val="18"/>
      </w:rPr>
      <w:t>ProcessPro</w:t>
    </w:r>
    <w:proofErr w:type="spellEnd"/>
    <w:r w:rsidRPr="005616AE">
      <w:rPr>
        <w:sz w:val="18"/>
        <w:szCs w:val="18"/>
      </w:rPr>
      <w:t xml:space="preserve"> Partners – </w:t>
    </w:r>
    <w:r w:rsidRPr="005616AE">
      <w:rPr>
        <w:i/>
        <w:iCs/>
        <w:sz w:val="18"/>
        <w:szCs w:val="18"/>
      </w:rPr>
      <w:t>Efficient Process, Efficient Solutions</w:t>
    </w:r>
    <w:r w:rsidRPr="005616AE">
      <w:rPr>
        <w:i/>
        <w:iCs/>
        <w:sz w:val="18"/>
        <w:szCs w:val="18"/>
      </w:rPr>
      <w:ptab w:relativeTo="margin" w:alignment="center" w:leader="none"/>
    </w:r>
    <w:r w:rsidRPr="005616A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6E9C"/>
    <w:multiLevelType w:val="multilevel"/>
    <w:tmpl w:val="3A3A2BBA"/>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2A6C"/>
    <w:multiLevelType w:val="hybridMultilevel"/>
    <w:tmpl w:val="3CCE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9301F"/>
    <w:multiLevelType w:val="multilevel"/>
    <w:tmpl w:val="3A3A2BBA"/>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77C55"/>
    <w:multiLevelType w:val="hybridMultilevel"/>
    <w:tmpl w:val="4EF0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55E1D"/>
    <w:multiLevelType w:val="hybridMultilevel"/>
    <w:tmpl w:val="72FA8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18305B"/>
    <w:multiLevelType w:val="hybridMultilevel"/>
    <w:tmpl w:val="7DEA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562BB"/>
    <w:multiLevelType w:val="multilevel"/>
    <w:tmpl w:val="C5FE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15994"/>
    <w:multiLevelType w:val="hybridMultilevel"/>
    <w:tmpl w:val="9446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8D4EC8"/>
    <w:multiLevelType w:val="hybridMultilevel"/>
    <w:tmpl w:val="2196EE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107807B5"/>
    <w:multiLevelType w:val="hybridMultilevel"/>
    <w:tmpl w:val="9AD451D6"/>
    <w:lvl w:ilvl="0" w:tplc="10090001">
      <w:start w:val="1"/>
      <w:numFmt w:val="bullet"/>
      <w:lvlText w:val=""/>
      <w:lvlJc w:val="left"/>
      <w:pPr>
        <w:ind w:left="45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1EC4A6D"/>
    <w:multiLevelType w:val="multilevel"/>
    <w:tmpl w:val="E1EE0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427A0"/>
    <w:multiLevelType w:val="hybridMultilevel"/>
    <w:tmpl w:val="CFA6B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177384"/>
    <w:multiLevelType w:val="hybridMultilevel"/>
    <w:tmpl w:val="A554F8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C60A8A"/>
    <w:multiLevelType w:val="multilevel"/>
    <w:tmpl w:val="C04EF1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9F16305"/>
    <w:multiLevelType w:val="hybridMultilevel"/>
    <w:tmpl w:val="1C4C1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1BAC4B69"/>
    <w:multiLevelType w:val="hybridMultilevel"/>
    <w:tmpl w:val="871EF7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6" w15:restartNumberingAfterBreak="0">
    <w:nsid w:val="1DEB785C"/>
    <w:multiLevelType w:val="hybridMultilevel"/>
    <w:tmpl w:val="4F060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1A6941"/>
    <w:multiLevelType w:val="hybridMultilevel"/>
    <w:tmpl w:val="7D06E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FF71116"/>
    <w:multiLevelType w:val="hybridMultilevel"/>
    <w:tmpl w:val="37F2A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00D49C6"/>
    <w:multiLevelType w:val="hybridMultilevel"/>
    <w:tmpl w:val="0A7E0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04C3B73"/>
    <w:multiLevelType w:val="hybridMultilevel"/>
    <w:tmpl w:val="EE5E3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1014F25"/>
    <w:multiLevelType w:val="hybridMultilevel"/>
    <w:tmpl w:val="24B0E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1D23ADC"/>
    <w:multiLevelType w:val="hybridMultilevel"/>
    <w:tmpl w:val="7E6A4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163C99"/>
    <w:multiLevelType w:val="multilevel"/>
    <w:tmpl w:val="E840A3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3733BE1"/>
    <w:multiLevelType w:val="multilevel"/>
    <w:tmpl w:val="E05EF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E26BD"/>
    <w:multiLevelType w:val="multilevel"/>
    <w:tmpl w:val="E840A3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743610E"/>
    <w:multiLevelType w:val="hybridMultilevel"/>
    <w:tmpl w:val="49F6F3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7D424A1"/>
    <w:multiLevelType w:val="hybridMultilevel"/>
    <w:tmpl w:val="CC964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83A6A1C"/>
    <w:multiLevelType w:val="hybridMultilevel"/>
    <w:tmpl w:val="1AB4C3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90E4305"/>
    <w:multiLevelType w:val="multilevel"/>
    <w:tmpl w:val="E840A3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B0B0069"/>
    <w:multiLevelType w:val="hybridMultilevel"/>
    <w:tmpl w:val="933AA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C223FFC"/>
    <w:multiLevelType w:val="hybridMultilevel"/>
    <w:tmpl w:val="D93ECE9A"/>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start w:val="1"/>
      <w:numFmt w:val="bullet"/>
      <w:lvlText w:val=""/>
      <w:lvlJc w:val="left"/>
      <w:pPr>
        <w:ind w:left="2928" w:hanging="360"/>
      </w:pPr>
      <w:rPr>
        <w:rFonts w:ascii="Symbol" w:hAnsi="Symbol" w:hint="default"/>
      </w:rPr>
    </w:lvl>
    <w:lvl w:ilvl="4" w:tplc="10090003">
      <w:start w:val="1"/>
      <w:numFmt w:val="bullet"/>
      <w:lvlText w:val="o"/>
      <w:lvlJc w:val="left"/>
      <w:pPr>
        <w:ind w:left="3648" w:hanging="360"/>
      </w:pPr>
      <w:rPr>
        <w:rFonts w:ascii="Courier New" w:hAnsi="Courier New" w:cs="Courier New" w:hint="default"/>
      </w:rPr>
    </w:lvl>
    <w:lvl w:ilvl="5" w:tplc="10090005">
      <w:start w:val="1"/>
      <w:numFmt w:val="bullet"/>
      <w:lvlText w:val=""/>
      <w:lvlJc w:val="left"/>
      <w:pPr>
        <w:ind w:left="4368" w:hanging="360"/>
      </w:pPr>
      <w:rPr>
        <w:rFonts w:ascii="Wingdings" w:hAnsi="Wingdings" w:hint="default"/>
      </w:rPr>
    </w:lvl>
    <w:lvl w:ilvl="6" w:tplc="10090001">
      <w:start w:val="1"/>
      <w:numFmt w:val="bullet"/>
      <w:lvlText w:val=""/>
      <w:lvlJc w:val="left"/>
      <w:pPr>
        <w:ind w:left="5088" w:hanging="360"/>
      </w:pPr>
      <w:rPr>
        <w:rFonts w:ascii="Symbol" w:hAnsi="Symbol" w:hint="default"/>
      </w:rPr>
    </w:lvl>
    <w:lvl w:ilvl="7" w:tplc="10090003">
      <w:start w:val="1"/>
      <w:numFmt w:val="bullet"/>
      <w:lvlText w:val="o"/>
      <w:lvlJc w:val="left"/>
      <w:pPr>
        <w:ind w:left="5808" w:hanging="360"/>
      </w:pPr>
      <w:rPr>
        <w:rFonts w:ascii="Courier New" w:hAnsi="Courier New" w:cs="Courier New" w:hint="default"/>
      </w:rPr>
    </w:lvl>
    <w:lvl w:ilvl="8" w:tplc="10090005">
      <w:start w:val="1"/>
      <w:numFmt w:val="bullet"/>
      <w:lvlText w:val=""/>
      <w:lvlJc w:val="left"/>
      <w:pPr>
        <w:ind w:left="6528" w:hanging="360"/>
      </w:pPr>
      <w:rPr>
        <w:rFonts w:ascii="Wingdings" w:hAnsi="Wingdings" w:hint="default"/>
      </w:rPr>
    </w:lvl>
  </w:abstractNum>
  <w:abstractNum w:abstractNumId="32" w15:restartNumberingAfterBreak="0">
    <w:nsid w:val="2C7246DF"/>
    <w:multiLevelType w:val="multilevel"/>
    <w:tmpl w:val="79D2EC7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DE61279"/>
    <w:multiLevelType w:val="hybridMultilevel"/>
    <w:tmpl w:val="AFFE0E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4" w15:restartNumberingAfterBreak="0">
    <w:nsid w:val="2E16386F"/>
    <w:multiLevelType w:val="hybridMultilevel"/>
    <w:tmpl w:val="7B9C9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0DD5E30"/>
    <w:multiLevelType w:val="hybridMultilevel"/>
    <w:tmpl w:val="2CE012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0E7384F"/>
    <w:multiLevelType w:val="hybridMultilevel"/>
    <w:tmpl w:val="C0D64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622950"/>
    <w:multiLevelType w:val="hybridMultilevel"/>
    <w:tmpl w:val="5BE0F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3A5081D"/>
    <w:multiLevelType w:val="hybridMultilevel"/>
    <w:tmpl w:val="F094F9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33FF76B2"/>
    <w:multiLevelType w:val="multilevel"/>
    <w:tmpl w:val="DDF81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D1386"/>
    <w:multiLevelType w:val="multilevel"/>
    <w:tmpl w:val="6624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740664"/>
    <w:multiLevelType w:val="hybridMultilevel"/>
    <w:tmpl w:val="A582F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3A4471AA"/>
    <w:multiLevelType w:val="hybridMultilevel"/>
    <w:tmpl w:val="CE46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B1A244F"/>
    <w:multiLevelType w:val="hybridMultilevel"/>
    <w:tmpl w:val="5150D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F850262"/>
    <w:multiLevelType w:val="hybridMultilevel"/>
    <w:tmpl w:val="2A28A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FC953C1"/>
    <w:multiLevelType w:val="multilevel"/>
    <w:tmpl w:val="AE686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E860D7"/>
    <w:multiLevelType w:val="hybridMultilevel"/>
    <w:tmpl w:val="B2F87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1A6424A"/>
    <w:multiLevelType w:val="hybridMultilevel"/>
    <w:tmpl w:val="BCB04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1B33565"/>
    <w:multiLevelType w:val="hybridMultilevel"/>
    <w:tmpl w:val="2CAAD9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1EC3435"/>
    <w:multiLevelType w:val="hybridMultilevel"/>
    <w:tmpl w:val="049C1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3FF4FC2"/>
    <w:multiLevelType w:val="multilevel"/>
    <w:tmpl w:val="E840A3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45202C19"/>
    <w:multiLevelType w:val="hybridMultilevel"/>
    <w:tmpl w:val="034E2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5842900"/>
    <w:multiLevelType w:val="hybridMultilevel"/>
    <w:tmpl w:val="39280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3" w15:restartNumberingAfterBreak="0">
    <w:nsid w:val="46131173"/>
    <w:multiLevelType w:val="hybridMultilevel"/>
    <w:tmpl w:val="38C41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7140F3B"/>
    <w:multiLevelType w:val="multilevel"/>
    <w:tmpl w:val="DD14F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AE7E5D"/>
    <w:multiLevelType w:val="hybridMultilevel"/>
    <w:tmpl w:val="247E46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56" w15:restartNumberingAfterBreak="0">
    <w:nsid w:val="495805AC"/>
    <w:multiLevelType w:val="hybridMultilevel"/>
    <w:tmpl w:val="79E02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7" w15:restartNumberingAfterBreak="0">
    <w:nsid w:val="49F04C36"/>
    <w:multiLevelType w:val="hybridMultilevel"/>
    <w:tmpl w:val="03ECE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AC64D86"/>
    <w:multiLevelType w:val="hybridMultilevel"/>
    <w:tmpl w:val="A670AD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4C7C7BC5"/>
    <w:multiLevelType w:val="multilevel"/>
    <w:tmpl w:val="1BCC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A73DC6"/>
    <w:multiLevelType w:val="multilevel"/>
    <w:tmpl w:val="0E16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AD0A12"/>
    <w:multiLevelType w:val="hybridMultilevel"/>
    <w:tmpl w:val="23A0F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4EC34A64"/>
    <w:multiLevelType w:val="hybridMultilevel"/>
    <w:tmpl w:val="3FE25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4EFD0FF6"/>
    <w:multiLevelType w:val="hybridMultilevel"/>
    <w:tmpl w:val="0EE86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50435889"/>
    <w:multiLevelType w:val="hybridMultilevel"/>
    <w:tmpl w:val="982EB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05804DD"/>
    <w:multiLevelType w:val="multilevel"/>
    <w:tmpl w:val="E38ACD2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09525FC"/>
    <w:multiLevelType w:val="hybridMultilevel"/>
    <w:tmpl w:val="EE90C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50970621"/>
    <w:multiLevelType w:val="hybridMultilevel"/>
    <w:tmpl w:val="8B826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179604D"/>
    <w:multiLevelType w:val="hybridMultilevel"/>
    <w:tmpl w:val="631ED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34131F7"/>
    <w:multiLevelType w:val="multilevel"/>
    <w:tmpl w:val="0034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0129B"/>
    <w:multiLevelType w:val="hybridMultilevel"/>
    <w:tmpl w:val="D0062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4FC0E27"/>
    <w:multiLevelType w:val="hybridMultilevel"/>
    <w:tmpl w:val="5F5EE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558A52CB"/>
    <w:multiLevelType w:val="hybridMultilevel"/>
    <w:tmpl w:val="3F88B7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3" w15:restartNumberingAfterBreak="0">
    <w:nsid w:val="55AA26FF"/>
    <w:multiLevelType w:val="hybridMultilevel"/>
    <w:tmpl w:val="658C26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4" w15:restartNumberingAfterBreak="0">
    <w:nsid w:val="564B53CD"/>
    <w:multiLevelType w:val="multilevel"/>
    <w:tmpl w:val="3E7C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2B52D9"/>
    <w:multiLevelType w:val="hybridMultilevel"/>
    <w:tmpl w:val="1EBEE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83C3212"/>
    <w:multiLevelType w:val="hybridMultilevel"/>
    <w:tmpl w:val="22581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7" w15:restartNumberingAfterBreak="0">
    <w:nsid w:val="586562B6"/>
    <w:multiLevelType w:val="hybridMultilevel"/>
    <w:tmpl w:val="5DB0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93F055D"/>
    <w:multiLevelType w:val="multilevel"/>
    <w:tmpl w:val="E840A3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5D303583"/>
    <w:multiLevelType w:val="hybridMultilevel"/>
    <w:tmpl w:val="495CB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5F3E2349"/>
    <w:multiLevelType w:val="hybridMultilevel"/>
    <w:tmpl w:val="D646F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5F7F4D88"/>
    <w:multiLevelType w:val="multilevel"/>
    <w:tmpl w:val="3A56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4301C6"/>
    <w:multiLevelType w:val="hybridMultilevel"/>
    <w:tmpl w:val="DF0452B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83" w15:restartNumberingAfterBreak="0">
    <w:nsid w:val="62175FA2"/>
    <w:multiLevelType w:val="multilevel"/>
    <w:tmpl w:val="46FA7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667960"/>
    <w:multiLevelType w:val="multilevel"/>
    <w:tmpl w:val="6930B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9A38E8"/>
    <w:multiLevelType w:val="hybridMultilevel"/>
    <w:tmpl w:val="D19A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49C6F2A"/>
    <w:multiLevelType w:val="hybridMultilevel"/>
    <w:tmpl w:val="DEF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5106226"/>
    <w:multiLevelType w:val="hybridMultilevel"/>
    <w:tmpl w:val="3386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65CC2258"/>
    <w:multiLevelType w:val="hybridMultilevel"/>
    <w:tmpl w:val="7946E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7835943"/>
    <w:multiLevelType w:val="multilevel"/>
    <w:tmpl w:val="59860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9E6B63"/>
    <w:multiLevelType w:val="multilevel"/>
    <w:tmpl w:val="E47C0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6D7994"/>
    <w:multiLevelType w:val="hybridMultilevel"/>
    <w:tmpl w:val="F10AD0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2" w15:restartNumberingAfterBreak="0">
    <w:nsid w:val="696C22EA"/>
    <w:multiLevelType w:val="hybridMultilevel"/>
    <w:tmpl w:val="7E726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6AA75D46"/>
    <w:multiLevelType w:val="hybridMultilevel"/>
    <w:tmpl w:val="297A8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15:restartNumberingAfterBreak="0">
    <w:nsid w:val="6AF32CC0"/>
    <w:multiLevelType w:val="hybridMultilevel"/>
    <w:tmpl w:val="F802F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6B740C8B"/>
    <w:multiLevelType w:val="hybridMultilevel"/>
    <w:tmpl w:val="B1A478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6" w15:restartNumberingAfterBreak="0">
    <w:nsid w:val="6C0C5CE1"/>
    <w:multiLevelType w:val="hybridMultilevel"/>
    <w:tmpl w:val="D92289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7" w15:restartNumberingAfterBreak="0">
    <w:nsid w:val="6EF16B68"/>
    <w:multiLevelType w:val="hybridMultilevel"/>
    <w:tmpl w:val="76DA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F5301FE"/>
    <w:multiLevelType w:val="hybridMultilevel"/>
    <w:tmpl w:val="4A18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08F5E39"/>
    <w:multiLevelType w:val="hybridMultilevel"/>
    <w:tmpl w:val="01823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0BD659F"/>
    <w:multiLevelType w:val="multilevel"/>
    <w:tmpl w:val="8D1C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3137C5"/>
    <w:multiLevelType w:val="hybridMultilevel"/>
    <w:tmpl w:val="5928A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2" w15:restartNumberingAfterBreak="0">
    <w:nsid w:val="71A05CD9"/>
    <w:multiLevelType w:val="multilevel"/>
    <w:tmpl w:val="514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4E4516"/>
    <w:multiLevelType w:val="hybridMultilevel"/>
    <w:tmpl w:val="65FE5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3990C67"/>
    <w:multiLevelType w:val="hybridMultilevel"/>
    <w:tmpl w:val="DA962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5" w15:restartNumberingAfterBreak="0">
    <w:nsid w:val="76EE5518"/>
    <w:multiLevelType w:val="hybridMultilevel"/>
    <w:tmpl w:val="78E440BC"/>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6" w15:restartNumberingAfterBreak="0">
    <w:nsid w:val="774323A0"/>
    <w:multiLevelType w:val="hybridMultilevel"/>
    <w:tmpl w:val="F2E024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15:restartNumberingAfterBreak="0">
    <w:nsid w:val="78367465"/>
    <w:multiLevelType w:val="hybridMultilevel"/>
    <w:tmpl w:val="3A74C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8" w15:restartNumberingAfterBreak="0">
    <w:nsid w:val="7B4E3157"/>
    <w:multiLevelType w:val="hybridMultilevel"/>
    <w:tmpl w:val="38CC7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9" w15:restartNumberingAfterBreak="0">
    <w:nsid w:val="7C8B3AD8"/>
    <w:multiLevelType w:val="multilevel"/>
    <w:tmpl w:val="0E16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6111CA"/>
    <w:multiLevelType w:val="multilevel"/>
    <w:tmpl w:val="5A3C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C406B7"/>
    <w:multiLevelType w:val="hybridMultilevel"/>
    <w:tmpl w:val="84841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1323217">
    <w:abstractNumId w:val="31"/>
  </w:num>
  <w:num w:numId="2" w16cid:durableId="680351915">
    <w:abstractNumId w:val="91"/>
  </w:num>
  <w:num w:numId="3" w16cid:durableId="855928766">
    <w:abstractNumId w:val="56"/>
  </w:num>
  <w:num w:numId="4" w16cid:durableId="438452725">
    <w:abstractNumId w:val="8"/>
  </w:num>
  <w:num w:numId="5" w16cid:durableId="1350060793">
    <w:abstractNumId w:val="95"/>
  </w:num>
  <w:num w:numId="6" w16cid:durableId="1836335466">
    <w:abstractNumId w:val="73"/>
  </w:num>
  <w:num w:numId="7" w16cid:durableId="398019157">
    <w:abstractNumId w:val="33"/>
  </w:num>
  <w:num w:numId="8" w16cid:durableId="1003708640">
    <w:abstractNumId w:val="14"/>
  </w:num>
  <w:num w:numId="9" w16cid:durableId="234437738">
    <w:abstractNumId w:val="76"/>
  </w:num>
  <w:num w:numId="10" w16cid:durableId="708844719">
    <w:abstractNumId w:val="108"/>
  </w:num>
  <w:num w:numId="11" w16cid:durableId="151724276">
    <w:abstractNumId w:val="96"/>
  </w:num>
  <w:num w:numId="12" w16cid:durableId="1073815648">
    <w:abstractNumId w:val="52"/>
  </w:num>
  <w:num w:numId="13" w16cid:durableId="299578548">
    <w:abstractNumId w:val="72"/>
  </w:num>
  <w:num w:numId="14" w16cid:durableId="1652098836">
    <w:abstractNumId w:val="2"/>
  </w:num>
  <w:num w:numId="15" w16cid:durableId="487014629">
    <w:abstractNumId w:val="105"/>
  </w:num>
  <w:num w:numId="16" w16cid:durableId="1623994882">
    <w:abstractNumId w:val="38"/>
  </w:num>
  <w:num w:numId="17" w16cid:durableId="848983967">
    <w:abstractNumId w:val="80"/>
  </w:num>
  <w:num w:numId="18" w16cid:durableId="1126316733">
    <w:abstractNumId w:val="17"/>
  </w:num>
  <w:num w:numId="19" w16cid:durableId="233198198">
    <w:abstractNumId w:val="66"/>
  </w:num>
  <w:num w:numId="20" w16cid:durableId="620067289">
    <w:abstractNumId w:val="48"/>
  </w:num>
  <w:num w:numId="21" w16cid:durableId="1189369573">
    <w:abstractNumId w:val="61"/>
  </w:num>
  <w:num w:numId="22" w16cid:durableId="1485969006">
    <w:abstractNumId w:val="27"/>
  </w:num>
  <w:num w:numId="23" w16cid:durableId="821501397">
    <w:abstractNumId w:val="19"/>
  </w:num>
  <w:num w:numId="24" w16cid:durableId="359597561">
    <w:abstractNumId w:val="46"/>
  </w:num>
  <w:num w:numId="25" w16cid:durableId="549803319">
    <w:abstractNumId w:val="101"/>
  </w:num>
  <w:num w:numId="26" w16cid:durableId="1144157326">
    <w:abstractNumId w:val="34"/>
  </w:num>
  <w:num w:numId="27" w16cid:durableId="1399287071">
    <w:abstractNumId w:val="11"/>
  </w:num>
  <w:num w:numId="28" w16cid:durableId="1634098044">
    <w:abstractNumId w:val="97"/>
  </w:num>
  <w:num w:numId="29" w16cid:durableId="149562570">
    <w:abstractNumId w:val="1"/>
  </w:num>
  <w:num w:numId="30" w16cid:durableId="1006596616">
    <w:abstractNumId w:val="88"/>
  </w:num>
  <w:num w:numId="31" w16cid:durableId="1818456436">
    <w:abstractNumId w:val="49"/>
  </w:num>
  <w:num w:numId="32" w16cid:durableId="815755304">
    <w:abstractNumId w:val="98"/>
  </w:num>
  <w:num w:numId="33" w16cid:durableId="81877078">
    <w:abstractNumId w:val="22"/>
  </w:num>
  <w:num w:numId="34" w16cid:durableId="1962150227">
    <w:abstractNumId w:val="85"/>
  </w:num>
  <w:num w:numId="35" w16cid:durableId="10452723">
    <w:abstractNumId w:val="111"/>
  </w:num>
  <w:num w:numId="36" w16cid:durableId="486408340">
    <w:abstractNumId w:val="64"/>
  </w:num>
  <w:num w:numId="37" w16cid:durableId="694624245">
    <w:abstractNumId w:val="30"/>
  </w:num>
  <w:num w:numId="38" w16cid:durableId="513955534">
    <w:abstractNumId w:val="70"/>
  </w:num>
  <w:num w:numId="39" w16cid:durableId="77018279">
    <w:abstractNumId w:val="102"/>
  </w:num>
  <w:num w:numId="40" w16cid:durableId="1435905736">
    <w:abstractNumId w:val="77"/>
  </w:num>
  <w:num w:numId="41" w16cid:durableId="1536455603">
    <w:abstractNumId w:val="86"/>
  </w:num>
  <w:num w:numId="42" w16cid:durableId="672758476">
    <w:abstractNumId w:val="42"/>
  </w:num>
  <w:num w:numId="43" w16cid:durableId="1617254133">
    <w:abstractNumId w:val="44"/>
  </w:num>
  <w:num w:numId="44" w16cid:durableId="622812974">
    <w:abstractNumId w:val="36"/>
  </w:num>
  <w:num w:numId="45" w16cid:durableId="1121455886">
    <w:abstractNumId w:val="57"/>
  </w:num>
  <w:num w:numId="46" w16cid:durableId="1601989937">
    <w:abstractNumId w:val="67"/>
  </w:num>
  <w:num w:numId="47" w16cid:durableId="1708866897">
    <w:abstractNumId w:val="4"/>
  </w:num>
  <w:num w:numId="48" w16cid:durableId="1703358013">
    <w:abstractNumId w:val="7"/>
  </w:num>
  <w:num w:numId="49" w16cid:durableId="1400598503">
    <w:abstractNumId w:val="68"/>
  </w:num>
  <w:num w:numId="50" w16cid:durableId="653337121">
    <w:abstractNumId w:val="5"/>
  </w:num>
  <w:num w:numId="51" w16cid:durableId="1981379329">
    <w:abstractNumId w:val="53"/>
  </w:num>
  <w:num w:numId="52" w16cid:durableId="551699145">
    <w:abstractNumId w:val="75"/>
  </w:num>
  <w:num w:numId="53" w16cid:durableId="225384428">
    <w:abstractNumId w:val="99"/>
  </w:num>
  <w:num w:numId="54" w16cid:durableId="640353282">
    <w:abstractNumId w:val="103"/>
  </w:num>
  <w:num w:numId="55" w16cid:durableId="1855799880">
    <w:abstractNumId w:val="3"/>
  </w:num>
  <w:num w:numId="56" w16cid:durableId="800807970">
    <w:abstractNumId w:val="59"/>
  </w:num>
  <w:num w:numId="57" w16cid:durableId="194735318">
    <w:abstractNumId w:val="65"/>
  </w:num>
  <w:num w:numId="58" w16cid:durableId="1737387226">
    <w:abstractNumId w:val="45"/>
  </w:num>
  <w:num w:numId="59" w16cid:durableId="1313025341">
    <w:abstractNumId w:val="84"/>
  </w:num>
  <w:num w:numId="60" w16cid:durableId="1730575194">
    <w:abstractNumId w:val="39"/>
  </w:num>
  <w:num w:numId="61" w16cid:durableId="1276014098">
    <w:abstractNumId w:val="69"/>
  </w:num>
  <w:num w:numId="62" w16cid:durableId="1450397749">
    <w:abstractNumId w:val="81"/>
  </w:num>
  <w:num w:numId="63" w16cid:durableId="122965799">
    <w:abstractNumId w:val="32"/>
  </w:num>
  <w:num w:numId="64" w16cid:durableId="231428671">
    <w:abstractNumId w:val="10"/>
  </w:num>
  <w:num w:numId="65" w16cid:durableId="229581297">
    <w:abstractNumId w:val="74"/>
  </w:num>
  <w:num w:numId="66" w16cid:durableId="1790590421">
    <w:abstractNumId w:val="40"/>
  </w:num>
  <w:num w:numId="67" w16cid:durableId="32193249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58082399">
    <w:abstractNumId w:val="100"/>
  </w:num>
  <w:num w:numId="69" w16cid:durableId="1547133191">
    <w:abstractNumId w:val="18"/>
  </w:num>
  <w:num w:numId="70" w16cid:durableId="1492524970">
    <w:abstractNumId w:val="0"/>
  </w:num>
  <w:num w:numId="71" w16cid:durableId="1939636034">
    <w:abstractNumId w:val="24"/>
  </w:num>
  <w:num w:numId="72" w16cid:durableId="1714307732">
    <w:abstractNumId w:val="109"/>
  </w:num>
  <w:num w:numId="73" w16cid:durableId="838277337">
    <w:abstractNumId w:val="60"/>
  </w:num>
  <w:num w:numId="74" w16cid:durableId="1891455777">
    <w:abstractNumId w:val="15"/>
  </w:num>
  <w:num w:numId="75" w16cid:durableId="961376888">
    <w:abstractNumId w:val="82"/>
  </w:num>
  <w:num w:numId="76" w16cid:durableId="71976898">
    <w:abstractNumId w:val="28"/>
  </w:num>
  <w:num w:numId="77" w16cid:durableId="743643602">
    <w:abstractNumId w:val="71"/>
  </w:num>
  <w:num w:numId="78" w16cid:durableId="94788102">
    <w:abstractNumId w:val="104"/>
  </w:num>
  <w:num w:numId="79" w16cid:durableId="1828010515">
    <w:abstractNumId w:val="37"/>
  </w:num>
  <w:num w:numId="80" w16cid:durableId="995501268">
    <w:abstractNumId w:val="16"/>
  </w:num>
  <w:num w:numId="81" w16cid:durableId="1787771826">
    <w:abstractNumId w:val="58"/>
  </w:num>
  <w:num w:numId="82" w16cid:durableId="164368985">
    <w:abstractNumId w:val="20"/>
  </w:num>
  <w:num w:numId="83" w16cid:durableId="1610428101">
    <w:abstractNumId w:val="107"/>
  </w:num>
  <w:num w:numId="84" w16cid:durableId="399982978">
    <w:abstractNumId w:val="92"/>
  </w:num>
  <w:num w:numId="85" w16cid:durableId="1554199914">
    <w:abstractNumId w:val="79"/>
  </w:num>
  <w:num w:numId="86" w16cid:durableId="549146243">
    <w:abstractNumId w:val="41"/>
  </w:num>
  <w:num w:numId="87" w16cid:durableId="830022752">
    <w:abstractNumId w:val="26"/>
  </w:num>
  <w:num w:numId="88" w16cid:durableId="1100419425">
    <w:abstractNumId w:val="87"/>
  </w:num>
  <w:num w:numId="89" w16cid:durableId="677806047">
    <w:abstractNumId w:val="93"/>
  </w:num>
  <w:num w:numId="90" w16cid:durableId="77023479">
    <w:abstractNumId w:val="94"/>
  </w:num>
  <w:num w:numId="91" w16cid:durableId="1438133695">
    <w:abstractNumId w:val="35"/>
  </w:num>
  <w:num w:numId="92" w16cid:durableId="1283195393">
    <w:abstractNumId w:val="21"/>
  </w:num>
  <w:num w:numId="93" w16cid:durableId="356086329">
    <w:abstractNumId w:val="47"/>
  </w:num>
  <w:num w:numId="94" w16cid:durableId="147988718">
    <w:abstractNumId w:val="12"/>
  </w:num>
  <w:num w:numId="95" w16cid:durableId="1547598221">
    <w:abstractNumId w:val="106"/>
  </w:num>
  <w:num w:numId="96" w16cid:durableId="1296761533">
    <w:abstractNumId w:val="51"/>
  </w:num>
  <w:num w:numId="97" w16cid:durableId="369188194">
    <w:abstractNumId w:val="43"/>
  </w:num>
  <w:num w:numId="98" w16cid:durableId="1224947563">
    <w:abstractNumId w:val="63"/>
  </w:num>
  <w:num w:numId="99" w16cid:durableId="344987070">
    <w:abstractNumId w:val="62"/>
  </w:num>
  <w:num w:numId="100" w16cid:durableId="834489448">
    <w:abstractNumId w:val="5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91224222">
    <w:abstractNumId w:val="7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751807137">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55065707">
    <w:abstractNumId w:val="89"/>
  </w:num>
  <w:num w:numId="104" w16cid:durableId="1874805721">
    <w:abstractNumId w:val="6"/>
  </w:num>
  <w:num w:numId="105" w16cid:durableId="1255243770">
    <w:abstractNumId w:val="90"/>
  </w:num>
  <w:num w:numId="106" w16cid:durableId="570163578">
    <w:abstractNumId w:val="55"/>
  </w:num>
  <w:num w:numId="107" w16cid:durableId="177550476">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197814667">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39431233">
    <w:abstractNumId w:val="54"/>
  </w:num>
  <w:num w:numId="110" w16cid:durableId="1601332055">
    <w:abstractNumId w:val="110"/>
  </w:num>
  <w:num w:numId="111" w16cid:durableId="494491987">
    <w:abstractNumId w:val="83"/>
  </w:num>
  <w:num w:numId="112" w16cid:durableId="337923961">
    <w:abstractNumId w:val="9"/>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77"/>
    <w:rsid w:val="00004C1A"/>
    <w:rsid w:val="00014819"/>
    <w:rsid w:val="000206D5"/>
    <w:rsid w:val="00026209"/>
    <w:rsid w:val="00031C36"/>
    <w:rsid w:val="00047EEB"/>
    <w:rsid w:val="00052D97"/>
    <w:rsid w:val="0005395E"/>
    <w:rsid w:val="00060D75"/>
    <w:rsid w:val="000927AF"/>
    <w:rsid w:val="00092EA8"/>
    <w:rsid w:val="000A3601"/>
    <w:rsid w:val="000A609A"/>
    <w:rsid w:val="000B2B7E"/>
    <w:rsid w:val="000E7DD8"/>
    <w:rsid w:val="000F48D8"/>
    <w:rsid w:val="000F5E7F"/>
    <w:rsid w:val="001159AE"/>
    <w:rsid w:val="00123224"/>
    <w:rsid w:val="001232EB"/>
    <w:rsid w:val="00127974"/>
    <w:rsid w:val="00127B7E"/>
    <w:rsid w:val="0013081E"/>
    <w:rsid w:val="001455AD"/>
    <w:rsid w:val="00165337"/>
    <w:rsid w:val="00166698"/>
    <w:rsid w:val="0016689C"/>
    <w:rsid w:val="00185F97"/>
    <w:rsid w:val="00186F1E"/>
    <w:rsid w:val="00187BEC"/>
    <w:rsid w:val="00194215"/>
    <w:rsid w:val="001A0165"/>
    <w:rsid w:val="001A1CD5"/>
    <w:rsid w:val="001B309A"/>
    <w:rsid w:val="001C77A7"/>
    <w:rsid w:val="001E2BA8"/>
    <w:rsid w:val="001E7669"/>
    <w:rsid w:val="001E7AF6"/>
    <w:rsid w:val="00200F06"/>
    <w:rsid w:val="0020330E"/>
    <w:rsid w:val="0021542B"/>
    <w:rsid w:val="00220636"/>
    <w:rsid w:val="0023109D"/>
    <w:rsid w:val="002501C2"/>
    <w:rsid w:val="00266CFF"/>
    <w:rsid w:val="00270EB4"/>
    <w:rsid w:val="002744DB"/>
    <w:rsid w:val="00291073"/>
    <w:rsid w:val="002B180E"/>
    <w:rsid w:val="002B2EF3"/>
    <w:rsid w:val="002C7C30"/>
    <w:rsid w:val="002D2F2A"/>
    <w:rsid w:val="002E558F"/>
    <w:rsid w:val="002F7BB7"/>
    <w:rsid w:val="00301321"/>
    <w:rsid w:val="00303B6D"/>
    <w:rsid w:val="003045A3"/>
    <w:rsid w:val="00310327"/>
    <w:rsid w:val="00325397"/>
    <w:rsid w:val="00326301"/>
    <w:rsid w:val="00366073"/>
    <w:rsid w:val="00381A93"/>
    <w:rsid w:val="00381E50"/>
    <w:rsid w:val="00382AEF"/>
    <w:rsid w:val="00384F0C"/>
    <w:rsid w:val="00396473"/>
    <w:rsid w:val="003A7546"/>
    <w:rsid w:val="003D3532"/>
    <w:rsid w:val="003F2F75"/>
    <w:rsid w:val="00400DA8"/>
    <w:rsid w:val="0040754F"/>
    <w:rsid w:val="00420761"/>
    <w:rsid w:val="004351FB"/>
    <w:rsid w:val="0045045E"/>
    <w:rsid w:val="004550DA"/>
    <w:rsid w:val="00460B09"/>
    <w:rsid w:val="00467FD7"/>
    <w:rsid w:val="00485A07"/>
    <w:rsid w:val="00490438"/>
    <w:rsid w:val="00495258"/>
    <w:rsid w:val="004B2CE6"/>
    <w:rsid w:val="004C0BF4"/>
    <w:rsid w:val="004D483A"/>
    <w:rsid w:val="004F71A0"/>
    <w:rsid w:val="005049DB"/>
    <w:rsid w:val="005062D2"/>
    <w:rsid w:val="00516A4D"/>
    <w:rsid w:val="00522BD4"/>
    <w:rsid w:val="00541FC8"/>
    <w:rsid w:val="0054524C"/>
    <w:rsid w:val="005471FC"/>
    <w:rsid w:val="005616AE"/>
    <w:rsid w:val="005736D0"/>
    <w:rsid w:val="0057589D"/>
    <w:rsid w:val="005841DD"/>
    <w:rsid w:val="0058659C"/>
    <w:rsid w:val="00590EDD"/>
    <w:rsid w:val="00591F5C"/>
    <w:rsid w:val="005A3924"/>
    <w:rsid w:val="005A7FC9"/>
    <w:rsid w:val="005C6762"/>
    <w:rsid w:val="005E0F44"/>
    <w:rsid w:val="005E5A8C"/>
    <w:rsid w:val="005F2249"/>
    <w:rsid w:val="006020B6"/>
    <w:rsid w:val="00607B7D"/>
    <w:rsid w:val="00633E0F"/>
    <w:rsid w:val="00636AC6"/>
    <w:rsid w:val="00650521"/>
    <w:rsid w:val="006507C7"/>
    <w:rsid w:val="00671DB3"/>
    <w:rsid w:val="00672B9A"/>
    <w:rsid w:val="00676C64"/>
    <w:rsid w:val="00685398"/>
    <w:rsid w:val="006B7CAC"/>
    <w:rsid w:val="006C5CD2"/>
    <w:rsid w:val="006C7678"/>
    <w:rsid w:val="006D05F8"/>
    <w:rsid w:val="006D77B2"/>
    <w:rsid w:val="006E5C77"/>
    <w:rsid w:val="006E6137"/>
    <w:rsid w:val="00743B24"/>
    <w:rsid w:val="00746C66"/>
    <w:rsid w:val="00754431"/>
    <w:rsid w:val="00764CFA"/>
    <w:rsid w:val="00787C37"/>
    <w:rsid w:val="007A2D30"/>
    <w:rsid w:val="007A4F54"/>
    <w:rsid w:val="007B7F11"/>
    <w:rsid w:val="007C11D3"/>
    <w:rsid w:val="007C4D6C"/>
    <w:rsid w:val="007F09CE"/>
    <w:rsid w:val="007F6C7F"/>
    <w:rsid w:val="008002E8"/>
    <w:rsid w:val="00810EC9"/>
    <w:rsid w:val="00815D32"/>
    <w:rsid w:val="0082261E"/>
    <w:rsid w:val="008244DC"/>
    <w:rsid w:val="00825AB9"/>
    <w:rsid w:val="008356C5"/>
    <w:rsid w:val="00835F9B"/>
    <w:rsid w:val="00844520"/>
    <w:rsid w:val="00853FD7"/>
    <w:rsid w:val="0088285C"/>
    <w:rsid w:val="00882C57"/>
    <w:rsid w:val="0088799E"/>
    <w:rsid w:val="008B1424"/>
    <w:rsid w:val="008B2FCE"/>
    <w:rsid w:val="008B5571"/>
    <w:rsid w:val="008F6D01"/>
    <w:rsid w:val="009120A2"/>
    <w:rsid w:val="00912E89"/>
    <w:rsid w:val="00923607"/>
    <w:rsid w:val="00923D7C"/>
    <w:rsid w:val="00924A1D"/>
    <w:rsid w:val="00924A7F"/>
    <w:rsid w:val="00937374"/>
    <w:rsid w:val="00944539"/>
    <w:rsid w:val="00947BF3"/>
    <w:rsid w:val="00961516"/>
    <w:rsid w:val="00981716"/>
    <w:rsid w:val="009929CF"/>
    <w:rsid w:val="009A43E7"/>
    <w:rsid w:val="009A5FE3"/>
    <w:rsid w:val="009B1EBC"/>
    <w:rsid w:val="009B224A"/>
    <w:rsid w:val="00A00C87"/>
    <w:rsid w:val="00A078C9"/>
    <w:rsid w:val="00A120B0"/>
    <w:rsid w:val="00A55415"/>
    <w:rsid w:val="00A60230"/>
    <w:rsid w:val="00A6554D"/>
    <w:rsid w:val="00A74F00"/>
    <w:rsid w:val="00A86B53"/>
    <w:rsid w:val="00A90A01"/>
    <w:rsid w:val="00A95B05"/>
    <w:rsid w:val="00AA44D1"/>
    <w:rsid w:val="00AA6A49"/>
    <w:rsid w:val="00AE6C33"/>
    <w:rsid w:val="00B20690"/>
    <w:rsid w:val="00B212D8"/>
    <w:rsid w:val="00B244C1"/>
    <w:rsid w:val="00B3174B"/>
    <w:rsid w:val="00B37AFD"/>
    <w:rsid w:val="00B52941"/>
    <w:rsid w:val="00B75F90"/>
    <w:rsid w:val="00B85C1C"/>
    <w:rsid w:val="00B910D9"/>
    <w:rsid w:val="00BD1FE7"/>
    <w:rsid w:val="00BE1377"/>
    <w:rsid w:val="00BE7B8B"/>
    <w:rsid w:val="00BE7C0E"/>
    <w:rsid w:val="00C12322"/>
    <w:rsid w:val="00C238F9"/>
    <w:rsid w:val="00C419AA"/>
    <w:rsid w:val="00C512AF"/>
    <w:rsid w:val="00C52D8D"/>
    <w:rsid w:val="00C56678"/>
    <w:rsid w:val="00C70A29"/>
    <w:rsid w:val="00C74133"/>
    <w:rsid w:val="00C85E3C"/>
    <w:rsid w:val="00C87064"/>
    <w:rsid w:val="00C94625"/>
    <w:rsid w:val="00CA213C"/>
    <w:rsid w:val="00CC2C83"/>
    <w:rsid w:val="00CE18E6"/>
    <w:rsid w:val="00CF5280"/>
    <w:rsid w:val="00D04D69"/>
    <w:rsid w:val="00D214F6"/>
    <w:rsid w:val="00D2391D"/>
    <w:rsid w:val="00D33214"/>
    <w:rsid w:val="00D445F9"/>
    <w:rsid w:val="00D552AE"/>
    <w:rsid w:val="00D56B69"/>
    <w:rsid w:val="00D61DCD"/>
    <w:rsid w:val="00D813B2"/>
    <w:rsid w:val="00DA1AFE"/>
    <w:rsid w:val="00DA4FC8"/>
    <w:rsid w:val="00DC087F"/>
    <w:rsid w:val="00DD1E23"/>
    <w:rsid w:val="00DE256B"/>
    <w:rsid w:val="00E209B3"/>
    <w:rsid w:val="00E34BBC"/>
    <w:rsid w:val="00E3650C"/>
    <w:rsid w:val="00E4124D"/>
    <w:rsid w:val="00E44A74"/>
    <w:rsid w:val="00E4782B"/>
    <w:rsid w:val="00E6600D"/>
    <w:rsid w:val="00E86FE2"/>
    <w:rsid w:val="00E878CD"/>
    <w:rsid w:val="00E943DD"/>
    <w:rsid w:val="00E94908"/>
    <w:rsid w:val="00EB6651"/>
    <w:rsid w:val="00EE09D0"/>
    <w:rsid w:val="00F0617C"/>
    <w:rsid w:val="00F2521A"/>
    <w:rsid w:val="00F3048B"/>
    <w:rsid w:val="00F316CE"/>
    <w:rsid w:val="00F36D57"/>
    <w:rsid w:val="00F46334"/>
    <w:rsid w:val="00F52102"/>
    <w:rsid w:val="00F5556E"/>
    <w:rsid w:val="00F70F81"/>
    <w:rsid w:val="00F907FF"/>
    <w:rsid w:val="00F91910"/>
    <w:rsid w:val="00FA25AF"/>
    <w:rsid w:val="00FA351A"/>
    <w:rsid w:val="00FA72BB"/>
    <w:rsid w:val="00FB209E"/>
    <w:rsid w:val="00FB4382"/>
    <w:rsid w:val="00FC32A1"/>
    <w:rsid w:val="00FD1B57"/>
    <w:rsid w:val="00FD2CE5"/>
    <w:rsid w:val="00FD33C3"/>
    <w:rsid w:val="00FE7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B0B14"/>
  <w15:chartTrackingRefBased/>
  <w15:docId w15:val="{24B79378-306A-428C-A9DD-C751BAED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377"/>
    <w:pPr>
      <w:spacing w:line="259" w:lineRule="auto"/>
      <w:jc w:val="both"/>
    </w:pPr>
    <w:rPr>
      <w:rFonts w:ascii="Calibri" w:hAnsi="Calibri"/>
      <w:sz w:val="22"/>
      <w:szCs w:val="22"/>
      <w:lang w:val="en-GB"/>
    </w:rPr>
  </w:style>
  <w:style w:type="paragraph" w:styleId="Heading1">
    <w:name w:val="heading 1"/>
    <w:basedOn w:val="Normal"/>
    <w:next w:val="Normal"/>
    <w:link w:val="Heading1Char"/>
    <w:uiPriority w:val="9"/>
    <w:qFormat/>
    <w:rsid w:val="00BE1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1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1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1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1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77"/>
    <w:rPr>
      <w:rFonts w:eastAsiaTheme="majorEastAsia" w:cstheme="majorBidi"/>
      <w:color w:val="272727" w:themeColor="text1" w:themeTint="D8"/>
    </w:rPr>
  </w:style>
  <w:style w:type="paragraph" w:styleId="Title">
    <w:name w:val="Title"/>
    <w:basedOn w:val="Normal"/>
    <w:next w:val="Normal"/>
    <w:link w:val="TitleChar"/>
    <w:uiPriority w:val="10"/>
    <w:qFormat/>
    <w:rsid w:val="00BE1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77"/>
    <w:pPr>
      <w:spacing w:before="160"/>
      <w:jc w:val="center"/>
    </w:pPr>
    <w:rPr>
      <w:i/>
      <w:iCs/>
      <w:color w:val="404040" w:themeColor="text1" w:themeTint="BF"/>
    </w:rPr>
  </w:style>
  <w:style w:type="character" w:customStyle="1" w:styleId="QuoteChar">
    <w:name w:val="Quote Char"/>
    <w:basedOn w:val="DefaultParagraphFont"/>
    <w:link w:val="Quote"/>
    <w:uiPriority w:val="29"/>
    <w:rsid w:val="00BE1377"/>
    <w:rPr>
      <w:i/>
      <w:iCs/>
      <w:color w:val="404040" w:themeColor="text1" w:themeTint="BF"/>
    </w:rPr>
  </w:style>
  <w:style w:type="paragraph" w:styleId="ListParagraph">
    <w:name w:val="List Paragraph"/>
    <w:basedOn w:val="Normal"/>
    <w:uiPriority w:val="34"/>
    <w:qFormat/>
    <w:rsid w:val="00BE1377"/>
    <w:pPr>
      <w:ind w:left="720"/>
      <w:contextualSpacing/>
    </w:pPr>
  </w:style>
  <w:style w:type="character" w:styleId="IntenseEmphasis">
    <w:name w:val="Intense Emphasis"/>
    <w:basedOn w:val="DefaultParagraphFont"/>
    <w:uiPriority w:val="21"/>
    <w:qFormat/>
    <w:rsid w:val="00BE1377"/>
    <w:rPr>
      <w:i/>
      <w:iCs/>
      <w:color w:val="0F4761" w:themeColor="accent1" w:themeShade="BF"/>
    </w:rPr>
  </w:style>
  <w:style w:type="paragraph" w:styleId="IntenseQuote">
    <w:name w:val="Intense Quote"/>
    <w:basedOn w:val="Normal"/>
    <w:next w:val="Normal"/>
    <w:link w:val="IntenseQuoteChar"/>
    <w:uiPriority w:val="30"/>
    <w:qFormat/>
    <w:rsid w:val="00BE1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77"/>
    <w:rPr>
      <w:i/>
      <w:iCs/>
      <w:color w:val="0F4761" w:themeColor="accent1" w:themeShade="BF"/>
    </w:rPr>
  </w:style>
  <w:style w:type="character" w:styleId="IntenseReference">
    <w:name w:val="Intense Reference"/>
    <w:basedOn w:val="DefaultParagraphFont"/>
    <w:uiPriority w:val="32"/>
    <w:qFormat/>
    <w:rsid w:val="00BE1377"/>
    <w:rPr>
      <w:b/>
      <w:bCs/>
      <w:smallCaps/>
      <w:color w:val="0F4761" w:themeColor="accent1" w:themeShade="BF"/>
      <w:spacing w:val="5"/>
    </w:rPr>
  </w:style>
  <w:style w:type="table" w:styleId="PlainTable1">
    <w:name w:val="Plain Table 1"/>
    <w:basedOn w:val="TableNormal"/>
    <w:uiPriority w:val="41"/>
    <w:rsid w:val="00BE1377"/>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E1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77"/>
    <w:rPr>
      <w:rFonts w:ascii="Calibri" w:hAnsi="Calibri"/>
      <w:sz w:val="22"/>
      <w:szCs w:val="22"/>
    </w:rPr>
  </w:style>
  <w:style w:type="paragraph" w:styleId="Footer">
    <w:name w:val="footer"/>
    <w:basedOn w:val="Normal"/>
    <w:link w:val="FooterChar"/>
    <w:uiPriority w:val="99"/>
    <w:unhideWhenUsed/>
    <w:rsid w:val="00BE1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77"/>
    <w:rPr>
      <w:rFonts w:ascii="Calibri" w:hAnsi="Calibri"/>
      <w:sz w:val="22"/>
      <w:szCs w:val="22"/>
    </w:rPr>
  </w:style>
  <w:style w:type="paragraph" w:styleId="TOCHeading">
    <w:name w:val="TOC Heading"/>
    <w:basedOn w:val="Heading1"/>
    <w:next w:val="Normal"/>
    <w:uiPriority w:val="39"/>
    <w:unhideWhenUsed/>
    <w:qFormat/>
    <w:rsid w:val="00BE13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E1377"/>
    <w:pPr>
      <w:spacing w:after="100"/>
      <w:ind w:left="220"/>
    </w:pPr>
  </w:style>
  <w:style w:type="character" w:styleId="Hyperlink">
    <w:name w:val="Hyperlink"/>
    <w:basedOn w:val="DefaultParagraphFont"/>
    <w:uiPriority w:val="99"/>
    <w:unhideWhenUsed/>
    <w:rsid w:val="00BE1377"/>
    <w:rPr>
      <w:color w:val="467886" w:themeColor="hyperlink"/>
      <w:u w:val="single"/>
    </w:rPr>
  </w:style>
  <w:style w:type="table" w:styleId="PlainTable4">
    <w:name w:val="Plain Table 4"/>
    <w:basedOn w:val="TableNormal"/>
    <w:uiPriority w:val="44"/>
    <w:rsid w:val="001A1C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1A1CD5"/>
    <w:pPr>
      <w:spacing w:after="100"/>
      <w:ind w:left="440"/>
    </w:pPr>
  </w:style>
  <w:style w:type="table" w:styleId="GridTable4-Accent4">
    <w:name w:val="Grid Table 4 Accent 4"/>
    <w:basedOn w:val="TableNormal"/>
    <w:uiPriority w:val="49"/>
    <w:rsid w:val="005F2249"/>
    <w:pPr>
      <w:spacing w:after="0" w:line="240" w:lineRule="auto"/>
    </w:pPr>
    <w:rPr>
      <w:sz w:val="22"/>
      <w:szCs w:val="22"/>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A6554D"/>
    <w:rPr>
      <w:b/>
      <w:bCs/>
    </w:rPr>
  </w:style>
  <w:style w:type="character" w:styleId="UnresolvedMention">
    <w:name w:val="Unresolved Mention"/>
    <w:basedOn w:val="DefaultParagraphFont"/>
    <w:uiPriority w:val="99"/>
    <w:semiHidden/>
    <w:unhideWhenUsed/>
    <w:rsid w:val="0005395E"/>
    <w:rPr>
      <w:color w:val="605E5C"/>
      <w:shd w:val="clear" w:color="auto" w:fill="E1DFDD"/>
    </w:rPr>
  </w:style>
  <w:style w:type="paragraph" w:styleId="TOC1">
    <w:name w:val="toc 1"/>
    <w:basedOn w:val="Normal"/>
    <w:next w:val="Normal"/>
    <w:autoRedefine/>
    <w:uiPriority w:val="39"/>
    <w:unhideWhenUsed/>
    <w:rsid w:val="007A4F54"/>
    <w:pPr>
      <w:spacing w:after="100"/>
    </w:pPr>
  </w:style>
  <w:style w:type="character" w:styleId="Emphasis">
    <w:name w:val="Emphasis"/>
    <w:basedOn w:val="DefaultParagraphFont"/>
    <w:uiPriority w:val="20"/>
    <w:qFormat/>
    <w:rsid w:val="00400DA8"/>
    <w:rPr>
      <w:i/>
      <w:iCs/>
    </w:rPr>
  </w:style>
  <w:style w:type="paragraph" w:styleId="NormalWeb">
    <w:name w:val="Normal (Web)"/>
    <w:basedOn w:val="Normal"/>
    <w:uiPriority w:val="99"/>
    <w:semiHidden/>
    <w:unhideWhenUsed/>
    <w:rsid w:val="00185F97"/>
    <w:pPr>
      <w:spacing w:before="100" w:beforeAutospacing="1" w:after="100" w:afterAutospacing="1" w:line="240" w:lineRule="auto"/>
      <w:jc w:val="left"/>
    </w:pPr>
    <w:rPr>
      <w:rFonts w:ascii="Times New Roman" w:eastAsia="Times New Roman" w:hAnsi="Times New Roman" w:cs="Times New Roman"/>
      <w:kern w:val="0"/>
      <w:sz w:val="24"/>
      <w:szCs w:val="24"/>
      <w:lang w:val="en-IN" w:eastAsia="en-IN"/>
      <w14:ligatures w14:val="none"/>
    </w:rPr>
  </w:style>
  <w:style w:type="table" w:styleId="TableGrid">
    <w:name w:val="Table Grid"/>
    <w:basedOn w:val="TableNormal"/>
    <w:uiPriority w:val="39"/>
    <w:rsid w:val="00092EA8"/>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A609A"/>
    <w:rPr>
      <w:i/>
      <w:iCs/>
      <w:color w:val="404040" w:themeColor="text1" w:themeTint="BF"/>
    </w:rPr>
  </w:style>
  <w:style w:type="table" w:styleId="GridTable4-Accent1">
    <w:name w:val="Grid Table 4 Accent 1"/>
    <w:basedOn w:val="TableNormal"/>
    <w:uiPriority w:val="49"/>
    <w:rsid w:val="00DC087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1405">
      <w:bodyDiv w:val="1"/>
      <w:marLeft w:val="0"/>
      <w:marRight w:val="0"/>
      <w:marTop w:val="0"/>
      <w:marBottom w:val="0"/>
      <w:divBdr>
        <w:top w:val="none" w:sz="0" w:space="0" w:color="auto"/>
        <w:left w:val="none" w:sz="0" w:space="0" w:color="auto"/>
        <w:bottom w:val="none" w:sz="0" w:space="0" w:color="auto"/>
        <w:right w:val="none" w:sz="0" w:space="0" w:color="auto"/>
      </w:divBdr>
    </w:div>
    <w:div w:id="258024329">
      <w:bodyDiv w:val="1"/>
      <w:marLeft w:val="0"/>
      <w:marRight w:val="0"/>
      <w:marTop w:val="0"/>
      <w:marBottom w:val="0"/>
      <w:divBdr>
        <w:top w:val="none" w:sz="0" w:space="0" w:color="auto"/>
        <w:left w:val="none" w:sz="0" w:space="0" w:color="auto"/>
        <w:bottom w:val="none" w:sz="0" w:space="0" w:color="auto"/>
        <w:right w:val="none" w:sz="0" w:space="0" w:color="auto"/>
      </w:divBdr>
    </w:div>
    <w:div w:id="270866781">
      <w:bodyDiv w:val="1"/>
      <w:marLeft w:val="0"/>
      <w:marRight w:val="0"/>
      <w:marTop w:val="0"/>
      <w:marBottom w:val="0"/>
      <w:divBdr>
        <w:top w:val="none" w:sz="0" w:space="0" w:color="auto"/>
        <w:left w:val="none" w:sz="0" w:space="0" w:color="auto"/>
        <w:bottom w:val="none" w:sz="0" w:space="0" w:color="auto"/>
        <w:right w:val="none" w:sz="0" w:space="0" w:color="auto"/>
      </w:divBdr>
    </w:div>
    <w:div w:id="644162136">
      <w:bodyDiv w:val="1"/>
      <w:marLeft w:val="0"/>
      <w:marRight w:val="0"/>
      <w:marTop w:val="0"/>
      <w:marBottom w:val="0"/>
      <w:divBdr>
        <w:top w:val="none" w:sz="0" w:space="0" w:color="auto"/>
        <w:left w:val="none" w:sz="0" w:space="0" w:color="auto"/>
        <w:bottom w:val="none" w:sz="0" w:space="0" w:color="auto"/>
        <w:right w:val="none" w:sz="0" w:space="0" w:color="auto"/>
      </w:divBdr>
    </w:div>
    <w:div w:id="906958954">
      <w:bodyDiv w:val="1"/>
      <w:marLeft w:val="0"/>
      <w:marRight w:val="0"/>
      <w:marTop w:val="0"/>
      <w:marBottom w:val="0"/>
      <w:divBdr>
        <w:top w:val="none" w:sz="0" w:space="0" w:color="auto"/>
        <w:left w:val="none" w:sz="0" w:space="0" w:color="auto"/>
        <w:bottom w:val="none" w:sz="0" w:space="0" w:color="auto"/>
        <w:right w:val="none" w:sz="0" w:space="0" w:color="auto"/>
      </w:divBdr>
    </w:div>
    <w:div w:id="948270647">
      <w:bodyDiv w:val="1"/>
      <w:marLeft w:val="0"/>
      <w:marRight w:val="0"/>
      <w:marTop w:val="0"/>
      <w:marBottom w:val="0"/>
      <w:divBdr>
        <w:top w:val="none" w:sz="0" w:space="0" w:color="auto"/>
        <w:left w:val="none" w:sz="0" w:space="0" w:color="auto"/>
        <w:bottom w:val="none" w:sz="0" w:space="0" w:color="auto"/>
        <w:right w:val="none" w:sz="0" w:space="0" w:color="auto"/>
      </w:divBdr>
    </w:div>
    <w:div w:id="957024084">
      <w:bodyDiv w:val="1"/>
      <w:marLeft w:val="0"/>
      <w:marRight w:val="0"/>
      <w:marTop w:val="0"/>
      <w:marBottom w:val="0"/>
      <w:divBdr>
        <w:top w:val="none" w:sz="0" w:space="0" w:color="auto"/>
        <w:left w:val="none" w:sz="0" w:space="0" w:color="auto"/>
        <w:bottom w:val="none" w:sz="0" w:space="0" w:color="auto"/>
        <w:right w:val="none" w:sz="0" w:space="0" w:color="auto"/>
      </w:divBdr>
    </w:div>
    <w:div w:id="960840701">
      <w:bodyDiv w:val="1"/>
      <w:marLeft w:val="0"/>
      <w:marRight w:val="0"/>
      <w:marTop w:val="0"/>
      <w:marBottom w:val="0"/>
      <w:divBdr>
        <w:top w:val="none" w:sz="0" w:space="0" w:color="auto"/>
        <w:left w:val="none" w:sz="0" w:space="0" w:color="auto"/>
        <w:bottom w:val="none" w:sz="0" w:space="0" w:color="auto"/>
        <w:right w:val="none" w:sz="0" w:space="0" w:color="auto"/>
      </w:divBdr>
    </w:div>
    <w:div w:id="1044908312">
      <w:bodyDiv w:val="1"/>
      <w:marLeft w:val="0"/>
      <w:marRight w:val="0"/>
      <w:marTop w:val="0"/>
      <w:marBottom w:val="0"/>
      <w:divBdr>
        <w:top w:val="none" w:sz="0" w:space="0" w:color="auto"/>
        <w:left w:val="none" w:sz="0" w:space="0" w:color="auto"/>
        <w:bottom w:val="none" w:sz="0" w:space="0" w:color="auto"/>
        <w:right w:val="none" w:sz="0" w:space="0" w:color="auto"/>
      </w:divBdr>
    </w:div>
    <w:div w:id="1305038101">
      <w:bodyDiv w:val="1"/>
      <w:marLeft w:val="0"/>
      <w:marRight w:val="0"/>
      <w:marTop w:val="0"/>
      <w:marBottom w:val="0"/>
      <w:divBdr>
        <w:top w:val="none" w:sz="0" w:space="0" w:color="auto"/>
        <w:left w:val="none" w:sz="0" w:space="0" w:color="auto"/>
        <w:bottom w:val="none" w:sz="0" w:space="0" w:color="auto"/>
        <w:right w:val="none" w:sz="0" w:space="0" w:color="auto"/>
      </w:divBdr>
    </w:div>
    <w:div w:id="1684359416">
      <w:bodyDiv w:val="1"/>
      <w:marLeft w:val="0"/>
      <w:marRight w:val="0"/>
      <w:marTop w:val="0"/>
      <w:marBottom w:val="0"/>
      <w:divBdr>
        <w:top w:val="none" w:sz="0" w:space="0" w:color="auto"/>
        <w:left w:val="none" w:sz="0" w:space="0" w:color="auto"/>
        <w:bottom w:val="none" w:sz="0" w:space="0" w:color="auto"/>
        <w:right w:val="none" w:sz="0" w:space="0" w:color="auto"/>
      </w:divBdr>
    </w:div>
    <w:div w:id="1712268623">
      <w:bodyDiv w:val="1"/>
      <w:marLeft w:val="0"/>
      <w:marRight w:val="0"/>
      <w:marTop w:val="0"/>
      <w:marBottom w:val="0"/>
      <w:divBdr>
        <w:top w:val="none" w:sz="0" w:space="0" w:color="auto"/>
        <w:left w:val="none" w:sz="0" w:space="0" w:color="auto"/>
        <w:bottom w:val="none" w:sz="0" w:space="0" w:color="auto"/>
        <w:right w:val="none" w:sz="0" w:space="0" w:color="auto"/>
      </w:divBdr>
    </w:div>
    <w:div w:id="1716810936">
      <w:bodyDiv w:val="1"/>
      <w:marLeft w:val="0"/>
      <w:marRight w:val="0"/>
      <w:marTop w:val="0"/>
      <w:marBottom w:val="0"/>
      <w:divBdr>
        <w:top w:val="none" w:sz="0" w:space="0" w:color="auto"/>
        <w:left w:val="none" w:sz="0" w:space="0" w:color="auto"/>
        <w:bottom w:val="none" w:sz="0" w:space="0" w:color="auto"/>
        <w:right w:val="none" w:sz="0" w:space="0" w:color="auto"/>
      </w:divBdr>
    </w:div>
    <w:div w:id="1815675979">
      <w:bodyDiv w:val="1"/>
      <w:marLeft w:val="0"/>
      <w:marRight w:val="0"/>
      <w:marTop w:val="0"/>
      <w:marBottom w:val="0"/>
      <w:divBdr>
        <w:top w:val="none" w:sz="0" w:space="0" w:color="auto"/>
        <w:left w:val="none" w:sz="0" w:space="0" w:color="auto"/>
        <w:bottom w:val="none" w:sz="0" w:space="0" w:color="auto"/>
        <w:right w:val="none" w:sz="0" w:space="0" w:color="auto"/>
      </w:divBdr>
    </w:div>
    <w:div w:id="1849323488">
      <w:bodyDiv w:val="1"/>
      <w:marLeft w:val="0"/>
      <w:marRight w:val="0"/>
      <w:marTop w:val="0"/>
      <w:marBottom w:val="0"/>
      <w:divBdr>
        <w:top w:val="none" w:sz="0" w:space="0" w:color="auto"/>
        <w:left w:val="none" w:sz="0" w:space="0" w:color="auto"/>
        <w:bottom w:val="none" w:sz="0" w:space="0" w:color="auto"/>
        <w:right w:val="none" w:sz="0" w:space="0" w:color="auto"/>
      </w:divBdr>
    </w:div>
    <w:div w:id="21194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www.nextmsc.com/report/canada-electric-vehicle-ev-charging-mark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ories.td.com/ca/en/news/2024-11-21-td-asset-management-inc.-announces-estimated-annual-reinves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natural-resources.canada.ca/energy-efficiency/transportation-alternative-fuels/zero-emission-vehicle-infrastructure-program/2187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tvnews.ca/business/canada-s-inflation-rate-jumps-back-to-2-likely-curbing-large-rate-cut-bets-1.7114985" TargetMode="External"/><Relationship Id="rId20" Type="http://schemas.openxmlformats.org/officeDocument/2006/relationships/hyperlink" Target="https://stories.td.com/ca/en/news/2024-10-16-td-bank-group-comments-on-expected-impact-of-the-charles-s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ma.ab.ca/electric-vehicles/charging/cost" TargetMode="External"/><Relationship Id="rId23" Type="http://schemas.openxmlformats.org/officeDocument/2006/relationships/header" Target="header1.xml"/><Relationship Id="rId10" Type="http://schemas.microsoft.com/office/2014/relationships/chartEx" Target="charts/chartEx1.xml"/><Relationship Id="rId19" Type="http://schemas.openxmlformats.org/officeDocument/2006/relationships/hyperlink" Target="https://www.reuters.com/markets/rates-bonds/bank-canada-most-likely-cut-rates-by-50-bps-next-week-2024-1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yperlink" Target="https://stories.td.com/ca/en/news/2024-11-22-td-announces-changes-to-its-senior-executive-te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https://stuconestogacon-my.sharepoint.com/personal/rvarahabhatlaka4860_conestogac_on_ca/Documents/Microsoft%20Teams%20Chat%20Files/Feasibility%20Study.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stuconestogacon-my.sharepoint.com/personal/rvarahabhatlaka4860_conestogac_on_ca/Documents/Microsoft%20Teams%20Chat%20Files/Feasibility%20Stu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'[Feasibility Study.xlsx]Charts'!$AE$42</c:f>
              <c:strCache>
                <c:ptCount val="1"/>
                <c:pt idx="0">
                  <c:v>Space Economy ROI (%)</c:v>
                </c:pt>
              </c:strCache>
            </c:strRef>
          </c:tx>
          <c:spPr>
            <a:ln w="28575" cap="rnd">
              <a:solidFill>
                <a:schemeClr val="accent1"/>
              </a:solidFill>
              <a:round/>
            </a:ln>
            <a:effectLst/>
          </c:spPr>
          <c:marker>
            <c:symbol val="none"/>
          </c:marker>
          <c:dLbls>
            <c:dLbl>
              <c:idx val="0"/>
              <c:layout>
                <c:manualLayout>
                  <c:x val="-4.6729221347331582E-2"/>
                  <c:y val="-0.1457987022455526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0F5-4FDA-98F6-814C7638E65D}"/>
                </c:ext>
              </c:extLst>
            </c:dLbl>
            <c:dLbl>
              <c:idx val="1"/>
              <c:layout>
                <c:manualLayout>
                  <c:x val="-8.495144356955385E-2"/>
                  <c:y val="-9.024314668999708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0F5-4FDA-98F6-814C7638E65D}"/>
                </c:ext>
              </c:extLst>
            </c:dLbl>
            <c:dLbl>
              <c:idx val="2"/>
              <c:layout>
                <c:manualLayout>
                  <c:x val="-7.8347331583552157E-2"/>
                  <c:y val="-7.635425780110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0F5-4FDA-98F6-814C7638E65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'[Feasibility Study.xlsx]Charts'!$AD$43:$AD$47</c:f>
              <c:strCache>
                <c:ptCount val="5"/>
                <c:pt idx="0">
                  <c:v>1 Year</c:v>
                </c:pt>
                <c:pt idx="1">
                  <c:v>3 Years</c:v>
                </c:pt>
                <c:pt idx="2">
                  <c:v>5 Years</c:v>
                </c:pt>
                <c:pt idx="3">
                  <c:v>10 Years</c:v>
                </c:pt>
                <c:pt idx="4">
                  <c:v>20 Years</c:v>
                </c:pt>
              </c:strCache>
            </c:strRef>
          </c:cat>
          <c:val>
            <c:numRef>
              <c:f>'[Feasibility Study.xlsx]Charts'!$AE$43:$AE$47</c:f>
              <c:numCache>
                <c:formatCode>0.00%</c:formatCode>
                <c:ptCount val="5"/>
                <c:pt idx="0" formatCode="0%">
                  <c:v>-0.6</c:v>
                </c:pt>
                <c:pt idx="1">
                  <c:v>-0.3</c:v>
                </c:pt>
                <c:pt idx="2">
                  <c:v>0.1</c:v>
                </c:pt>
                <c:pt idx="3">
                  <c:v>0.75</c:v>
                </c:pt>
                <c:pt idx="4">
                  <c:v>2</c:v>
                </c:pt>
              </c:numCache>
            </c:numRef>
          </c:val>
          <c:smooth val="0"/>
          <c:extLst>
            <c:ext xmlns:c16="http://schemas.microsoft.com/office/drawing/2014/chart" uri="{C3380CC4-5D6E-409C-BE32-E72D297353CC}">
              <c16:uniqueId val="{00000003-70F5-4FDA-98F6-814C7638E65D}"/>
            </c:ext>
          </c:extLst>
        </c:ser>
        <c:dLbls>
          <c:dLblPos val="t"/>
          <c:showLegendKey val="0"/>
          <c:showVal val="1"/>
          <c:showCatName val="0"/>
          <c:showSerName val="0"/>
          <c:showPercent val="0"/>
          <c:showBubbleSize val="0"/>
        </c:dLbls>
        <c:smooth val="0"/>
        <c:axId val="471880144"/>
        <c:axId val="471905584"/>
      </c:lineChart>
      <c:catAx>
        <c:axId val="47188014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Years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71905584"/>
        <c:crosses val="autoZero"/>
        <c:auto val="1"/>
        <c:lblAlgn val="ctr"/>
        <c:lblOffset val="100"/>
        <c:noMultiLvlLbl val="0"/>
      </c:catAx>
      <c:valAx>
        <c:axId val="4719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ROI%</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7188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CA"/>
              <a:t>WiTricity Vs Space Economy</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'[Feasibility Study.xlsx]Charts'!$AR$4</c:f>
              <c:strCache>
                <c:ptCount val="1"/>
                <c:pt idx="0">
                  <c:v>WiTricity ROI (%)</c:v>
                </c:pt>
              </c:strCache>
            </c:strRef>
          </c:tx>
          <c:spPr>
            <a:solidFill>
              <a:schemeClr val="accent1"/>
            </a:solidFill>
            <a:ln>
              <a:noFill/>
            </a:ln>
            <a:effectLst/>
          </c:spPr>
          <c:invertIfNegative val="0"/>
          <c:cat>
            <c:strRef>
              <c:f>'[Feasibility Study.xlsx]Charts'!$AQ$5:$AQ$9</c:f>
              <c:strCache>
                <c:ptCount val="5"/>
                <c:pt idx="0">
                  <c:v>1 Year</c:v>
                </c:pt>
                <c:pt idx="1">
                  <c:v>3 Years</c:v>
                </c:pt>
                <c:pt idx="2">
                  <c:v>5 Years</c:v>
                </c:pt>
                <c:pt idx="3">
                  <c:v>10 Years</c:v>
                </c:pt>
                <c:pt idx="4">
                  <c:v>20 Years</c:v>
                </c:pt>
              </c:strCache>
            </c:strRef>
          </c:cat>
          <c:val>
            <c:numRef>
              <c:f>'[Feasibility Study.xlsx]Charts'!$AR$5:$AR$9</c:f>
              <c:numCache>
                <c:formatCode>0.00%</c:formatCode>
                <c:ptCount val="5"/>
                <c:pt idx="0">
                  <c:v>-0.4491</c:v>
                </c:pt>
                <c:pt idx="1">
                  <c:v>-0.15210000000000001</c:v>
                </c:pt>
                <c:pt idx="2">
                  <c:v>0.35470000000000002</c:v>
                </c:pt>
                <c:pt idx="3">
                  <c:v>1.8769</c:v>
                </c:pt>
                <c:pt idx="4">
                  <c:v>4.4870999999999999</c:v>
                </c:pt>
              </c:numCache>
            </c:numRef>
          </c:val>
          <c:extLst>
            <c:ext xmlns:c16="http://schemas.microsoft.com/office/drawing/2014/chart" uri="{C3380CC4-5D6E-409C-BE32-E72D297353CC}">
              <c16:uniqueId val="{00000000-514E-4D17-8EFD-A0097722A8E5}"/>
            </c:ext>
          </c:extLst>
        </c:ser>
        <c:ser>
          <c:idx val="1"/>
          <c:order val="1"/>
          <c:tx>
            <c:strRef>
              <c:f>'[Feasibility Study.xlsx]Charts'!$AS$4</c:f>
              <c:strCache>
                <c:ptCount val="1"/>
                <c:pt idx="0">
                  <c:v>Space Economy ROI (%)</c:v>
                </c:pt>
              </c:strCache>
            </c:strRef>
          </c:tx>
          <c:spPr>
            <a:solidFill>
              <a:schemeClr val="accent2"/>
            </a:solidFill>
            <a:ln>
              <a:noFill/>
            </a:ln>
            <a:effectLst/>
          </c:spPr>
          <c:invertIfNegative val="0"/>
          <c:cat>
            <c:strRef>
              <c:f>'[Feasibility Study.xlsx]Charts'!$AQ$5:$AQ$9</c:f>
              <c:strCache>
                <c:ptCount val="5"/>
                <c:pt idx="0">
                  <c:v>1 Year</c:v>
                </c:pt>
                <c:pt idx="1">
                  <c:v>3 Years</c:v>
                </c:pt>
                <c:pt idx="2">
                  <c:v>5 Years</c:v>
                </c:pt>
                <c:pt idx="3">
                  <c:v>10 Years</c:v>
                </c:pt>
                <c:pt idx="4">
                  <c:v>20 Years</c:v>
                </c:pt>
              </c:strCache>
            </c:strRef>
          </c:cat>
          <c:val>
            <c:numRef>
              <c:f>'[Feasibility Study.xlsx]Charts'!$AS$5:$AS$9</c:f>
              <c:numCache>
                <c:formatCode>0.00%</c:formatCode>
                <c:ptCount val="5"/>
                <c:pt idx="0" formatCode="0%">
                  <c:v>-0.6</c:v>
                </c:pt>
                <c:pt idx="1">
                  <c:v>-0.3</c:v>
                </c:pt>
                <c:pt idx="2">
                  <c:v>0.1</c:v>
                </c:pt>
                <c:pt idx="3">
                  <c:v>0.75</c:v>
                </c:pt>
                <c:pt idx="4">
                  <c:v>2</c:v>
                </c:pt>
              </c:numCache>
            </c:numRef>
          </c:val>
          <c:extLst>
            <c:ext xmlns:c16="http://schemas.microsoft.com/office/drawing/2014/chart" uri="{C3380CC4-5D6E-409C-BE32-E72D297353CC}">
              <c16:uniqueId val="{00000001-514E-4D17-8EFD-A0097722A8E5}"/>
            </c:ext>
          </c:extLst>
        </c:ser>
        <c:dLbls>
          <c:showLegendKey val="0"/>
          <c:showVal val="0"/>
          <c:showCatName val="0"/>
          <c:showSerName val="0"/>
          <c:showPercent val="0"/>
          <c:showBubbleSize val="0"/>
        </c:dLbls>
        <c:gapWidth val="219"/>
        <c:overlap val="-27"/>
        <c:axId val="1964731072"/>
        <c:axId val="1964744992"/>
      </c:barChart>
      <c:catAx>
        <c:axId val="196473107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Years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64744992"/>
        <c:crosses val="autoZero"/>
        <c:auto val="1"/>
        <c:lblAlgn val="ctr"/>
        <c:lblOffset val="100"/>
        <c:noMultiLvlLbl val="0"/>
      </c:catAx>
      <c:valAx>
        <c:axId val="196474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ROI%</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6473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CA"/>
              <a:t>WiTricity Vs TForce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'[Feasibility Study.xlsx]Charts'!$AR$15</c:f>
              <c:strCache>
                <c:ptCount val="1"/>
                <c:pt idx="0">
                  <c:v>TForce ROI (%)</c:v>
                </c:pt>
              </c:strCache>
            </c:strRef>
          </c:tx>
          <c:spPr>
            <a:solidFill>
              <a:schemeClr val="accent1"/>
            </a:solidFill>
            <a:ln>
              <a:noFill/>
            </a:ln>
            <a:effectLst/>
          </c:spPr>
          <c:invertIfNegative val="0"/>
          <c:cat>
            <c:strRef>
              <c:f>'[Feasibility Study.xlsx]Charts'!$AQ$16:$AQ$20</c:f>
              <c:strCache>
                <c:ptCount val="5"/>
                <c:pt idx="0">
                  <c:v>1 Year</c:v>
                </c:pt>
                <c:pt idx="1">
                  <c:v>3 Years</c:v>
                </c:pt>
                <c:pt idx="2">
                  <c:v>5 Years</c:v>
                </c:pt>
                <c:pt idx="3">
                  <c:v>10 Years</c:v>
                </c:pt>
                <c:pt idx="4">
                  <c:v>20 Years</c:v>
                </c:pt>
              </c:strCache>
            </c:strRef>
          </c:cat>
          <c:val>
            <c:numRef>
              <c:f>'[Feasibility Study.xlsx]Charts'!$AR$16:$AR$20</c:f>
              <c:numCache>
                <c:formatCode>0%</c:formatCode>
                <c:ptCount val="5"/>
                <c:pt idx="0">
                  <c:v>0.05</c:v>
                </c:pt>
                <c:pt idx="1">
                  <c:v>7.0000000000000007E-2</c:v>
                </c:pt>
                <c:pt idx="2">
                  <c:v>0.12</c:v>
                </c:pt>
                <c:pt idx="3">
                  <c:v>0.25</c:v>
                </c:pt>
                <c:pt idx="4">
                  <c:v>1</c:v>
                </c:pt>
              </c:numCache>
            </c:numRef>
          </c:val>
          <c:extLst>
            <c:ext xmlns:c16="http://schemas.microsoft.com/office/drawing/2014/chart" uri="{C3380CC4-5D6E-409C-BE32-E72D297353CC}">
              <c16:uniqueId val="{00000000-9E56-49D7-BD74-05A496F6CF3A}"/>
            </c:ext>
          </c:extLst>
        </c:ser>
        <c:dLbls>
          <c:showLegendKey val="0"/>
          <c:showVal val="0"/>
          <c:showCatName val="0"/>
          <c:showSerName val="0"/>
          <c:showPercent val="0"/>
          <c:showBubbleSize val="0"/>
        </c:dLbls>
        <c:gapWidth val="219"/>
        <c:overlap val="-27"/>
        <c:axId val="447649056"/>
        <c:axId val="447630336"/>
      </c:barChart>
      <c:lineChart>
        <c:grouping val="standard"/>
        <c:varyColors val="0"/>
        <c:ser>
          <c:idx val="1"/>
          <c:order val="1"/>
          <c:tx>
            <c:strRef>
              <c:f>'[Feasibility Study.xlsx]Charts'!$AS$15</c:f>
              <c:strCache>
                <c:ptCount val="1"/>
                <c:pt idx="0">
                  <c:v>WiTricity ROI (%)</c:v>
                </c:pt>
              </c:strCache>
            </c:strRef>
          </c:tx>
          <c:spPr>
            <a:ln w="28575" cap="rnd">
              <a:solidFill>
                <a:schemeClr val="accent2"/>
              </a:solidFill>
              <a:round/>
            </a:ln>
            <a:effectLst/>
          </c:spPr>
          <c:marker>
            <c:symbol val="none"/>
          </c:marker>
          <c:cat>
            <c:strRef>
              <c:f>'[Feasibility Study.xlsx]Charts'!$AQ$16:$AQ$20</c:f>
              <c:strCache>
                <c:ptCount val="5"/>
                <c:pt idx="0">
                  <c:v>1 Year</c:v>
                </c:pt>
                <c:pt idx="1">
                  <c:v>3 Years</c:v>
                </c:pt>
                <c:pt idx="2">
                  <c:v>5 Years</c:v>
                </c:pt>
                <c:pt idx="3">
                  <c:v>10 Years</c:v>
                </c:pt>
                <c:pt idx="4">
                  <c:v>20 Years</c:v>
                </c:pt>
              </c:strCache>
            </c:strRef>
          </c:cat>
          <c:val>
            <c:numRef>
              <c:f>'[Feasibility Study.xlsx]Charts'!$AS$16:$AS$20</c:f>
              <c:numCache>
                <c:formatCode>0.00%</c:formatCode>
                <c:ptCount val="5"/>
                <c:pt idx="0" formatCode="0%">
                  <c:v>-0.25</c:v>
                </c:pt>
                <c:pt idx="1">
                  <c:v>-0.15210000000000001</c:v>
                </c:pt>
                <c:pt idx="2">
                  <c:v>0.35470000000000002</c:v>
                </c:pt>
                <c:pt idx="3">
                  <c:v>1.8769</c:v>
                </c:pt>
                <c:pt idx="4">
                  <c:v>4.4870999999999999</c:v>
                </c:pt>
              </c:numCache>
            </c:numRef>
          </c:val>
          <c:smooth val="0"/>
          <c:extLst>
            <c:ext xmlns:c16="http://schemas.microsoft.com/office/drawing/2014/chart" uri="{C3380CC4-5D6E-409C-BE32-E72D297353CC}">
              <c16:uniqueId val="{00000001-9E56-49D7-BD74-05A496F6CF3A}"/>
            </c:ext>
          </c:extLst>
        </c:ser>
        <c:dLbls>
          <c:showLegendKey val="0"/>
          <c:showVal val="0"/>
          <c:showCatName val="0"/>
          <c:showSerName val="0"/>
          <c:showPercent val="0"/>
          <c:showBubbleSize val="0"/>
        </c:dLbls>
        <c:marker val="1"/>
        <c:smooth val="0"/>
        <c:axId val="447649056"/>
        <c:axId val="447630336"/>
      </c:lineChart>
      <c:catAx>
        <c:axId val="44764905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Years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7630336"/>
        <c:crosses val="autoZero"/>
        <c:auto val="1"/>
        <c:lblAlgn val="ctr"/>
        <c:lblOffset val="100"/>
        <c:noMultiLvlLbl val="0"/>
      </c:catAx>
      <c:valAx>
        <c:axId val="44763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CA"/>
                  <a:t>ROI%</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764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Charts!$AD$21:$AD$25</cx:f>
        <cx:lvl ptCount="5">
          <cx:pt idx="0">1 Year</cx:pt>
          <cx:pt idx="1">3 Years</cx:pt>
          <cx:pt idx="2">5 Years</cx:pt>
          <cx:pt idx="3">10 Years</cx:pt>
          <cx:pt idx="4">20 Years</cx:pt>
        </cx:lvl>
      </cx:strDim>
      <cx:numDim type="val">
        <cx:f>Charts!$AE$21:$AE$25</cx:f>
        <cx:lvl ptCount="5" formatCode="0.00%">
          <cx:pt idx="0">-0.4491</cx:pt>
          <cx:pt idx="1">-0.15210000000000001</cx:pt>
          <cx:pt idx="2">0.35470000000000002</cx:pt>
          <cx:pt idx="3">1.8769</cx:pt>
          <cx:pt idx="4">4.4870999999999999</cx:pt>
        </cx:lvl>
      </cx:numDim>
    </cx:data>
  </cx:chartData>
  <cx:chart>
    <cx:title pos="t" align="ctr" overlay="0">
      <cx:tx>
        <cx:txData>
          <cx:v>ROI % Achieved</cx:v>
        </cx:txData>
      </cx:tx>
      <cx:txPr>
        <a:bodyPr spcFirstLastPara="1" vertOverflow="ellipsis" horzOverflow="overflow" wrap="square" lIns="0" tIns="0" rIns="0" bIns="0" anchor="ctr" anchorCtr="1"/>
        <a:lstStyle/>
        <a:p>
          <a:pPr algn="ctr" rtl="0">
            <a:defRPr b="1"/>
          </a:pPr>
          <a:r>
            <a:rPr lang="en-US" sz="1400" b="1" i="0" u="none" strike="noStrike" baseline="0">
              <a:solidFill>
                <a:sysClr val="windowText" lastClr="000000">
                  <a:lumMod val="65000"/>
                  <a:lumOff val="35000"/>
                </a:sysClr>
              </a:solidFill>
              <a:latin typeface="Aptos Narrow" panose="02110004020202020204"/>
            </a:rPr>
            <a:t>ROI % Achieved</a:t>
          </a:r>
        </a:p>
      </cx:txPr>
    </cx:title>
    <cx:plotArea>
      <cx:plotAreaRegion>
        <cx:series layoutId="waterfall" uniqueId="{EA2EE104-3FED-41FB-A760-E79CD555F64C}">
          <cx:tx>
            <cx:txData>
              <cx:f>Charts!$AE$20</cx:f>
              <cx:v>WiTricity ROI (%)</cx:v>
            </cx:txData>
          </cx:tx>
          <cx:dataLabels>
            <cx:visibility seriesName="0" categoryName="0" value="1"/>
          </cx:dataLabels>
          <cx:dataId val="0"/>
          <cx:layoutPr>
            <cx:visibility connectorLines="0"/>
            <cx:subtotals/>
          </cx:layoutPr>
        </cx:series>
      </cx:plotAreaRegion>
      <cx:axis id="0">
        <cx:catScaling gapWidth="0.5"/>
        <cx:tickLabels/>
        <cx:txPr>
          <a:bodyPr vertOverflow="overflow" horzOverflow="overflow" wrap="square" lIns="0" tIns="0" rIns="0" bIns="0"/>
          <a:lstStyle/>
          <a:p>
            <a:pPr algn="ctr" rtl="0">
              <a:defRPr sz="900" b="1" i="0">
                <a:solidFill>
                  <a:srgbClr val="595959"/>
                </a:solidFill>
                <a:latin typeface="Aptos Narrow" panose="020B0004020202020204" pitchFamily="34" charset="0"/>
                <a:ea typeface="Aptos Narrow" panose="020B0004020202020204" pitchFamily="34" charset="0"/>
                <a:cs typeface="Aptos Narrow" panose="020B0004020202020204" pitchFamily="34" charset="0"/>
              </a:defRPr>
            </a:pPr>
            <a:endParaRPr lang="en-CA" b="1"/>
          </a:p>
        </cx:txPr>
      </cx:axis>
      <cx:axis id="1">
        <cx:valScaling/>
        <cx:majorGridlines/>
        <cx:tickLabels/>
        <cx:txPr>
          <a:bodyPr vertOverflow="overflow" horzOverflow="overflow" wrap="square" lIns="0" tIns="0" rIns="0" bIns="0"/>
          <a:lstStyle/>
          <a:p>
            <a:pPr algn="ctr" rtl="0">
              <a:defRPr sz="900" b="1" i="0">
                <a:solidFill>
                  <a:srgbClr val="595959"/>
                </a:solidFill>
                <a:latin typeface="Aptos Narrow" panose="020B0004020202020204" pitchFamily="34" charset="0"/>
                <a:ea typeface="Aptos Narrow" panose="020B0004020202020204" pitchFamily="34" charset="0"/>
                <a:cs typeface="Aptos Narrow" panose="020B0004020202020204" pitchFamily="34" charset="0"/>
              </a:defRPr>
            </a:pPr>
            <a:endParaRPr lang="en-CA" b="1"/>
          </a:p>
        </cx:txPr>
      </cx:axis>
    </cx:plotArea>
    <cx:legend pos="t" align="ctr" overlay="0">
      <cx:txPr>
        <a:bodyPr vertOverflow="overflow" horzOverflow="overflow" wrap="square" lIns="0" tIns="0" rIns="0" bIns="0"/>
        <a:lstStyle/>
        <a:p>
          <a:pPr algn="ctr" rtl="0">
            <a:defRPr sz="900" b="1" i="0">
              <a:solidFill>
                <a:srgbClr val="595959"/>
              </a:solidFill>
              <a:latin typeface="Aptos Narrow" panose="020B0004020202020204" pitchFamily="34" charset="0"/>
              <a:ea typeface="Aptos Narrow" panose="020B0004020202020204" pitchFamily="34" charset="0"/>
              <a:cs typeface="Aptos Narrow" panose="020B0004020202020204" pitchFamily="34" charset="0"/>
            </a:defRPr>
          </a:pPr>
          <a:endParaRPr lang="en-CA" b="1"/>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89">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770A-F5A6-41B9-8246-ADF6A0C7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71</Pages>
  <Words>25871</Words>
  <Characters>147467</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 Patel</dc:creator>
  <cp:keywords/>
  <dc:description/>
  <cp:lastModifiedBy>Sandra Marya</cp:lastModifiedBy>
  <cp:revision>13</cp:revision>
  <dcterms:created xsi:type="dcterms:W3CDTF">2024-11-23T04:12:00Z</dcterms:created>
  <dcterms:modified xsi:type="dcterms:W3CDTF">2024-11-23T04:41:00Z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7a34b057-0f89-4977-96e8-4fadbea43c6c</vt:lpwstr>
  </property>
</Properties>
</file>