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E632E4" w14:textId="77777777" w:rsidR="0087280A" w:rsidRPr="00B967B5" w:rsidRDefault="0087280A" w:rsidP="001222CC">
      <w:pPr>
        <w:spacing w:line="278" w:lineRule="auto"/>
        <w:rPr>
          <w:rFonts w:cs="Calibri"/>
        </w:rPr>
      </w:pPr>
    </w:p>
    <w:p w14:paraId="063C7C88" w14:textId="3223F434" w:rsidR="00F44A63" w:rsidRPr="00B967B5" w:rsidRDefault="0087280A" w:rsidP="001222CC">
      <w:pPr>
        <w:spacing w:line="278" w:lineRule="auto"/>
        <w:rPr>
          <w:rFonts w:cs="Calibri"/>
        </w:rPr>
      </w:pPr>
      <w:r w:rsidRPr="00B967B5">
        <w:rPr>
          <w:rFonts w:cs="Calibri"/>
          <w:noProof/>
        </w:rPr>
        <mc:AlternateContent>
          <mc:Choice Requires="wps">
            <w:drawing>
              <wp:anchor distT="45720" distB="45720" distL="114300" distR="114300" simplePos="0" relativeHeight="251663360" behindDoc="0" locked="0" layoutInCell="1" allowOverlap="1" wp14:anchorId="14116906" wp14:editId="01DA6C21">
                <wp:simplePos x="0" y="0"/>
                <wp:positionH relativeFrom="margin">
                  <wp:align>center</wp:align>
                </wp:positionH>
                <wp:positionV relativeFrom="paragraph">
                  <wp:posOffset>4604265</wp:posOffset>
                </wp:positionV>
                <wp:extent cx="3421380" cy="1404620"/>
                <wp:effectExtent l="0" t="0" r="7620" b="0"/>
                <wp:wrapSquare wrapText="bothSides"/>
                <wp:docPr id="19827774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1380" cy="1404620"/>
                        </a:xfrm>
                        <a:prstGeom prst="rect">
                          <a:avLst/>
                        </a:prstGeom>
                        <a:solidFill>
                          <a:srgbClr val="FFFFFF"/>
                        </a:solidFill>
                        <a:ln w="9525">
                          <a:noFill/>
                          <a:miter lim="800000"/>
                          <a:headEnd/>
                          <a:tailEnd/>
                        </a:ln>
                      </wps:spPr>
                      <wps:txbx>
                        <w:txbxContent>
                          <w:p w14:paraId="56F467E5" w14:textId="24BC0441" w:rsidR="0087280A" w:rsidRPr="002A2FA8" w:rsidRDefault="0087280A" w:rsidP="0087280A">
                            <w:pPr>
                              <w:jc w:val="center"/>
                              <w:rPr>
                                <w:sz w:val="32"/>
                                <w:szCs w:val="32"/>
                                <w:lang w:val="en-US"/>
                              </w:rPr>
                            </w:pPr>
                            <w:r w:rsidRPr="002A2FA8">
                              <w:rPr>
                                <w:sz w:val="32"/>
                                <w:szCs w:val="32"/>
                                <w:lang w:val="en-US"/>
                              </w:rPr>
                              <w:t>2</w:t>
                            </w:r>
                            <w:r w:rsidR="00633729">
                              <w:rPr>
                                <w:sz w:val="32"/>
                                <w:szCs w:val="32"/>
                                <w:lang w:val="en-US"/>
                              </w:rPr>
                              <w:t>7</w:t>
                            </w:r>
                            <w:r w:rsidRPr="002A2FA8">
                              <w:rPr>
                                <w:sz w:val="32"/>
                                <w:szCs w:val="32"/>
                                <w:vertAlign w:val="superscript"/>
                                <w:lang w:val="en-US"/>
                              </w:rPr>
                              <w:t xml:space="preserve">th </w:t>
                            </w:r>
                            <w:r w:rsidRPr="002A2FA8">
                              <w:rPr>
                                <w:sz w:val="32"/>
                                <w:szCs w:val="32"/>
                                <w:lang w:val="en-US"/>
                              </w:rPr>
                              <w:t>September 2024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4116906" id="_x0000_t202" coordsize="21600,21600" o:spt="202" path="m,l,21600r21600,l21600,xe">
                <v:stroke joinstyle="miter"/>
                <v:path gradientshapeok="t" o:connecttype="rect"/>
              </v:shapetype>
              <v:shape id="Text Box 2" o:spid="_x0000_s1026" type="#_x0000_t202" style="position:absolute;left:0;text-align:left;margin-left:0;margin-top:362.55pt;width:269.4pt;height:110.6pt;z-index:25166336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Q8gDgIAAPcDAAAOAAAAZHJzL2Uyb0RvYy54bWysU21v2yAQ/j5p/wHxfbGdOl1qxam6dJkm&#10;dS9Stx+AMY7RgGNAYme/vgdO06j7No0P6I47Hu6ee1jdjlqRg3BegqlpMcspEYZDK82upj9/bN8t&#10;KfGBmZYpMKKmR+Hp7frtm9VgKzGHHlQrHEEQ46vB1rQPwVZZ5nkvNPMzsMJgsAOnWUDX7bLWsQHR&#10;tcrmeX6dDeBa64AL7/H0fgrSdcLvOsHDt67zIhBVU6wtpN2lvYl7tl6xaueY7SU/lcH+oQrNpMFH&#10;z1D3LDCyd/IvKC25Aw9dmHHQGXSd5CL1gN0U+atuHntmReoFyfH2TJP/f7D86+HRfnckjB9gxAGm&#10;Jrx9AP7LEwObnpmduHMOhl6wFh8uImXZYH11uhqp9pWPIM3wBVocMtsHSEBj53RkBfskiI4DOJ5J&#10;F2MgHA+vynlxtcQQx1hR5uX1PI0lY9Xzdet8+CRAk2jU1OFUEzw7PPgQy2HVc0p8zYOS7VYqlRy3&#10;azbKkQNDBWzTSh28SlOGDDW9WcwXCdlAvJ/EoWVAhSqpa7rM45o0E+n4aNqUEphUk42VKHPiJ1Iy&#10;kRPGZsTEyFMD7RGZcjApEX8OGj24P5QMqMKa+t975gQl6rNBtm+KsoyyTU65eI/UEHcZaS4jzHCE&#10;qmmgZDI3IUk98WDvcCpbmfh6qeRUK6or0Xj6CVG+l37Kevmv6ycAAAD//wMAUEsDBBQABgAIAAAA&#10;IQBoATF43gAAAAgBAAAPAAAAZHJzL2Rvd25yZXYueG1sTI/LTsMwEEX3lfgHa5DYtU5bUkrIpKqo&#10;2LBAoiDB0o0ncYRfst00/D1mBcvRHd17Tr2bjGYjhTg4i7BcFMDItk4Otkd4f3uab4HFJKwU2llC&#10;+KYIu+ZqVotKuot9pfGYepZLbKwEgkrJV5zHVpERceE82Zx1LhiR8hl6LoO45HKj+aooNtyIweYF&#10;JTw9Kmq/jmeD8GHUIA/h5bOTejw8d/vST8Ej3lxP+wdgiab09wy/+Bkdmsx0cmcrI9MIWSQh3K3K&#10;JbAcl+ttNjkh3N9u1sCbmv8XaH4AAAD//wMAUEsBAi0AFAAGAAgAAAAhALaDOJL+AAAA4QEAABMA&#10;AAAAAAAAAAAAAAAAAAAAAFtDb250ZW50X1R5cGVzXS54bWxQSwECLQAUAAYACAAAACEAOP0h/9YA&#10;AACUAQAACwAAAAAAAAAAAAAAAAAvAQAAX3JlbHMvLnJlbHNQSwECLQAUAAYACAAAACEA9bUPIA4C&#10;AAD3AwAADgAAAAAAAAAAAAAAAAAuAgAAZHJzL2Uyb0RvYy54bWxQSwECLQAUAAYACAAAACEAaAEx&#10;eN4AAAAIAQAADwAAAAAAAAAAAAAAAABoBAAAZHJzL2Rvd25yZXYueG1sUEsFBgAAAAAEAAQA8wAA&#10;AHMFAAAAAA==&#10;" stroked="f">
                <v:textbox style="mso-fit-shape-to-text:t">
                  <w:txbxContent>
                    <w:p w14:paraId="56F467E5" w14:textId="24BC0441" w:rsidR="0087280A" w:rsidRPr="002A2FA8" w:rsidRDefault="0087280A" w:rsidP="0087280A">
                      <w:pPr>
                        <w:jc w:val="center"/>
                        <w:rPr>
                          <w:sz w:val="32"/>
                          <w:szCs w:val="32"/>
                          <w:lang w:val="en-US"/>
                        </w:rPr>
                      </w:pPr>
                      <w:r w:rsidRPr="002A2FA8">
                        <w:rPr>
                          <w:sz w:val="32"/>
                          <w:szCs w:val="32"/>
                          <w:lang w:val="en-US"/>
                        </w:rPr>
                        <w:t>2</w:t>
                      </w:r>
                      <w:r w:rsidR="00633729">
                        <w:rPr>
                          <w:sz w:val="32"/>
                          <w:szCs w:val="32"/>
                          <w:lang w:val="en-US"/>
                        </w:rPr>
                        <w:t>7</w:t>
                      </w:r>
                      <w:r w:rsidRPr="002A2FA8">
                        <w:rPr>
                          <w:sz w:val="32"/>
                          <w:szCs w:val="32"/>
                          <w:vertAlign w:val="superscript"/>
                          <w:lang w:val="en-US"/>
                        </w:rPr>
                        <w:t xml:space="preserve">th </w:t>
                      </w:r>
                      <w:r w:rsidRPr="002A2FA8">
                        <w:rPr>
                          <w:sz w:val="32"/>
                          <w:szCs w:val="32"/>
                          <w:lang w:val="en-US"/>
                        </w:rPr>
                        <w:t>September 2024</w:t>
                      </w:r>
                    </w:p>
                  </w:txbxContent>
                </v:textbox>
                <w10:wrap type="square" anchorx="margin"/>
              </v:shape>
            </w:pict>
          </mc:Fallback>
        </mc:AlternateContent>
      </w:r>
      <w:r w:rsidRPr="00B967B5">
        <w:rPr>
          <w:rFonts w:cs="Calibri"/>
          <w:noProof/>
        </w:rPr>
        <mc:AlternateContent>
          <mc:Choice Requires="wps">
            <w:drawing>
              <wp:anchor distT="45720" distB="45720" distL="114300" distR="114300" simplePos="0" relativeHeight="251661312" behindDoc="0" locked="0" layoutInCell="1" allowOverlap="1" wp14:anchorId="6047DAAB" wp14:editId="75AF89B8">
                <wp:simplePos x="0" y="0"/>
                <wp:positionH relativeFrom="margin">
                  <wp:posOffset>1772739</wp:posOffset>
                </wp:positionH>
                <wp:positionV relativeFrom="paragraph">
                  <wp:posOffset>3492500</wp:posOffset>
                </wp:positionV>
                <wp:extent cx="3741420" cy="1404620"/>
                <wp:effectExtent l="0" t="0" r="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1420" cy="1404620"/>
                        </a:xfrm>
                        <a:prstGeom prst="rect">
                          <a:avLst/>
                        </a:prstGeom>
                        <a:solidFill>
                          <a:srgbClr val="FFFFFF"/>
                        </a:solidFill>
                        <a:ln w="9525">
                          <a:noFill/>
                          <a:miter lim="800000"/>
                          <a:headEnd/>
                          <a:tailEnd/>
                        </a:ln>
                      </wps:spPr>
                      <wps:txbx>
                        <w:txbxContent>
                          <w:p w14:paraId="0CFAE621" w14:textId="77777777" w:rsidR="0087280A" w:rsidRPr="00885742" w:rsidRDefault="0087280A" w:rsidP="0087280A">
                            <w:pPr>
                              <w:rPr>
                                <w:rFonts w:cs="Calibri"/>
                                <w:b/>
                                <w:sz w:val="44"/>
                                <w:szCs w:val="44"/>
                              </w:rPr>
                            </w:pPr>
                            <w:r w:rsidRPr="00885742">
                              <w:rPr>
                                <w:rFonts w:cs="Calibri"/>
                                <w:b/>
                                <w:sz w:val="44"/>
                                <w:szCs w:val="44"/>
                              </w:rPr>
                              <w:t>Toronto Dominion Bank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47DAAB" id="_x0000_s1027" type="#_x0000_t202" style="position:absolute;left:0;text-align:left;margin-left:139.6pt;margin-top:275pt;width:294.6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HDkDQIAAP4DAAAOAAAAZHJzL2Uyb0RvYy54bWysU9uO2yAQfa/Uf0C8N7ZTZy9WnNU221SV&#10;thdp2w/AGMeowFAgsbdfvwP2ZtP2rSoPiGGGMzNnDuubUStyFM5LMDUtFjklwnBopdnX9Pu33Zsr&#10;SnxgpmUKjKjpo/D0ZvP61XqwlVhCD6oVjiCI8dVga9qHYKss87wXmvkFWGHQ2YHTLKDp9lnr2IDo&#10;WmXLPL/IBnCtdcCF93h7NznpJuF3neDhS9d5EYiqKdYW0u7S3sQ926xZtXfM9pLPZbB/qEIzaTDp&#10;CeqOBUYOTv4FpSV34KELCw46g66TXKQesJsi/6Obh55ZkXpBcrw90eT/Hyz/fHywXx0J4zsYcYCp&#10;CW/vgf/wxMC2Z2Yvbp2DoResxcRFpCwbrK/mp5FqX/kI0gyfoMUhs0OABDR2TkdWsE+C6DiAxxPp&#10;YgyE4+Xby7Iol+ji6CvKvLxAI+Zg1fNz63z4IECTeKipw6kmeHa892EKfQ6J2Two2e6kUslw+2ar&#10;HDkyVMAurRn9tzBlyFDT69VylZANxPdJHFoGVKiSuqZXeVyTZiId702bQgKTajpj0crM/ERKJnLC&#10;2IxEtjN5ka4G2kckzMEkSPxAeOjB/aJkQDHW1P88MCcoUR8Nkn5dlGVUbzLK1WWky517mnMPMxyh&#10;ahoomY7bkBSf6LC3OJydTLS9VDKXjCJLxM8fIqr43E5RL9928wQAAP//AwBQSwMEFAAGAAgAAAAh&#10;ACyuEaDgAAAACwEAAA8AAABkcnMvZG93bnJldi54bWxMj8FOwzAQRO9I/IO1SNyo04g0IcSpKiou&#10;HJAoSHB0400cEa8t203D32NO9Ljap5k3zXYxE5vRh9GSgPUqA4bUWTXSIODj/fmuAhaiJCUnSyjg&#10;BwNs2+urRtbKnukN50McWAqhUEsBOkZXcx46jUaGlXVI6ddbb2RMpx+48vKcws3E8yzbcCNHSg1a&#10;OnzS2H0fTkbAp9Gj2vvXr15N8/6l3xVu8U6I25tl9wgs4hL/YfjTT+rQJqejPZEKbBKQlw95QgUU&#10;RZZGJaLaVPfAjgLKcp0Dbxt+uaH9BQAA//8DAFBLAQItABQABgAIAAAAIQC2gziS/gAAAOEBAAAT&#10;AAAAAAAAAAAAAAAAAAAAAABbQ29udGVudF9UeXBlc10ueG1sUEsBAi0AFAAGAAgAAAAhADj9If/W&#10;AAAAlAEAAAsAAAAAAAAAAAAAAAAALwEAAF9yZWxzLy5yZWxzUEsBAi0AFAAGAAgAAAAhADOscOQN&#10;AgAA/gMAAA4AAAAAAAAAAAAAAAAALgIAAGRycy9lMm9Eb2MueG1sUEsBAi0AFAAGAAgAAAAhACyu&#10;EaDgAAAACwEAAA8AAAAAAAAAAAAAAAAAZwQAAGRycy9kb3ducmV2LnhtbFBLBQYAAAAABAAEAPMA&#10;AAB0BQAAAAA=&#10;" stroked="f">
                <v:textbox style="mso-fit-shape-to-text:t">
                  <w:txbxContent>
                    <w:p w14:paraId="0CFAE621" w14:textId="77777777" w:rsidR="0087280A" w:rsidRPr="00885742" w:rsidRDefault="0087280A" w:rsidP="0087280A">
                      <w:pPr>
                        <w:rPr>
                          <w:rFonts w:cs="Calibri"/>
                          <w:b/>
                          <w:sz w:val="44"/>
                          <w:szCs w:val="44"/>
                        </w:rPr>
                      </w:pPr>
                      <w:r w:rsidRPr="00885742">
                        <w:rPr>
                          <w:rFonts w:cs="Calibri"/>
                          <w:b/>
                          <w:sz w:val="44"/>
                          <w:szCs w:val="44"/>
                        </w:rPr>
                        <w:t>Toronto Dominion Bank</w:t>
                      </w:r>
                    </w:p>
                  </w:txbxContent>
                </v:textbox>
                <w10:wrap type="square" anchorx="margin"/>
              </v:shape>
            </w:pict>
          </mc:Fallback>
        </mc:AlternateContent>
      </w:r>
      <w:r w:rsidRPr="00B967B5">
        <w:rPr>
          <w:rFonts w:cs="Calibri"/>
          <w:noProof/>
        </w:rPr>
        <w:drawing>
          <wp:anchor distT="0" distB="0" distL="114300" distR="114300" simplePos="0" relativeHeight="251660288" behindDoc="0" locked="0" layoutInCell="1" allowOverlap="1" wp14:anchorId="797AC2A8" wp14:editId="758A9566">
            <wp:simplePos x="0" y="0"/>
            <wp:positionH relativeFrom="column">
              <wp:posOffset>1194435</wp:posOffset>
            </wp:positionH>
            <wp:positionV relativeFrom="page">
              <wp:posOffset>4724854</wp:posOffset>
            </wp:positionV>
            <wp:extent cx="485775" cy="434340"/>
            <wp:effectExtent l="0" t="0" r="9525" b="3810"/>
            <wp:wrapSquare wrapText="bothSides"/>
            <wp:docPr id="1942646568" name="Picture 4" descr="A green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646568" name="Picture 4" descr="A green and white 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5775" cy="434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967B5">
        <w:rPr>
          <w:rFonts w:cs="Calibri"/>
          <w:noProof/>
        </w:rPr>
        <w:drawing>
          <wp:anchor distT="0" distB="0" distL="114300" distR="114300" simplePos="0" relativeHeight="251659264" behindDoc="1" locked="0" layoutInCell="1" allowOverlap="1" wp14:anchorId="60925952" wp14:editId="697994F3">
            <wp:simplePos x="0" y="0"/>
            <wp:positionH relativeFrom="margin">
              <wp:posOffset>738505</wp:posOffset>
            </wp:positionH>
            <wp:positionV relativeFrom="page">
              <wp:posOffset>1509576</wp:posOffset>
            </wp:positionV>
            <wp:extent cx="1049655" cy="1076325"/>
            <wp:effectExtent l="0" t="0" r="0" b="9525"/>
            <wp:wrapThrough wrapText="bothSides">
              <wp:wrapPolygon edited="0">
                <wp:start x="0" y="0"/>
                <wp:lineTo x="0" y="21409"/>
                <wp:lineTo x="21169" y="21409"/>
                <wp:lineTo x="21169" y="0"/>
                <wp:lineTo x="0" y="0"/>
              </wp:wrapPolygon>
            </wp:wrapThrough>
            <wp:docPr id="810524092" name="Picture 2"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524092" name="Picture 2" descr="A logo for a company&#10;&#10;Description automatically generated"/>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7064" t="15948" r="16496" b="15944"/>
                    <a:stretch/>
                  </pic:blipFill>
                  <pic:spPr bwMode="auto">
                    <a:xfrm>
                      <a:off x="0" y="0"/>
                      <a:ext cx="1049655" cy="10763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967B5">
        <w:rPr>
          <w:rFonts w:cs="Calibri"/>
          <w:noProof/>
        </w:rPr>
        <mc:AlternateContent>
          <mc:Choice Requires="wps">
            <w:drawing>
              <wp:anchor distT="45720" distB="45720" distL="114300" distR="114300" simplePos="0" relativeHeight="251662336" behindDoc="0" locked="0" layoutInCell="1" allowOverlap="1" wp14:anchorId="78541946" wp14:editId="4D5A7AF4">
                <wp:simplePos x="0" y="0"/>
                <wp:positionH relativeFrom="margin">
                  <wp:align>right</wp:align>
                </wp:positionH>
                <wp:positionV relativeFrom="paragraph">
                  <wp:posOffset>542925</wp:posOffset>
                </wp:positionV>
                <wp:extent cx="4133850" cy="1404620"/>
                <wp:effectExtent l="0" t="0" r="0" b="0"/>
                <wp:wrapSquare wrapText="bothSides"/>
                <wp:docPr id="16939280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3850" cy="1404620"/>
                        </a:xfrm>
                        <a:prstGeom prst="rect">
                          <a:avLst/>
                        </a:prstGeom>
                        <a:solidFill>
                          <a:srgbClr val="FFFFFF"/>
                        </a:solidFill>
                        <a:ln w="9525">
                          <a:noFill/>
                          <a:miter lim="800000"/>
                          <a:headEnd/>
                          <a:tailEnd/>
                        </a:ln>
                      </wps:spPr>
                      <wps:txbx>
                        <w:txbxContent>
                          <w:p w14:paraId="105B4141" w14:textId="77777777" w:rsidR="0087280A" w:rsidRPr="00F44A63" w:rsidRDefault="0087280A" w:rsidP="0087280A">
                            <w:pPr>
                              <w:rPr>
                                <w:b/>
                                <w:bCs/>
                                <w:sz w:val="56"/>
                                <w:szCs w:val="56"/>
                                <w:lang w:val="en-US"/>
                              </w:rPr>
                            </w:pPr>
                            <w:r w:rsidRPr="00F44A63">
                              <w:rPr>
                                <w:b/>
                                <w:bCs/>
                                <w:sz w:val="56"/>
                                <w:szCs w:val="56"/>
                                <w:lang w:val="en-US"/>
                              </w:rPr>
                              <w:t>ProcessPro Partners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541946" id="_x0000_s1028" type="#_x0000_t202" style="position:absolute;left:0;text-align:left;margin-left:274.3pt;margin-top:42.75pt;width:325.5pt;height:110.6pt;z-index:2516623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o7jEgIAAP4DAAAOAAAAZHJzL2Uyb0RvYy54bWysk99u2yAUxu8n7R0Q94vt1OlSK6Tq0mWa&#10;1P2Ruj0AxjhGwxwGJHb29D3gNI26u2m+QOADH+f8zsfqduw1OUjnFRhGi1lOiTQCGmV2jP78sX23&#10;pMQHbhquwUhGj9LT2/XbN6vBVnIOHehGOoIixleDZbQLwVZZ5kUne+5nYKXBYAuu5wGXbpc1jg+o&#10;3utsnufX2QCusQ6E9B7/3k9Buk76bStF+Na2XgaiGcXcQhpdGus4ZusVr3aO206JUxr8H7LouTJ4&#10;6VnqngdO9k79JdUr4cBDG2YC+gzaVgmZasBqivxVNY8dtzLVgnC8PWPy/09WfD082u+OhPEDjNjA&#10;VIS3DyB+eWJg03Gzk3fOwdBJ3uDFRUSWDdZXp6MRta98FKmHL9Bgk/k+QBIaW9dHKlgnQXVswPEM&#10;XY6BCPxZFldXywWGBMaKMi+v56ktGa+ej1vnwycJPYkTRh12Ncnzw4MPMR1ePW+Jt3nQqtkqrdPC&#10;7eqNduTA0QHb9KUKXm3ThgyM3izmi6RsIJ5P5uhVQIdq1TO6zOM3eSbi+GiatCVwpac5ZqLNiU9E&#10;MsEJYz0S1TA6j2cjrhqaIwJzMBkSHxBOOnB/KBnQjIz633vuJCX6s0HoN0VZRvemRbl4j4SIu4zU&#10;lxFuBEoxGiiZppuQHJ9w2DtszlYlbC+ZnFJGkyWapwcRXXy5Trtenu36CQAA//8DAFBLAwQUAAYA&#10;CAAAACEATOC7/NwAAAAHAQAADwAAAGRycy9kb3ducmV2LnhtbEyPzU7DMBCE70i8g7VI3KhTUEIV&#10;sqkqKi4ckChIcHTjzY+w15btpuHtMSc47sxo5ttmu1gjZgpxcoywXhUgiDunJx4Q3t+ebjYgYlKs&#10;lXFMCN8UYdteXjSq1u7MrzQf0iByCcdaIYwp+VrK2I1kVVw5T5y93gWrUj7DIHVQ51xujbwtikpa&#10;NXFeGJWnx5G6r8PJInzYcdL78PLZazPvn/td6ZfgEa+vlt0DiERL+gvDL35GhzYzHd2JdRQGIT+S&#10;EDZlCSK7VbnOwhHhrqjuQbaN/M/f/gAAAP//AwBQSwECLQAUAAYACAAAACEAtoM4kv4AAADhAQAA&#10;EwAAAAAAAAAAAAAAAAAAAAAAW0NvbnRlbnRfVHlwZXNdLnhtbFBLAQItABQABgAIAAAAIQA4/SH/&#10;1gAAAJQBAAALAAAAAAAAAAAAAAAAAC8BAABfcmVscy8ucmVsc1BLAQItABQABgAIAAAAIQAtjo7j&#10;EgIAAP4DAAAOAAAAAAAAAAAAAAAAAC4CAABkcnMvZTJvRG9jLnhtbFBLAQItABQABgAIAAAAIQBM&#10;4Lv83AAAAAcBAAAPAAAAAAAAAAAAAAAAAGwEAABkcnMvZG93bnJldi54bWxQSwUGAAAAAAQABADz&#10;AAAAdQUAAAAA&#10;" stroked="f">
                <v:textbox style="mso-fit-shape-to-text:t">
                  <w:txbxContent>
                    <w:p w14:paraId="105B4141" w14:textId="77777777" w:rsidR="0087280A" w:rsidRPr="00F44A63" w:rsidRDefault="0087280A" w:rsidP="0087280A">
                      <w:pPr>
                        <w:rPr>
                          <w:b/>
                          <w:bCs/>
                          <w:sz w:val="56"/>
                          <w:szCs w:val="56"/>
                          <w:lang w:val="en-US"/>
                        </w:rPr>
                      </w:pPr>
                      <w:proofErr w:type="spellStart"/>
                      <w:r w:rsidRPr="00F44A63">
                        <w:rPr>
                          <w:b/>
                          <w:bCs/>
                          <w:sz w:val="56"/>
                          <w:szCs w:val="56"/>
                          <w:lang w:val="en-US"/>
                        </w:rPr>
                        <w:t>ProcessPro</w:t>
                      </w:r>
                      <w:proofErr w:type="spellEnd"/>
                      <w:r w:rsidRPr="00F44A63">
                        <w:rPr>
                          <w:b/>
                          <w:bCs/>
                          <w:sz w:val="56"/>
                          <w:szCs w:val="56"/>
                          <w:lang w:val="en-US"/>
                        </w:rPr>
                        <w:t xml:space="preserve"> Partners</w:t>
                      </w:r>
                    </w:p>
                  </w:txbxContent>
                </v:textbox>
                <w10:wrap type="square" anchorx="margin"/>
              </v:shape>
            </w:pict>
          </mc:Fallback>
        </mc:AlternateContent>
      </w:r>
    </w:p>
    <w:p w14:paraId="2E3DEEEB" w14:textId="77777777" w:rsidR="0087280A" w:rsidRPr="00B967B5" w:rsidRDefault="0087280A" w:rsidP="001222CC">
      <w:pPr>
        <w:rPr>
          <w:rFonts w:cs="Calibri"/>
          <w:lang w:val="en-US"/>
        </w:rPr>
      </w:pPr>
    </w:p>
    <w:p w14:paraId="373056BF" w14:textId="77777777" w:rsidR="0087280A" w:rsidRPr="00B967B5" w:rsidRDefault="0087280A" w:rsidP="001222CC">
      <w:pPr>
        <w:rPr>
          <w:rFonts w:cs="Calibri"/>
          <w:lang w:val="en-US"/>
        </w:rPr>
      </w:pPr>
    </w:p>
    <w:p w14:paraId="4FB91BCD" w14:textId="77777777" w:rsidR="0087280A" w:rsidRPr="00B967B5" w:rsidRDefault="0087280A" w:rsidP="001222CC">
      <w:pPr>
        <w:rPr>
          <w:rFonts w:cs="Calibri"/>
          <w:lang w:val="en-US"/>
        </w:rPr>
      </w:pPr>
    </w:p>
    <w:p w14:paraId="5A08D2C6" w14:textId="77777777" w:rsidR="0087280A" w:rsidRPr="00B967B5" w:rsidRDefault="0087280A" w:rsidP="001222CC">
      <w:pPr>
        <w:rPr>
          <w:rFonts w:cs="Calibri"/>
          <w:lang w:val="en-US"/>
        </w:rPr>
      </w:pPr>
    </w:p>
    <w:p w14:paraId="2CCA194C" w14:textId="77777777" w:rsidR="0087280A" w:rsidRPr="00B967B5" w:rsidRDefault="0087280A" w:rsidP="001222CC">
      <w:pPr>
        <w:rPr>
          <w:rFonts w:cs="Calibri"/>
          <w:lang w:val="en-US"/>
        </w:rPr>
      </w:pPr>
    </w:p>
    <w:p w14:paraId="11A13D03" w14:textId="77777777" w:rsidR="0087280A" w:rsidRPr="00B967B5" w:rsidRDefault="0087280A" w:rsidP="001222CC">
      <w:pPr>
        <w:rPr>
          <w:rFonts w:cs="Calibri"/>
          <w:lang w:val="en-US"/>
        </w:rPr>
      </w:pPr>
    </w:p>
    <w:p w14:paraId="4AAD3721" w14:textId="285C309B" w:rsidR="0087280A" w:rsidRPr="00B967B5" w:rsidRDefault="002A2FA8" w:rsidP="001222CC">
      <w:pPr>
        <w:rPr>
          <w:rFonts w:cs="Calibri"/>
          <w:lang w:val="en-US"/>
        </w:rPr>
      </w:pPr>
      <w:r w:rsidRPr="00B967B5">
        <w:rPr>
          <w:rFonts w:cs="Calibri"/>
          <w:noProof/>
        </w:rPr>
        <mc:AlternateContent>
          <mc:Choice Requires="wps">
            <w:drawing>
              <wp:anchor distT="45720" distB="45720" distL="114300" distR="114300" simplePos="0" relativeHeight="251665408" behindDoc="0" locked="0" layoutInCell="1" allowOverlap="1" wp14:anchorId="658D1541" wp14:editId="73C1693F">
                <wp:simplePos x="0" y="0"/>
                <wp:positionH relativeFrom="margin">
                  <wp:align>center</wp:align>
                </wp:positionH>
                <wp:positionV relativeFrom="paragraph">
                  <wp:posOffset>107950</wp:posOffset>
                </wp:positionV>
                <wp:extent cx="3421380" cy="1404620"/>
                <wp:effectExtent l="0" t="0" r="7620" b="6350"/>
                <wp:wrapSquare wrapText="bothSides"/>
                <wp:docPr id="4607139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1380" cy="1404620"/>
                        </a:xfrm>
                        <a:prstGeom prst="rect">
                          <a:avLst/>
                        </a:prstGeom>
                        <a:solidFill>
                          <a:srgbClr val="FFFFFF"/>
                        </a:solidFill>
                        <a:ln w="9525">
                          <a:noFill/>
                          <a:miter lim="800000"/>
                          <a:headEnd/>
                          <a:tailEnd/>
                        </a:ln>
                      </wps:spPr>
                      <wps:txbx>
                        <w:txbxContent>
                          <w:p w14:paraId="7942A683" w14:textId="77777777" w:rsidR="0087280A" w:rsidRPr="00FE108E" w:rsidRDefault="0087280A" w:rsidP="0087280A">
                            <w:pPr>
                              <w:jc w:val="center"/>
                              <w:rPr>
                                <w:b/>
                                <w:bCs/>
                                <w:sz w:val="48"/>
                                <w:szCs w:val="48"/>
                                <w:lang w:val="en-US"/>
                              </w:rPr>
                            </w:pPr>
                            <w:r w:rsidRPr="00FE108E">
                              <w:rPr>
                                <w:b/>
                                <w:bCs/>
                                <w:sz w:val="48"/>
                                <w:szCs w:val="48"/>
                                <w:lang w:val="en-US"/>
                              </w:rPr>
                              <w:t>Written Status Report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8D1541" id="_x0000_s1029" type="#_x0000_t202" style="position:absolute;left:0;text-align:left;margin-left:0;margin-top:8.5pt;width:269.4pt;height:110.6pt;z-index:25166540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J7zEgIAAP4DAAAOAAAAZHJzL2Uyb0RvYy54bWysk99u2yAUxu8n7R0Q94vt1OlSK07Vpcs0&#10;qfsjdXsADDhGwxwGJHb29D3gNI26u2m+QOADH+f8zsfqduw1OUjnFZiaFrOcEmk4CGV2Nf35Y/tu&#10;SYkPzAimwciaHqWnt+u3b1aDreQcOtBCOoIixleDrWkXgq2yzPNO9szPwEqDwRZczwIu3S4Tjg2o&#10;3utsnufX2QBOWAdceo9/76cgXSf9tpU8fGtbLwPRNcXcQhpdGps4ZusVq3aO2U7xUxrsH7LomTJ4&#10;6VnqngVG9k79JdUr7sBDG2Yc+gzaVnGZasBqivxVNY8dszLVgnC8PWPy/0+Wfz082u+OhPEDjNjA&#10;VIS3D8B/eWJg0zGzk3fOwdBJJvDiIiLLBuur09GI2lc+ijTDFxDYZLYPkITG1vWRCtZJUB0bcDxD&#10;l2MgHH9elfPiaokhjrGizMvreWpLxqrn49b58ElCT+Kkpg67muTZ4cGHmA6rnrfE2zxoJbZK67Rw&#10;u2ajHTkwdMA2famCV9u0IUNNbxbzRVI2EM8nc/QqoEO16mu6zOM3eSbi+GhE2hKY0tMcM9HmxCci&#10;meCEsRmJElhrPBtxNSCOCMzBZEh8QDjpwP2hZEAz1tT/3jMnKdGfDUK/KcoyujctysV7JETcZaS5&#10;jDDDUaqmgZJpugnJ8QmHvcPmbFXC9pLJKWU0WaJ5ehDRxZfrtOvl2a6fAAAA//8DAFBLAwQUAAYA&#10;CAAAACEAmKdwlNwAAAAHAQAADwAAAGRycy9kb3ducmV2LnhtbEyPQU/DMAyF70j8h8hI3FhKp0FV&#10;mk4TExcOSAwkOGaN21QkTpVkXfn3mBOcLPs9PX+v2S7eiRljGgMpuF0VIJC6YEYaFLy/Pd1UIFLW&#10;ZLQLhAq+McG2vbxodG3CmV5xPuRBcAilWiuwOU+1lKmz6HVahQmJtT5ErzOvcZAm6jOHeyfLoriT&#10;Xo/EH6ye8NFi93U4eQUf3o5mH18+e+Pm/XO/20xLnJS6vlp2DyAyLvnPDL/4jA4tMx3DiUwSTgEX&#10;yXy958nqZl1xkaOCcl2VINtG/udvfwAAAP//AwBQSwECLQAUAAYACAAAACEAtoM4kv4AAADhAQAA&#10;EwAAAAAAAAAAAAAAAAAAAAAAW0NvbnRlbnRfVHlwZXNdLnhtbFBLAQItABQABgAIAAAAIQA4/SH/&#10;1gAAAJQBAAALAAAAAAAAAAAAAAAAAC8BAABfcmVscy8ucmVsc1BLAQItABQABgAIAAAAIQCBEJ7z&#10;EgIAAP4DAAAOAAAAAAAAAAAAAAAAAC4CAABkcnMvZTJvRG9jLnhtbFBLAQItABQABgAIAAAAIQCY&#10;p3CU3AAAAAcBAAAPAAAAAAAAAAAAAAAAAGwEAABkcnMvZG93bnJldi54bWxQSwUGAAAAAAQABADz&#10;AAAAdQUAAAAA&#10;" stroked="f">
                <v:textbox style="mso-fit-shape-to-text:t">
                  <w:txbxContent>
                    <w:p w14:paraId="7942A683" w14:textId="77777777" w:rsidR="0087280A" w:rsidRPr="00FE108E" w:rsidRDefault="0087280A" w:rsidP="0087280A">
                      <w:pPr>
                        <w:jc w:val="center"/>
                        <w:rPr>
                          <w:b/>
                          <w:bCs/>
                          <w:sz w:val="48"/>
                          <w:szCs w:val="48"/>
                          <w:lang w:val="en-US"/>
                        </w:rPr>
                      </w:pPr>
                      <w:r w:rsidRPr="00FE108E">
                        <w:rPr>
                          <w:b/>
                          <w:bCs/>
                          <w:sz w:val="48"/>
                          <w:szCs w:val="48"/>
                          <w:lang w:val="en-US"/>
                        </w:rPr>
                        <w:t>Written Status Report</w:t>
                      </w:r>
                    </w:p>
                  </w:txbxContent>
                </v:textbox>
                <w10:wrap type="square" anchorx="margin"/>
              </v:shape>
            </w:pict>
          </mc:Fallback>
        </mc:AlternateContent>
      </w:r>
    </w:p>
    <w:p w14:paraId="1EF9605E" w14:textId="77777777" w:rsidR="0087280A" w:rsidRPr="00B967B5" w:rsidRDefault="0087280A" w:rsidP="001222CC">
      <w:pPr>
        <w:rPr>
          <w:rFonts w:cs="Calibri"/>
          <w:lang w:val="en-US"/>
        </w:rPr>
      </w:pPr>
    </w:p>
    <w:p w14:paraId="7B3FB258" w14:textId="77777777" w:rsidR="0087280A" w:rsidRPr="00B967B5" w:rsidRDefault="0087280A" w:rsidP="001222CC">
      <w:pPr>
        <w:rPr>
          <w:rFonts w:cs="Calibri"/>
          <w:lang w:val="en-US"/>
        </w:rPr>
      </w:pPr>
    </w:p>
    <w:p w14:paraId="71BBC95D" w14:textId="77777777" w:rsidR="0087280A" w:rsidRPr="00B967B5" w:rsidRDefault="0087280A" w:rsidP="001222CC">
      <w:pPr>
        <w:rPr>
          <w:rFonts w:cs="Calibri"/>
          <w:lang w:val="en-US"/>
        </w:rPr>
      </w:pPr>
    </w:p>
    <w:p w14:paraId="59CFC524" w14:textId="77777777" w:rsidR="0087280A" w:rsidRPr="00B967B5" w:rsidRDefault="0087280A" w:rsidP="001222CC">
      <w:pPr>
        <w:rPr>
          <w:rFonts w:cs="Calibri"/>
          <w:lang w:val="en-US"/>
        </w:rPr>
      </w:pPr>
    </w:p>
    <w:p w14:paraId="0D1533D3" w14:textId="77777777" w:rsidR="0087280A" w:rsidRPr="00B967B5" w:rsidRDefault="0087280A" w:rsidP="001222CC">
      <w:pPr>
        <w:rPr>
          <w:rFonts w:cs="Calibri"/>
          <w:lang w:val="en-US"/>
        </w:rPr>
      </w:pPr>
    </w:p>
    <w:p w14:paraId="0AF95241" w14:textId="77777777" w:rsidR="0087280A" w:rsidRPr="00B967B5" w:rsidRDefault="0087280A" w:rsidP="001222CC">
      <w:pPr>
        <w:rPr>
          <w:rFonts w:cs="Calibri"/>
          <w:lang w:val="en-US"/>
        </w:rPr>
      </w:pPr>
    </w:p>
    <w:p w14:paraId="24C458F8" w14:textId="77777777" w:rsidR="0087280A" w:rsidRPr="00B967B5" w:rsidRDefault="0087280A" w:rsidP="001222CC">
      <w:pPr>
        <w:rPr>
          <w:rFonts w:cs="Calibri"/>
          <w:lang w:val="en-US"/>
        </w:rPr>
      </w:pPr>
    </w:p>
    <w:p w14:paraId="628051FC" w14:textId="77777777" w:rsidR="0087280A" w:rsidRPr="00B967B5" w:rsidRDefault="0087280A" w:rsidP="001222CC">
      <w:pPr>
        <w:rPr>
          <w:rFonts w:cs="Calibri"/>
          <w:lang w:val="en-US"/>
        </w:rPr>
      </w:pPr>
    </w:p>
    <w:p w14:paraId="0268ED62" w14:textId="77777777" w:rsidR="0087280A" w:rsidRPr="00B967B5" w:rsidRDefault="0087280A" w:rsidP="001222CC">
      <w:pPr>
        <w:rPr>
          <w:rFonts w:cs="Calibri"/>
          <w:lang w:val="en-US"/>
        </w:rPr>
      </w:pPr>
    </w:p>
    <w:p w14:paraId="319FED7F" w14:textId="77777777" w:rsidR="0087280A" w:rsidRPr="00B967B5" w:rsidRDefault="0087280A" w:rsidP="001222CC">
      <w:pPr>
        <w:rPr>
          <w:rFonts w:cs="Calibri"/>
          <w:lang w:val="en-US"/>
        </w:rPr>
      </w:pPr>
    </w:p>
    <w:p w14:paraId="08E8A656" w14:textId="77777777" w:rsidR="0087280A" w:rsidRPr="00B967B5" w:rsidRDefault="0087280A" w:rsidP="001222CC">
      <w:pPr>
        <w:rPr>
          <w:rFonts w:cs="Calibri"/>
          <w:lang w:val="en-US"/>
        </w:rPr>
      </w:pPr>
    </w:p>
    <w:p w14:paraId="5D433DBE" w14:textId="2FABAD3E" w:rsidR="0087280A" w:rsidRPr="00B967B5" w:rsidRDefault="002A2FA8" w:rsidP="001222CC">
      <w:pPr>
        <w:rPr>
          <w:rFonts w:cs="Calibri"/>
          <w:lang w:val="en-US"/>
        </w:rPr>
      </w:pPr>
      <w:r w:rsidRPr="00B967B5">
        <w:rPr>
          <w:rFonts w:cs="Calibri"/>
          <w:noProof/>
        </w:rPr>
        <mc:AlternateContent>
          <mc:Choice Requires="wps">
            <w:drawing>
              <wp:anchor distT="0" distB="0" distL="114300" distR="114300" simplePos="0" relativeHeight="251664384" behindDoc="0" locked="0" layoutInCell="1" allowOverlap="1" wp14:anchorId="36F814F5" wp14:editId="59192B6A">
                <wp:simplePos x="0" y="0"/>
                <wp:positionH relativeFrom="margin">
                  <wp:align>left</wp:align>
                </wp:positionH>
                <wp:positionV relativeFrom="margin">
                  <wp:posOffset>5981700</wp:posOffset>
                </wp:positionV>
                <wp:extent cx="7811135" cy="1920240"/>
                <wp:effectExtent l="0" t="0" r="0" b="3810"/>
                <wp:wrapSquare wrapText="bothSides"/>
                <wp:docPr id="153" name="Text Box 161"/>
                <wp:cNvGraphicFramePr/>
                <a:graphic xmlns:a="http://schemas.openxmlformats.org/drawingml/2006/main">
                  <a:graphicData uri="http://schemas.microsoft.com/office/word/2010/wordprocessingShape">
                    <wps:wsp>
                      <wps:cNvSpPr/>
                      <wps:spPr>
                        <a:xfrm>
                          <a:off x="0" y="0"/>
                          <a:ext cx="7811135" cy="1920240"/>
                        </a:xfrm>
                        <a:prstGeom prst="rect">
                          <a:avLst/>
                        </a:prstGeom>
                        <a:noFill/>
                        <a:ln w="6350">
                          <a:noFill/>
                        </a:ln>
                      </wps:spPr>
                      <wps:style>
                        <a:lnRef idx="0">
                          <a:schemeClr val="accent1"/>
                        </a:lnRef>
                        <a:fillRef idx="0">
                          <a:schemeClr val="accent1"/>
                        </a:fillRef>
                        <a:effectRef idx="0">
                          <a:scrgbClr r="0" g="0" b="0"/>
                        </a:effectRef>
                        <a:fontRef idx="minor">
                          <a:schemeClr val="dk1"/>
                        </a:fontRef>
                      </wps:style>
                      <wps:txbx>
                        <w:txbxContent>
                          <w:p w14:paraId="64DB4210" w14:textId="77777777" w:rsidR="0087280A" w:rsidRPr="002A2FA8" w:rsidRDefault="0087280A" w:rsidP="0087280A">
                            <w:pPr>
                              <w:spacing w:line="256" w:lineRule="auto"/>
                              <w:rPr>
                                <w:rFonts w:eastAsia="Aptos" w:cs="Calibri"/>
                                <w:b/>
                                <w:color w:val="000000" w:themeColor="dark1"/>
                                <w:kern w:val="0"/>
                                <w:sz w:val="28"/>
                                <w:szCs w:val="28"/>
                                <w14:ligatures w14:val="none"/>
                              </w:rPr>
                            </w:pPr>
                            <w:r w:rsidRPr="002A2FA8">
                              <w:rPr>
                                <w:rFonts w:eastAsia="Aptos" w:cs="Calibri"/>
                                <w:b/>
                                <w:color w:val="000000" w:themeColor="dark1"/>
                                <w:sz w:val="28"/>
                                <w:szCs w:val="28"/>
                              </w:rPr>
                              <w:t xml:space="preserve">Arora, Prachi – Project </w:t>
                            </w:r>
                            <w:r w:rsidRPr="002A2FA8">
                              <w:rPr>
                                <w:rFonts w:cs="Calibri"/>
                                <w:b/>
                                <w:color w:val="000000" w:themeColor="dark1"/>
                                <w:sz w:val="28"/>
                                <w:szCs w:val="28"/>
                              </w:rPr>
                              <w:t>M</w:t>
                            </w:r>
                            <w:r w:rsidRPr="002A2FA8">
                              <w:rPr>
                                <w:rFonts w:eastAsia="Aptos" w:cs="Calibri"/>
                                <w:b/>
                                <w:color w:val="000000" w:themeColor="dark1"/>
                                <w:sz w:val="28"/>
                                <w:szCs w:val="28"/>
                              </w:rPr>
                              <w:t>anager</w:t>
                            </w:r>
                          </w:p>
                          <w:p w14:paraId="4A8241AB" w14:textId="77777777" w:rsidR="0087280A" w:rsidRPr="002A2FA8" w:rsidRDefault="0087280A" w:rsidP="0087280A">
                            <w:pPr>
                              <w:spacing w:line="256" w:lineRule="auto"/>
                              <w:rPr>
                                <w:rFonts w:eastAsia="Aptos" w:cs="Calibri"/>
                                <w:b/>
                                <w:color w:val="000000" w:themeColor="dark1"/>
                                <w:sz w:val="28"/>
                                <w:szCs w:val="28"/>
                              </w:rPr>
                            </w:pPr>
                            <w:r w:rsidRPr="002A2FA8">
                              <w:rPr>
                                <w:rFonts w:eastAsia="Aptos" w:cs="Calibri"/>
                                <w:b/>
                                <w:color w:val="000000" w:themeColor="dark1"/>
                                <w:sz w:val="28"/>
                                <w:szCs w:val="28"/>
                              </w:rPr>
                              <w:t>Abraham, Sruthi – Team Lead</w:t>
                            </w:r>
                          </w:p>
                          <w:p w14:paraId="021E1F82" w14:textId="77777777" w:rsidR="0087280A" w:rsidRPr="002A2FA8" w:rsidRDefault="0087280A" w:rsidP="0087280A">
                            <w:pPr>
                              <w:spacing w:line="256" w:lineRule="auto"/>
                              <w:rPr>
                                <w:rFonts w:eastAsia="Aptos" w:cs="Calibri"/>
                                <w:b/>
                                <w:color w:val="000000" w:themeColor="dark1"/>
                                <w:sz w:val="28"/>
                                <w:szCs w:val="28"/>
                              </w:rPr>
                            </w:pPr>
                            <w:r w:rsidRPr="002A2FA8">
                              <w:rPr>
                                <w:rFonts w:eastAsia="Aptos" w:cs="Calibri"/>
                                <w:b/>
                                <w:color w:val="000000" w:themeColor="dark1"/>
                                <w:sz w:val="28"/>
                                <w:szCs w:val="28"/>
                              </w:rPr>
                              <w:t>Patel, Rutvi Manishbhai – Business Analyst</w:t>
                            </w:r>
                          </w:p>
                          <w:p w14:paraId="58AB5E4B" w14:textId="77777777" w:rsidR="0087280A" w:rsidRPr="002A2FA8" w:rsidRDefault="0087280A" w:rsidP="0087280A">
                            <w:pPr>
                              <w:spacing w:line="256" w:lineRule="auto"/>
                              <w:rPr>
                                <w:rFonts w:eastAsia="Aptos" w:cs="Calibri"/>
                                <w:b/>
                                <w:color w:val="000000" w:themeColor="dark1"/>
                                <w:sz w:val="28"/>
                                <w:szCs w:val="28"/>
                              </w:rPr>
                            </w:pPr>
                            <w:r w:rsidRPr="002A2FA8">
                              <w:rPr>
                                <w:rFonts w:eastAsia="Aptos" w:cs="Calibri"/>
                                <w:b/>
                                <w:color w:val="000000" w:themeColor="dark1"/>
                                <w:sz w:val="28"/>
                                <w:szCs w:val="28"/>
                              </w:rPr>
                              <w:t>Sandra Marya, Sandra Marya – Business Analyst</w:t>
                            </w:r>
                          </w:p>
                          <w:p w14:paraId="414D598F" w14:textId="77777777" w:rsidR="0087280A" w:rsidRDefault="0087280A" w:rsidP="0087280A">
                            <w:pPr>
                              <w:spacing w:line="256" w:lineRule="auto"/>
                              <w:rPr>
                                <w:rFonts w:eastAsia="Aptos" w:cs="Calibri"/>
                                <w:b/>
                                <w:color w:val="000000" w:themeColor="dark1"/>
                                <w:sz w:val="28"/>
                                <w:szCs w:val="28"/>
                              </w:rPr>
                            </w:pPr>
                            <w:r w:rsidRPr="002A2FA8">
                              <w:rPr>
                                <w:rFonts w:eastAsia="Aptos" w:cs="Calibri"/>
                                <w:b/>
                                <w:color w:val="000000" w:themeColor="dark1"/>
                                <w:sz w:val="28"/>
                                <w:szCs w:val="28"/>
                              </w:rPr>
                              <w:t>Varahabhatla Karthik Venkata, Rama Murthy – Business Analyst</w:t>
                            </w:r>
                          </w:p>
                          <w:p w14:paraId="561F8093" w14:textId="77777777" w:rsidR="005E6642" w:rsidRPr="002A2FA8" w:rsidRDefault="005E6642" w:rsidP="0087280A">
                            <w:pPr>
                              <w:spacing w:line="256" w:lineRule="auto"/>
                              <w:rPr>
                                <w:rFonts w:eastAsia="Aptos" w:cs="Calibri"/>
                                <w:b/>
                                <w:color w:val="000000" w:themeColor="dark1"/>
                                <w:sz w:val="28"/>
                                <w:szCs w:val="28"/>
                              </w:rPr>
                            </w:pPr>
                          </w:p>
                          <w:p w14:paraId="4F71AC86" w14:textId="77777777" w:rsidR="0087280A" w:rsidRPr="002A2FA8" w:rsidRDefault="0087280A" w:rsidP="0087280A">
                            <w:pPr>
                              <w:spacing w:line="256" w:lineRule="auto"/>
                              <w:jc w:val="center"/>
                              <w:rPr>
                                <w:rFonts w:eastAsia="Aptos" w:cs="Calibri"/>
                                <w:color w:val="595959"/>
                                <w:sz w:val="28"/>
                                <w:szCs w:val="28"/>
                              </w:rPr>
                            </w:pPr>
                            <w:r w:rsidRPr="002A2FA8">
                              <w:rPr>
                                <w:rFonts w:eastAsia="Aptos" w:cs="Calibri"/>
                                <w:color w:val="595959"/>
                                <w:sz w:val="28"/>
                                <w:szCs w:val="28"/>
                              </w:rPr>
                              <w:t> </w:t>
                            </w:r>
                          </w:p>
                        </w:txbxContent>
                      </wps:txbx>
                      <wps:bodyPr spcFirstLastPara="0" wrap="square" lIns="1600200" tIns="0" rIns="685800" bIns="0" anchor="t">
                        <a:noAutofit/>
                      </wps:bodyPr>
                    </wps:wsp>
                  </a:graphicData>
                </a:graphic>
                <wp14:sizeRelH relativeFrom="page">
                  <wp14:pctWidth>0</wp14:pctWidth>
                </wp14:sizeRelH>
                <wp14:sizeRelV relativeFrom="page">
                  <wp14:pctHeight>0</wp14:pctHeight>
                </wp14:sizeRelV>
              </wp:anchor>
            </w:drawing>
          </mc:Choice>
          <mc:Fallback>
            <w:pict>
              <v:rect w14:anchorId="36F814F5" id="Text Box 161" o:spid="_x0000_s1030" style="position:absolute;left:0;text-align:left;margin-left:0;margin-top:471pt;width:615.05pt;height:151.2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wB6EgIAAFIEAAAOAAAAZHJzL2Uyb0RvYy54bWysVM1u2zAMvg/YOwi6L7bTJsuCOMWwIsOA&#10;Ygva7QEUWYqFyZJGqbHz9qOYxBna04ZdZIriz0fyo1d3Q2fZQUE03tW8mpScKSd9Y9y+5j++b94t&#10;OItJuEZY71TNjyryu/XbN6s+LNXUt942ChgGcXHZh5q3KYVlUUTZqk7EiQ/K4aP20ImEV9gXDYge&#10;o3e2mJblvOg9NAG8VDGi9v70yNcUX2sl0zeto0rM1hyxJTqBzl0+i/VKLPcgQmvkGYb4BxSdMA6T&#10;jqHuRRLsGcyrUJ2R4KPXaSJ9V3itjVRUA1ZTlS+qeWpFUFQLNieGsU3x/4WVXw9PYQvYhj7EZUQx&#10;VzFo6PIX8bGBmnUcm6WGxCQq3y+qqrqZcSbxrfowLae31M7i6h4gps/KdywLNQecBjVJHB5iwpRo&#10;ejHJ2ZzfGGtpItaxvubzm1lJDuMLeliHjlewJKWjVTmCdY9KM9MQ5qwgHqlPFthBIAOElMqlKk+d&#10;IqF1ttKY9m8cz/bZVRHHXjnDfpeTnoiGm4DUu9ANE49OlNy7NPp3xnmgkl8gb35eUOuT/aUJp9Jz&#10;F9KwG7D2mt/m+rJm55vjFlgMcmNwAg8ipq0A5DfC6ZHzNY+/ngUozuwXh6Sq5mWJS4VrQlcUgIT5&#10;YrbI6t1FLZxsPRZ3GqfzH5+T14ZGes17RojEpW6flyxvxp93srr+Cta/AQAA//8DAFBLAwQUAAYA&#10;CAAAACEAQyapvN8AAAAKAQAADwAAAGRycy9kb3ducmV2LnhtbEyPUUvDMBSF3wX/Q7iCL+KS1SK2&#10;azpEEUQQdI493zWxrSY3bZJt9d+bPunbuZzDud+p1pM17Kh96B1JWC4EME2NUz21ErYfT9d3wEJE&#10;UmgcaQk/OsC6Pj+rsFTuRO/6uIktSyUUSpTQxTiUnIem0xbDwg2akvfpvMWYTt9y5fGUyq3hmRC3&#10;3GJP6UOHg37odPO9OVgJ41vhrnizFa8Gn4tHP427l69RysuL6X4FLOop/oVhxk/oUCemvTuQCsxI&#10;SEOihCLPkpjt7EYsge1nlec58Lri/yfUvwAAAP//AwBQSwECLQAUAAYACAAAACEAtoM4kv4AAADh&#10;AQAAEwAAAAAAAAAAAAAAAAAAAAAAW0NvbnRlbnRfVHlwZXNdLnhtbFBLAQItABQABgAIAAAAIQA4&#10;/SH/1gAAAJQBAAALAAAAAAAAAAAAAAAAAC8BAABfcmVscy8ucmVsc1BLAQItABQABgAIAAAAIQCh&#10;TwB6EgIAAFIEAAAOAAAAAAAAAAAAAAAAAC4CAABkcnMvZTJvRG9jLnhtbFBLAQItABQABgAIAAAA&#10;IQBDJqm83wAAAAoBAAAPAAAAAAAAAAAAAAAAAGwEAABkcnMvZG93bnJldi54bWxQSwUGAAAAAAQA&#10;BADzAAAAeAUAAAAA&#10;" filled="f" stroked="f" strokeweight=".5pt">
                <v:textbox inset="126pt,0,54pt,0">
                  <w:txbxContent>
                    <w:p w14:paraId="64DB4210" w14:textId="77777777" w:rsidR="0087280A" w:rsidRPr="002A2FA8" w:rsidRDefault="0087280A" w:rsidP="0087280A">
                      <w:pPr>
                        <w:spacing w:line="256" w:lineRule="auto"/>
                        <w:rPr>
                          <w:rFonts w:eastAsia="Aptos" w:cs="Calibri"/>
                          <w:b/>
                          <w:color w:val="000000" w:themeColor="dark1"/>
                          <w:kern w:val="0"/>
                          <w:sz w:val="28"/>
                          <w:szCs w:val="28"/>
                          <w14:ligatures w14:val="none"/>
                        </w:rPr>
                      </w:pPr>
                      <w:r w:rsidRPr="002A2FA8">
                        <w:rPr>
                          <w:rFonts w:eastAsia="Aptos" w:cs="Calibri"/>
                          <w:b/>
                          <w:color w:val="000000" w:themeColor="dark1"/>
                          <w:sz w:val="28"/>
                          <w:szCs w:val="28"/>
                        </w:rPr>
                        <w:t xml:space="preserve">Arora, Prachi – Project </w:t>
                      </w:r>
                      <w:r w:rsidRPr="002A2FA8">
                        <w:rPr>
                          <w:rFonts w:cs="Calibri"/>
                          <w:b/>
                          <w:color w:val="000000" w:themeColor="dark1"/>
                          <w:sz w:val="28"/>
                          <w:szCs w:val="28"/>
                        </w:rPr>
                        <w:t>M</w:t>
                      </w:r>
                      <w:r w:rsidRPr="002A2FA8">
                        <w:rPr>
                          <w:rFonts w:eastAsia="Aptos" w:cs="Calibri"/>
                          <w:b/>
                          <w:color w:val="000000" w:themeColor="dark1"/>
                          <w:sz w:val="28"/>
                          <w:szCs w:val="28"/>
                        </w:rPr>
                        <w:t>anager</w:t>
                      </w:r>
                    </w:p>
                    <w:p w14:paraId="4A8241AB" w14:textId="77777777" w:rsidR="0087280A" w:rsidRPr="002A2FA8" w:rsidRDefault="0087280A" w:rsidP="0087280A">
                      <w:pPr>
                        <w:spacing w:line="256" w:lineRule="auto"/>
                        <w:rPr>
                          <w:rFonts w:eastAsia="Aptos" w:cs="Calibri"/>
                          <w:b/>
                          <w:color w:val="000000" w:themeColor="dark1"/>
                          <w:sz w:val="28"/>
                          <w:szCs w:val="28"/>
                        </w:rPr>
                      </w:pPr>
                      <w:r w:rsidRPr="002A2FA8">
                        <w:rPr>
                          <w:rFonts w:eastAsia="Aptos" w:cs="Calibri"/>
                          <w:b/>
                          <w:color w:val="000000" w:themeColor="dark1"/>
                          <w:sz w:val="28"/>
                          <w:szCs w:val="28"/>
                        </w:rPr>
                        <w:t>Abraham, Sruthi – Team Lead</w:t>
                      </w:r>
                    </w:p>
                    <w:p w14:paraId="021E1F82" w14:textId="77777777" w:rsidR="0087280A" w:rsidRPr="002A2FA8" w:rsidRDefault="0087280A" w:rsidP="0087280A">
                      <w:pPr>
                        <w:spacing w:line="256" w:lineRule="auto"/>
                        <w:rPr>
                          <w:rFonts w:eastAsia="Aptos" w:cs="Calibri"/>
                          <w:b/>
                          <w:color w:val="000000" w:themeColor="dark1"/>
                          <w:sz w:val="28"/>
                          <w:szCs w:val="28"/>
                        </w:rPr>
                      </w:pPr>
                      <w:r w:rsidRPr="002A2FA8">
                        <w:rPr>
                          <w:rFonts w:eastAsia="Aptos" w:cs="Calibri"/>
                          <w:b/>
                          <w:color w:val="000000" w:themeColor="dark1"/>
                          <w:sz w:val="28"/>
                          <w:szCs w:val="28"/>
                        </w:rPr>
                        <w:t>Patel, Rutvi Manishbhai – Business Analyst</w:t>
                      </w:r>
                    </w:p>
                    <w:p w14:paraId="58AB5E4B" w14:textId="77777777" w:rsidR="0087280A" w:rsidRPr="002A2FA8" w:rsidRDefault="0087280A" w:rsidP="0087280A">
                      <w:pPr>
                        <w:spacing w:line="256" w:lineRule="auto"/>
                        <w:rPr>
                          <w:rFonts w:eastAsia="Aptos" w:cs="Calibri"/>
                          <w:b/>
                          <w:color w:val="000000" w:themeColor="dark1"/>
                          <w:sz w:val="28"/>
                          <w:szCs w:val="28"/>
                        </w:rPr>
                      </w:pPr>
                      <w:r w:rsidRPr="002A2FA8">
                        <w:rPr>
                          <w:rFonts w:eastAsia="Aptos" w:cs="Calibri"/>
                          <w:b/>
                          <w:color w:val="000000" w:themeColor="dark1"/>
                          <w:sz w:val="28"/>
                          <w:szCs w:val="28"/>
                        </w:rPr>
                        <w:t>Sandra Marya, Sandra Marya – Business Analyst</w:t>
                      </w:r>
                    </w:p>
                    <w:p w14:paraId="414D598F" w14:textId="77777777" w:rsidR="0087280A" w:rsidRDefault="0087280A" w:rsidP="0087280A">
                      <w:pPr>
                        <w:spacing w:line="256" w:lineRule="auto"/>
                        <w:rPr>
                          <w:rFonts w:eastAsia="Aptos" w:cs="Calibri"/>
                          <w:b/>
                          <w:color w:val="000000" w:themeColor="dark1"/>
                          <w:sz w:val="28"/>
                          <w:szCs w:val="28"/>
                        </w:rPr>
                      </w:pPr>
                      <w:r w:rsidRPr="002A2FA8">
                        <w:rPr>
                          <w:rFonts w:eastAsia="Aptos" w:cs="Calibri"/>
                          <w:b/>
                          <w:color w:val="000000" w:themeColor="dark1"/>
                          <w:sz w:val="28"/>
                          <w:szCs w:val="28"/>
                        </w:rPr>
                        <w:t>Varahabhatla Karthik Venkata, Rama Murthy – Business Analyst</w:t>
                      </w:r>
                    </w:p>
                    <w:p w14:paraId="561F8093" w14:textId="77777777" w:rsidR="005E6642" w:rsidRPr="002A2FA8" w:rsidRDefault="005E6642" w:rsidP="0087280A">
                      <w:pPr>
                        <w:spacing w:line="256" w:lineRule="auto"/>
                        <w:rPr>
                          <w:rFonts w:eastAsia="Aptos" w:cs="Calibri"/>
                          <w:b/>
                          <w:color w:val="000000" w:themeColor="dark1"/>
                          <w:sz w:val="28"/>
                          <w:szCs w:val="28"/>
                        </w:rPr>
                      </w:pPr>
                    </w:p>
                    <w:p w14:paraId="4F71AC86" w14:textId="77777777" w:rsidR="0087280A" w:rsidRPr="002A2FA8" w:rsidRDefault="0087280A" w:rsidP="0087280A">
                      <w:pPr>
                        <w:spacing w:line="256" w:lineRule="auto"/>
                        <w:jc w:val="center"/>
                        <w:rPr>
                          <w:rFonts w:eastAsia="Aptos" w:cs="Calibri"/>
                          <w:color w:val="595959"/>
                          <w:sz w:val="28"/>
                          <w:szCs w:val="28"/>
                        </w:rPr>
                      </w:pPr>
                      <w:r w:rsidRPr="002A2FA8">
                        <w:rPr>
                          <w:rFonts w:eastAsia="Aptos" w:cs="Calibri"/>
                          <w:color w:val="595959"/>
                          <w:sz w:val="28"/>
                          <w:szCs w:val="28"/>
                        </w:rPr>
                        <w:t> </w:t>
                      </w:r>
                    </w:p>
                  </w:txbxContent>
                </v:textbox>
                <w10:wrap type="square" anchorx="margin" anchory="margin"/>
              </v:rect>
            </w:pict>
          </mc:Fallback>
        </mc:AlternateContent>
      </w:r>
    </w:p>
    <w:sdt>
      <w:sdtPr>
        <w:rPr>
          <w:rFonts w:ascii="Calibri" w:eastAsiaTheme="minorHAnsi" w:hAnsi="Calibri" w:cs="Calibri"/>
          <w:color w:val="auto"/>
          <w:kern w:val="2"/>
          <w:sz w:val="22"/>
          <w:szCs w:val="22"/>
          <w:lang w:val="en-CA"/>
          <w14:ligatures w14:val="standardContextual"/>
        </w:rPr>
        <w:id w:val="-1049677576"/>
        <w:docPartObj>
          <w:docPartGallery w:val="Table of Contents"/>
          <w:docPartUnique/>
        </w:docPartObj>
      </w:sdtPr>
      <w:sdtEndPr>
        <w:rPr>
          <w:b/>
          <w:bCs/>
          <w:noProof/>
        </w:rPr>
      </w:sdtEndPr>
      <w:sdtContent>
        <w:p w14:paraId="6E4A9013" w14:textId="543D0BDA" w:rsidR="009F5204" w:rsidRPr="005E6642" w:rsidRDefault="009F5204" w:rsidP="001222CC">
          <w:pPr>
            <w:pStyle w:val="TOCHeading"/>
            <w:rPr>
              <w:rFonts w:ascii="Calibri" w:eastAsiaTheme="minorHAnsi" w:hAnsi="Calibri" w:cs="Calibri"/>
              <w:color w:val="auto"/>
              <w:kern w:val="2"/>
              <w:sz w:val="22"/>
              <w:szCs w:val="22"/>
              <w:lang w:val="en-CA"/>
              <w14:ligatures w14:val="standardContextual"/>
            </w:rPr>
          </w:pPr>
          <w:r w:rsidRPr="00B967B5">
            <w:rPr>
              <w:rFonts w:ascii="Calibri" w:hAnsi="Calibri" w:cs="Calibri"/>
            </w:rPr>
            <w:t>Table of Contents</w:t>
          </w:r>
        </w:p>
        <w:p w14:paraId="73D167AC" w14:textId="6F857D93" w:rsidR="006378C0" w:rsidRDefault="009F5204">
          <w:pPr>
            <w:pStyle w:val="TOC1"/>
            <w:tabs>
              <w:tab w:val="right" w:leader="dot" w:pos="9350"/>
            </w:tabs>
            <w:rPr>
              <w:rFonts w:asciiTheme="minorHAnsi" w:eastAsiaTheme="minorEastAsia" w:hAnsiTheme="minorHAnsi"/>
              <w:noProof/>
              <w:sz w:val="24"/>
              <w:szCs w:val="24"/>
              <w:lang w:eastAsia="en-CA"/>
            </w:rPr>
          </w:pPr>
          <w:r w:rsidRPr="00B967B5">
            <w:rPr>
              <w:rFonts w:cs="Calibri"/>
            </w:rPr>
            <w:fldChar w:fldCharType="begin"/>
          </w:r>
          <w:r w:rsidRPr="00B967B5">
            <w:rPr>
              <w:rFonts w:cs="Calibri"/>
            </w:rPr>
            <w:instrText xml:space="preserve"> TOC \o "1-3" \h \z \u </w:instrText>
          </w:r>
          <w:r w:rsidRPr="00B967B5">
            <w:rPr>
              <w:rFonts w:cs="Calibri"/>
            </w:rPr>
            <w:fldChar w:fldCharType="separate"/>
          </w:r>
          <w:hyperlink w:anchor="_Toc178363723" w:history="1">
            <w:r w:rsidR="006378C0" w:rsidRPr="00C42A59">
              <w:rPr>
                <w:rStyle w:val="Hyperlink"/>
                <w:noProof/>
                <w:lang w:val="en-US"/>
              </w:rPr>
              <w:t>Introduction</w:t>
            </w:r>
            <w:r w:rsidR="006378C0">
              <w:rPr>
                <w:noProof/>
                <w:webHidden/>
              </w:rPr>
              <w:tab/>
            </w:r>
            <w:r w:rsidR="006378C0">
              <w:rPr>
                <w:noProof/>
                <w:webHidden/>
              </w:rPr>
              <w:fldChar w:fldCharType="begin"/>
            </w:r>
            <w:r w:rsidR="006378C0">
              <w:rPr>
                <w:noProof/>
                <w:webHidden/>
              </w:rPr>
              <w:instrText xml:space="preserve"> PAGEREF _Toc178363723 \h </w:instrText>
            </w:r>
            <w:r w:rsidR="006378C0">
              <w:rPr>
                <w:noProof/>
                <w:webHidden/>
              </w:rPr>
            </w:r>
            <w:r w:rsidR="006378C0">
              <w:rPr>
                <w:noProof/>
                <w:webHidden/>
              </w:rPr>
              <w:fldChar w:fldCharType="separate"/>
            </w:r>
            <w:r w:rsidR="006378C0">
              <w:rPr>
                <w:noProof/>
                <w:webHidden/>
              </w:rPr>
              <w:t>3</w:t>
            </w:r>
            <w:r w:rsidR="006378C0">
              <w:rPr>
                <w:noProof/>
                <w:webHidden/>
              </w:rPr>
              <w:fldChar w:fldCharType="end"/>
            </w:r>
          </w:hyperlink>
        </w:p>
        <w:p w14:paraId="43831E21" w14:textId="31195E6F" w:rsidR="006378C0" w:rsidRDefault="00C43B93">
          <w:pPr>
            <w:pStyle w:val="TOC1"/>
            <w:tabs>
              <w:tab w:val="right" w:leader="dot" w:pos="9350"/>
            </w:tabs>
            <w:rPr>
              <w:rFonts w:asciiTheme="minorHAnsi" w:eastAsiaTheme="minorEastAsia" w:hAnsiTheme="minorHAnsi"/>
              <w:noProof/>
              <w:sz w:val="24"/>
              <w:szCs w:val="24"/>
              <w:lang w:eastAsia="en-CA"/>
            </w:rPr>
          </w:pPr>
          <w:hyperlink w:anchor="_Toc178363724" w:history="1">
            <w:r w:rsidR="006378C0" w:rsidRPr="00C42A59">
              <w:rPr>
                <w:rStyle w:val="Hyperlink"/>
                <w:noProof/>
                <w:lang w:val="en-US"/>
              </w:rPr>
              <w:t>Preliminary Results</w:t>
            </w:r>
            <w:r w:rsidR="006378C0">
              <w:rPr>
                <w:noProof/>
                <w:webHidden/>
              </w:rPr>
              <w:tab/>
            </w:r>
            <w:r w:rsidR="006378C0">
              <w:rPr>
                <w:noProof/>
                <w:webHidden/>
              </w:rPr>
              <w:fldChar w:fldCharType="begin"/>
            </w:r>
            <w:r w:rsidR="006378C0">
              <w:rPr>
                <w:noProof/>
                <w:webHidden/>
              </w:rPr>
              <w:instrText xml:space="preserve"> PAGEREF _Toc178363724 \h </w:instrText>
            </w:r>
            <w:r w:rsidR="006378C0">
              <w:rPr>
                <w:noProof/>
                <w:webHidden/>
              </w:rPr>
            </w:r>
            <w:r w:rsidR="006378C0">
              <w:rPr>
                <w:noProof/>
                <w:webHidden/>
              </w:rPr>
              <w:fldChar w:fldCharType="separate"/>
            </w:r>
            <w:r w:rsidR="006378C0">
              <w:rPr>
                <w:noProof/>
                <w:webHidden/>
              </w:rPr>
              <w:t>4</w:t>
            </w:r>
            <w:r w:rsidR="006378C0">
              <w:rPr>
                <w:noProof/>
                <w:webHidden/>
              </w:rPr>
              <w:fldChar w:fldCharType="end"/>
            </w:r>
          </w:hyperlink>
        </w:p>
        <w:p w14:paraId="1827C084" w14:textId="0788A1E5" w:rsidR="006378C0" w:rsidRDefault="00C43B93">
          <w:pPr>
            <w:pStyle w:val="TOC3"/>
            <w:tabs>
              <w:tab w:val="right" w:leader="dot" w:pos="9350"/>
            </w:tabs>
            <w:rPr>
              <w:rFonts w:asciiTheme="minorHAnsi" w:eastAsiaTheme="minorEastAsia" w:hAnsiTheme="minorHAnsi"/>
              <w:noProof/>
              <w:sz w:val="24"/>
              <w:szCs w:val="24"/>
              <w:lang w:eastAsia="en-CA"/>
            </w:rPr>
          </w:pPr>
          <w:hyperlink w:anchor="_Toc178363725" w:history="1">
            <w:r w:rsidR="006378C0" w:rsidRPr="00C42A59">
              <w:rPr>
                <w:rStyle w:val="Hyperlink"/>
                <w:noProof/>
                <w:lang w:val="en-US"/>
              </w:rPr>
              <w:t>Where you see the client today</w:t>
            </w:r>
            <w:r w:rsidR="006378C0">
              <w:rPr>
                <w:noProof/>
                <w:webHidden/>
              </w:rPr>
              <w:tab/>
            </w:r>
            <w:r w:rsidR="006378C0">
              <w:rPr>
                <w:noProof/>
                <w:webHidden/>
              </w:rPr>
              <w:fldChar w:fldCharType="begin"/>
            </w:r>
            <w:r w:rsidR="006378C0">
              <w:rPr>
                <w:noProof/>
                <w:webHidden/>
              </w:rPr>
              <w:instrText xml:space="preserve"> PAGEREF _Toc178363725 \h </w:instrText>
            </w:r>
            <w:r w:rsidR="006378C0">
              <w:rPr>
                <w:noProof/>
                <w:webHidden/>
              </w:rPr>
            </w:r>
            <w:r w:rsidR="006378C0">
              <w:rPr>
                <w:noProof/>
                <w:webHidden/>
              </w:rPr>
              <w:fldChar w:fldCharType="separate"/>
            </w:r>
            <w:r w:rsidR="006378C0">
              <w:rPr>
                <w:noProof/>
                <w:webHidden/>
              </w:rPr>
              <w:t>4</w:t>
            </w:r>
            <w:r w:rsidR="006378C0">
              <w:rPr>
                <w:noProof/>
                <w:webHidden/>
              </w:rPr>
              <w:fldChar w:fldCharType="end"/>
            </w:r>
          </w:hyperlink>
        </w:p>
        <w:p w14:paraId="48114A57" w14:textId="4153CE53" w:rsidR="006378C0" w:rsidRDefault="00C43B93">
          <w:pPr>
            <w:pStyle w:val="TOC3"/>
            <w:tabs>
              <w:tab w:val="right" w:leader="dot" w:pos="9350"/>
            </w:tabs>
            <w:rPr>
              <w:rFonts w:asciiTheme="minorHAnsi" w:eastAsiaTheme="minorEastAsia" w:hAnsiTheme="minorHAnsi"/>
              <w:noProof/>
              <w:sz w:val="24"/>
              <w:szCs w:val="24"/>
              <w:lang w:eastAsia="en-CA"/>
            </w:rPr>
          </w:pPr>
          <w:hyperlink w:anchor="_Toc178363726" w:history="1">
            <w:r w:rsidR="006378C0" w:rsidRPr="00C42A59">
              <w:rPr>
                <w:rStyle w:val="Hyperlink"/>
                <w:noProof/>
              </w:rPr>
              <w:t>Where you want to get them to</w:t>
            </w:r>
            <w:r w:rsidR="006378C0">
              <w:rPr>
                <w:noProof/>
                <w:webHidden/>
              </w:rPr>
              <w:tab/>
            </w:r>
            <w:r w:rsidR="006378C0">
              <w:rPr>
                <w:noProof/>
                <w:webHidden/>
              </w:rPr>
              <w:fldChar w:fldCharType="begin"/>
            </w:r>
            <w:r w:rsidR="006378C0">
              <w:rPr>
                <w:noProof/>
                <w:webHidden/>
              </w:rPr>
              <w:instrText xml:space="preserve"> PAGEREF _Toc178363726 \h </w:instrText>
            </w:r>
            <w:r w:rsidR="006378C0">
              <w:rPr>
                <w:noProof/>
                <w:webHidden/>
              </w:rPr>
            </w:r>
            <w:r w:rsidR="006378C0">
              <w:rPr>
                <w:noProof/>
                <w:webHidden/>
              </w:rPr>
              <w:fldChar w:fldCharType="separate"/>
            </w:r>
            <w:r w:rsidR="006378C0">
              <w:rPr>
                <w:noProof/>
                <w:webHidden/>
              </w:rPr>
              <w:t>5</w:t>
            </w:r>
            <w:r w:rsidR="006378C0">
              <w:rPr>
                <w:noProof/>
                <w:webHidden/>
              </w:rPr>
              <w:fldChar w:fldCharType="end"/>
            </w:r>
          </w:hyperlink>
        </w:p>
        <w:p w14:paraId="5A5DC2E5" w14:textId="7C461431" w:rsidR="006378C0" w:rsidRDefault="00C43B93">
          <w:pPr>
            <w:pStyle w:val="TOC3"/>
            <w:tabs>
              <w:tab w:val="right" w:leader="dot" w:pos="9350"/>
            </w:tabs>
            <w:rPr>
              <w:rFonts w:asciiTheme="minorHAnsi" w:eastAsiaTheme="minorEastAsia" w:hAnsiTheme="minorHAnsi"/>
              <w:noProof/>
              <w:sz w:val="24"/>
              <w:szCs w:val="24"/>
              <w:lang w:eastAsia="en-CA"/>
            </w:rPr>
          </w:pPr>
          <w:hyperlink w:anchor="_Toc178363727" w:history="1">
            <w:r w:rsidR="006378C0" w:rsidRPr="00C42A59">
              <w:rPr>
                <w:rStyle w:val="Hyperlink"/>
                <w:noProof/>
              </w:rPr>
              <w:t>How to bridge the gap</w:t>
            </w:r>
            <w:r w:rsidR="006378C0">
              <w:rPr>
                <w:noProof/>
                <w:webHidden/>
              </w:rPr>
              <w:tab/>
            </w:r>
            <w:r w:rsidR="006378C0">
              <w:rPr>
                <w:noProof/>
                <w:webHidden/>
              </w:rPr>
              <w:fldChar w:fldCharType="begin"/>
            </w:r>
            <w:r w:rsidR="006378C0">
              <w:rPr>
                <w:noProof/>
                <w:webHidden/>
              </w:rPr>
              <w:instrText xml:space="preserve"> PAGEREF _Toc178363727 \h </w:instrText>
            </w:r>
            <w:r w:rsidR="006378C0">
              <w:rPr>
                <w:noProof/>
                <w:webHidden/>
              </w:rPr>
            </w:r>
            <w:r w:rsidR="006378C0">
              <w:rPr>
                <w:noProof/>
                <w:webHidden/>
              </w:rPr>
              <w:fldChar w:fldCharType="separate"/>
            </w:r>
            <w:r w:rsidR="006378C0">
              <w:rPr>
                <w:noProof/>
                <w:webHidden/>
              </w:rPr>
              <w:t>6</w:t>
            </w:r>
            <w:r w:rsidR="006378C0">
              <w:rPr>
                <w:noProof/>
                <w:webHidden/>
              </w:rPr>
              <w:fldChar w:fldCharType="end"/>
            </w:r>
          </w:hyperlink>
        </w:p>
        <w:p w14:paraId="5A0ABC7B" w14:textId="2F48F7F2" w:rsidR="006378C0" w:rsidRDefault="00C43B93">
          <w:pPr>
            <w:pStyle w:val="TOC1"/>
            <w:tabs>
              <w:tab w:val="right" w:leader="dot" w:pos="9350"/>
            </w:tabs>
            <w:rPr>
              <w:rFonts w:asciiTheme="minorHAnsi" w:eastAsiaTheme="minorEastAsia" w:hAnsiTheme="minorHAnsi"/>
              <w:noProof/>
              <w:sz w:val="24"/>
              <w:szCs w:val="24"/>
              <w:lang w:eastAsia="en-CA"/>
            </w:rPr>
          </w:pPr>
          <w:hyperlink w:anchor="_Toc178363728" w:history="1">
            <w:r w:rsidR="006378C0" w:rsidRPr="00C42A59">
              <w:rPr>
                <w:rStyle w:val="Hyperlink"/>
                <w:noProof/>
              </w:rPr>
              <w:t>Solution for TD Bank to acquire and help WiTricity expand</w:t>
            </w:r>
            <w:r w:rsidR="006378C0">
              <w:rPr>
                <w:noProof/>
                <w:webHidden/>
              </w:rPr>
              <w:tab/>
            </w:r>
            <w:r w:rsidR="006378C0">
              <w:rPr>
                <w:noProof/>
                <w:webHidden/>
              </w:rPr>
              <w:fldChar w:fldCharType="begin"/>
            </w:r>
            <w:r w:rsidR="006378C0">
              <w:rPr>
                <w:noProof/>
                <w:webHidden/>
              </w:rPr>
              <w:instrText xml:space="preserve"> PAGEREF _Toc178363728 \h </w:instrText>
            </w:r>
            <w:r w:rsidR="006378C0">
              <w:rPr>
                <w:noProof/>
                <w:webHidden/>
              </w:rPr>
            </w:r>
            <w:r w:rsidR="006378C0">
              <w:rPr>
                <w:noProof/>
                <w:webHidden/>
              </w:rPr>
              <w:fldChar w:fldCharType="separate"/>
            </w:r>
            <w:r w:rsidR="006378C0">
              <w:rPr>
                <w:noProof/>
                <w:webHidden/>
              </w:rPr>
              <w:t>8</w:t>
            </w:r>
            <w:r w:rsidR="006378C0">
              <w:rPr>
                <w:noProof/>
                <w:webHidden/>
              </w:rPr>
              <w:fldChar w:fldCharType="end"/>
            </w:r>
          </w:hyperlink>
        </w:p>
        <w:p w14:paraId="68EDAD19" w14:textId="03216366" w:rsidR="006378C0" w:rsidRDefault="00C43B93">
          <w:pPr>
            <w:pStyle w:val="TOC3"/>
            <w:tabs>
              <w:tab w:val="right" w:leader="dot" w:pos="9350"/>
            </w:tabs>
            <w:rPr>
              <w:rFonts w:asciiTheme="minorHAnsi" w:eastAsiaTheme="minorEastAsia" w:hAnsiTheme="minorHAnsi"/>
              <w:noProof/>
              <w:sz w:val="24"/>
              <w:szCs w:val="24"/>
              <w:lang w:eastAsia="en-CA"/>
            </w:rPr>
          </w:pPr>
          <w:hyperlink w:anchor="_Toc178363729" w:history="1">
            <w:r w:rsidR="006378C0" w:rsidRPr="00C42A59">
              <w:rPr>
                <w:rStyle w:val="Hyperlink"/>
                <w:rFonts w:cs="Calibri"/>
                <w:noProof/>
              </w:rPr>
              <w:t>Step 1: Market and technology evaluation</w:t>
            </w:r>
            <w:r w:rsidR="006378C0">
              <w:rPr>
                <w:noProof/>
                <w:webHidden/>
              </w:rPr>
              <w:tab/>
            </w:r>
            <w:r w:rsidR="006378C0">
              <w:rPr>
                <w:noProof/>
                <w:webHidden/>
              </w:rPr>
              <w:fldChar w:fldCharType="begin"/>
            </w:r>
            <w:r w:rsidR="006378C0">
              <w:rPr>
                <w:noProof/>
                <w:webHidden/>
              </w:rPr>
              <w:instrText xml:space="preserve"> PAGEREF _Toc178363729 \h </w:instrText>
            </w:r>
            <w:r w:rsidR="006378C0">
              <w:rPr>
                <w:noProof/>
                <w:webHidden/>
              </w:rPr>
            </w:r>
            <w:r w:rsidR="006378C0">
              <w:rPr>
                <w:noProof/>
                <w:webHidden/>
              </w:rPr>
              <w:fldChar w:fldCharType="separate"/>
            </w:r>
            <w:r w:rsidR="006378C0">
              <w:rPr>
                <w:noProof/>
                <w:webHidden/>
              </w:rPr>
              <w:t>8</w:t>
            </w:r>
            <w:r w:rsidR="006378C0">
              <w:rPr>
                <w:noProof/>
                <w:webHidden/>
              </w:rPr>
              <w:fldChar w:fldCharType="end"/>
            </w:r>
          </w:hyperlink>
        </w:p>
        <w:p w14:paraId="01167FF0" w14:textId="7648169B" w:rsidR="006378C0" w:rsidRDefault="00C43B93">
          <w:pPr>
            <w:pStyle w:val="TOC3"/>
            <w:tabs>
              <w:tab w:val="right" w:leader="dot" w:pos="9350"/>
            </w:tabs>
            <w:rPr>
              <w:rFonts w:asciiTheme="minorHAnsi" w:eastAsiaTheme="minorEastAsia" w:hAnsiTheme="minorHAnsi"/>
              <w:noProof/>
              <w:sz w:val="24"/>
              <w:szCs w:val="24"/>
              <w:lang w:eastAsia="en-CA"/>
            </w:rPr>
          </w:pPr>
          <w:hyperlink w:anchor="_Toc178363730" w:history="1">
            <w:r w:rsidR="006378C0" w:rsidRPr="00C42A59">
              <w:rPr>
                <w:rStyle w:val="Hyperlink"/>
                <w:rFonts w:cs="Calibri"/>
                <w:noProof/>
              </w:rPr>
              <w:t>Step 2: Negotiation and acquisition planning</w:t>
            </w:r>
            <w:r w:rsidR="006378C0">
              <w:rPr>
                <w:noProof/>
                <w:webHidden/>
              </w:rPr>
              <w:tab/>
            </w:r>
            <w:r w:rsidR="006378C0">
              <w:rPr>
                <w:noProof/>
                <w:webHidden/>
              </w:rPr>
              <w:fldChar w:fldCharType="begin"/>
            </w:r>
            <w:r w:rsidR="006378C0">
              <w:rPr>
                <w:noProof/>
                <w:webHidden/>
              </w:rPr>
              <w:instrText xml:space="preserve"> PAGEREF _Toc178363730 \h </w:instrText>
            </w:r>
            <w:r w:rsidR="006378C0">
              <w:rPr>
                <w:noProof/>
                <w:webHidden/>
              </w:rPr>
            </w:r>
            <w:r w:rsidR="006378C0">
              <w:rPr>
                <w:noProof/>
                <w:webHidden/>
              </w:rPr>
              <w:fldChar w:fldCharType="separate"/>
            </w:r>
            <w:r w:rsidR="006378C0">
              <w:rPr>
                <w:noProof/>
                <w:webHidden/>
              </w:rPr>
              <w:t>9</w:t>
            </w:r>
            <w:r w:rsidR="006378C0">
              <w:rPr>
                <w:noProof/>
                <w:webHidden/>
              </w:rPr>
              <w:fldChar w:fldCharType="end"/>
            </w:r>
          </w:hyperlink>
        </w:p>
        <w:p w14:paraId="5736C439" w14:textId="5F9669AF" w:rsidR="006378C0" w:rsidRDefault="00C43B93">
          <w:pPr>
            <w:pStyle w:val="TOC3"/>
            <w:tabs>
              <w:tab w:val="right" w:leader="dot" w:pos="9350"/>
            </w:tabs>
            <w:rPr>
              <w:rFonts w:asciiTheme="minorHAnsi" w:eastAsiaTheme="minorEastAsia" w:hAnsiTheme="minorHAnsi"/>
              <w:noProof/>
              <w:sz w:val="24"/>
              <w:szCs w:val="24"/>
              <w:lang w:eastAsia="en-CA"/>
            </w:rPr>
          </w:pPr>
          <w:hyperlink w:anchor="_Toc178363731" w:history="1">
            <w:r w:rsidR="006378C0" w:rsidRPr="00C42A59">
              <w:rPr>
                <w:rStyle w:val="Hyperlink"/>
                <w:rFonts w:cs="Calibri"/>
                <w:noProof/>
              </w:rPr>
              <w:t>Step 3: Capital injection and expansion funding</w:t>
            </w:r>
            <w:r w:rsidR="006378C0">
              <w:rPr>
                <w:noProof/>
                <w:webHidden/>
              </w:rPr>
              <w:tab/>
            </w:r>
            <w:r w:rsidR="006378C0">
              <w:rPr>
                <w:noProof/>
                <w:webHidden/>
              </w:rPr>
              <w:fldChar w:fldCharType="begin"/>
            </w:r>
            <w:r w:rsidR="006378C0">
              <w:rPr>
                <w:noProof/>
                <w:webHidden/>
              </w:rPr>
              <w:instrText xml:space="preserve"> PAGEREF _Toc178363731 \h </w:instrText>
            </w:r>
            <w:r w:rsidR="006378C0">
              <w:rPr>
                <w:noProof/>
                <w:webHidden/>
              </w:rPr>
            </w:r>
            <w:r w:rsidR="006378C0">
              <w:rPr>
                <w:noProof/>
                <w:webHidden/>
              </w:rPr>
              <w:fldChar w:fldCharType="separate"/>
            </w:r>
            <w:r w:rsidR="006378C0">
              <w:rPr>
                <w:noProof/>
                <w:webHidden/>
              </w:rPr>
              <w:t>9</w:t>
            </w:r>
            <w:r w:rsidR="006378C0">
              <w:rPr>
                <w:noProof/>
                <w:webHidden/>
              </w:rPr>
              <w:fldChar w:fldCharType="end"/>
            </w:r>
          </w:hyperlink>
        </w:p>
        <w:p w14:paraId="6B1294B9" w14:textId="3E2ADFD5" w:rsidR="006378C0" w:rsidRDefault="00C43B93">
          <w:pPr>
            <w:pStyle w:val="TOC3"/>
            <w:tabs>
              <w:tab w:val="right" w:leader="dot" w:pos="9350"/>
            </w:tabs>
            <w:rPr>
              <w:rFonts w:asciiTheme="minorHAnsi" w:eastAsiaTheme="minorEastAsia" w:hAnsiTheme="minorHAnsi"/>
              <w:noProof/>
              <w:sz w:val="24"/>
              <w:szCs w:val="24"/>
              <w:lang w:eastAsia="en-CA"/>
            </w:rPr>
          </w:pPr>
          <w:hyperlink w:anchor="_Toc178363732" w:history="1">
            <w:r w:rsidR="006378C0" w:rsidRPr="00C42A59">
              <w:rPr>
                <w:rStyle w:val="Hyperlink"/>
                <w:rFonts w:cs="Calibri"/>
                <w:noProof/>
              </w:rPr>
              <w:t>Step 4: Partnership and technology integration</w:t>
            </w:r>
            <w:r w:rsidR="006378C0">
              <w:rPr>
                <w:noProof/>
                <w:webHidden/>
              </w:rPr>
              <w:tab/>
            </w:r>
            <w:r w:rsidR="006378C0">
              <w:rPr>
                <w:noProof/>
                <w:webHidden/>
              </w:rPr>
              <w:fldChar w:fldCharType="begin"/>
            </w:r>
            <w:r w:rsidR="006378C0">
              <w:rPr>
                <w:noProof/>
                <w:webHidden/>
              </w:rPr>
              <w:instrText xml:space="preserve"> PAGEREF _Toc178363732 \h </w:instrText>
            </w:r>
            <w:r w:rsidR="006378C0">
              <w:rPr>
                <w:noProof/>
                <w:webHidden/>
              </w:rPr>
            </w:r>
            <w:r w:rsidR="006378C0">
              <w:rPr>
                <w:noProof/>
                <w:webHidden/>
              </w:rPr>
              <w:fldChar w:fldCharType="separate"/>
            </w:r>
            <w:r w:rsidR="006378C0">
              <w:rPr>
                <w:noProof/>
                <w:webHidden/>
              </w:rPr>
              <w:t>9</w:t>
            </w:r>
            <w:r w:rsidR="006378C0">
              <w:rPr>
                <w:noProof/>
                <w:webHidden/>
              </w:rPr>
              <w:fldChar w:fldCharType="end"/>
            </w:r>
          </w:hyperlink>
        </w:p>
        <w:p w14:paraId="42E07697" w14:textId="62A68064" w:rsidR="006378C0" w:rsidRDefault="00C43B93">
          <w:pPr>
            <w:pStyle w:val="TOC3"/>
            <w:tabs>
              <w:tab w:val="right" w:leader="dot" w:pos="9350"/>
            </w:tabs>
            <w:rPr>
              <w:rFonts w:asciiTheme="minorHAnsi" w:eastAsiaTheme="minorEastAsia" w:hAnsiTheme="minorHAnsi"/>
              <w:noProof/>
              <w:sz w:val="24"/>
              <w:szCs w:val="24"/>
              <w:lang w:eastAsia="en-CA"/>
            </w:rPr>
          </w:pPr>
          <w:hyperlink w:anchor="_Toc178363733" w:history="1">
            <w:r w:rsidR="006378C0" w:rsidRPr="00C42A59">
              <w:rPr>
                <w:rStyle w:val="Hyperlink"/>
                <w:rFonts w:cs="Calibri"/>
                <w:noProof/>
              </w:rPr>
              <w:t>Step 5: Monetization and revenue generation</w:t>
            </w:r>
            <w:r w:rsidR="006378C0">
              <w:rPr>
                <w:noProof/>
                <w:webHidden/>
              </w:rPr>
              <w:tab/>
            </w:r>
            <w:r w:rsidR="006378C0">
              <w:rPr>
                <w:noProof/>
                <w:webHidden/>
              </w:rPr>
              <w:fldChar w:fldCharType="begin"/>
            </w:r>
            <w:r w:rsidR="006378C0">
              <w:rPr>
                <w:noProof/>
                <w:webHidden/>
              </w:rPr>
              <w:instrText xml:space="preserve"> PAGEREF _Toc178363733 \h </w:instrText>
            </w:r>
            <w:r w:rsidR="006378C0">
              <w:rPr>
                <w:noProof/>
                <w:webHidden/>
              </w:rPr>
            </w:r>
            <w:r w:rsidR="006378C0">
              <w:rPr>
                <w:noProof/>
                <w:webHidden/>
              </w:rPr>
              <w:fldChar w:fldCharType="separate"/>
            </w:r>
            <w:r w:rsidR="006378C0">
              <w:rPr>
                <w:noProof/>
                <w:webHidden/>
              </w:rPr>
              <w:t>10</w:t>
            </w:r>
            <w:r w:rsidR="006378C0">
              <w:rPr>
                <w:noProof/>
                <w:webHidden/>
              </w:rPr>
              <w:fldChar w:fldCharType="end"/>
            </w:r>
          </w:hyperlink>
        </w:p>
        <w:p w14:paraId="38326296" w14:textId="1CA4DC55" w:rsidR="006378C0" w:rsidRDefault="00C43B93">
          <w:pPr>
            <w:pStyle w:val="TOC3"/>
            <w:tabs>
              <w:tab w:val="right" w:leader="dot" w:pos="9350"/>
            </w:tabs>
            <w:rPr>
              <w:rFonts w:asciiTheme="minorHAnsi" w:eastAsiaTheme="minorEastAsia" w:hAnsiTheme="minorHAnsi"/>
              <w:noProof/>
              <w:sz w:val="24"/>
              <w:szCs w:val="24"/>
              <w:lang w:eastAsia="en-CA"/>
            </w:rPr>
          </w:pPr>
          <w:hyperlink w:anchor="_Toc178363734" w:history="1">
            <w:r w:rsidR="006378C0" w:rsidRPr="00C42A59">
              <w:rPr>
                <w:rStyle w:val="Hyperlink"/>
                <w:rFonts w:cs="Calibri"/>
                <w:noProof/>
              </w:rPr>
              <w:t>Step 6: Profit and ROI monitoring</w:t>
            </w:r>
            <w:r w:rsidR="006378C0">
              <w:rPr>
                <w:noProof/>
                <w:webHidden/>
              </w:rPr>
              <w:tab/>
            </w:r>
            <w:r w:rsidR="006378C0">
              <w:rPr>
                <w:noProof/>
                <w:webHidden/>
              </w:rPr>
              <w:fldChar w:fldCharType="begin"/>
            </w:r>
            <w:r w:rsidR="006378C0">
              <w:rPr>
                <w:noProof/>
                <w:webHidden/>
              </w:rPr>
              <w:instrText xml:space="preserve"> PAGEREF _Toc178363734 \h </w:instrText>
            </w:r>
            <w:r w:rsidR="006378C0">
              <w:rPr>
                <w:noProof/>
                <w:webHidden/>
              </w:rPr>
            </w:r>
            <w:r w:rsidR="006378C0">
              <w:rPr>
                <w:noProof/>
                <w:webHidden/>
              </w:rPr>
              <w:fldChar w:fldCharType="separate"/>
            </w:r>
            <w:r w:rsidR="006378C0">
              <w:rPr>
                <w:noProof/>
                <w:webHidden/>
              </w:rPr>
              <w:t>10</w:t>
            </w:r>
            <w:r w:rsidR="006378C0">
              <w:rPr>
                <w:noProof/>
                <w:webHidden/>
              </w:rPr>
              <w:fldChar w:fldCharType="end"/>
            </w:r>
          </w:hyperlink>
        </w:p>
        <w:p w14:paraId="7FFCE543" w14:textId="54184F9B" w:rsidR="006378C0" w:rsidRDefault="00C43B93">
          <w:pPr>
            <w:pStyle w:val="TOC3"/>
            <w:tabs>
              <w:tab w:val="right" w:leader="dot" w:pos="9350"/>
            </w:tabs>
            <w:rPr>
              <w:rFonts w:asciiTheme="minorHAnsi" w:eastAsiaTheme="minorEastAsia" w:hAnsiTheme="minorHAnsi"/>
              <w:noProof/>
              <w:sz w:val="24"/>
              <w:szCs w:val="24"/>
              <w:lang w:eastAsia="en-CA"/>
            </w:rPr>
          </w:pPr>
          <w:hyperlink w:anchor="_Toc178363735" w:history="1">
            <w:r w:rsidR="006378C0" w:rsidRPr="00C42A59">
              <w:rPr>
                <w:rStyle w:val="Hyperlink"/>
                <w:rFonts w:cs="Calibri"/>
                <w:noProof/>
              </w:rPr>
              <w:t>Step 7: Ongoing support and expansion</w:t>
            </w:r>
            <w:r w:rsidR="006378C0">
              <w:rPr>
                <w:noProof/>
                <w:webHidden/>
              </w:rPr>
              <w:tab/>
            </w:r>
            <w:r w:rsidR="006378C0">
              <w:rPr>
                <w:noProof/>
                <w:webHidden/>
              </w:rPr>
              <w:fldChar w:fldCharType="begin"/>
            </w:r>
            <w:r w:rsidR="006378C0">
              <w:rPr>
                <w:noProof/>
                <w:webHidden/>
              </w:rPr>
              <w:instrText xml:space="preserve"> PAGEREF _Toc178363735 \h </w:instrText>
            </w:r>
            <w:r w:rsidR="006378C0">
              <w:rPr>
                <w:noProof/>
                <w:webHidden/>
              </w:rPr>
            </w:r>
            <w:r w:rsidR="006378C0">
              <w:rPr>
                <w:noProof/>
                <w:webHidden/>
              </w:rPr>
              <w:fldChar w:fldCharType="separate"/>
            </w:r>
            <w:r w:rsidR="006378C0">
              <w:rPr>
                <w:noProof/>
                <w:webHidden/>
              </w:rPr>
              <w:t>10</w:t>
            </w:r>
            <w:r w:rsidR="006378C0">
              <w:rPr>
                <w:noProof/>
                <w:webHidden/>
              </w:rPr>
              <w:fldChar w:fldCharType="end"/>
            </w:r>
          </w:hyperlink>
        </w:p>
        <w:p w14:paraId="23F43434" w14:textId="43B42C12" w:rsidR="006378C0" w:rsidRDefault="00C43B93">
          <w:pPr>
            <w:pStyle w:val="TOC3"/>
            <w:tabs>
              <w:tab w:val="right" w:leader="dot" w:pos="9350"/>
            </w:tabs>
            <w:rPr>
              <w:rFonts w:asciiTheme="minorHAnsi" w:eastAsiaTheme="minorEastAsia" w:hAnsiTheme="minorHAnsi"/>
              <w:noProof/>
              <w:sz w:val="24"/>
              <w:szCs w:val="24"/>
              <w:lang w:eastAsia="en-CA"/>
            </w:rPr>
          </w:pPr>
          <w:hyperlink w:anchor="_Toc178363736" w:history="1">
            <w:r w:rsidR="006378C0" w:rsidRPr="00C42A59">
              <w:rPr>
                <w:rStyle w:val="Hyperlink"/>
                <w:rFonts w:cs="Calibri"/>
                <w:noProof/>
              </w:rPr>
              <w:t>Summary of expected profitability</w:t>
            </w:r>
            <w:r w:rsidR="006378C0">
              <w:rPr>
                <w:noProof/>
                <w:webHidden/>
              </w:rPr>
              <w:tab/>
            </w:r>
            <w:r w:rsidR="006378C0">
              <w:rPr>
                <w:noProof/>
                <w:webHidden/>
              </w:rPr>
              <w:fldChar w:fldCharType="begin"/>
            </w:r>
            <w:r w:rsidR="006378C0">
              <w:rPr>
                <w:noProof/>
                <w:webHidden/>
              </w:rPr>
              <w:instrText xml:space="preserve"> PAGEREF _Toc178363736 \h </w:instrText>
            </w:r>
            <w:r w:rsidR="006378C0">
              <w:rPr>
                <w:noProof/>
                <w:webHidden/>
              </w:rPr>
            </w:r>
            <w:r w:rsidR="006378C0">
              <w:rPr>
                <w:noProof/>
                <w:webHidden/>
              </w:rPr>
              <w:fldChar w:fldCharType="separate"/>
            </w:r>
            <w:r w:rsidR="006378C0">
              <w:rPr>
                <w:noProof/>
                <w:webHidden/>
              </w:rPr>
              <w:t>10</w:t>
            </w:r>
            <w:r w:rsidR="006378C0">
              <w:rPr>
                <w:noProof/>
                <w:webHidden/>
              </w:rPr>
              <w:fldChar w:fldCharType="end"/>
            </w:r>
          </w:hyperlink>
        </w:p>
        <w:p w14:paraId="6A8361EA" w14:textId="13F026EF" w:rsidR="006378C0" w:rsidRDefault="00C43B93">
          <w:pPr>
            <w:pStyle w:val="TOC1"/>
            <w:tabs>
              <w:tab w:val="right" w:leader="dot" w:pos="9350"/>
            </w:tabs>
            <w:rPr>
              <w:rFonts w:asciiTheme="minorHAnsi" w:eastAsiaTheme="minorEastAsia" w:hAnsiTheme="minorHAnsi"/>
              <w:noProof/>
              <w:sz w:val="24"/>
              <w:szCs w:val="24"/>
              <w:lang w:eastAsia="en-CA"/>
            </w:rPr>
          </w:pPr>
          <w:hyperlink w:anchor="_Toc178363737" w:history="1">
            <w:r w:rsidR="006378C0" w:rsidRPr="00C42A59">
              <w:rPr>
                <w:rStyle w:val="Hyperlink"/>
                <w:noProof/>
              </w:rPr>
              <w:t>Reasons why TD Bank is investing in WiTricity</w:t>
            </w:r>
            <w:r w:rsidR="006378C0">
              <w:rPr>
                <w:noProof/>
                <w:webHidden/>
              </w:rPr>
              <w:tab/>
            </w:r>
            <w:r w:rsidR="006378C0">
              <w:rPr>
                <w:noProof/>
                <w:webHidden/>
              </w:rPr>
              <w:fldChar w:fldCharType="begin"/>
            </w:r>
            <w:r w:rsidR="006378C0">
              <w:rPr>
                <w:noProof/>
                <w:webHidden/>
              </w:rPr>
              <w:instrText xml:space="preserve"> PAGEREF _Toc178363737 \h </w:instrText>
            </w:r>
            <w:r w:rsidR="006378C0">
              <w:rPr>
                <w:noProof/>
                <w:webHidden/>
              </w:rPr>
            </w:r>
            <w:r w:rsidR="006378C0">
              <w:rPr>
                <w:noProof/>
                <w:webHidden/>
              </w:rPr>
              <w:fldChar w:fldCharType="separate"/>
            </w:r>
            <w:r w:rsidR="006378C0">
              <w:rPr>
                <w:noProof/>
                <w:webHidden/>
              </w:rPr>
              <w:t>11</w:t>
            </w:r>
            <w:r w:rsidR="006378C0">
              <w:rPr>
                <w:noProof/>
                <w:webHidden/>
              </w:rPr>
              <w:fldChar w:fldCharType="end"/>
            </w:r>
          </w:hyperlink>
        </w:p>
        <w:p w14:paraId="4D504299" w14:textId="23C22AC6" w:rsidR="006378C0" w:rsidRDefault="00C43B93">
          <w:pPr>
            <w:pStyle w:val="TOC3"/>
            <w:tabs>
              <w:tab w:val="right" w:leader="dot" w:pos="9350"/>
            </w:tabs>
            <w:rPr>
              <w:rFonts w:asciiTheme="minorHAnsi" w:eastAsiaTheme="minorEastAsia" w:hAnsiTheme="minorHAnsi"/>
              <w:noProof/>
              <w:sz w:val="24"/>
              <w:szCs w:val="24"/>
              <w:lang w:eastAsia="en-CA"/>
            </w:rPr>
          </w:pPr>
          <w:hyperlink w:anchor="_Toc178363738" w:history="1">
            <w:r w:rsidR="006378C0" w:rsidRPr="00C42A59">
              <w:rPr>
                <w:rStyle w:val="Hyperlink"/>
                <w:rFonts w:cs="Calibri"/>
                <w:noProof/>
              </w:rPr>
              <w:t>Key financial factors for TD Bank’s investment in WiTricity</w:t>
            </w:r>
            <w:r w:rsidR="006378C0">
              <w:rPr>
                <w:noProof/>
                <w:webHidden/>
              </w:rPr>
              <w:tab/>
            </w:r>
            <w:r w:rsidR="006378C0">
              <w:rPr>
                <w:noProof/>
                <w:webHidden/>
              </w:rPr>
              <w:fldChar w:fldCharType="begin"/>
            </w:r>
            <w:r w:rsidR="006378C0">
              <w:rPr>
                <w:noProof/>
                <w:webHidden/>
              </w:rPr>
              <w:instrText xml:space="preserve"> PAGEREF _Toc178363738 \h </w:instrText>
            </w:r>
            <w:r w:rsidR="006378C0">
              <w:rPr>
                <w:noProof/>
                <w:webHidden/>
              </w:rPr>
            </w:r>
            <w:r w:rsidR="006378C0">
              <w:rPr>
                <w:noProof/>
                <w:webHidden/>
              </w:rPr>
              <w:fldChar w:fldCharType="separate"/>
            </w:r>
            <w:r w:rsidR="006378C0">
              <w:rPr>
                <w:noProof/>
                <w:webHidden/>
              </w:rPr>
              <w:t>11</w:t>
            </w:r>
            <w:r w:rsidR="006378C0">
              <w:rPr>
                <w:noProof/>
                <w:webHidden/>
              </w:rPr>
              <w:fldChar w:fldCharType="end"/>
            </w:r>
          </w:hyperlink>
        </w:p>
        <w:p w14:paraId="1B17B356" w14:textId="55CACC01" w:rsidR="006378C0" w:rsidRDefault="00C43B93">
          <w:pPr>
            <w:pStyle w:val="TOC1"/>
            <w:tabs>
              <w:tab w:val="right" w:leader="dot" w:pos="9350"/>
            </w:tabs>
            <w:rPr>
              <w:rFonts w:asciiTheme="minorHAnsi" w:eastAsiaTheme="minorEastAsia" w:hAnsiTheme="minorHAnsi"/>
              <w:noProof/>
              <w:sz w:val="24"/>
              <w:szCs w:val="24"/>
              <w:lang w:eastAsia="en-CA"/>
            </w:rPr>
          </w:pPr>
          <w:hyperlink w:anchor="_Toc178363739" w:history="1">
            <w:r w:rsidR="006378C0" w:rsidRPr="00C42A59">
              <w:rPr>
                <w:rStyle w:val="Hyperlink"/>
                <w:noProof/>
                <w:lang w:val="en-US"/>
              </w:rPr>
              <w:t>News Board</w:t>
            </w:r>
            <w:r w:rsidR="006378C0">
              <w:rPr>
                <w:noProof/>
                <w:webHidden/>
              </w:rPr>
              <w:tab/>
            </w:r>
            <w:r w:rsidR="006378C0">
              <w:rPr>
                <w:noProof/>
                <w:webHidden/>
              </w:rPr>
              <w:fldChar w:fldCharType="begin"/>
            </w:r>
            <w:r w:rsidR="006378C0">
              <w:rPr>
                <w:noProof/>
                <w:webHidden/>
              </w:rPr>
              <w:instrText xml:space="preserve"> PAGEREF _Toc178363739 \h </w:instrText>
            </w:r>
            <w:r w:rsidR="006378C0">
              <w:rPr>
                <w:noProof/>
                <w:webHidden/>
              </w:rPr>
            </w:r>
            <w:r w:rsidR="006378C0">
              <w:rPr>
                <w:noProof/>
                <w:webHidden/>
              </w:rPr>
              <w:fldChar w:fldCharType="separate"/>
            </w:r>
            <w:r w:rsidR="006378C0">
              <w:rPr>
                <w:noProof/>
                <w:webHidden/>
              </w:rPr>
              <w:t>16</w:t>
            </w:r>
            <w:r w:rsidR="006378C0">
              <w:rPr>
                <w:noProof/>
                <w:webHidden/>
              </w:rPr>
              <w:fldChar w:fldCharType="end"/>
            </w:r>
          </w:hyperlink>
        </w:p>
        <w:p w14:paraId="7747B637" w14:textId="1D25DF01" w:rsidR="006378C0" w:rsidRDefault="00C43B93">
          <w:pPr>
            <w:pStyle w:val="TOC3"/>
            <w:tabs>
              <w:tab w:val="right" w:leader="dot" w:pos="9350"/>
            </w:tabs>
            <w:rPr>
              <w:rFonts w:asciiTheme="minorHAnsi" w:eastAsiaTheme="minorEastAsia" w:hAnsiTheme="minorHAnsi"/>
              <w:noProof/>
              <w:sz w:val="24"/>
              <w:szCs w:val="24"/>
              <w:lang w:eastAsia="en-CA"/>
            </w:rPr>
          </w:pPr>
          <w:hyperlink w:anchor="_Toc178363740" w:history="1">
            <w:r w:rsidR="006378C0" w:rsidRPr="00C42A59">
              <w:rPr>
                <w:rStyle w:val="Hyperlink"/>
                <w:noProof/>
                <w:lang w:val="en-US"/>
              </w:rPr>
              <w:t>Bank of Canada needs to 'stick the landing' now that inflation is at 2%: Macklem.</w:t>
            </w:r>
            <w:r w:rsidR="006378C0">
              <w:rPr>
                <w:noProof/>
                <w:webHidden/>
              </w:rPr>
              <w:tab/>
            </w:r>
            <w:r w:rsidR="006378C0">
              <w:rPr>
                <w:noProof/>
                <w:webHidden/>
              </w:rPr>
              <w:fldChar w:fldCharType="begin"/>
            </w:r>
            <w:r w:rsidR="006378C0">
              <w:rPr>
                <w:noProof/>
                <w:webHidden/>
              </w:rPr>
              <w:instrText xml:space="preserve"> PAGEREF _Toc178363740 \h </w:instrText>
            </w:r>
            <w:r w:rsidR="006378C0">
              <w:rPr>
                <w:noProof/>
                <w:webHidden/>
              </w:rPr>
            </w:r>
            <w:r w:rsidR="006378C0">
              <w:rPr>
                <w:noProof/>
                <w:webHidden/>
              </w:rPr>
              <w:fldChar w:fldCharType="separate"/>
            </w:r>
            <w:r w:rsidR="006378C0">
              <w:rPr>
                <w:noProof/>
                <w:webHidden/>
              </w:rPr>
              <w:t>16</w:t>
            </w:r>
            <w:r w:rsidR="006378C0">
              <w:rPr>
                <w:noProof/>
                <w:webHidden/>
              </w:rPr>
              <w:fldChar w:fldCharType="end"/>
            </w:r>
          </w:hyperlink>
        </w:p>
        <w:p w14:paraId="1526633B" w14:textId="179E7E20" w:rsidR="006378C0" w:rsidRDefault="00C43B93">
          <w:pPr>
            <w:pStyle w:val="TOC1"/>
            <w:tabs>
              <w:tab w:val="right" w:leader="dot" w:pos="9350"/>
            </w:tabs>
            <w:rPr>
              <w:rFonts w:asciiTheme="minorHAnsi" w:eastAsiaTheme="minorEastAsia" w:hAnsiTheme="minorHAnsi"/>
              <w:noProof/>
              <w:sz w:val="24"/>
              <w:szCs w:val="24"/>
              <w:lang w:eastAsia="en-CA"/>
            </w:rPr>
          </w:pPr>
          <w:hyperlink w:anchor="_Toc178363741" w:history="1">
            <w:r w:rsidR="006378C0" w:rsidRPr="00C42A59">
              <w:rPr>
                <w:rStyle w:val="Hyperlink"/>
                <w:noProof/>
                <w:lang w:val="en-US"/>
              </w:rPr>
              <w:t>Conclusion</w:t>
            </w:r>
            <w:r w:rsidR="006378C0">
              <w:rPr>
                <w:noProof/>
                <w:webHidden/>
              </w:rPr>
              <w:tab/>
            </w:r>
            <w:r w:rsidR="006378C0">
              <w:rPr>
                <w:noProof/>
                <w:webHidden/>
              </w:rPr>
              <w:fldChar w:fldCharType="begin"/>
            </w:r>
            <w:r w:rsidR="006378C0">
              <w:rPr>
                <w:noProof/>
                <w:webHidden/>
              </w:rPr>
              <w:instrText xml:space="preserve"> PAGEREF _Toc178363741 \h </w:instrText>
            </w:r>
            <w:r w:rsidR="006378C0">
              <w:rPr>
                <w:noProof/>
                <w:webHidden/>
              </w:rPr>
            </w:r>
            <w:r w:rsidR="006378C0">
              <w:rPr>
                <w:noProof/>
                <w:webHidden/>
              </w:rPr>
              <w:fldChar w:fldCharType="separate"/>
            </w:r>
            <w:r w:rsidR="006378C0">
              <w:rPr>
                <w:noProof/>
                <w:webHidden/>
              </w:rPr>
              <w:t>17</w:t>
            </w:r>
            <w:r w:rsidR="006378C0">
              <w:rPr>
                <w:noProof/>
                <w:webHidden/>
              </w:rPr>
              <w:fldChar w:fldCharType="end"/>
            </w:r>
          </w:hyperlink>
        </w:p>
        <w:p w14:paraId="7CB97CA9" w14:textId="7037FA6E" w:rsidR="006378C0" w:rsidRDefault="00C43B93">
          <w:pPr>
            <w:pStyle w:val="TOC1"/>
            <w:tabs>
              <w:tab w:val="right" w:leader="dot" w:pos="9350"/>
            </w:tabs>
            <w:rPr>
              <w:rFonts w:asciiTheme="minorHAnsi" w:eastAsiaTheme="minorEastAsia" w:hAnsiTheme="minorHAnsi"/>
              <w:noProof/>
              <w:sz w:val="24"/>
              <w:szCs w:val="24"/>
              <w:lang w:eastAsia="en-CA"/>
            </w:rPr>
          </w:pPr>
          <w:hyperlink w:anchor="_Toc178363742" w:history="1">
            <w:r w:rsidR="006378C0" w:rsidRPr="00C42A59">
              <w:rPr>
                <w:rStyle w:val="Hyperlink"/>
                <w:noProof/>
                <w:lang w:val="en-US"/>
              </w:rPr>
              <w:t>Call of Action</w:t>
            </w:r>
            <w:r w:rsidR="006378C0">
              <w:rPr>
                <w:noProof/>
                <w:webHidden/>
              </w:rPr>
              <w:tab/>
            </w:r>
            <w:r w:rsidR="006378C0">
              <w:rPr>
                <w:noProof/>
                <w:webHidden/>
              </w:rPr>
              <w:fldChar w:fldCharType="begin"/>
            </w:r>
            <w:r w:rsidR="006378C0">
              <w:rPr>
                <w:noProof/>
                <w:webHidden/>
              </w:rPr>
              <w:instrText xml:space="preserve"> PAGEREF _Toc178363742 \h </w:instrText>
            </w:r>
            <w:r w:rsidR="006378C0">
              <w:rPr>
                <w:noProof/>
                <w:webHidden/>
              </w:rPr>
            </w:r>
            <w:r w:rsidR="006378C0">
              <w:rPr>
                <w:noProof/>
                <w:webHidden/>
              </w:rPr>
              <w:fldChar w:fldCharType="separate"/>
            </w:r>
            <w:r w:rsidR="006378C0">
              <w:rPr>
                <w:noProof/>
                <w:webHidden/>
              </w:rPr>
              <w:t>18</w:t>
            </w:r>
            <w:r w:rsidR="006378C0">
              <w:rPr>
                <w:noProof/>
                <w:webHidden/>
              </w:rPr>
              <w:fldChar w:fldCharType="end"/>
            </w:r>
          </w:hyperlink>
        </w:p>
        <w:p w14:paraId="72F0625E" w14:textId="505ACB61" w:rsidR="006378C0" w:rsidRDefault="00C43B93">
          <w:pPr>
            <w:pStyle w:val="TOC1"/>
            <w:tabs>
              <w:tab w:val="right" w:leader="dot" w:pos="9350"/>
            </w:tabs>
            <w:rPr>
              <w:rFonts w:asciiTheme="minorHAnsi" w:eastAsiaTheme="minorEastAsia" w:hAnsiTheme="minorHAnsi"/>
              <w:noProof/>
              <w:sz w:val="24"/>
              <w:szCs w:val="24"/>
              <w:lang w:eastAsia="en-CA"/>
            </w:rPr>
          </w:pPr>
          <w:hyperlink w:anchor="_Toc178363743" w:history="1">
            <w:r w:rsidR="006378C0" w:rsidRPr="00C42A59">
              <w:rPr>
                <w:rStyle w:val="Hyperlink"/>
                <w:noProof/>
                <w:lang w:val="en-US"/>
              </w:rPr>
              <w:t>References</w:t>
            </w:r>
            <w:r w:rsidR="006378C0">
              <w:rPr>
                <w:noProof/>
                <w:webHidden/>
              </w:rPr>
              <w:tab/>
            </w:r>
            <w:r w:rsidR="006378C0">
              <w:rPr>
                <w:noProof/>
                <w:webHidden/>
              </w:rPr>
              <w:fldChar w:fldCharType="begin"/>
            </w:r>
            <w:r w:rsidR="006378C0">
              <w:rPr>
                <w:noProof/>
                <w:webHidden/>
              </w:rPr>
              <w:instrText xml:space="preserve"> PAGEREF _Toc178363743 \h </w:instrText>
            </w:r>
            <w:r w:rsidR="006378C0">
              <w:rPr>
                <w:noProof/>
                <w:webHidden/>
              </w:rPr>
            </w:r>
            <w:r w:rsidR="006378C0">
              <w:rPr>
                <w:noProof/>
                <w:webHidden/>
              </w:rPr>
              <w:fldChar w:fldCharType="separate"/>
            </w:r>
            <w:r w:rsidR="006378C0">
              <w:rPr>
                <w:noProof/>
                <w:webHidden/>
              </w:rPr>
              <w:t>iii</w:t>
            </w:r>
            <w:r w:rsidR="006378C0">
              <w:rPr>
                <w:noProof/>
                <w:webHidden/>
              </w:rPr>
              <w:fldChar w:fldCharType="end"/>
            </w:r>
          </w:hyperlink>
        </w:p>
        <w:p w14:paraId="32F1E206" w14:textId="0AFA9D79" w:rsidR="005E6642" w:rsidRDefault="009F5204" w:rsidP="001222CC">
          <w:pPr>
            <w:rPr>
              <w:rFonts w:cs="Calibri"/>
              <w:b/>
              <w:bCs/>
              <w:noProof/>
            </w:rPr>
            <w:sectPr w:rsidR="005E6642" w:rsidSect="00633729">
              <w:headerReference w:type="default" r:id="rId10"/>
              <w:footerReference w:type="default" r:id="rId11"/>
              <w:footerReference w:type="first" r:id="rId12"/>
              <w:pgSz w:w="12240" w:h="15840"/>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pgNumType w:fmt="lowerRoman" w:start="1"/>
              <w:cols w:space="708"/>
              <w:titlePg/>
              <w:docGrid w:linePitch="360"/>
            </w:sectPr>
          </w:pPr>
          <w:r w:rsidRPr="00B967B5">
            <w:rPr>
              <w:rFonts w:cs="Calibri"/>
              <w:b/>
              <w:bCs/>
              <w:noProof/>
            </w:rPr>
            <w:fldChar w:fldCharType="end"/>
          </w:r>
          <w:r w:rsidR="00754343">
            <w:rPr>
              <w:rFonts w:cs="Calibri"/>
              <w:b/>
              <w:bCs/>
              <w:noProof/>
            </w:rPr>
            <w:t xml:space="preserve"> </w:t>
          </w:r>
        </w:p>
        <w:p w14:paraId="663399A6" w14:textId="0F4C8253" w:rsidR="00A57BE3" w:rsidRPr="00C06BA0" w:rsidRDefault="00C43B93" w:rsidP="001222CC">
          <w:pPr>
            <w:rPr>
              <w:rFonts w:cs="Calibri"/>
            </w:rPr>
            <w:sectPr w:rsidR="00A57BE3" w:rsidRPr="00C06BA0" w:rsidSect="005E6642">
              <w:type w:val="continuous"/>
              <w:pgSz w:w="12240" w:h="15840"/>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pgNumType w:fmt="lowerRoman" w:start="2"/>
              <w:cols w:space="708"/>
              <w:titlePg/>
              <w:docGrid w:linePitch="360"/>
            </w:sectPr>
          </w:pPr>
        </w:p>
      </w:sdtContent>
    </w:sdt>
    <w:p w14:paraId="1EDC625B" w14:textId="77777777" w:rsidR="00B44BCC" w:rsidRDefault="00B44BCC">
      <w:pPr>
        <w:spacing w:line="278" w:lineRule="auto"/>
        <w:jc w:val="left"/>
        <w:rPr>
          <w:rFonts w:cs="Calibri"/>
          <w:lang w:val="en-US"/>
        </w:rPr>
      </w:pPr>
      <w:r>
        <w:rPr>
          <w:rFonts w:cs="Calibri"/>
          <w:lang w:val="en-US"/>
        </w:rPr>
        <w:br w:type="page"/>
      </w:r>
    </w:p>
    <w:p w14:paraId="6EBED10E" w14:textId="1F40B1BA" w:rsidR="00B44BCC" w:rsidRDefault="00B44BCC" w:rsidP="00B44BCC">
      <w:pPr>
        <w:pStyle w:val="Heading1"/>
        <w:rPr>
          <w:lang w:val="en-US"/>
        </w:rPr>
      </w:pPr>
      <w:r>
        <w:rPr>
          <w:lang w:val="en-US"/>
        </w:rPr>
        <w:lastRenderedPageBreak/>
        <w:t>List of Figures</w:t>
      </w:r>
    </w:p>
    <w:p w14:paraId="1C62425C" w14:textId="07B61135" w:rsidR="00C50CBC" w:rsidRDefault="00A03BD6">
      <w:pPr>
        <w:pStyle w:val="TableofFigures"/>
        <w:tabs>
          <w:tab w:val="right" w:leader="dot" w:pos="9350"/>
        </w:tabs>
        <w:rPr>
          <w:rFonts w:asciiTheme="minorHAnsi" w:eastAsiaTheme="minorEastAsia" w:hAnsiTheme="minorHAnsi"/>
          <w:noProof/>
          <w:sz w:val="24"/>
          <w:szCs w:val="24"/>
          <w:lang w:eastAsia="en-CA"/>
        </w:rPr>
      </w:pPr>
      <w:r>
        <w:rPr>
          <w:rFonts w:cs="Calibri"/>
          <w:lang w:val="en-US"/>
        </w:rPr>
        <w:fldChar w:fldCharType="begin"/>
      </w:r>
      <w:r>
        <w:rPr>
          <w:rFonts w:cs="Calibri"/>
          <w:lang w:val="en-US"/>
        </w:rPr>
        <w:instrText xml:space="preserve"> TOC \h \z \c "Figure" </w:instrText>
      </w:r>
      <w:r>
        <w:rPr>
          <w:rFonts w:cs="Calibri"/>
          <w:lang w:val="en-US"/>
        </w:rPr>
        <w:fldChar w:fldCharType="separate"/>
      </w:r>
      <w:hyperlink w:anchor="_Toc178364660" w:history="1">
        <w:r w:rsidR="00C50CBC" w:rsidRPr="00EA1CC6">
          <w:rPr>
            <w:rStyle w:val="Hyperlink"/>
            <w:noProof/>
          </w:rPr>
          <w:t>Figure 1- Yearly revenue generated by TD Bank</w:t>
        </w:r>
        <w:r w:rsidR="00C50CBC">
          <w:rPr>
            <w:noProof/>
            <w:webHidden/>
          </w:rPr>
          <w:tab/>
        </w:r>
        <w:r w:rsidR="00C50CBC">
          <w:rPr>
            <w:noProof/>
            <w:webHidden/>
          </w:rPr>
          <w:fldChar w:fldCharType="begin"/>
        </w:r>
        <w:r w:rsidR="00C50CBC">
          <w:rPr>
            <w:noProof/>
            <w:webHidden/>
          </w:rPr>
          <w:instrText xml:space="preserve"> PAGEREF _Toc178364660 \h </w:instrText>
        </w:r>
        <w:r w:rsidR="00C50CBC">
          <w:rPr>
            <w:noProof/>
            <w:webHidden/>
          </w:rPr>
        </w:r>
        <w:r w:rsidR="00C50CBC">
          <w:rPr>
            <w:noProof/>
            <w:webHidden/>
          </w:rPr>
          <w:fldChar w:fldCharType="separate"/>
        </w:r>
        <w:r w:rsidR="00C50CBC">
          <w:rPr>
            <w:noProof/>
            <w:webHidden/>
          </w:rPr>
          <w:t>13</w:t>
        </w:r>
        <w:r w:rsidR="00C50CBC">
          <w:rPr>
            <w:noProof/>
            <w:webHidden/>
          </w:rPr>
          <w:fldChar w:fldCharType="end"/>
        </w:r>
      </w:hyperlink>
    </w:p>
    <w:p w14:paraId="009885E3" w14:textId="598687CD" w:rsidR="00C50CBC" w:rsidRDefault="00C43B93">
      <w:pPr>
        <w:pStyle w:val="TableofFigures"/>
        <w:tabs>
          <w:tab w:val="right" w:leader="dot" w:pos="9350"/>
        </w:tabs>
        <w:rPr>
          <w:rFonts w:asciiTheme="minorHAnsi" w:eastAsiaTheme="minorEastAsia" w:hAnsiTheme="minorHAnsi"/>
          <w:noProof/>
          <w:sz w:val="24"/>
          <w:szCs w:val="24"/>
          <w:lang w:eastAsia="en-CA"/>
        </w:rPr>
      </w:pPr>
      <w:hyperlink w:anchor="_Toc178364661" w:history="1">
        <w:r w:rsidR="00C50CBC" w:rsidRPr="00EA1CC6">
          <w:rPr>
            <w:rStyle w:val="Hyperlink"/>
            <w:noProof/>
          </w:rPr>
          <w:t>Figure 2- Net income generated by TD bank till 2030</w:t>
        </w:r>
        <w:r w:rsidR="00C50CBC">
          <w:rPr>
            <w:noProof/>
            <w:webHidden/>
          </w:rPr>
          <w:tab/>
        </w:r>
        <w:r w:rsidR="00C50CBC">
          <w:rPr>
            <w:noProof/>
            <w:webHidden/>
          </w:rPr>
          <w:fldChar w:fldCharType="begin"/>
        </w:r>
        <w:r w:rsidR="00C50CBC">
          <w:rPr>
            <w:noProof/>
            <w:webHidden/>
          </w:rPr>
          <w:instrText xml:space="preserve"> PAGEREF _Toc178364661 \h </w:instrText>
        </w:r>
        <w:r w:rsidR="00C50CBC">
          <w:rPr>
            <w:noProof/>
            <w:webHidden/>
          </w:rPr>
        </w:r>
        <w:r w:rsidR="00C50CBC">
          <w:rPr>
            <w:noProof/>
            <w:webHidden/>
          </w:rPr>
          <w:fldChar w:fldCharType="separate"/>
        </w:r>
        <w:r w:rsidR="00C50CBC">
          <w:rPr>
            <w:noProof/>
            <w:webHidden/>
          </w:rPr>
          <w:t>13</w:t>
        </w:r>
        <w:r w:rsidR="00C50CBC">
          <w:rPr>
            <w:noProof/>
            <w:webHidden/>
          </w:rPr>
          <w:fldChar w:fldCharType="end"/>
        </w:r>
      </w:hyperlink>
    </w:p>
    <w:p w14:paraId="76550D5C" w14:textId="3167AE9A" w:rsidR="00C50CBC" w:rsidRDefault="00C43B93">
      <w:pPr>
        <w:pStyle w:val="TableofFigures"/>
        <w:tabs>
          <w:tab w:val="right" w:leader="dot" w:pos="9350"/>
        </w:tabs>
        <w:rPr>
          <w:rFonts w:asciiTheme="minorHAnsi" w:eastAsiaTheme="minorEastAsia" w:hAnsiTheme="minorHAnsi"/>
          <w:noProof/>
          <w:sz w:val="24"/>
          <w:szCs w:val="24"/>
          <w:lang w:eastAsia="en-CA"/>
        </w:rPr>
      </w:pPr>
      <w:hyperlink w:anchor="_Toc178364662" w:history="1">
        <w:r w:rsidR="00C50CBC" w:rsidRPr="00EA1CC6">
          <w:rPr>
            <w:rStyle w:val="Hyperlink"/>
            <w:noProof/>
          </w:rPr>
          <w:t>Figure 3- Net interest generated by TD Bank till 2030</w:t>
        </w:r>
        <w:r w:rsidR="00C50CBC">
          <w:rPr>
            <w:noProof/>
            <w:webHidden/>
          </w:rPr>
          <w:tab/>
        </w:r>
        <w:r w:rsidR="00C50CBC">
          <w:rPr>
            <w:noProof/>
            <w:webHidden/>
          </w:rPr>
          <w:fldChar w:fldCharType="begin"/>
        </w:r>
        <w:r w:rsidR="00C50CBC">
          <w:rPr>
            <w:noProof/>
            <w:webHidden/>
          </w:rPr>
          <w:instrText xml:space="preserve"> PAGEREF _Toc178364662 \h </w:instrText>
        </w:r>
        <w:r w:rsidR="00C50CBC">
          <w:rPr>
            <w:noProof/>
            <w:webHidden/>
          </w:rPr>
        </w:r>
        <w:r w:rsidR="00C50CBC">
          <w:rPr>
            <w:noProof/>
            <w:webHidden/>
          </w:rPr>
          <w:fldChar w:fldCharType="separate"/>
        </w:r>
        <w:r w:rsidR="00C50CBC">
          <w:rPr>
            <w:noProof/>
            <w:webHidden/>
          </w:rPr>
          <w:t>14</w:t>
        </w:r>
        <w:r w:rsidR="00C50CBC">
          <w:rPr>
            <w:noProof/>
            <w:webHidden/>
          </w:rPr>
          <w:fldChar w:fldCharType="end"/>
        </w:r>
      </w:hyperlink>
    </w:p>
    <w:p w14:paraId="37EE6F98" w14:textId="1609233F" w:rsidR="00C50CBC" w:rsidRDefault="00C43B93">
      <w:pPr>
        <w:pStyle w:val="TableofFigures"/>
        <w:tabs>
          <w:tab w:val="right" w:leader="dot" w:pos="9350"/>
        </w:tabs>
        <w:rPr>
          <w:rFonts w:asciiTheme="minorHAnsi" w:eastAsiaTheme="minorEastAsia" w:hAnsiTheme="minorHAnsi"/>
          <w:noProof/>
          <w:sz w:val="24"/>
          <w:szCs w:val="24"/>
          <w:lang w:eastAsia="en-CA"/>
        </w:rPr>
      </w:pPr>
      <w:hyperlink w:anchor="_Toc178364663" w:history="1">
        <w:r w:rsidR="00C50CBC" w:rsidRPr="00EA1CC6">
          <w:rPr>
            <w:rStyle w:val="Hyperlink"/>
            <w:noProof/>
          </w:rPr>
          <w:t>Figure 4- non-interest income generated by TD Bank till 2030</w:t>
        </w:r>
        <w:r w:rsidR="00C50CBC">
          <w:rPr>
            <w:noProof/>
            <w:webHidden/>
          </w:rPr>
          <w:tab/>
        </w:r>
        <w:r w:rsidR="00C50CBC">
          <w:rPr>
            <w:noProof/>
            <w:webHidden/>
          </w:rPr>
          <w:fldChar w:fldCharType="begin"/>
        </w:r>
        <w:r w:rsidR="00C50CBC">
          <w:rPr>
            <w:noProof/>
            <w:webHidden/>
          </w:rPr>
          <w:instrText xml:space="preserve"> PAGEREF _Toc178364663 \h </w:instrText>
        </w:r>
        <w:r w:rsidR="00C50CBC">
          <w:rPr>
            <w:noProof/>
            <w:webHidden/>
          </w:rPr>
        </w:r>
        <w:r w:rsidR="00C50CBC">
          <w:rPr>
            <w:noProof/>
            <w:webHidden/>
          </w:rPr>
          <w:fldChar w:fldCharType="separate"/>
        </w:r>
        <w:r w:rsidR="00C50CBC">
          <w:rPr>
            <w:noProof/>
            <w:webHidden/>
          </w:rPr>
          <w:t>14</w:t>
        </w:r>
        <w:r w:rsidR="00C50CBC">
          <w:rPr>
            <w:noProof/>
            <w:webHidden/>
          </w:rPr>
          <w:fldChar w:fldCharType="end"/>
        </w:r>
      </w:hyperlink>
    </w:p>
    <w:p w14:paraId="513BF242" w14:textId="246D40FE" w:rsidR="00C50CBC" w:rsidRDefault="00C43B93">
      <w:pPr>
        <w:pStyle w:val="TableofFigures"/>
        <w:tabs>
          <w:tab w:val="right" w:leader="dot" w:pos="9350"/>
        </w:tabs>
        <w:rPr>
          <w:rFonts w:asciiTheme="minorHAnsi" w:eastAsiaTheme="minorEastAsia" w:hAnsiTheme="minorHAnsi"/>
          <w:noProof/>
          <w:sz w:val="24"/>
          <w:szCs w:val="24"/>
          <w:lang w:eastAsia="en-CA"/>
        </w:rPr>
      </w:pPr>
      <w:hyperlink w:anchor="_Toc178364664" w:history="1">
        <w:r w:rsidR="00C50CBC" w:rsidRPr="00EA1CC6">
          <w:rPr>
            <w:rStyle w:val="Hyperlink"/>
            <w:noProof/>
          </w:rPr>
          <w:t>Figure 5- Total registrations for EV from Quarter 1 of 2022 to Quarter 2 of 2024</w:t>
        </w:r>
        <w:r w:rsidR="00C50CBC">
          <w:rPr>
            <w:noProof/>
            <w:webHidden/>
          </w:rPr>
          <w:tab/>
        </w:r>
        <w:r w:rsidR="00C50CBC">
          <w:rPr>
            <w:noProof/>
            <w:webHidden/>
          </w:rPr>
          <w:fldChar w:fldCharType="begin"/>
        </w:r>
        <w:r w:rsidR="00C50CBC">
          <w:rPr>
            <w:noProof/>
            <w:webHidden/>
          </w:rPr>
          <w:instrText xml:space="preserve"> PAGEREF _Toc178364664 \h </w:instrText>
        </w:r>
        <w:r w:rsidR="00C50CBC">
          <w:rPr>
            <w:noProof/>
            <w:webHidden/>
          </w:rPr>
        </w:r>
        <w:r w:rsidR="00C50CBC">
          <w:rPr>
            <w:noProof/>
            <w:webHidden/>
          </w:rPr>
          <w:fldChar w:fldCharType="separate"/>
        </w:r>
        <w:r w:rsidR="00C50CBC">
          <w:rPr>
            <w:noProof/>
            <w:webHidden/>
          </w:rPr>
          <w:t>15</w:t>
        </w:r>
        <w:r w:rsidR="00C50CBC">
          <w:rPr>
            <w:noProof/>
            <w:webHidden/>
          </w:rPr>
          <w:fldChar w:fldCharType="end"/>
        </w:r>
      </w:hyperlink>
    </w:p>
    <w:p w14:paraId="0E924405" w14:textId="03C9B83B" w:rsidR="005E6642" w:rsidRDefault="00A03BD6" w:rsidP="00A57BE3">
      <w:pPr>
        <w:spacing w:line="278" w:lineRule="auto"/>
        <w:jc w:val="left"/>
        <w:rPr>
          <w:rFonts w:cs="Calibri"/>
          <w:lang w:val="en-US"/>
        </w:rPr>
        <w:sectPr w:rsidR="005E6642" w:rsidSect="00224CD7">
          <w:footerReference w:type="default" r:id="rId13"/>
          <w:type w:val="continuous"/>
          <w:pgSz w:w="12240" w:h="15840" w:code="1"/>
          <w:pgMar w:top="1440" w:right="1440" w:bottom="1440" w:left="1440" w:header="709" w:footer="709" w:gutter="0"/>
          <w:pgNumType w:fmt="lowerRoman" w:start="2"/>
          <w:cols w:space="708"/>
          <w:docGrid w:linePitch="360"/>
        </w:sectPr>
      </w:pPr>
      <w:r>
        <w:rPr>
          <w:rFonts w:cs="Calibri"/>
          <w:lang w:val="en-US"/>
        </w:rPr>
        <w:fldChar w:fldCharType="end"/>
      </w:r>
    </w:p>
    <w:p w14:paraId="0478BC5A" w14:textId="77777777" w:rsidR="005E6642" w:rsidRDefault="005E6642" w:rsidP="00033070">
      <w:pPr>
        <w:pStyle w:val="Heading2"/>
        <w:spacing w:after="0"/>
        <w:rPr>
          <w:rFonts w:ascii="Calibri" w:hAnsi="Calibri" w:cs="Calibri"/>
          <w:lang w:val="en-US"/>
        </w:rPr>
        <w:sectPr w:rsidR="005E6642" w:rsidSect="00A57BE3">
          <w:pgSz w:w="12240" w:h="15840"/>
          <w:pgMar w:top="1440" w:right="1440" w:bottom="1440" w:left="1440" w:header="708" w:footer="708" w:gutter="0"/>
          <w:pgNumType w:start="3"/>
          <w:cols w:space="708"/>
          <w:docGrid w:linePitch="360"/>
        </w:sectPr>
      </w:pPr>
    </w:p>
    <w:p w14:paraId="121E5F0D" w14:textId="5C37FC32" w:rsidR="00DE3F05" w:rsidRPr="00B967B5" w:rsidRDefault="00DE3F05" w:rsidP="00207535">
      <w:pPr>
        <w:pStyle w:val="Heading1"/>
        <w:rPr>
          <w:lang w:val="en-US"/>
        </w:rPr>
      </w:pPr>
      <w:bookmarkStart w:id="0" w:name="_Toc178363723"/>
      <w:r w:rsidRPr="00B967B5">
        <w:rPr>
          <w:lang w:val="en-US"/>
        </w:rPr>
        <w:t>Introduction</w:t>
      </w:r>
      <w:bookmarkEnd w:id="0"/>
    </w:p>
    <w:p w14:paraId="2C9001A0" w14:textId="4B41EC91" w:rsidR="005D3127" w:rsidRPr="005D3127" w:rsidRDefault="005D3127" w:rsidP="005D3127">
      <w:pPr>
        <w:spacing w:after="0"/>
        <w:rPr>
          <w:rFonts w:cs="Calibri"/>
          <w:lang w:val="en-US"/>
        </w:rPr>
      </w:pPr>
      <w:r w:rsidRPr="005D3127">
        <w:rPr>
          <w:rFonts w:cs="Calibri"/>
          <w:lang w:val="en-US"/>
        </w:rPr>
        <w:t>This report provides a detailed overview of Toronto-Dominion Bank’s (TD Bank) strategic efforts to acquire WiTricity and integrate its wireless charging technology for electric vehicles (EV). The acquisition aligns with TD Bank’s long-term goal of enhancing its leadership in sustainable finance, driving innovation and expanding its market position in the green energy sector. Given the rapid growth of the EV market, projected to reach 40 million vehicles by 2030 in North America alone this move provides TD Bank with a first-mover advantage in the financing of EV-related infrastructure. WiTricity’s wireless charging solutions, which address the increasing demand for eco-friendly technologies, complement TD Bank’s environmental, social and governance (ESG) initiatives, such as their commitment to achieve net-zero emissions by 2050.</w:t>
      </w:r>
    </w:p>
    <w:p w14:paraId="7955309F" w14:textId="2ECAA78A" w:rsidR="005D3127" w:rsidRPr="005D3127" w:rsidRDefault="005D3127" w:rsidP="005D3127">
      <w:pPr>
        <w:spacing w:after="0"/>
        <w:rPr>
          <w:rFonts w:cs="Calibri"/>
          <w:lang w:val="en-US"/>
        </w:rPr>
      </w:pPr>
      <w:r w:rsidRPr="005D3127">
        <w:rPr>
          <w:rFonts w:cs="Calibri"/>
          <w:lang w:val="en-US"/>
        </w:rPr>
        <w:t>WiTricity’s technology offers TD Bank an opportunity to strengthen its offerings in the green finance market by investing in projects that focus on clean energy, smart technology and ESG criteria. Through this acquisition, TD will position itself as a financial institution at the forefront of innovation, enabling the bank to generate new revenue streams, such as licensing WiTricity’s technology, financing wireless charging hubs and offering tailored EV loans. These steps will also help attract a broader customer base, especially the eco-conscious consumers and businesses that are rapidly growing in number.</w:t>
      </w:r>
    </w:p>
    <w:p w14:paraId="67CB35DA" w14:textId="3C7E023D" w:rsidR="005D3127" w:rsidRPr="005D3127" w:rsidRDefault="005D3127" w:rsidP="005D3127">
      <w:pPr>
        <w:spacing w:after="0"/>
        <w:rPr>
          <w:rFonts w:cs="Calibri"/>
          <w:lang w:val="en-US"/>
        </w:rPr>
      </w:pPr>
      <w:r w:rsidRPr="005D3127">
        <w:rPr>
          <w:rFonts w:cs="Calibri"/>
          <w:lang w:val="en-US"/>
        </w:rPr>
        <w:t>The report outlines a seven-step strategic plan for acquiring WiTricity and expanding TD Bank's operations in the EV market. This includes market evaluation, acquisition negotiations, capital injections, partnership formation and profitability monitoring. With an estimated $500-$700 million annual revenue generation potential by 2030, TD Bank is expected to see a significant return on its investment in the EV infrastructure space. Furthermore, WiTricity’s alignment with TD’s sustainability goals reinforces the bank’s commitment to environmental leadership, ESG investments and technological innovation in green finance.</w:t>
      </w:r>
    </w:p>
    <w:p w14:paraId="5313CF74" w14:textId="76487CA5" w:rsidR="00401B49" w:rsidRDefault="005D3127" w:rsidP="005D3127">
      <w:pPr>
        <w:spacing w:after="0"/>
        <w:rPr>
          <w:rFonts w:cs="Calibri"/>
          <w:lang w:val="en-US"/>
        </w:rPr>
      </w:pPr>
      <w:r w:rsidRPr="005D3127">
        <w:rPr>
          <w:rFonts w:cs="Calibri"/>
          <w:lang w:val="en-US"/>
        </w:rPr>
        <w:t>This report also delves into the impact of economic factors, including recent interest rate cuts by the Bank of Canada, which may influence TD Bank’s acquisition strategy and overall profitability. The potential for future profitability a</w:t>
      </w:r>
      <w:r w:rsidR="002F49E2">
        <w:rPr>
          <w:rFonts w:cs="Calibri"/>
          <w:lang w:val="en-US"/>
        </w:rPr>
        <w:t>long with</w:t>
      </w:r>
      <w:r w:rsidRPr="005D3127">
        <w:rPr>
          <w:rFonts w:cs="Calibri"/>
          <w:lang w:val="en-US"/>
        </w:rPr>
        <w:t xml:space="preserve"> global expansion positions TD Bank to emerge as a market leader in EV finance, wireless charging technology and sustainable energy solutions.</w:t>
      </w:r>
    </w:p>
    <w:p w14:paraId="17F6926F" w14:textId="77777777" w:rsidR="005D3127" w:rsidRDefault="005D3127" w:rsidP="005D3127">
      <w:pPr>
        <w:spacing w:after="0"/>
        <w:rPr>
          <w:rFonts w:cs="Calibri"/>
          <w:lang w:val="en-US"/>
        </w:rPr>
      </w:pPr>
    </w:p>
    <w:p w14:paraId="18F38037" w14:textId="77777777" w:rsidR="005D3127" w:rsidRDefault="005D3127" w:rsidP="005D3127">
      <w:pPr>
        <w:spacing w:after="0"/>
        <w:rPr>
          <w:rFonts w:cs="Calibri"/>
          <w:lang w:val="en-US"/>
        </w:rPr>
      </w:pPr>
    </w:p>
    <w:p w14:paraId="394DE2A8" w14:textId="77777777" w:rsidR="005D3127" w:rsidRDefault="005D3127" w:rsidP="005D3127">
      <w:pPr>
        <w:spacing w:after="0"/>
        <w:rPr>
          <w:rFonts w:cs="Calibri"/>
          <w:lang w:val="en-US"/>
        </w:rPr>
      </w:pPr>
    </w:p>
    <w:p w14:paraId="11CC43A9" w14:textId="77777777" w:rsidR="005D3127" w:rsidRDefault="005D3127" w:rsidP="005D3127">
      <w:pPr>
        <w:spacing w:after="0"/>
        <w:rPr>
          <w:rFonts w:cs="Calibri"/>
          <w:lang w:val="en-US"/>
        </w:rPr>
      </w:pPr>
    </w:p>
    <w:p w14:paraId="3070A385" w14:textId="77777777" w:rsidR="005D3127" w:rsidRDefault="005D3127" w:rsidP="005D3127">
      <w:pPr>
        <w:spacing w:after="0"/>
        <w:rPr>
          <w:rFonts w:cs="Calibri"/>
          <w:lang w:val="en-US"/>
        </w:rPr>
      </w:pPr>
    </w:p>
    <w:p w14:paraId="61DFE27B" w14:textId="77777777" w:rsidR="005D3127" w:rsidRDefault="005D3127" w:rsidP="005D3127">
      <w:pPr>
        <w:spacing w:after="0"/>
        <w:rPr>
          <w:rFonts w:cs="Calibri"/>
          <w:lang w:val="en-US"/>
        </w:rPr>
      </w:pPr>
    </w:p>
    <w:p w14:paraId="21410DCD" w14:textId="77777777" w:rsidR="005D3127" w:rsidRDefault="005D3127" w:rsidP="005D3127">
      <w:pPr>
        <w:spacing w:after="0"/>
        <w:rPr>
          <w:rFonts w:cs="Calibri"/>
          <w:lang w:val="en-US"/>
        </w:rPr>
      </w:pPr>
    </w:p>
    <w:p w14:paraId="3FF629E5" w14:textId="77777777" w:rsidR="005D3127" w:rsidRDefault="005D3127" w:rsidP="005D3127">
      <w:pPr>
        <w:spacing w:after="0"/>
        <w:rPr>
          <w:rFonts w:cs="Calibri"/>
          <w:lang w:val="en-US"/>
        </w:rPr>
      </w:pPr>
    </w:p>
    <w:p w14:paraId="059A368C" w14:textId="77777777" w:rsidR="005D3127" w:rsidRDefault="005D3127" w:rsidP="005D3127">
      <w:pPr>
        <w:spacing w:after="0"/>
        <w:rPr>
          <w:rFonts w:cs="Calibri"/>
          <w:lang w:val="en-US"/>
        </w:rPr>
      </w:pPr>
    </w:p>
    <w:p w14:paraId="3DAC56DD" w14:textId="77777777" w:rsidR="005D3127" w:rsidRDefault="005D3127" w:rsidP="005D3127">
      <w:pPr>
        <w:spacing w:after="0"/>
        <w:rPr>
          <w:rFonts w:cs="Calibri"/>
          <w:lang w:val="en-US"/>
        </w:rPr>
      </w:pPr>
    </w:p>
    <w:p w14:paraId="758B05C6" w14:textId="77777777" w:rsidR="002F49E2" w:rsidRDefault="002F49E2" w:rsidP="005D3127">
      <w:pPr>
        <w:spacing w:after="0"/>
        <w:rPr>
          <w:rFonts w:cs="Calibri"/>
          <w:lang w:val="en-US"/>
        </w:rPr>
      </w:pPr>
    </w:p>
    <w:p w14:paraId="71411947" w14:textId="77777777" w:rsidR="005D3127" w:rsidRDefault="005D3127" w:rsidP="005D3127">
      <w:pPr>
        <w:spacing w:after="0"/>
        <w:rPr>
          <w:rFonts w:cs="Calibri"/>
          <w:lang w:val="en-US"/>
        </w:rPr>
      </w:pPr>
    </w:p>
    <w:p w14:paraId="0A638459" w14:textId="77777777" w:rsidR="00B42E34" w:rsidRPr="00B967B5" w:rsidRDefault="00B42E34" w:rsidP="005D3127">
      <w:pPr>
        <w:spacing w:after="0"/>
        <w:rPr>
          <w:rFonts w:cs="Calibri"/>
          <w:lang w:val="en-US"/>
        </w:rPr>
      </w:pPr>
    </w:p>
    <w:p w14:paraId="08A85483" w14:textId="77777777" w:rsidR="00D95F79" w:rsidRPr="00B967B5" w:rsidRDefault="00D95F79" w:rsidP="006378C0">
      <w:pPr>
        <w:pStyle w:val="Heading1"/>
        <w:rPr>
          <w:lang w:val="en-US"/>
        </w:rPr>
      </w:pPr>
      <w:bookmarkStart w:id="1" w:name="_Toc178363724"/>
      <w:r w:rsidRPr="00B967B5">
        <w:rPr>
          <w:lang w:val="en-US"/>
        </w:rPr>
        <w:lastRenderedPageBreak/>
        <w:t>Preliminary Results</w:t>
      </w:r>
      <w:bookmarkEnd w:id="1"/>
    </w:p>
    <w:p w14:paraId="3CBEECD9" w14:textId="77777777" w:rsidR="00D95F79" w:rsidRPr="00B967B5" w:rsidRDefault="00D95F79" w:rsidP="005E6642">
      <w:pPr>
        <w:pStyle w:val="Heading3"/>
        <w:rPr>
          <w:lang w:val="en-US"/>
        </w:rPr>
      </w:pPr>
      <w:bookmarkStart w:id="2" w:name="_Toc178363725"/>
      <w:r w:rsidRPr="00B967B5">
        <w:rPr>
          <w:lang w:val="en-US"/>
        </w:rPr>
        <w:t>Where you see the client today</w:t>
      </w:r>
      <w:bookmarkEnd w:id="2"/>
    </w:p>
    <w:p w14:paraId="0EB10D35" w14:textId="0CAD2C6B" w:rsidR="00100EE6" w:rsidRDefault="00100EE6" w:rsidP="00834FF2">
      <w:pPr>
        <w:spacing w:after="0"/>
        <w:rPr>
          <w:rFonts w:cs="Calibri"/>
          <w:lang w:val="en-US"/>
        </w:rPr>
      </w:pPr>
      <w:r w:rsidRPr="00B967B5">
        <w:rPr>
          <w:rFonts w:cs="Calibri"/>
          <w:lang w:val="en-US"/>
        </w:rPr>
        <w:t xml:space="preserve">Toronto-Dominion Bank also known as TD Bank is a multinational banking and financial services corporation. It is headquartered in Toronto, Canada. It is the second-largest bank in Canada by assets and deposits. It operates in over 22 countries worldwide. It is the sixth-largest bank in North America and serves approximately 28 million customers around the globe. TD Bank is committed to providing its customers with </w:t>
      </w:r>
      <w:r w:rsidR="005B4BA9" w:rsidRPr="00B967B5">
        <w:rPr>
          <w:rFonts w:cs="Calibri"/>
          <w:lang w:val="en-US"/>
        </w:rPr>
        <w:t>various</w:t>
      </w:r>
      <w:r w:rsidRPr="00B967B5">
        <w:rPr>
          <w:rFonts w:cs="Calibri"/>
          <w:lang w:val="en-US"/>
        </w:rPr>
        <w:t xml:space="preserve"> products and services. This includes personal banking, small business banking, wealth management, commercial banking, wholesale banking and insurance. TD Bank has a strong presence in Canada and the United States with over 1,100 branches. With 16.7 million active digital customers TD is a leader in the digital banking space. </w:t>
      </w:r>
    </w:p>
    <w:p w14:paraId="64713286" w14:textId="77777777" w:rsidR="005E6642" w:rsidRPr="00B967B5" w:rsidRDefault="005E6642" w:rsidP="00834FF2">
      <w:pPr>
        <w:spacing w:after="0"/>
        <w:rPr>
          <w:rFonts w:cs="Calibri"/>
          <w:lang w:val="en-US"/>
        </w:rPr>
      </w:pPr>
    </w:p>
    <w:p w14:paraId="6F3ABB5B" w14:textId="1453D6BC" w:rsidR="00D95F79" w:rsidRPr="005E6642" w:rsidRDefault="00D95F79" w:rsidP="005E6642">
      <w:pPr>
        <w:rPr>
          <w:b/>
          <w:bCs/>
          <w:lang w:val="en-US"/>
        </w:rPr>
      </w:pPr>
      <w:r w:rsidRPr="005E6642">
        <w:rPr>
          <w:b/>
          <w:bCs/>
          <w:lang w:val="en-US"/>
        </w:rPr>
        <w:t xml:space="preserve">Financial </w:t>
      </w:r>
      <w:r w:rsidR="001B5588" w:rsidRPr="005E6642">
        <w:rPr>
          <w:b/>
          <w:bCs/>
          <w:lang w:val="en-US"/>
        </w:rPr>
        <w:t>p</w:t>
      </w:r>
      <w:r w:rsidRPr="005E6642">
        <w:rPr>
          <w:b/>
          <w:bCs/>
          <w:lang w:val="en-US"/>
        </w:rPr>
        <w:t>erformance</w:t>
      </w:r>
    </w:p>
    <w:p w14:paraId="7A3DB06B" w14:textId="77777777" w:rsidR="001415EB" w:rsidRPr="00B967B5" w:rsidRDefault="001415EB" w:rsidP="00834FF2">
      <w:pPr>
        <w:spacing w:after="0"/>
        <w:rPr>
          <w:rFonts w:cs="Calibri"/>
        </w:rPr>
      </w:pPr>
      <w:r w:rsidRPr="00B967B5">
        <w:rPr>
          <w:rFonts w:cs="Calibri"/>
        </w:rPr>
        <w:t>TD Bank's 2023 financial performance presented a complex picture with both positive and negative aspects. The bank demonstrated resilience with stable revenue growth, strong capital and prioritized shareholder returns. It faced challenges in the form of higher credit provisions and increased operating expenses leading to a decline in profitability. Despite these challenges the bank's core business remained stable.</w:t>
      </w:r>
    </w:p>
    <w:p w14:paraId="2BA5EE83" w14:textId="10B1D24D" w:rsidR="001415EB" w:rsidRPr="00B967B5" w:rsidRDefault="001415EB" w:rsidP="004369DD">
      <w:pPr>
        <w:pStyle w:val="ListParagraph"/>
        <w:numPr>
          <w:ilvl w:val="0"/>
          <w:numId w:val="10"/>
        </w:numPr>
        <w:spacing w:after="0"/>
        <w:rPr>
          <w:rFonts w:cs="Calibri"/>
        </w:rPr>
      </w:pPr>
      <w:r w:rsidRPr="00B967B5">
        <w:rPr>
          <w:rFonts w:cs="Calibri"/>
          <w:b/>
          <w:bCs/>
        </w:rPr>
        <w:t xml:space="preserve">Total </w:t>
      </w:r>
      <w:r w:rsidR="001B5588">
        <w:rPr>
          <w:rFonts w:cs="Calibri"/>
          <w:b/>
          <w:bCs/>
        </w:rPr>
        <w:t>r</w:t>
      </w:r>
      <w:r w:rsidRPr="00B967B5">
        <w:rPr>
          <w:rFonts w:cs="Calibri"/>
          <w:b/>
          <w:bCs/>
        </w:rPr>
        <w:t>evenue:</w:t>
      </w:r>
      <w:r w:rsidRPr="00B967B5">
        <w:rPr>
          <w:rFonts w:cs="Calibri"/>
        </w:rPr>
        <w:t xml:space="preserve"> TD Bank reported a slight increase in total revenue to $50.5 billion in 2023 compared to $49.0 billion in 2022. This modest growth indicates a stable performance despite challenging economic conditions.</w:t>
      </w:r>
    </w:p>
    <w:p w14:paraId="17BBD1F6" w14:textId="1E5A102D" w:rsidR="001415EB" w:rsidRPr="00B967B5" w:rsidRDefault="001415EB" w:rsidP="004369DD">
      <w:pPr>
        <w:pStyle w:val="ListParagraph"/>
        <w:numPr>
          <w:ilvl w:val="0"/>
          <w:numId w:val="10"/>
        </w:numPr>
        <w:spacing w:after="0"/>
        <w:rPr>
          <w:rFonts w:cs="Calibri"/>
        </w:rPr>
      </w:pPr>
      <w:r w:rsidRPr="00B967B5">
        <w:rPr>
          <w:rFonts w:cs="Calibri"/>
          <w:b/>
          <w:bCs/>
        </w:rPr>
        <w:t xml:space="preserve">Net </w:t>
      </w:r>
      <w:r w:rsidR="001B5588">
        <w:rPr>
          <w:rFonts w:cs="Calibri"/>
          <w:b/>
          <w:bCs/>
        </w:rPr>
        <w:t>i</w:t>
      </w:r>
      <w:r w:rsidRPr="00B967B5">
        <w:rPr>
          <w:rFonts w:cs="Calibri"/>
          <w:b/>
          <w:bCs/>
        </w:rPr>
        <w:t>ncome:</w:t>
      </w:r>
      <w:r w:rsidRPr="00B967B5">
        <w:rPr>
          <w:rFonts w:cs="Calibri"/>
        </w:rPr>
        <w:t xml:space="preserve"> Net income declined significantly by 38% to $10.8 billion in 2023</w:t>
      </w:r>
      <w:r w:rsidR="002F073B">
        <w:rPr>
          <w:rFonts w:cs="Calibri"/>
        </w:rPr>
        <w:t>.</w:t>
      </w:r>
      <w:r w:rsidRPr="00B967B5">
        <w:rPr>
          <w:rFonts w:cs="Calibri"/>
        </w:rPr>
        <w:t xml:space="preserve"> This decline was primarily driven by higher credit provisions and increased operating expenses.</w:t>
      </w:r>
    </w:p>
    <w:p w14:paraId="1B7290F4" w14:textId="06A596DA" w:rsidR="001415EB" w:rsidRPr="00B967B5" w:rsidRDefault="001415EB" w:rsidP="004369DD">
      <w:pPr>
        <w:pStyle w:val="ListParagraph"/>
        <w:numPr>
          <w:ilvl w:val="0"/>
          <w:numId w:val="10"/>
        </w:numPr>
        <w:spacing w:after="0"/>
        <w:rPr>
          <w:rFonts w:cs="Calibri"/>
        </w:rPr>
      </w:pPr>
      <w:r w:rsidRPr="00B967B5">
        <w:rPr>
          <w:rFonts w:cs="Calibri"/>
          <w:b/>
          <w:bCs/>
        </w:rPr>
        <w:t xml:space="preserve">Provision for </w:t>
      </w:r>
      <w:r w:rsidR="001B5588">
        <w:rPr>
          <w:rFonts w:cs="Calibri"/>
          <w:b/>
          <w:bCs/>
        </w:rPr>
        <w:t>c</w:t>
      </w:r>
      <w:r w:rsidRPr="00B967B5">
        <w:rPr>
          <w:rFonts w:cs="Calibri"/>
          <w:b/>
          <w:bCs/>
        </w:rPr>
        <w:t xml:space="preserve">redit </w:t>
      </w:r>
      <w:r w:rsidR="001B5588">
        <w:rPr>
          <w:rFonts w:cs="Calibri"/>
          <w:b/>
          <w:bCs/>
        </w:rPr>
        <w:t>l</w:t>
      </w:r>
      <w:r w:rsidRPr="00B967B5">
        <w:rPr>
          <w:rFonts w:cs="Calibri"/>
          <w:b/>
          <w:bCs/>
        </w:rPr>
        <w:t>osses (PCL):</w:t>
      </w:r>
      <w:r w:rsidRPr="00B967B5">
        <w:rPr>
          <w:rFonts w:cs="Calibri"/>
        </w:rPr>
        <w:t xml:space="preserve"> The provision for credit losses (PCL) rose significantly to $2.9 billion in 2023 from $1.1 billion in 2022. This increase reflects the normalization of credit losses following the pandemic and an uncertain macroeconomic environment. Higher credit provisions directly reduce net income impacting the bank's profitability. Continued high provisions could put pressure on this ratio in the future.</w:t>
      </w:r>
    </w:p>
    <w:p w14:paraId="152F982A" w14:textId="44A6434F" w:rsidR="001415EB" w:rsidRPr="00B967B5" w:rsidRDefault="001415EB" w:rsidP="004369DD">
      <w:pPr>
        <w:pStyle w:val="ListParagraph"/>
        <w:numPr>
          <w:ilvl w:val="0"/>
          <w:numId w:val="10"/>
        </w:numPr>
        <w:spacing w:after="0"/>
        <w:rPr>
          <w:rFonts w:cs="Calibri"/>
        </w:rPr>
      </w:pPr>
      <w:r w:rsidRPr="00B967B5">
        <w:rPr>
          <w:rFonts w:cs="Calibri"/>
          <w:b/>
          <w:bCs/>
        </w:rPr>
        <w:t xml:space="preserve">Common </w:t>
      </w:r>
      <w:r w:rsidR="001B5588">
        <w:rPr>
          <w:rFonts w:cs="Calibri"/>
          <w:b/>
          <w:bCs/>
        </w:rPr>
        <w:t>e</w:t>
      </w:r>
      <w:r w:rsidRPr="00B967B5">
        <w:rPr>
          <w:rFonts w:cs="Calibri"/>
          <w:b/>
          <w:bCs/>
        </w:rPr>
        <w:t xml:space="preserve">quity </w:t>
      </w:r>
      <w:r w:rsidR="001B5588">
        <w:rPr>
          <w:rFonts w:cs="Calibri"/>
          <w:b/>
          <w:bCs/>
        </w:rPr>
        <w:t>t</w:t>
      </w:r>
      <w:r w:rsidRPr="00B967B5">
        <w:rPr>
          <w:rFonts w:cs="Calibri"/>
          <w:b/>
          <w:bCs/>
        </w:rPr>
        <w:t>ier 1 (CET1) Ratio:</w:t>
      </w:r>
      <w:r w:rsidRPr="00B967B5">
        <w:rPr>
          <w:rFonts w:cs="Calibri"/>
        </w:rPr>
        <w:t> TD Bank maintained a strong capital position with a CET1 Ratio of 14.4% which is well above the regulatory minimum requirement. This indicates a strong financial foundation and ability to absorb potential losses.</w:t>
      </w:r>
    </w:p>
    <w:p w14:paraId="5DED4D96" w14:textId="77777777" w:rsidR="001415EB" w:rsidRDefault="001415EB" w:rsidP="004369DD">
      <w:pPr>
        <w:pStyle w:val="ListParagraph"/>
        <w:numPr>
          <w:ilvl w:val="0"/>
          <w:numId w:val="10"/>
        </w:numPr>
        <w:spacing w:after="0"/>
        <w:rPr>
          <w:rFonts w:cs="Calibri"/>
        </w:rPr>
      </w:pPr>
      <w:r w:rsidRPr="00B967B5">
        <w:rPr>
          <w:rFonts w:cs="Calibri"/>
          <w:b/>
          <w:bCs/>
        </w:rPr>
        <w:t>Reported ROE:</w:t>
      </w:r>
      <w:r w:rsidRPr="00B967B5">
        <w:rPr>
          <w:rFonts w:cs="Calibri"/>
        </w:rPr>
        <w:t> The bank's reported ROE declined to 10.1% from 18.0% in 2022. This decrease reflects the impact of lower profitability on shareholder equity.</w:t>
      </w:r>
    </w:p>
    <w:p w14:paraId="2C987EDF" w14:textId="77777777" w:rsidR="005E6642" w:rsidRPr="00B967B5" w:rsidRDefault="005E6642" w:rsidP="005E6642">
      <w:pPr>
        <w:pStyle w:val="ListParagraph"/>
        <w:spacing w:after="0"/>
        <w:rPr>
          <w:rFonts w:cs="Calibri"/>
        </w:rPr>
      </w:pPr>
    </w:p>
    <w:p w14:paraId="0C56477D" w14:textId="4254A9A0" w:rsidR="00D95F79" w:rsidRPr="005E6642" w:rsidRDefault="00D95F79" w:rsidP="005E6642">
      <w:pPr>
        <w:rPr>
          <w:b/>
          <w:bCs/>
          <w:lang w:val="en-US"/>
        </w:rPr>
      </w:pPr>
      <w:r w:rsidRPr="005E6642">
        <w:rPr>
          <w:b/>
          <w:bCs/>
          <w:lang w:val="en-US"/>
        </w:rPr>
        <w:t xml:space="preserve">Market </w:t>
      </w:r>
      <w:r w:rsidR="001B5588" w:rsidRPr="005E6642">
        <w:rPr>
          <w:b/>
          <w:bCs/>
          <w:lang w:val="en-US"/>
        </w:rPr>
        <w:t>p</w:t>
      </w:r>
      <w:r w:rsidRPr="005E6642">
        <w:rPr>
          <w:b/>
          <w:bCs/>
          <w:lang w:val="en-US"/>
        </w:rPr>
        <w:t>osition</w:t>
      </w:r>
    </w:p>
    <w:p w14:paraId="60163D57" w14:textId="77777777" w:rsidR="003630EB" w:rsidRDefault="003630EB" w:rsidP="00834FF2">
      <w:pPr>
        <w:spacing w:after="0"/>
        <w:rPr>
          <w:rFonts w:cs="Calibri"/>
          <w:lang w:val="en-US"/>
        </w:rPr>
      </w:pPr>
      <w:r w:rsidRPr="00B967B5">
        <w:rPr>
          <w:rFonts w:cs="Calibri"/>
          <w:lang w:val="en-US"/>
        </w:rPr>
        <w:t xml:space="preserve">TD Bank holds a significant market share in the Canadian retail banking sector. This solidifies its position as one of the top financial institutions in the country. TD Bank holds a market share of 22.33%. TD Bank's market capitalization is $146.4 billion. </w:t>
      </w:r>
    </w:p>
    <w:p w14:paraId="49660C85" w14:textId="77777777" w:rsidR="005E6642" w:rsidRPr="00B967B5" w:rsidRDefault="005E6642" w:rsidP="00834FF2">
      <w:pPr>
        <w:spacing w:after="0"/>
        <w:rPr>
          <w:rFonts w:cs="Calibri"/>
          <w:lang w:val="en-US"/>
        </w:rPr>
      </w:pPr>
    </w:p>
    <w:p w14:paraId="2CAA606B" w14:textId="77777777" w:rsidR="005E6642" w:rsidRDefault="00D95F79" w:rsidP="005E6642">
      <w:pPr>
        <w:rPr>
          <w:b/>
          <w:bCs/>
          <w:lang w:val="en-US"/>
        </w:rPr>
      </w:pPr>
      <w:r w:rsidRPr="005E6642">
        <w:rPr>
          <w:b/>
          <w:bCs/>
          <w:lang w:val="en-US"/>
        </w:rPr>
        <w:t xml:space="preserve">Sustainable and ESG </w:t>
      </w:r>
      <w:r w:rsidR="001B5588" w:rsidRPr="005E6642">
        <w:rPr>
          <w:b/>
          <w:bCs/>
          <w:lang w:val="en-US"/>
        </w:rPr>
        <w:t>i</w:t>
      </w:r>
      <w:r w:rsidRPr="005E6642">
        <w:rPr>
          <w:b/>
          <w:bCs/>
          <w:lang w:val="en-US"/>
        </w:rPr>
        <w:t>nitiatives</w:t>
      </w:r>
    </w:p>
    <w:p w14:paraId="03AFBF56" w14:textId="57F35255" w:rsidR="00861C0A" w:rsidRPr="005E6642" w:rsidRDefault="00861C0A" w:rsidP="005E6642">
      <w:pPr>
        <w:rPr>
          <w:b/>
          <w:bCs/>
          <w:lang w:val="en-US"/>
        </w:rPr>
      </w:pPr>
      <w:r w:rsidRPr="00B967B5">
        <w:rPr>
          <w:rFonts w:cs="Calibri"/>
          <w:lang w:val="en-US"/>
        </w:rPr>
        <w:t xml:space="preserve">TD is committed to sustainable finance aiming for net-zero emissions by 2050. The bank has invested billions in eco-friendly initiatives such as financing clean energy projects, electric vehicle infrastructure and </w:t>
      </w:r>
      <w:r w:rsidRPr="00B967B5">
        <w:rPr>
          <w:rFonts w:cs="Calibri"/>
          <w:lang w:val="en-US"/>
        </w:rPr>
        <w:lastRenderedPageBreak/>
        <w:t>sustainable real estate developments. TD's Green Bond framework focuses on renewable energy, clean transportation and climate change mitigation. This solidifies its position in the growing green bond and ESG investment market.</w:t>
      </w:r>
    </w:p>
    <w:p w14:paraId="1294E41E" w14:textId="3EDF21C4" w:rsidR="00D95F79" w:rsidRPr="00B967B5" w:rsidRDefault="00D95F79" w:rsidP="001222CC">
      <w:pPr>
        <w:pStyle w:val="ListParagraph"/>
        <w:numPr>
          <w:ilvl w:val="0"/>
          <w:numId w:val="1"/>
        </w:numPr>
        <w:spacing w:after="0"/>
        <w:rPr>
          <w:rFonts w:cs="Calibri"/>
          <w:lang w:val="en-US"/>
        </w:rPr>
      </w:pPr>
      <w:r w:rsidRPr="00B967B5">
        <w:rPr>
          <w:rFonts w:cs="Calibri"/>
          <w:b/>
          <w:bCs/>
          <w:lang w:val="en-US"/>
        </w:rPr>
        <w:t>EV-</w:t>
      </w:r>
      <w:r w:rsidR="001B5588">
        <w:rPr>
          <w:rFonts w:cs="Calibri"/>
          <w:b/>
          <w:bCs/>
          <w:lang w:val="en-US"/>
        </w:rPr>
        <w:t>f</w:t>
      </w:r>
      <w:r w:rsidRPr="00B967B5">
        <w:rPr>
          <w:rFonts w:cs="Calibri"/>
          <w:b/>
          <w:bCs/>
          <w:lang w:val="en-US"/>
        </w:rPr>
        <w:t xml:space="preserve">riendly </w:t>
      </w:r>
      <w:r w:rsidR="001B5588">
        <w:rPr>
          <w:rFonts w:cs="Calibri"/>
          <w:b/>
          <w:bCs/>
          <w:lang w:val="en-US"/>
        </w:rPr>
        <w:t>i</w:t>
      </w:r>
      <w:r w:rsidRPr="00B967B5">
        <w:rPr>
          <w:rFonts w:cs="Calibri"/>
          <w:b/>
          <w:bCs/>
          <w:lang w:val="en-US"/>
        </w:rPr>
        <w:t>nitiatives:</w:t>
      </w:r>
      <w:r w:rsidRPr="00B967B5">
        <w:rPr>
          <w:rFonts w:cs="Calibri"/>
          <w:lang w:val="en-US"/>
        </w:rPr>
        <w:t xml:space="preserve"> </w:t>
      </w:r>
      <w:r w:rsidR="000705A8" w:rsidRPr="00B967B5">
        <w:rPr>
          <w:rFonts w:cs="Calibri"/>
          <w:lang w:val="en-US"/>
        </w:rPr>
        <w:t xml:space="preserve">TD Insurance is driving sustainability forward with several initiatives that support electric vehicle (EV) adoption. The company offers a "Green Wheel Discount" to EV and hybrid EV owners encouraging the use of cleaner transportation options. TD Insurance has developed a network of EV Certified Auto </w:t>
      </w:r>
      <w:r w:rsidR="00B42E34" w:rsidRPr="00B967B5">
        <w:rPr>
          <w:rFonts w:cs="Calibri"/>
          <w:lang w:val="en-US"/>
        </w:rPr>
        <w:t>Centers</w:t>
      </w:r>
      <w:r w:rsidR="000705A8" w:rsidRPr="00B967B5">
        <w:rPr>
          <w:rFonts w:cs="Calibri"/>
          <w:lang w:val="en-US"/>
        </w:rPr>
        <w:t xml:space="preserve"> equipped to handle EV claims and repairs. If an EV is under repair TD Insurance provides EV rental options or reimburses customers for alternative transportation costs. This promotes eco-friendly mobility even during repair periods.</w:t>
      </w:r>
    </w:p>
    <w:p w14:paraId="75000732" w14:textId="7BC39B3D" w:rsidR="00D95F79" w:rsidRPr="00B967B5" w:rsidRDefault="00D95F79" w:rsidP="001222CC">
      <w:pPr>
        <w:pStyle w:val="ListParagraph"/>
        <w:numPr>
          <w:ilvl w:val="0"/>
          <w:numId w:val="1"/>
        </w:numPr>
        <w:spacing w:after="0"/>
        <w:rPr>
          <w:rFonts w:cs="Calibri"/>
          <w:lang w:val="en-US"/>
        </w:rPr>
      </w:pPr>
      <w:r w:rsidRPr="00B967B5">
        <w:rPr>
          <w:rFonts w:cs="Calibri"/>
          <w:b/>
          <w:bCs/>
          <w:lang w:val="en-US"/>
        </w:rPr>
        <w:t>Low-</w:t>
      </w:r>
      <w:r w:rsidR="001B5588">
        <w:rPr>
          <w:rFonts w:cs="Calibri"/>
          <w:b/>
          <w:bCs/>
          <w:lang w:val="en-US"/>
        </w:rPr>
        <w:t>c</w:t>
      </w:r>
      <w:r w:rsidRPr="00B967B5">
        <w:rPr>
          <w:rFonts w:cs="Calibri"/>
          <w:b/>
          <w:bCs/>
          <w:lang w:val="en-US"/>
        </w:rPr>
        <w:t xml:space="preserve">arbon </w:t>
      </w:r>
      <w:r w:rsidR="001B5588">
        <w:rPr>
          <w:rFonts w:cs="Calibri"/>
          <w:b/>
          <w:bCs/>
          <w:lang w:val="en-US"/>
        </w:rPr>
        <w:t>t</w:t>
      </w:r>
      <w:r w:rsidRPr="00B967B5">
        <w:rPr>
          <w:rFonts w:cs="Calibri"/>
          <w:b/>
          <w:bCs/>
          <w:lang w:val="en-US"/>
        </w:rPr>
        <w:t xml:space="preserve">arget </w:t>
      </w:r>
      <w:r w:rsidR="001B5588">
        <w:rPr>
          <w:rFonts w:cs="Calibri"/>
          <w:b/>
          <w:bCs/>
          <w:lang w:val="en-US"/>
        </w:rPr>
        <w:t>a</w:t>
      </w:r>
      <w:r w:rsidRPr="00B967B5">
        <w:rPr>
          <w:rFonts w:cs="Calibri"/>
          <w:b/>
          <w:bCs/>
          <w:lang w:val="en-US"/>
        </w:rPr>
        <w:t>chieved:</w:t>
      </w:r>
      <w:r w:rsidRPr="00B967B5">
        <w:rPr>
          <w:rFonts w:cs="Calibri"/>
          <w:lang w:val="en-US"/>
        </w:rPr>
        <w:t xml:space="preserve"> </w:t>
      </w:r>
      <w:r w:rsidR="00845052" w:rsidRPr="00B967B5">
        <w:rPr>
          <w:rFonts w:cs="Calibri"/>
          <w:lang w:val="en-US"/>
        </w:rPr>
        <w:t>TD surpassed its $100 billion low-carbon target ahead of schedule demonstrating its dedication to reducing its environmental footprint.</w:t>
      </w:r>
    </w:p>
    <w:p w14:paraId="1D210120" w14:textId="4F219D00" w:rsidR="00D95F79" w:rsidRPr="00B967B5" w:rsidRDefault="00D95F79" w:rsidP="001222CC">
      <w:pPr>
        <w:pStyle w:val="ListParagraph"/>
        <w:numPr>
          <w:ilvl w:val="0"/>
          <w:numId w:val="1"/>
        </w:numPr>
        <w:spacing w:after="0"/>
        <w:rPr>
          <w:rFonts w:cs="Calibri"/>
          <w:lang w:val="en-US"/>
        </w:rPr>
      </w:pPr>
      <w:r w:rsidRPr="00B967B5">
        <w:rPr>
          <w:rFonts w:cs="Calibri"/>
          <w:b/>
          <w:bCs/>
          <w:lang w:val="en-US"/>
        </w:rPr>
        <w:t xml:space="preserve">New </w:t>
      </w:r>
      <w:r w:rsidR="001B5588">
        <w:rPr>
          <w:rFonts w:cs="Calibri"/>
          <w:b/>
          <w:bCs/>
          <w:lang w:val="en-US"/>
        </w:rPr>
        <w:t>s</w:t>
      </w:r>
      <w:r w:rsidRPr="00B967B5">
        <w:rPr>
          <w:rFonts w:cs="Calibri"/>
          <w:b/>
          <w:bCs/>
          <w:lang w:val="en-US"/>
        </w:rPr>
        <w:t xml:space="preserve">ustainable </w:t>
      </w:r>
      <w:r w:rsidR="001B5588">
        <w:rPr>
          <w:rFonts w:cs="Calibri"/>
          <w:b/>
          <w:bCs/>
          <w:lang w:val="en-US"/>
        </w:rPr>
        <w:t>f</w:t>
      </w:r>
      <w:r w:rsidRPr="00B967B5">
        <w:rPr>
          <w:rFonts w:cs="Calibri"/>
          <w:b/>
          <w:bCs/>
          <w:lang w:val="en-US"/>
        </w:rPr>
        <w:t xml:space="preserve">inance </w:t>
      </w:r>
      <w:r w:rsidR="001B5588">
        <w:rPr>
          <w:rFonts w:cs="Calibri"/>
          <w:b/>
          <w:bCs/>
          <w:lang w:val="en-US"/>
        </w:rPr>
        <w:t>g</w:t>
      </w:r>
      <w:r w:rsidRPr="00B967B5">
        <w:rPr>
          <w:rFonts w:cs="Calibri"/>
          <w:b/>
          <w:bCs/>
          <w:lang w:val="en-US"/>
        </w:rPr>
        <w:t>oal:</w:t>
      </w:r>
      <w:r w:rsidRPr="00B967B5">
        <w:rPr>
          <w:rFonts w:cs="Calibri"/>
          <w:lang w:val="en-US"/>
        </w:rPr>
        <w:t xml:space="preserve"> </w:t>
      </w:r>
      <w:r w:rsidR="00441F95" w:rsidRPr="00B967B5">
        <w:rPr>
          <w:rFonts w:cs="Calibri"/>
          <w:lang w:val="en-US"/>
        </w:rPr>
        <w:t>The bank has set a new goal to mobilize $500 billion by 2030 in sustainable finance playing a leading role in supporting the transition to a low-carbon economy.</w:t>
      </w:r>
    </w:p>
    <w:p w14:paraId="3D1CA72F" w14:textId="6C62063C" w:rsidR="00401B49" w:rsidRPr="00B967B5" w:rsidRDefault="00D95F79" w:rsidP="001222CC">
      <w:pPr>
        <w:pStyle w:val="ListParagraph"/>
        <w:numPr>
          <w:ilvl w:val="0"/>
          <w:numId w:val="1"/>
        </w:numPr>
        <w:spacing w:after="0"/>
        <w:rPr>
          <w:rFonts w:cs="Calibri"/>
          <w:lang w:val="en-US"/>
        </w:rPr>
      </w:pPr>
      <w:r w:rsidRPr="00B967B5">
        <w:rPr>
          <w:rFonts w:cs="Calibri"/>
          <w:b/>
          <w:bCs/>
          <w:lang w:val="en-US"/>
        </w:rPr>
        <w:t xml:space="preserve">Expanded </w:t>
      </w:r>
      <w:r w:rsidR="001B5588">
        <w:rPr>
          <w:rFonts w:cs="Calibri"/>
          <w:b/>
          <w:bCs/>
          <w:lang w:val="en-US"/>
        </w:rPr>
        <w:t>s</w:t>
      </w:r>
      <w:r w:rsidRPr="00B967B5">
        <w:rPr>
          <w:rFonts w:cs="Calibri"/>
          <w:b/>
          <w:bCs/>
          <w:lang w:val="en-US"/>
        </w:rPr>
        <w:t xml:space="preserve">cope 3 </w:t>
      </w:r>
      <w:r w:rsidR="001B5588">
        <w:rPr>
          <w:rFonts w:cs="Calibri"/>
          <w:b/>
          <w:bCs/>
          <w:lang w:val="en-US"/>
        </w:rPr>
        <w:t>e</w:t>
      </w:r>
      <w:r w:rsidRPr="00B967B5">
        <w:rPr>
          <w:rFonts w:cs="Calibri"/>
          <w:b/>
          <w:bCs/>
          <w:lang w:val="en-US"/>
        </w:rPr>
        <w:t xml:space="preserve">missions </w:t>
      </w:r>
      <w:r w:rsidR="001B5588">
        <w:rPr>
          <w:rFonts w:cs="Calibri"/>
          <w:b/>
          <w:bCs/>
          <w:lang w:val="en-US"/>
        </w:rPr>
        <w:t>r</w:t>
      </w:r>
      <w:r w:rsidRPr="00B967B5">
        <w:rPr>
          <w:rFonts w:cs="Calibri"/>
          <w:b/>
          <w:bCs/>
          <w:lang w:val="en-US"/>
        </w:rPr>
        <w:t>eporting:</w:t>
      </w:r>
      <w:r w:rsidRPr="00B967B5">
        <w:rPr>
          <w:rFonts w:cs="Calibri"/>
          <w:lang w:val="en-US"/>
        </w:rPr>
        <w:t xml:space="preserve"> </w:t>
      </w:r>
      <w:r w:rsidR="00FA31F7" w:rsidRPr="00B967B5">
        <w:rPr>
          <w:rFonts w:cs="Calibri"/>
          <w:lang w:val="en-US"/>
        </w:rPr>
        <w:t>TD has expanded its Scope 3 emissions providing greater transparency into its environmental impact and identifying areas for further improvement.</w:t>
      </w:r>
    </w:p>
    <w:p w14:paraId="11D24999" w14:textId="1D40ED1B" w:rsidR="000F7BFC" w:rsidRPr="00B967B5" w:rsidRDefault="000F7BFC" w:rsidP="005E6642">
      <w:pPr>
        <w:pStyle w:val="Heading3"/>
      </w:pPr>
      <w:bookmarkStart w:id="3" w:name="_Toc178363726"/>
      <w:r w:rsidRPr="00B967B5">
        <w:t>Where you want to get them to</w:t>
      </w:r>
      <w:bookmarkEnd w:id="3"/>
    </w:p>
    <w:p w14:paraId="79989492" w14:textId="633067F2" w:rsidR="000F7BFC" w:rsidRPr="00B967B5" w:rsidRDefault="00001A76" w:rsidP="001222CC">
      <w:pPr>
        <w:spacing w:after="0" w:line="276" w:lineRule="auto"/>
        <w:rPr>
          <w:rFonts w:cs="Calibri"/>
        </w:rPr>
      </w:pPr>
      <w:r w:rsidRPr="00B967B5">
        <w:rPr>
          <w:rFonts w:cs="Calibri"/>
        </w:rPr>
        <w:t>By acquiring WiTricity, TD Bank will integrate itself directly into the growing electric vehicle (EV) and wireless charging sectors. This acquisition positions TD as an innovative financial institution that align with green energy, smart technology and sustainability goals. Over the next few years, this strategic move will strengthen TD’s leadership in the following areas</w:t>
      </w:r>
    </w:p>
    <w:p w14:paraId="6D8897AD" w14:textId="744B1BC1" w:rsidR="000F7BFC" w:rsidRPr="00DA0C1E" w:rsidRDefault="000F7BFC" w:rsidP="004369DD">
      <w:pPr>
        <w:pStyle w:val="ListParagraph"/>
        <w:numPr>
          <w:ilvl w:val="0"/>
          <w:numId w:val="15"/>
        </w:numPr>
        <w:spacing w:after="0"/>
        <w:rPr>
          <w:b/>
          <w:bCs/>
        </w:rPr>
      </w:pPr>
      <w:r w:rsidRPr="00DA0C1E">
        <w:rPr>
          <w:b/>
          <w:bCs/>
        </w:rPr>
        <w:t xml:space="preserve">ESG and </w:t>
      </w:r>
      <w:r w:rsidR="001B5588">
        <w:rPr>
          <w:b/>
          <w:bCs/>
        </w:rPr>
        <w:t>s</w:t>
      </w:r>
      <w:r w:rsidRPr="00DA0C1E">
        <w:rPr>
          <w:b/>
          <w:bCs/>
        </w:rPr>
        <w:t xml:space="preserve">ustainable </w:t>
      </w:r>
      <w:r w:rsidR="001B5588">
        <w:rPr>
          <w:b/>
          <w:bCs/>
        </w:rPr>
        <w:t>f</w:t>
      </w:r>
      <w:r w:rsidRPr="00DA0C1E">
        <w:rPr>
          <w:b/>
          <w:bCs/>
        </w:rPr>
        <w:t xml:space="preserve">inance </w:t>
      </w:r>
      <w:r w:rsidR="001B5588">
        <w:rPr>
          <w:b/>
          <w:bCs/>
        </w:rPr>
        <w:t>l</w:t>
      </w:r>
      <w:r w:rsidRPr="00DA0C1E">
        <w:rPr>
          <w:b/>
          <w:bCs/>
        </w:rPr>
        <w:t>eadership</w:t>
      </w:r>
    </w:p>
    <w:p w14:paraId="2C2FC4C1" w14:textId="20FC915B" w:rsidR="000F7BFC" w:rsidRPr="00B967B5" w:rsidRDefault="000F7BFC" w:rsidP="00DA0C1E">
      <w:pPr>
        <w:spacing w:after="0" w:line="276" w:lineRule="auto"/>
        <w:ind w:left="720"/>
        <w:rPr>
          <w:rFonts w:cs="Calibri"/>
          <w:b/>
          <w:bCs/>
        </w:rPr>
      </w:pPr>
      <w:r w:rsidRPr="00B967B5">
        <w:rPr>
          <w:rFonts w:cs="Calibri"/>
          <w:b/>
          <w:bCs/>
        </w:rPr>
        <w:t xml:space="preserve">Green </w:t>
      </w:r>
      <w:r w:rsidR="001B5588">
        <w:rPr>
          <w:rFonts w:cs="Calibri"/>
          <w:b/>
          <w:bCs/>
        </w:rPr>
        <w:t>f</w:t>
      </w:r>
      <w:r w:rsidRPr="00B967B5">
        <w:rPr>
          <w:rFonts w:cs="Calibri"/>
          <w:b/>
          <w:bCs/>
        </w:rPr>
        <w:t xml:space="preserve">inance </w:t>
      </w:r>
      <w:r w:rsidR="001B5588">
        <w:rPr>
          <w:rFonts w:cs="Calibri"/>
          <w:b/>
          <w:bCs/>
        </w:rPr>
        <w:t>p</w:t>
      </w:r>
      <w:r w:rsidRPr="00B967B5">
        <w:rPr>
          <w:rFonts w:cs="Calibri"/>
          <w:b/>
          <w:bCs/>
        </w:rPr>
        <w:t>ioneer</w:t>
      </w:r>
    </w:p>
    <w:p w14:paraId="3F9BF229" w14:textId="68D564D2" w:rsidR="000F7BFC" w:rsidRPr="00B967B5" w:rsidRDefault="008C3DD9" w:rsidP="00DA0C1E">
      <w:pPr>
        <w:spacing w:after="0" w:line="276" w:lineRule="auto"/>
        <w:ind w:left="720"/>
        <w:rPr>
          <w:rFonts w:cs="Calibri"/>
        </w:rPr>
      </w:pPr>
      <w:r w:rsidRPr="00B967B5">
        <w:rPr>
          <w:rFonts w:cs="Calibri"/>
        </w:rPr>
        <w:t>The acquisition will reinforce TD's reputation as a leader in green finance. Promoting WiTricity’s wireless EV charging technology aligns TD with environmentally friendly innovations by positioning it as a key player in ESG. As ESG criteria become more critical to investors, TD's acquisition of a sustainable technology company like WiTricity enhances its brand.</w:t>
      </w:r>
    </w:p>
    <w:p w14:paraId="5CA5E4C3" w14:textId="6AF0B7FF" w:rsidR="000F7BFC" w:rsidRPr="00B50082" w:rsidRDefault="000F7BFC" w:rsidP="00DA0C1E">
      <w:pPr>
        <w:spacing w:after="0" w:line="276" w:lineRule="auto"/>
        <w:ind w:left="720"/>
        <w:rPr>
          <w:rFonts w:cs="Calibri"/>
          <w:b/>
          <w:bCs/>
        </w:rPr>
      </w:pPr>
      <w:r w:rsidRPr="00B50082">
        <w:rPr>
          <w:rFonts w:cs="Calibri"/>
          <w:b/>
          <w:bCs/>
        </w:rPr>
        <w:t xml:space="preserve">Impact on ESG </w:t>
      </w:r>
      <w:r w:rsidR="001B5588">
        <w:rPr>
          <w:rFonts w:cs="Calibri"/>
          <w:b/>
          <w:bCs/>
        </w:rPr>
        <w:t>r</w:t>
      </w:r>
      <w:r w:rsidRPr="00B50082">
        <w:rPr>
          <w:rFonts w:cs="Calibri"/>
          <w:b/>
          <w:bCs/>
        </w:rPr>
        <w:t>atings</w:t>
      </w:r>
    </w:p>
    <w:p w14:paraId="6345ECD2" w14:textId="0D77E3D4" w:rsidR="000F7BFC" w:rsidRPr="00B967B5" w:rsidRDefault="00472E6F" w:rsidP="00DA0C1E">
      <w:pPr>
        <w:spacing w:after="0" w:line="276" w:lineRule="auto"/>
        <w:ind w:left="720"/>
        <w:rPr>
          <w:rFonts w:cs="Calibri"/>
        </w:rPr>
      </w:pPr>
      <w:r w:rsidRPr="00B967B5">
        <w:rPr>
          <w:rFonts w:cs="Calibri"/>
        </w:rPr>
        <w:t>Acquiring a green technology company such as WiTricity will likely boost TD’s ESG ratings compared to competitors like the Royal Bank of Canada (RBC). With increasing investor focus on sustainability, TD’s higher ESG scores will make it more attractive to socially conscious investors and funds.</w:t>
      </w:r>
    </w:p>
    <w:p w14:paraId="0C9B2848" w14:textId="235117DA" w:rsidR="000F7BFC" w:rsidRPr="00DA0C1E" w:rsidRDefault="000F7BFC" w:rsidP="004369DD">
      <w:pPr>
        <w:pStyle w:val="ListParagraph"/>
        <w:numPr>
          <w:ilvl w:val="0"/>
          <w:numId w:val="15"/>
        </w:numPr>
        <w:spacing w:after="0"/>
        <w:rPr>
          <w:b/>
          <w:bCs/>
        </w:rPr>
      </w:pPr>
      <w:r w:rsidRPr="00DA0C1E">
        <w:rPr>
          <w:b/>
          <w:bCs/>
        </w:rPr>
        <w:t xml:space="preserve">Technological </w:t>
      </w:r>
      <w:r w:rsidR="001B5588">
        <w:rPr>
          <w:b/>
          <w:bCs/>
        </w:rPr>
        <w:t>l</w:t>
      </w:r>
      <w:r w:rsidRPr="00DA0C1E">
        <w:rPr>
          <w:b/>
          <w:bCs/>
        </w:rPr>
        <w:t xml:space="preserve">eadership in EV </w:t>
      </w:r>
      <w:r w:rsidR="001B5588">
        <w:rPr>
          <w:b/>
          <w:bCs/>
        </w:rPr>
        <w:t>f</w:t>
      </w:r>
      <w:r w:rsidRPr="00DA0C1E">
        <w:rPr>
          <w:b/>
          <w:bCs/>
        </w:rPr>
        <w:t xml:space="preserve">inancing and </w:t>
      </w:r>
      <w:r w:rsidR="001B5588">
        <w:rPr>
          <w:b/>
          <w:bCs/>
        </w:rPr>
        <w:t>i</w:t>
      </w:r>
      <w:r w:rsidRPr="00DA0C1E">
        <w:rPr>
          <w:b/>
          <w:bCs/>
        </w:rPr>
        <w:t>nfrastructure</w:t>
      </w:r>
    </w:p>
    <w:p w14:paraId="37650C87" w14:textId="601DE5A8" w:rsidR="000F7BFC" w:rsidRPr="00B967B5" w:rsidRDefault="000F7BFC" w:rsidP="00DA0C1E">
      <w:pPr>
        <w:spacing w:after="0" w:line="276" w:lineRule="auto"/>
        <w:ind w:left="720"/>
        <w:rPr>
          <w:rFonts w:cs="Calibri"/>
          <w:b/>
          <w:bCs/>
        </w:rPr>
      </w:pPr>
      <w:r w:rsidRPr="00B967B5">
        <w:rPr>
          <w:rFonts w:cs="Calibri"/>
          <w:b/>
          <w:bCs/>
        </w:rPr>
        <w:t xml:space="preserve">First-Mover </w:t>
      </w:r>
      <w:r w:rsidR="001B5588">
        <w:rPr>
          <w:rFonts w:cs="Calibri"/>
          <w:b/>
          <w:bCs/>
        </w:rPr>
        <w:t>a</w:t>
      </w:r>
      <w:r w:rsidRPr="00B967B5">
        <w:rPr>
          <w:rFonts w:cs="Calibri"/>
          <w:b/>
          <w:bCs/>
        </w:rPr>
        <w:t xml:space="preserve">dvantage in EV </w:t>
      </w:r>
      <w:r w:rsidR="001B5588">
        <w:rPr>
          <w:rFonts w:cs="Calibri"/>
          <w:b/>
          <w:bCs/>
        </w:rPr>
        <w:t>f</w:t>
      </w:r>
      <w:r w:rsidRPr="00B967B5">
        <w:rPr>
          <w:rFonts w:cs="Calibri"/>
          <w:b/>
          <w:bCs/>
        </w:rPr>
        <w:t>inancing</w:t>
      </w:r>
    </w:p>
    <w:p w14:paraId="3A9E5DA0" w14:textId="0134E55C" w:rsidR="000F7BFC" w:rsidRPr="00B967B5" w:rsidRDefault="00C2143B" w:rsidP="00DA0C1E">
      <w:pPr>
        <w:spacing w:after="0" w:line="276" w:lineRule="auto"/>
        <w:ind w:left="720"/>
        <w:rPr>
          <w:rFonts w:cs="Calibri"/>
        </w:rPr>
      </w:pPr>
      <w:r w:rsidRPr="00B967B5">
        <w:rPr>
          <w:rFonts w:cs="Calibri"/>
        </w:rPr>
        <w:t>TD will have a first-mover advantage in EV-related financing. The EV market grows rapidly in North America. This can offer innovative financial product such as EV loans, wireless charging infrastructure financing and green energy investments. With an early entry into this space, TD could establish itself as a market leader in EV-related finance, capturing significant market share</w:t>
      </w:r>
      <w:r w:rsidR="000F7BFC" w:rsidRPr="00B967B5">
        <w:rPr>
          <w:rFonts w:cs="Calibri"/>
        </w:rPr>
        <w:t>.</w:t>
      </w:r>
    </w:p>
    <w:p w14:paraId="687AA102" w14:textId="75E7A37B" w:rsidR="000F7BFC" w:rsidRPr="00B50082" w:rsidRDefault="000F7BFC" w:rsidP="00DA0C1E">
      <w:pPr>
        <w:spacing w:after="0" w:line="276" w:lineRule="auto"/>
        <w:ind w:firstLine="720"/>
        <w:rPr>
          <w:rFonts w:cs="Calibri"/>
          <w:b/>
          <w:bCs/>
        </w:rPr>
      </w:pPr>
      <w:r w:rsidRPr="00B50082">
        <w:rPr>
          <w:rFonts w:cs="Calibri"/>
          <w:b/>
          <w:bCs/>
        </w:rPr>
        <w:t xml:space="preserve">Smart </w:t>
      </w:r>
      <w:r w:rsidR="001B5588">
        <w:rPr>
          <w:rFonts w:cs="Calibri"/>
          <w:b/>
          <w:bCs/>
        </w:rPr>
        <w:t>c</w:t>
      </w:r>
      <w:r w:rsidRPr="00B50082">
        <w:rPr>
          <w:rFonts w:cs="Calibri"/>
          <w:b/>
          <w:bCs/>
        </w:rPr>
        <w:t xml:space="preserve">ities and </w:t>
      </w:r>
      <w:r w:rsidR="001B5588">
        <w:rPr>
          <w:rFonts w:cs="Calibri"/>
          <w:b/>
          <w:bCs/>
        </w:rPr>
        <w:t>i</w:t>
      </w:r>
      <w:r w:rsidRPr="00B50082">
        <w:rPr>
          <w:rFonts w:cs="Calibri"/>
          <w:b/>
          <w:bCs/>
        </w:rPr>
        <w:t xml:space="preserve">nfrastructure </w:t>
      </w:r>
      <w:r w:rsidR="001B5588">
        <w:rPr>
          <w:rFonts w:cs="Calibri"/>
          <w:b/>
          <w:bCs/>
        </w:rPr>
        <w:t>p</w:t>
      </w:r>
      <w:r w:rsidRPr="00B50082">
        <w:rPr>
          <w:rFonts w:cs="Calibri"/>
          <w:b/>
          <w:bCs/>
        </w:rPr>
        <w:t>rojects</w:t>
      </w:r>
    </w:p>
    <w:p w14:paraId="437FBA6B" w14:textId="6D5F7B2C" w:rsidR="000F7BFC" w:rsidRPr="00B967B5" w:rsidRDefault="008B09BD" w:rsidP="00DA0C1E">
      <w:pPr>
        <w:spacing w:after="0" w:line="276" w:lineRule="auto"/>
        <w:ind w:left="720"/>
        <w:rPr>
          <w:rFonts w:cs="Calibri"/>
        </w:rPr>
      </w:pPr>
      <w:r w:rsidRPr="00B967B5">
        <w:rPr>
          <w:rFonts w:cs="Calibri"/>
        </w:rPr>
        <w:t xml:space="preserve">By acquiring WiTricity, TD could also finance urban infrastructure projects, such as smart city initiatives and public wireless charging networks. These projects could create opportunities in real </w:t>
      </w:r>
      <w:r w:rsidRPr="00B967B5">
        <w:rPr>
          <w:rFonts w:cs="Calibri"/>
        </w:rPr>
        <w:lastRenderedPageBreak/>
        <w:t>estate, urban development and public infrastructure. This will help cities to adopt sustainable and smart technology solutions.</w:t>
      </w:r>
    </w:p>
    <w:p w14:paraId="161F7BE8" w14:textId="37109272" w:rsidR="000F7BFC" w:rsidRPr="00DA0C1E" w:rsidRDefault="000F7BFC" w:rsidP="004369DD">
      <w:pPr>
        <w:pStyle w:val="ListParagraph"/>
        <w:numPr>
          <w:ilvl w:val="0"/>
          <w:numId w:val="15"/>
        </w:numPr>
        <w:spacing w:after="0"/>
        <w:rPr>
          <w:b/>
          <w:bCs/>
        </w:rPr>
      </w:pPr>
      <w:r w:rsidRPr="00DA0C1E">
        <w:rPr>
          <w:b/>
          <w:bCs/>
        </w:rPr>
        <w:t xml:space="preserve">Increased </w:t>
      </w:r>
      <w:r w:rsidR="001B5588">
        <w:rPr>
          <w:b/>
          <w:bCs/>
        </w:rPr>
        <w:t>r</w:t>
      </w:r>
      <w:r w:rsidRPr="00DA0C1E">
        <w:rPr>
          <w:b/>
          <w:bCs/>
        </w:rPr>
        <w:t xml:space="preserve">evenue and </w:t>
      </w:r>
      <w:r w:rsidR="001B5588">
        <w:rPr>
          <w:b/>
          <w:bCs/>
        </w:rPr>
        <w:t>p</w:t>
      </w:r>
      <w:r w:rsidRPr="00DA0C1E">
        <w:rPr>
          <w:b/>
          <w:bCs/>
        </w:rPr>
        <w:t>rofitability</w:t>
      </w:r>
    </w:p>
    <w:p w14:paraId="50E12F5F" w14:textId="54A0F143" w:rsidR="000F7BFC" w:rsidRPr="00B967B5" w:rsidRDefault="000F7BFC" w:rsidP="00DA0C1E">
      <w:pPr>
        <w:spacing w:after="0" w:line="276" w:lineRule="auto"/>
        <w:ind w:left="720"/>
        <w:rPr>
          <w:rFonts w:cs="Calibri"/>
          <w:b/>
          <w:bCs/>
        </w:rPr>
      </w:pPr>
      <w:r w:rsidRPr="00B967B5">
        <w:rPr>
          <w:rFonts w:cs="Calibri"/>
          <w:b/>
          <w:bCs/>
        </w:rPr>
        <w:t xml:space="preserve">Diversified </w:t>
      </w:r>
      <w:r w:rsidR="001B5588">
        <w:rPr>
          <w:rFonts w:cs="Calibri"/>
          <w:b/>
          <w:bCs/>
        </w:rPr>
        <w:t>r</w:t>
      </w:r>
      <w:r w:rsidRPr="00B967B5">
        <w:rPr>
          <w:rFonts w:cs="Calibri"/>
          <w:b/>
          <w:bCs/>
        </w:rPr>
        <w:t xml:space="preserve">evenue </w:t>
      </w:r>
      <w:r w:rsidR="001B5588">
        <w:rPr>
          <w:rFonts w:cs="Calibri"/>
          <w:b/>
          <w:bCs/>
        </w:rPr>
        <w:t>s</w:t>
      </w:r>
      <w:r w:rsidRPr="00B967B5">
        <w:rPr>
          <w:rFonts w:cs="Calibri"/>
          <w:b/>
          <w:bCs/>
        </w:rPr>
        <w:t>treams</w:t>
      </w:r>
    </w:p>
    <w:p w14:paraId="69E34346" w14:textId="4B962CB5" w:rsidR="000F7BFC" w:rsidRPr="00B967B5" w:rsidRDefault="00170101" w:rsidP="00DA0C1E">
      <w:pPr>
        <w:spacing w:after="0" w:line="276" w:lineRule="auto"/>
        <w:ind w:left="720"/>
        <w:rPr>
          <w:rFonts w:cs="Calibri"/>
        </w:rPr>
      </w:pPr>
      <w:r w:rsidRPr="00B967B5">
        <w:rPr>
          <w:rFonts w:cs="Calibri"/>
        </w:rPr>
        <w:t xml:space="preserve">The wireless charging market is projected to reach $235 billion by 2030 with a CAGR of 25.8%. TD’s acquisition of WiTricity would allow it to tap into this market. This will help TD to generate between $670 million </w:t>
      </w:r>
      <w:r w:rsidR="00153EBB" w:rsidRPr="00B967B5">
        <w:rPr>
          <w:rFonts w:cs="Calibri"/>
        </w:rPr>
        <w:t>to</w:t>
      </w:r>
      <w:r w:rsidRPr="00B967B5">
        <w:rPr>
          <w:rFonts w:cs="Calibri"/>
        </w:rPr>
        <w:t xml:space="preserve"> $1.35 billion annually in revenue from financing EV infrastructure and offering tailored financial products to the EV ecosystem</w:t>
      </w:r>
      <w:r w:rsidR="000F7BFC" w:rsidRPr="00B967B5">
        <w:rPr>
          <w:rFonts w:cs="Calibri"/>
        </w:rPr>
        <w:t>.</w:t>
      </w:r>
    </w:p>
    <w:p w14:paraId="4E98C69F" w14:textId="5726A81E" w:rsidR="000F7BFC" w:rsidRPr="00B50082" w:rsidRDefault="000F7BFC" w:rsidP="00DA0C1E">
      <w:pPr>
        <w:spacing w:after="0" w:line="276" w:lineRule="auto"/>
        <w:ind w:left="720"/>
        <w:rPr>
          <w:rFonts w:cs="Calibri"/>
          <w:b/>
          <w:bCs/>
        </w:rPr>
      </w:pPr>
      <w:r w:rsidRPr="00B50082">
        <w:rPr>
          <w:rFonts w:cs="Calibri"/>
          <w:b/>
          <w:bCs/>
        </w:rPr>
        <w:t xml:space="preserve">Enhanced </w:t>
      </w:r>
      <w:r w:rsidR="001B5588">
        <w:rPr>
          <w:rFonts w:cs="Calibri"/>
          <w:b/>
          <w:bCs/>
        </w:rPr>
        <w:t>p</w:t>
      </w:r>
      <w:r w:rsidRPr="00B50082">
        <w:rPr>
          <w:rFonts w:cs="Calibri"/>
          <w:b/>
          <w:bCs/>
        </w:rPr>
        <w:t xml:space="preserve">rofit </w:t>
      </w:r>
      <w:r w:rsidR="001B5588">
        <w:rPr>
          <w:rFonts w:cs="Calibri"/>
          <w:b/>
          <w:bCs/>
        </w:rPr>
        <w:t>m</w:t>
      </w:r>
      <w:r w:rsidRPr="00B50082">
        <w:rPr>
          <w:rFonts w:cs="Calibri"/>
          <w:b/>
          <w:bCs/>
        </w:rPr>
        <w:t>argins</w:t>
      </w:r>
    </w:p>
    <w:p w14:paraId="560894B5" w14:textId="7992EE7F" w:rsidR="000F7BFC" w:rsidRPr="00B967B5" w:rsidRDefault="00F84C15" w:rsidP="00DA0C1E">
      <w:pPr>
        <w:spacing w:after="0" w:line="276" w:lineRule="auto"/>
        <w:ind w:left="720"/>
        <w:rPr>
          <w:rFonts w:cs="Calibri"/>
        </w:rPr>
      </w:pPr>
      <w:r w:rsidRPr="00B967B5">
        <w:rPr>
          <w:rFonts w:cs="Calibri"/>
        </w:rPr>
        <w:t>By acquiring an equity stake in WiTricity, TD could see significant returns on investment. Assuming a 10-15% stake in the overall wireless charging market, the ROI could yield an annual profit of 15-20%. This would contribute to approximately $270-$400 million in additional annual profits by 2030. Combined with growth in its core banking business, TD could see its overall profit exceeding $28 billion by 2030 (compared to current levels of around $17 billion in 2023)</w:t>
      </w:r>
      <w:r w:rsidR="000F7BFC" w:rsidRPr="00B967B5">
        <w:rPr>
          <w:rFonts w:cs="Calibri"/>
        </w:rPr>
        <w:t>.</w:t>
      </w:r>
    </w:p>
    <w:p w14:paraId="223DC084" w14:textId="453B3B10" w:rsidR="000F7BFC" w:rsidRPr="00DA0C1E" w:rsidRDefault="000F7BFC" w:rsidP="004369DD">
      <w:pPr>
        <w:pStyle w:val="ListParagraph"/>
        <w:numPr>
          <w:ilvl w:val="0"/>
          <w:numId w:val="15"/>
        </w:numPr>
        <w:spacing w:after="0"/>
        <w:rPr>
          <w:b/>
          <w:bCs/>
        </w:rPr>
      </w:pPr>
      <w:r w:rsidRPr="00DA0C1E">
        <w:rPr>
          <w:b/>
          <w:bCs/>
        </w:rPr>
        <w:t xml:space="preserve">Global </w:t>
      </w:r>
      <w:r w:rsidR="001B5588">
        <w:rPr>
          <w:b/>
          <w:bCs/>
        </w:rPr>
        <w:t>e</w:t>
      </w:r>
      <w:r w:rsidRPr="00DA0C1E">
        <w:rPr>
          <w:b/>
          <w:bCs/>
        </w:rPr>
        <w:t xml:space="preserve">xpansion and </w:t>
      </w:r>
      <w:r w:rsidR="001B5588">
        <w:rPr>
          <w:b/>
          <w:bCs/>
        </w:rPr>
        <w:t>n</w:t>
      </w:r>
      <w:r w:rsidRPr="00DA0C1E">
        <w:rPr>
          <w:b/>
          <w:bCs/>
        </w:rPr>
        <w:t xml:space="preserve">ew </w:t>
      </w:r>
      <w:r w:rsidR="001B5588">
        <w:rPr>
          <w:b/>
          <w:bCs/>
        </w:rPr>
        <w:t>c</w:t>
      </w:r>
      <w:r w:rsidRPr="00DA0C1E">
        <w:rPr>
          <w:b/>
          <w:bCs/>
        </w:rPr>
        <w:t xml:space="preserve">ustomer </w:t>
      </w:r>
      <w:r w:rsidR="001B5588">
        <w:rPr>
          <w:b/>
          <w:bCs/>
        </w:rPr>
        <w:t>b</w:t>
      </w:r>
      <w:r w:rsidRPr="00DA0C1E">
        <w:rPr>
          <w:b/>
          <w:bCs/>
        </w:rPr>
        <w:t>ase</w:t>
      </w:r>
    </w:p>
    <w:p w14:paraId="360F5CD9" w14:textId="76D12F7F" w:rsidR="000F7BFC" w:rsidRPr="00B967B5" w:rsidRDefault="000F7BFC" w:rsidP="00DA0C1E">
      <w:pPr>
        <w:spacing w:after="0" w:line="276" w:lineRule="auto"/>
        <w:ind w:left="720"/>
        <w:rPr>
          <w:rFonts w:cs="Calibri"/>
          <w:b/>
          <w:bCs/>
        </w:rPr>
      </w:pPr>
      <w:r w:rsidRPr="00B967B5">
        <w:rPr>
          <w:rFonts w:cs="Calibri"/>
          <w:b/>
          <w:bCs/>
        </w:rPr>
        <w:t xml:space="preserve">North American </w:t>
      </w:r>
      <w:r w:rsidR="001B5588">
        <w:rPr>
          <w:rFonts w:cs="Calibri"/>
          <w:b/>
          <w:bCs/>
        </w:rPr>
        <w:t>m</w:t>
      </w:r>
      <w:r w:rsidRPr="00B967B5">
        <w:rPr>
          <w:rFonts w:cs="Calibri"/>
          <w:b/>
          <w:bCs/>
        </w:rPr>
        <w:t xml:space="preserve">arket </w:t>
      </w:r>
      <w:r w:rsidR="001B5588">
        <w:rPr>
          <w:rFonts w:cs="Calibri"/>
          <w:b/>
          <w:bCs/>
        </w:rPr>
        <w:t>e</w:t>
      </w:r>
      <w:r w:rsidRPr="00B967B5">
        <w:rPr>
          <w:rFonts w:cs="Calibri"/>
          <w:b/>
          <w:bCs/>
        </w:rPr>
        <w:t>xpansion</w:t>
      </w:r>
    </w:p>
    <w:p w14:paraId="0669C2F5" w14:textId="0FF07904" w:rsidR="000F7BFC" w:rsidRPr="00B967B5" w:rsidRDefault="00D01F15" w:rsidP="00DA0C1E">
      <w:pPr>
        <w:spacing w:after="0" w:line="276" w:lineRule="auto"/>
        <w:ind w:left="720"/>
        <w:rPr>
          <w:rFonts w:cs="Calibri"/>
        </w:rPr>
      </w:pPr>
      <w:r w:rsidRPr="00B967B5">
        <w:rPr>
          <w:rFonts w:cs="Calibri"/>
        </w:rPr>
        <w:t>TD would solidify its presence in North America where the EV market is projected to grow to 40 million vehicles by 2030. This expansion would allow TD to grow its customer base by 10-15% with a focus on eco-conscious consumers and businesses in the green energy space. Offering bundled financial products that include EV loans, charging solutions and green energy investments will attract a new generation of clients.</w:t>
      </w:r>
    </w:p>
    <w:p w14:paraId="2268E77B" w14:textId="21BB8C33" w:rsidR="000F7BFC" w:rsidRPr="00B967B5" w:rsidRDefault="000F7BFC" w:rsidP="00DA0C1E">
      <w:pPr>
        <w:spacing w:after="0" w:line="276" w:lineRule="auto"/>
        <w:ind w:left="720"/>
        <w:rPr>
          <w:rFonts w:cs="Calibri"/>
          <w:b/>
          <w:bCs/>
        </w:rPr>
      </w:pPr>
      <w:r w:rsidRPr="00B967B5">
        <w:rPr>
          <w:rFonts w:cs="Calibri"/>
          <w:b/>
          <w:bCs/>
        </w:rPr>
        <w:t xml:space="preserve">Global </w:t>
      </w:r>
      <w:r w:rsidR="001B5588">
        <w:rPr>
          <w:rFonts w:cs="Calibri"/>
          <w:b/>
          <w:bCs/>
        </w:rPr>
        <w:t>g</w:t>
      </w:r>
      <w:r w:rsidRPr="00B967B5">
        <w:rPr>
          <w:rFonts w:cs="Calibri"/>
          <w:b/>
          <w:bCs/>
        </w:rPr>
        <w:t xml:space="preserve">rowth </w:t>
      </w:r>
      <w:r w:rsidR="001B5588">
        <w:rPr>
          <w:rFonts w:cs="Calibri"/>
          <w:b/>
          <w:bCs/>
        </w:rPr>
        <w:t>p</w:t>
      </w:r>
      <w:r w:rsidRPr="00B967B5">
        <w:rPr>
          <w:rFonts w:cs="Calibri"/>
          <w:b/>
          <w:bCs/>
        </w:rPr>
        <w:t>otential</w:t>
      </w:r>
    </w:p>
    <w:p w14:paraId="2D850F2F" w14:textId="5BA73F27" w:rsidR="000F7BFC" w:rsidRPr="00B967B5" w:rsidRDefault="00AF5496" w:rsidP="00DA0C1E">
      <w:pPr>
        <w:spacing w:after="0" w:line="276" w:lineRule="auto"/>
        <w:ind w:left="720"/>
        <w:rPr>
          <w:rFonts w:cs="Calibri"/>
        </w:rPr>
      </w:pPr>
      <w:r w:rsidRPr="00B967B5">
        <w:rPr>
          <w:rFonts w:cs="Calibri"/>
        </w:rPr>
        <w:t xml:space="preserve">Wireless charging technology has significant global appeal. With the acquisition of WiTricity, TD could expand internationally. This will be possible by partnering with government entities and private infrastructure projects in emerging economies. This international expansion will drive further revenue </w:t>
      </w:r>
      <w:r w:rsidR="007058BA" w:rsidRPr="00B967B5">
        <w:rPr>
          <w:rFonts w:cs="Calibri"/>
        </w:rPr>
        <w:t>growth in</w:t>
      </w:r>
      <w:r w:rsidRPr="00B967B5">
        <w:rPr>
          <w:rFonts w:cs="Calibri"/>
        </w:rPr>
        <w:t xml:space="preserve"> countries investing heavily in clean energy and electric mobility</w:t>
      </w:r>
      <w:r w:rsidR="000F7BFC" w:rsidRPr="00B967B5">
        <w:rPr>
          <w:rFonts w:cs="Calibri"/>
        </w:rPr>
        <w:t>.</w:t>
      </w:r>
    </w:p>
    <w:p w14:paraId="64A44C13" w14:textId="43B824E4" w:rsidR="000F7BFC" w:rsidRPr="00B50082" w:rsidRDefault="000F7BFC" w:rsidP="00DA0C1E">
      <w:pPr>
        <w:spacing w:after="0" w:line="276" w:lineRule="auto"/>
        <w:ind w:left="720"/>
        <w:rPr>
          <w:rFonts w:cs="Calibri"/>
        </w:rPr>
      </w:pPr>
      <w:r w:rsidRPr="00B50082">
        <w:rPr>
          <w:rFonts w:cs="Calibri"/>
          <w:b/>
          <w:bCs/>
        </w:rPr>
        <w:t xml:space="preserve">Enhanced </w:t>
      </w:r>
      <w:r w:rsidR="001B5588">
        <w:rPr>
          <w:rFonts w:cs="Calibri"/>
          <w:b/>
          <w:bCs/>
        </w:rPr>
        <w:t>a</w:t>
      </w:r>
      <w:r w:rsidRPr="00B50082">
        <w:rPr>
          <w:rFonts w:cs="Calibri"/>
          <w:b/>
          <w:bCs/>
        </w:rPr>
        <w:t xml:space="preserve">sset </w:t>
      </w:r>
      <w:r w:rsidR="001B5588">
        <w:rPr>
          <w:rFonts w:cs="Calibri"/>
          <w:b/>
          <w:bCs/>
        </w:rPr>
        <w:t>g</w:t>
      </w:r>
      <w:r w:rsidRPr="00B50082">
        <w:rPr>
          <w:rFonts w:cs="Calibri"/>
          <w:b/>
          <w:bCs/>
        </w:rPr>
        <w:t>rowth</w:t>
      </w:r>
    </w:p>
    <w:p w14:paraId="0E07521E" w14:textId="6F01CC59" w:rsidR="000F7BFC" w:rsidRDefault="007058BA" w:rsidP="00DA0C1E">
      <w:pPr>
        <w:spacing w:after="0" w:line="276" w:lineRule="auto"/>
        <w:ind w:left="720"/>
        <w:rPr>
          <w:rFonts w:cs="Calibri"/>
        </w:rPr>
      </w:pPr>
      <w:r w:rsidRPr="005E2A73">
        <w:rPr>
          <w:rFonts w:cs="Calibri"/>
        </w:rPr>
        <w:t>By acquiring WiTricity and expanding into the EV and green energy sectors,</w:t>
      </w:r>
      <w:r w:rsidRPr="00B967B5">
        <w:rPr>
          <w:rFonts w:cs="Calibri"/>
        </w:rPr>
        <w:t xml:space="preserve"> TD’s total assets currently valued at $1.9 trillion could grow significantly. With new revenue streams from EV-related projects and green energy financing, TD’s asset base could expand by $50-$75 billion over the next 5 years. By 2030, TD’s total assets could reach approximately $2.25 trillion</w:t>
      </w:r>
      <w:r w:rsidR="000F7BFC" w:rsidRPr="00B967B5">
        <w:rPr>
          <w:rFonts w:cs="Calibri"/>
        </w:rPr>
        <w:t>.</w:t>
      </w:r>
    </w:p>
    <w:p w14:paraId="6C7A628B" w14:textId="4DF05B35" w:rsidR="0009183F" w:rsidRPr="0009183F" w:rsidRDefault="0009183F" w:rsidP="005E6642">
      <w:pPr>
        <w:pStyle w:val="Heading3"/>
      </w:pPr>
      <w:bookmarkStart w:id="4" w:name="_Toc178363727"/>
      <w:r w:rsidRPr="0009183F">
        <w:t>How to bridge the gap</w:t>
      </w:r>
      <w:bookmarkEnd w:id="4"/>
      <w:r w:rsidRPr="0009183F">
        <w:t xml:space="preserve"> </w:t>
      </w:r>
    </w:p>
    <w:p w14:paraId="2E2357EC" w14:textId="47B5C238" w:rsidR="0009183F" w:rsidRPr="0009183F" w:rsidRDefault="0009183F" w:rsidP="0009183F">
      <w:pPr>
        <w:spacing w:after="0" w:line="276" w:lineRule="auto"/>
        <w:rPr>
          <w:rFonts w:cs="Calibri"/>
        </w:rPr>
      </w:pPr>
      <w:r w:rsidRPr="0009183F">
        <w:rPr>
          <w:rFonts w:cs="Calibri"/>
        </w:rPr>
        <w:t>TD Bank will be able to move closer to its desired future state through the acquisition of WiTricity. This can be achieved by implementing several strategic initiatives, such as technology integration, revenue diversification, ESG (Environmental, Social, and Governance) alignment, and market expansion. The following are comprehensive actions and strategies that can be used</w:t>
      </w:r>
    </w:p>
    <w:p w14:paraId="1CF0C217" w14:textId="1075EA1A" w:rsidR="0009183F" w:rsidRPr="00631F69" w:rsidRDefault="0009183F" w:rsidP="004369DD">
      <w:pPr>
        <w:pStyle w:val="ListParagraph"/>
        <w:numPr>
          <w:ilvl w:val="0"/>
          <w:numId w:val="16"/>
        </w:numPr>
        <w:spacing w:after="0" w:line="276" w:lineRule="auto"/>
        <w:rPr>
          <w:rFonts w:cs="Calibri"/>
          <w:b/>
          <w:bCs/>
        </w:rPr>
      </w:pPr>
      <w:r w:rsidRPr="00631F69">
        <w:rPr>
          <w:rFonts w:cs="Calibri"/>
          <w:b/>
          <w:bCs/>
        </w:rPr>
        <w:t xml:space="preserve">Enhancing TD’s </w:t>
      </w:r>
      <w:r w:rsidR="00B42E34">
        <w:rPr>
          <w:rFonts w:cs="Calibri"/>
          <w:b/>
          <w:bCs/>
        </w:rPr>
        <w:t>l</w:t>
      </w:r>
      <w:r w:rsidRPr="00631F69">
        <w:rPr>
          <w:rFonts w:cs="Calibri"/>
          <w:b/>
          <w:bCs/>
        </w:rPr>
        <w:t xml:space="preserve">eadership in sustainability and ESG </w:t>
      </w:r>
    </w:p>
    <w:p w14:paraId="5B52BF86" w14:textId="77777777" w:rsidR="0009183F" w:rsidRPr="0009183F" w:rsidRDefault="0009183F" w:rsidP="002B6B4C">
      <w:pPr>
        <w:spacing w:after="0" w:line="276" w:lineRule="auto"/>
        <w:ind w:left="720"/>
        <w:rPr>
          <w:rFonts w:cs="Calibri"/>
        </w:rPr>
      </w:pPr>
      <w:r w:rsidRPr="00631F69">
        <w:rPr>
          <w:rFonts w:cs="Calibri"/>
          <w:b/>
          <w:bCs/>
        </w:rPr>
        <w:t>Expand sustainable financing:</w:t>
      </w:r>
      <w:r w:rsidRPr="0009183F">
        <w:rPr>
          <w:rFonts w:cs="Calibri"/>
        </w:rPr>
        <w:t xml:space="preserve"> Increase funding for initiatives including green technologies and wireless charging infrastructure to help TD reach its $500 billion sustainable finance target. Introduce ESG-compliant financial solutions that directly aid in the construction of electric vehicle (EV) infrastructure.</w:t>
      </w:r>
    </w:p>
    <w:p w14:paraId="108A6959" w14:textId="79460893" w:rsidR="0009183F" w:rsidRPr="0009183F" w:rsidRDefault="0009183F" w:rsidP="002B6B4C">
      <w:pPr>
        <w:spacing w:after="0" w:line="276" w:lineRule="auto"/>
        <w:ind w:left="720"/>
        <w:rPr>
          <w:rFonts w:cs="Calibri"/>
        </w:rPr>
      </w:pPr>
      <w:r w:rsidRPr="00B42E34">
        <w:rPr>
          <w:rFonts w:cs="Calibri"/>
          <w:b/>
          <w:bCs/>
        </w:rPr>
        <w:lastRenderedPageBreak/>
        <w:t xml:space="preserve">Boost internal ESG </w:t>
      </w:r>
      <w:r w:rsidR="00B42E34">
        <w:rPr>
          <w:rFonts w:cs="Calibri"/>
          <w:b/>
          <w:bCs/>
        </w:rPr>
        <w:t>e</w:t>
      </w:r>
      <w:r w:rsidRPr="00B42E34">
        <w:rPr>
          <w:rFonts w:cs="Calibri"/>
          <w:b/>
          <w:bCs/>
        </w:rPr>
        <w:t>fforts:</w:t>
      </w:r>
      <w:r w:rsidRPr="0009183F">
        <w:rPr>
          <w:rFonts w:cs="Calibri"/>
        </w:rPr>
        <w:t xml:space="preserve"> TD may better integrate WiTricity's technology into its internal operations by investing in EV infrastructure for employees and customers (such as EV charging stations at branches). This will show leadership and increase TD's internal ESG effect.</w:t>
      </w:r>
    </w:p>
    <w:p w14:paraId="28F843DD" w14:textId="77777777" w:rsidR="0009183F" w:rsidRPr="0009183F" w:rsidRDefault="0009183F" w:rsidP="002B6B4C">
      <w:pPr>
        <w:spacing w:after="0" w:line="276" w:lineRule="auto"/>
        <w:ind w:left="720"/>
        <w:rPr>
          <w:rFonts w:cs="Calibri"/>
        </w:rPr>
      </w:pPr>
      <w:r w:rsidRPr="00631F69">
        <w:rPr>
          <w:rFonts w:cs="Calibri"/>
          <w:b/>
          <w:bCs/>
        </w:rPr>
        <w:t>Collaborations to affect the Environment:</w:t>
      </w:r>
      <w:r w:rsidRPr="0009183F">
        <w:rPr>
          <w:rFonts w:cs="Calibri"/>
        </w:rPr>
        <w:t xml:space="preserve"> Drive public infrastructure projects in partnership with governmental bodies and environmental groups to demonstrate TD's dedication to sustainability on a larger scale.</w:t>
      </w:r>
    </w:p>
    <w:p w14:paraId="57504888" w14:textId="72510EE4" w:rsidR="0009183F" w:rsidRPr="00631F69" w:rsidRDefault="0009183F" w:rsidP="004369DD">
      <w:pPr>
        <w:pStyle w:val="ListParagraph"/>
        <w:numPr>
          <w:ilvl w:val="0"/>
          <w:numId w:val="16"/>
        </w:numPr>
        <w:spacing w:after="0" w:line="276" w:lineRule="auto"/>
        <w:rPr>
          <w:rFonts w:cs="Calibri"/>
          <w:b/>
          <w:bCs/>
        </w:rPr>
      </w:pPr>
      <w:r w:rsidRPr="00631F69">
        <w:rPr>
          <w:rFonts w:cs="Calibri"/>
          <w:b/>
          <w:bCs/>
        </w:rPr>
        <w:t xml:space="preserve">Driving </w:t>
      </w:r>
      <w:r w:rsidR="00B42E34">
        <w:rPr>
          <w:rFonts w:cs="Calibri"/>
          <w:b/>
          <w:bCs/>
        </w:rPr>
        <w:t>i</w:t>
      </w:r>
      <w:r w:rsidRPr="00631F69">
        <w:rPr>
          <w:rFonts w:cs="Calibri"/>
          <w:b/>
          <w:bCs/>
        </w:rPr>
        <w:t xml:space="preserve">nnovation in EV </w:t>
      </w:r>
      <w:r w:rsidR="001B5588">
        <w:rPr>
          <w:rFonts w:cs="Calibri"/>
          <w:b/>
          <w:bCs/>
        </w:rPr>
        <w:t>f</w:t>
      </w:r>
      <w:r w:rsidRPr="00631F69">
        <w:rPr>
          <w:rFonts w:cs="Calibri"/>
          <w:b/>
          <w:bCs/>
        </w:rPr>
        <w:t>inancing and infrastructure</w:t>
      </w:r>
    </w:p>
    <w:p w14:paraId="3DFB5BAE" w14:textId="04817932" w:rsidR="0009183F" w:rsidRPr="0009183F" w:rsidRDefault="0009183F" w:rsidP="002B6B4C">
      <w:pPr>
        <w:spacing w:after="0" w:line="276" w:lineRule="auto"/>
        <w:ind w:left="720"/>
        <w:rPr>
          <w:rFonts w:cs="Calibri"/>
        </w:rPr>
      </w:pPr>
      <w:r w:rsidRPr="00631F69">
        <w:rPr>
          <w:rFonts w:cs="Calibri"/>
          <w:b/>
          <w:bCs/>
        </w:rPr>
        <w:t xml:space="preserve">Develop tailored EV financial </w:t>
      </w:r>
      <w:r w:rsidR="001B5588">
        <w:rPr>
          <w:rFonts w:cs="Calibri"/>
          <w:b/>
          <w:bCs/>
        </w:rPr>
        <w:t>p</w:t>
      </w:r>
      <w:r w:rsidRPr="00631F69">
        <w:rPr>
          <w:rFonts w:cs="Calibri"/>
          <w:b/>
          <w:bCs/>
        </w:rPr>
        <w:t>roducts:</w:t>
      </w:r>
      <w:r w:rsidRPr="0009183F">
        <w:rPr>
          <w:rFonts w:cs="Calibri"/>
        </w:rPr>
        <w:t xml:space="preserve"> Introduce specific financial solutions such as insurance packages for electric vehicles, low-interest loans for EV purchases, and financing choices for the construction of wireless charging stations. This establishes TD as a pioneer in financing the transition to renewable energy.</w:t>
      </w:r>
    </w:p>
    <w:p w14:paraId="6EF8E69E" w14:textId="77777777" w:rsidR="0009183F" w:rsidRPr="0009183F" w:rsidRDefault="0009183F" w:rsidP="002B6B4C">
      <w:pPr>
        <w:spacing w:after="0" w:line="276" w:lineRule="auto"/>
        <w:ind w:left="720"/>
        <w:rPr>
          <w:rFonts w:cs="Calibri"/>
        </w:rPr>
      </w:pPr>
      <w:r w:rsidRPr="00B42E34">
        <w:rPr>
          <w:rFonts w:cs="Calibri"/>
          <w:b/>
          <w:bCs/>
        </w:rPr>
        <w:t>Create a green investment fund:</w:t>
      </w:r>
      <w:r w:rsidRPr="0009183F">
        <w:rPr>
          <w:rFonts w:cs="Calibri"/>
        </w:rPr>
        <w:t xml:space="preserve"> Expanding TD’s green asset portfolio by providing investment products or funds that are centred around environmentally friendly technologies and draw in investors who value sustainability. Investing in products can be done with the special emphasis on electric mobility, renewable energy, and wireless charging.</w:t>
      </w:r>
    </w:p>
    <w:p w14:paraId="5DB43561" w14:textId="1BFD5328" w:rsidR="0009183F" w:rsidRPr="00631F69" w:rsidRDefault="0009183F" w:rsidP="004369DD">
      <w:pPr>
        <w:pStyle w:val="ListParagraph"/>
        <w:numPr>
          <w:ilvl w:val="0"/>
          <w:numId w:val="16"/>
        </w:numPr>
        <w:spacing w:after="0" w:line="276" w:lineRule="auto"/>
        <w:rPr>
          <w:rFonts w:cs="Calibri"/>
          <w:b/>
          <w:bCs/>
        </w:rPr>
      </w:pPr>
      <w:r w:rsidRPr="00631F69">
        <w:rPr>
          <w:rFonts w:cs="Calibri"/>
          <w:b/>
          <w:bCs/>
        </w:rPr>
        <w:t>Market expansion through smart cities and urban development</w:t>
      </w:r>
    </w:p>
    <w:p w14:paraId="6570BF59" w14:textId="562325BE" w:rsidR="0009183F" w:rsidRPr="0009183F" w:rsidRDefault="0009183F" w:rsidP="002B6B4C">
      <w:pPr>
        <w:spacing w:after="0" w:line="276" w:lineRule="auto"/>
        <w:ind w:left="720"/>
        <w:rPr>
          <w:rFonts w:cs="Calibri"/>
        </w:rPr>
      </w:pPr>
      <w:r w:rsidRPr="00631F69">
        <w:rPr>
          <w:rFonts w:cs="Calibri"/>
          <w:b/>
          <w:bCs/>
        </w:rPr>
        <w:t xml:space="preserve">Leverage WiTricity for </w:t>
      </w:r>
      <w:r w:rsidR="00B42E34">
        <w:rPr>
          <w:rFonts w:cs="Calibri"/>
          <w:b/>
          <w:bCs/>
        </w:rPr>
        <w:t>u</w:t>
      </w:r>
      <w:r w:rsidRPr="00631F69">
        <w:rPr>
          <w:rFonts w:cs="Calibri"/>
          <w:b/>
          <w:bCs/>
        </w:rPr>
        <w:t xml:space="preserve">rban </w:t>
      </w:r>
      <w:r w:rsidR="00B42E34">
        <w:rPr>
          <w:rFonts w:cs="Calibri"/>
          <w:b/>
          <w:bCs/>
        </w:rPr>
        <w:t>i</w:t>
      </w:r>
      <w:r w:rsidRPr="00631F69">
        <w:rPr>
          <w:rFonts w:cs="Calibri"/>
          <w:b/>
          <w:bCs/>
        </w:rPr>
        <w:t xml:space="preserve">nfrastructure </w:t>
      </w:r>
      <w:r w:rsidR="001B5588">
        <w:rPr>
          <w:rFonts w:cs="Calibri"/>
          <w:b/>
          <w:bCs/>
        </w:rPr>
        <w:t>p</w:t>
      </w:r>
      <w:r w:rsidRPr="00631F69">
        <w:rPr>
          <w:rFonts w:cs="Calibri"/>
          <w:b/>
          <w:bCs/>
        </w:rPr>
        <w:t>rojects:</w:t>
      </w:r>
      <w:r w:rsidRPr="0009183F">
        <w:rPr>
          <w:rFonts w:cs="Calibri"/>
        </w:rPr>
        <w:t xml:space="preserve"> Collaborate with local governments to provide funding for smart city projects that include wireless EV charging stations. These initiatives will improve the nation's infrastructure and aid TD in growing its position in the field of public-private partnerships.</w:t>
      </w:r>
    </w:p>
    <w:p w14:paraId="3169B5DD" w14:textId="621A8AF8" w:rsidR="0009183F" w:rsidRPr="0009183F" w:rsidRDefault="0009183F" w:rsidP="002B6B4C">
      <w:pPr>
        <w:spacing w:after="0" w:line="276" w:lineRule="auto"/>
        <w:ind w:left="720"/>
        <w:rPr>
          <w:rFonts w:cs="Calibri"/>
        </w:rPr>
      </w:pPr>
      <w:r w:rsidRPr="00B42E34">
        <w:rPr>
          <w:rFonts w:cs="Calibri"/>
          <w:b/>
          <w:bCs/>
        </w:rPr>
        <w:t xml:space="preserve">Target </w:t>
      </w:r>
      <w:r w:rsidR="00B42E34">
        <w:rPr>
          <w:rFonts w:cs="Calibri"/>
          <w:b/>
          <w:bCs/>
        </w:rPr>
        <w:t>e</w:t>
      </w:r>
      <w:r w:rsidRPr="00B42E34">
        <w:rPr>
          <w:rFonts w:cs="Calibri"/>
          <w:b/>
          <w:bCs/>
        </w:rPr>
        <w:t xml:space="preserve">merging </w:t>
      </w:r>
      <w:r w:rsidR="00B42E34">
        <w:rPr>
          <w:rFonts w:cs="Calibri"/>
          <w:b/>
          <w:bCs/>
        </w:rPr>
        <w:t>m</w:t>
      </w:r>
      <w:r w:rsidRPr="00B42E34">
        <w:rPr>
          <w:rFonts w:cs="Calibri"/>
          <w:b/>
          <w:bCs/>
        </w:rPr>
        <w:t>arkets:</w:t>
      </w:r>
      <w:r w:rsidRPr="0009183F">
        <w:rPr>
          <w:rFonts w:cs="Calibri"/>
        </w:rPr>
        <w:t xml:space="preserve"> Leverage EV finance and wireless charging to open new markets and expand globally by investing extensively in sustainable energy infrastructure projects in developing nations. Work together with regional administrations to finance public electric vehicle projects and offer green loans.</w:t>
      </w:r>
    </w:p>
    <w:p w14:paraId="3F72B4C7" w14:textId="4E24DDD3" w:rsidR="0009183F" w:rsidRPr="00631F69" w:rsidRDefault="0009183F" w:rsidP="004369DD">
      <w:pPr>
        <w:pStyle w:val="ListParagraph"/>
        <w:numPr>
          <w:ilvl w:val="0"/>
          <w:numId w:val="16"/>
        </w:numPr>
        <w:spacing w:after="0" w:line="276" w:lineRule="auto"/>
        <w:rPr>
          <w:rFonts w:cs="Calibri"/>
          <w:b/>
          <w:bCs/>
        </w:rPr>
      </w:pPr>
      <w:r w:rsidRPr="00631F69">
        <w:rPr>
          <w:rFonts w:cs="Calibri"/>
          <w:b/>
          <w:bCs/>
        </w:rPr>
        <w:t xml:space="preserve">Revenue </w:t>
      </w:r>
      <w:r w:rsidR="00B42E34">
        <w:rPr>
          <w:rFonts w:cs="Calibri"/>
          <w:b/>
          <w:bCs/>
        </w:rPr>
        <w:t>d</w:t>
      </w:r>
      <w:r w:rsidRPr="00631F69">
        <w:rPr>
          <w:rFonts w:cs="Calibri"/>
          <w:b/>
          <w:bCs/>
        </w:rPr>
        <w:t xml:space="preserve">iversification and </w:t>
      </w:r>
      <w:r w:rsidR="00B42E34">
        <w:rPr>
          <w:rFonts w:cs="Calibri"/>
          <w:b/>
          <w:bCs/>
        </w:rPr>
        <w:t>t</w:t>
      </w:r>
      <w:r w:rsidRPr="00631F69">
        <w:rPr>
          <w:rFonts w:cs="Calibri"/>
          <w:b/>
          <w:bCs/>
        </w:rPr>
        <w:t xml:space="preserve">echnological </w:t>
      </w:r>
      <w:r w:rsidR="00B42E34">
        <w:rPr>
          <w:rFonts w:cs="Calibri"/>
          <w:b/>
          <w:bCs/>
        </w:rPr>
        <w:t>i</w:t>
      </w:r>
      <w:r w:rsidRPr="00631F69">
        <w:rPr>
          <w:rFonts w:cs="Calibri"/>
          <w:b/>
          <w:bCs/>
        </w:rPr>
        <w:t>ntegration</w:t>
      </w:r>
    </w:p>
    <w:p w14:paraId="2E8E19CD" w14:textId="77777777" w:rsidR="0009183F" w:rsidRPr="0009183F" w:rsidRDefault="0009183F" w:rsidP="002B6B4C">
      <w:pPr>
        <w:spacing w:after="0" w:line="276" w:lineRule="auto"/>
        <w:ind w:left="720"/>
        <w:rPr>
          <w:rFonts w:cs="Calibri"/>
        </w:rPr>
      </w:pPr>
      <w:r w:rsidRPr="00631F69">
        <w:rPr>
          <w:rFonts w:cs="Calibri"/>
          <w:b/>
          <w:bCs/>
        </w:rPr>
        <w:t>Monetize WiTricity’s IP:</w:t>
      </w:r>
      <w:r w:rsidRPr="0009183F">
        <w:rPr>
          <w:rFonts w:cs="Calibri"/>
        </w:rPr>
        <w:t xml:space="preserve"> Providing licenses to other businesses and infrastructure providers to use WiTricity's wireless charging technology. Every infrastructure project or private EV charging station created with this technology might earn TD a portion of the profits.</w:t>
      </w:r>
    </w:p>
    <w:p w14:paraId="1C808958" w14:textId="0350521B" w:rsidR="0009183F" w:rsidRPr="0009183F" w:rsidRDefault="0009183F" w:rsidP="002B6B4C">
      <w:pPr>
        <w:spacing w:after="0" w:line="276" w:lineRule="auto"/>
        <w:ind w:left="720"/>
        <w:rPr>
          <w:rFonts w:cs="Calibri"/>
        </w:rPr>
      </w:pPr>
      <w:r w:rsidRPr="00B42E34">
        <w:rPr>
          <w:rFonts w:cs="Calibri"/>
          <w:b/>
          <w:bCs/>
        </w:rPr>
        <w:t xml:space="preserve">Cross-Sell </w:t>
      </w:r>
      <w:r w:rsidR="00B42E34">
        <w:rPr>
          <w:rFonts w:cs="Calibri"/>
          <w:b/>
          <w:bCs/>
        </w:rPr>
        <w:t>d</w:t>
      </w:r>
      <w:r w:rsidRPr="00B42E34">
        <w:rPr>
          <w:rFonts w:cs="Calibri"/>
          <w:b/>
          <w:bCs/>
        </w:rPr>
        <w:t xml:space="preserve">igital </w:t>
      </w:r>
      <w:r w:rsidR="00B42E34">
        <w:rPr>
          <w:rFonts w:cs="Calibri"/>
          <w:b/>
          <w:bCs/>
        </w:rPr>
        <w:t>p</w:t>
      </w:r>
      <w:r w:rsidRPr="00B42E34">
        <w:rPr>
          <w:rFonts w:cs="Calibri"/>
          <w:b/>
          <w:bCs/>
        </w:rPr>
        <w:t>roducts:</w:t>
      </w:r>
      <w:r w:rsidRPr="0009183F">
        <w:rPr>
          <w:rFonts w:cs="Calibri"/>
        </w:rPr>
        <w:t xml:space="preserve"> Include WiTricity's wireless charging technology in the larger ecosystem of TD's digital banking. To increase digital consumer engagement, provide a mobile app or digital banking solution that enables users to find and pay for EV charging services using TD accounts.</w:t>
      </w:r>
    </w:p>
    <w:p w14:paraId="0A21AD78" w14:textId="59F2A735" w:rsidR="0009183F" w:rsidRPr="00631F69" w:rsidRDefault="0009183F" w:rsidP="004369DD">
      <w:pPr>
        <w:pStyle w:val="ListParagraph"/>
        <w:numPr>
          <w:ilvl w:val="0"/>
          <w:numId w:val="16"/>
        </w:numPr>
        <w:spacing w:after="0" w:line="276" w:lineRule="auto"/>
        <w:rPr>
          <w:rFonts w:cs="Calibri"/>
          <w:b/>
          <w:bCs/>
        </w:rPr>
      </w:pPr>
      <w:r w:rsidRPr="00631F69">
        <w:rPr>
          <w:rFonts w:cs="Calibri"/>
          <w:b/>
          <w:bCs/>
        </w:rPr>
        <w:t xml:space="preserve">Financial </w:t>
      </w:r>
      <w:r w:rsidR="00B42E34">
        <w:rPr>
          <w:rFonts w:cs="Calibri"/>
          <w:b/>
          <w:bCs/>
        </w:rPr>
        <w:t>g</w:t>
      </w:r>
      <w:r w:rsidRPr="00631F69">
        <w:rPr>
          <w:rFonts w:cs="Calibri"/>
          <w:b/>
          <w:bCs/>
        </w:rPr>
        <w:t xml:space="preserve">rowth and </w:t>
      </w:r>
      <w:r w:rsidR="00B42E34">
        <w:rPr>
          <w:rFonts w:cs="Calibri"/>
          <w:b/>
          <w:bCs/>
        </w:rPr>
        <w:t>s</w:t>
      </w:r>
      <w:r w:rsidRPr="00631F69">
        <w:rPr>
          <w:rFonts w:cs="Calibri"/>
          <w:b/>
          <w:bCs/>
        </w:rPr>
        <w:t xml:space="preserve">trategic </w:t>
      </w:r>
      <w:r w:rsidR="00B42E34">
        <w:rPr>
          <w:rFonts w:cs="Calibri"/>
          <w:b/>
          <w:bCs/>
        </w:rPr>
        <w:t>i</w:t>
      </w:r>
      <w:r w:rsidRPr="00631F69">
        <w:rPr>
          <w:rFonts w:cs="Calibri"/>
          <w:b/>
          <w:bCs/>
        </w:rPr>
        <w:t>nvestment</w:t>
      </w:r>
    </w:p>
    <w:p w14:paraId="4908866C" w14:textId="3CAD1CB9" w:rsidR="0009183F" w:rsidRPr="0009183F" w:rsidRDefault="0009183F" w:rsidP="002B6B4C">
      <w:pPr>
        <w:spacing w:after="0" w:line="276" w:lineRule="auto"/>
        <w:ind w:left="720"/>
        <w:rPr>
          <w:rFonts w:cs="Calibri"/>
        </w:rPr>
      </w:pPr>
      <w:r w:rsidRPr="00631F69">
        <w:rPr>
          <w:rFonts w:cs="Calibri"/>
          <w:b/>
          <w:bCs/>
        </w:rPr>
        <w:t xml:space="preserve">Early </w:t>
      </w:r>
      <w:r w:rsidR="00B42E34">
        <w:rPr>
          <w:rFonts w:cs="Calibri"/>
          <w:b/>
          <w:bCs/>
        </w:rPr>
        <w:t>i</w:t>
      </w:r>
      <w:r w:rsidRPr="00631F69">
        <w:rPr>
          <w:rFonts w:cs="Calibri"/>
          <w:b/>
          <w:bCs/>
        </w:rPr>
        <w:t xml:space="preserve">nvestment in EV and </w:t>
      </w:r>
      <w:r w:rsidR="00B42E34">
        <w:rPr>
          <w:rFonts w:cs="Calibri"/>
          <w:b/>
          <w:bCs/>
        </w:rPr>
        <w:t>g</w:t>
      </w:r>
      <w:r w:rsidRPr="00631F69">
        <w:rPr>
          <w:rFonts w:cs="Calibri"/>
          <w:b/>
          <w:bCs/>
        </w:rPr>
        <w:t xml:space="preserve">reen </w:t>
      </w:r>
      <w:r w:rsidR="00B42E34">
        <w:rPr>
          <w:rFonts w:cs="Calibri"/>
          <w:b/>
          <w:bCs/>
        </w:rPr>
        <w:t>s</w:t>
      </w:r>
      <w:r w:rsidRPr="00631F69">
        <w:rPr>
          <w:rFonts w:cs="Calibri"/>
          <w:b/>
          <w:bCs/>
        </w:rPr>
        <w:t>ector:</w:t>
      </w:r>
      <w:r w:rsidRPr="0009183F">
        <w:rPr>
          <w:rFonts w:cs="Calibri"/>
        </w:rPr>
        <w:t xml:space="preserve"> Make substantial investments in ancillary green energy industries like sustainable energy storage and battery technology. In addition to increasing TD's revenue streams beyond wireless charging, this will give it various touchpoints in the green energy value chain.</w:t>
      </w:r>
    </w:p>
    <w:p w14:paraId="6719AF0E" w14:textId="2ED5A161" w:rsidR="0009183F" w:rsidRPr="0009183F" w:rsidRDefault="0009183F" w:rsidP="002B6B4C">
      <w:pPr>
        <w:spacing w:after="0" w:line="276" w:lineRule="auto"/>
        <w:ind w:left="720"/>
        <w:rPr>
          <w:rFonts w:cs="Calibri"/>
        </w:rPr>
      </w:pPr>
      <w:r w:rsidRPr="00B42E34">
        <w:rPr>
          <w:rFonts w:cs="Calibri"/>
          <w:b/>
          <w:bCs/>
        </w:rPr>
        <w:t>Scaling EV-</w:t>
      </w:r>
      <w:r w:rsidR="00B42E34">
        <w:rPr>
          <w:rFonts w:cs="Calibri"/>
          <w:b/>
          <w:bCs/>
        </w:rPr>
        <w:t>r</w:t>
      </w:r>
      <w:r w:rsidRPr="00B42E34">
        <w:rPr>
          <w:rFonts w:cs="Calibri"/>
          <w:b/>
          <w:bCs/>
        </w:rPr>
        <w:t xml:space="preserve">elated </w:t>
      </w:r>
      <w:r w:rsidR="00B42E34">
        <w:rPr>
          <w:rFonts w:cs="Calibri"/>
          <w:b/>
          <w:bCs/>
        </w:rPr>
        <w:t>r</w:t>
      </w:r>
      <w:r w:rsidRPr="00B42E34">
        <w:rPr>
          <w:rFonts w:cs="Calibri"/>
          <w:b/>
          <w:bCs/>
        </w:rPr>
        <w:t>evenue:</w:t>
      </w:r>
      <w:r w:rsidRPr="0009183F">
        <w:rPr>
          <w:rFonts w:cs="Calibri"/>
        </w:rPr>
        <w:t xml:space="preserve"> TD should keep increasing the scope of its financial support for large-scale EV initiatives by contributing funding and offering strategic advice as wireless charging becomes more widespread worldwide. This will enable TD to grow its market share in wireless charging in cities.</w:t>
      </w:r>
    </w:p>
    <w:p w14:paraId="5F5D9369" w14:textId="3F52AD64" w:rsidR="0009183F" w:rsidRPr="00631F69" w:rsidRDefault="0009183F" w:rsidP="004369DD">
      <w:pPr>
        <w:pStyle w:val="ListParagraph"/>
        <w:numPr>
          <w:ilvl w:val="0"/>
          <w:numId w:val="16"/>
        </w:numPr>
        <w:spacing w:after="0" w:line="276" w:lineRule="auto"/>
        <w:rPr>
          <w:rFonts w:cs="Calibri"/>
          <w:b/>
          <w:bCs/>
        </w:rPr>
      </w:pPr>
      <w:r w:rsidRPr="00631F69">
        <w:rPr>
          <w:rFonts w:cs="Calibri"/>
          <w:b/>
          <w:bCs/>
        </w:rPr>
        <w:lastRenderedPageBreak/>
        <w:t xml:space="preserve">Technological and </w:t>
      </w:r>
      <w:r w:rsidR="00B42E34">
        <w:rPr>
          <w:rFonts w:cs="Calibri"/>
          <w:b/>
          <w:bCs/>
        </w:rPr>
        <w:t>p</w:t>
      </w:r>
      <w:r w:rsidRPr="00631F69">
        <w:rPr>
          <w:rFonts w:cs="Calibri"/>
          <w:b/>
          <w:bCs/>
        </w:rPr>
        <w:t xml:space="preserve">rocess </w:t>
      </w:r>
      <w:r w:rsidR="00B42E34">
        <w:rPr>
          <w:rFonts w:cs="Calibri"/>
          <w:b/>
          <w:bCs/>
        </w:rPr>
        <w:t>i</w:t>
      </w:r>
      <w:r w:rsidRPr="00631F69">
        <w:rPr>
          <w:rFonts w:cs="Calibri"/>
          <w:b/>
          <w:bCs/>
        </w:rPr>
        <w:t>ntegration</w:t>
      </w:r>
    </w:p>
    <w:p w14:paraId="23ED0F7E" w14:textId="77777777" w:rsidR="0009183F" w:rsidRPr="0009183F" w:rsidRDefault="0009183F" w:rsidP="002B6B4C">
      <w:pPr>
        <w:spacing w:after="0" w:line="276" w:lineRule="auto"/>
        <w:ind w:left="720"/>
        <w:rPr>
          <w:rFonts w:cs="Calibri"/>
        </w:rPr>
      </w:pPr>
      <w:r w:rsidRPr="00631F69">
        <w:rPr>
          <w:rFonts w:cs="Calibri"/>
          <w:b/>
          <w:bCs/>
        </w:rPr>
        <w:t>Develop partnership for seamless integration:</w:t>
      </w:r>
      <w:r w:rsidRPr="0009183F">
        <w:rPr>
          <w:rFonts w:cs="Calibri"/>
        </w:rPr>
        <w:t xml:space="preserve"> Establish partnerships with technology companies and utility providers to implement WiTricity's wireless charging framework. This will ensure a quick rollout throughout large cities and may help TD gain market share as a major smart infrastructure funder.</w:t>
      </w:r>
    </w:p>
    <w:p w14:paraId="58782146" w14:textId="558C18A8" w:rsidR="0009183F" w:rsidRPr="0009183F" w:rsidRDefault="0009183F" w:rsidP="002B6B4C">
      <w:pPr>
        <w:spacing w:after="0" w:line="276" w:lineRule="auto"/>
        <w:ind w:left="720"/>
        <w:rPr>
          <w:rFonts w:cs="Calibri"/>
        </w:rPr>
      </w:pPr>
      <w:r w:rsidRPr="00B42E34">
        <w:rPr>
          <w:rFonts w:cs="Calibri"/>
          <w:b/>
          <w:bCs/>
        </w:rPr>
        <w:t xml:space="preserve">Digitize </w:t>
      </w:r>
      <w:r w:rsidR="00B42E34">
        <w:rPr>
          <w:rFonts w:cs="Calibri"/>
          <w:b/>
          <w:bCs/>
        </w:rPr>
        <w:t>c</w:t>
      </w:r>
      <w:r w:rsidRPr="00B42E34">
        <w:rPr>
          <w:rFonts w:cs="Calibri"/>
          <w:b/>
          <w:bCs/>
        </w:rPr>
        <w:t xml:space="preserve">ustomer </w:t>
      </w:r>
      <w:r w:rsidR="00B42E34">
        <w:rPr>
          <w:rFonts w:cs="Calibri"/>
          <w:b/>
          <w:bCs/>
        </w:rPr>
        <w:t>e</w:t>
      </w:r>
      <w:r w:rsidRPr="00B42E34">
        <w:rPr>
          <w:rFonts w:cs="Calibri"/>
          <w:b/>
          <w:bCs/>
        </w:rPr>
        <w:t>xperience:</w:t>
      </w:r>
      <w:r w:rsidRPr="0009183F">
        <w:rPr>
          <w:rFonts w:cs="Calibri"/>
        </w:rPr>
        <w:t xml:space="preserve"> Make sure TD's mobile banking platforms relate to wireless charging and EV finance offerings. Providing seamless digital solutions will draw in tech-savvy and environmentally sensitive customers and boost user engagement.</w:t>
      </w:r>
    </w:p>
    <w:p w14:paraId="13A165BB" w14:textId="3F024AA3" w:rsidR="0009183F" w:rsidRPr="00631F69" w:rsidRDefault="0009183F" w:rsidP="004369DD">
      <w:pPr>
        <w:pStyle w:val="ListParagraph"/>
        <w:numPr>
          <w:ilvl w:val="0"/>
          <w:numId w:val="16"/>
        </w:numPr>
        <w:spacing w:after="0" w:line="276" w:lineRule="auto"/>
        <w:rPr>
          <w:rFonts w:cs="Calibri"/>
          <w:b/>
          <w:bCs/>
        </w:rPr>
      </w:pPr>
      <w:r w:rsidRPr="00631F69">
        <w:rPr>
          <w:rFonts w:cs="Calibri"/>
          <w:b/>
          <w:bCs/>
        </w:rPr>
        <w:t xml:space="preserve">Brand and </w:t>
      </w:r>
      <w:r w:rsidR="00B42E34">
        <w:rPr>
          <w:rFonts w:cs="Calibri"/>
          <w:b/>
          <w:bCs/>
        </w:rPr>
        <w:t>m</w:t>
      </w:r>
      <w:r w:rsidRPr="00631F69">
        <w:rPr>
          <w:rFonts w:cs="Calibri"/>
          <w:b/>
          <w:bCs/>
        </w:rPr>
        <w:t xml:space="preserve">arket </w:t>
      </w:r>
      <w:r w:rsidR="00B42E34">
        <w:rPr>
          <w:rFonts w:cs="Calibri"/>
          <w:b/>
          <w:bCs/>
        </w:rPr>
        <w:t>p</w:t>
      </w:r>
      <w:r w:rsidRPr="00631F69">
        <w:rPr>
          <w:rFonts w:cs="Calibri"/>
          <w:b/>
          <w:bCs/>
        </w:rPr>
        <w:t>ositioning</w:t>
      </w:r>
    </w:p>
    <w:p w14:paraId="31C86E9B" w14:textId="77777777" w:rsidR="0009183F" w:rsidRPr="0009183F" w:rsidRDefault="0009183F" w:rsidP="002B6B4C">
      <w:pPr>
        <w:spacing w:after="0" w:line="276" w:lineRule="auto"/>
        <w:ind w:left="720"/>
        <w:rPr>
          <w:rFonts w:cs="Calibri"/>
        </w:rPr>
      </w:pPr>
      <w:r w:rsidRPr="00631F69">
        <w:rPr>
          <w:rFonts w:cs="Calibri"/>
          <w:b/>
          <w:bCs/>
        </w:rPr>
        <w:t>Elevate brand with green:</w:t>
      </w:r>
      <w:r w:rsidRPr="0009183F">
        <w:rPr>
          <w:rFonts w:cs="Calibri"/>
        </w:rPr>
        <w:t xml:space="preserve"> TD should put more effort into promoting its leadership in environmentally friendly technology, ESG, and sustainable finance. This will differentiate TD from competitors like RBC and establish it as the go-to bank for clients and companies that value sustainability.</w:t>
      </w:r>
    </w:p>
    <w:p w14:paraId="71480892" w14:textId="60F07FFA" w:rsidR="0009183F" w:rsidRPr="0009183F" w:rsidRDefault="0009183F" w:rsidP="002B6B4C">
      <w:pPr>
        <w:spacing w:after="0" w:line="276" w:lineRule="auto"/>
        <w:ind w:left="720"/>
        <w:rPr>
          <w:rFonts w:cs="Calibri"/>
        </w:rPr>
      </w:pPr>
      <w:r w:rsidRPr="00B42E34">
        <w:rPr>
          <w:rFonts w:cs="Calibri"/>
          <w:b/>
          <w:bCs/>
        </w:rPr>
        <w:t xml:space="preserve">Launch a public ESG </w:t>
      </w:r>
      <w:r w:rsidR="00B42E34">
        <w:rPr>
          <w:rFonts w:cs="Calibri"/>
          <w:b/>
          <w:bCs/>
        </w:rPr>
        <w:t>a</w:t>
      </w:r>
      <w:r w:rsidRPr="00B42E34">
        <w:rPr>
          <w:rFonts w:cs="Calibri"/>
          <w:b/>
          <w:bCs/>
        </w:rPr>
        <w:t>wareness campaign:</w:t>
      </w:r>
      <w:r w:rsidRPr="0009183F">
        <w:rPr>
          <w:rFonts w:cs="Calibri"/>
        </w:rPr>
        <w:t xml:space="preserve"> Educate people about how green finance and wireless EV charging support environmental objectives. TD can draw in a younger, ecological client through this campaign and establish its position as a responsible, forward-thinking financial company.</w:t>
      </w:r>
    </w:p>
    <w:p w14:paraId="737DC831" w14:textId="64F7319C" w:rsidR="0009183F" w:rsidRPr="00631F69" w:rsidRDefault="0009183F" w:rsidP="004369DD">
      <w:pPr>
        <w:pStyle w:val="ListParagraph"/>
        <w:numPr>
          <w:ilvl w:val="0"/>
          <w:numId w:val="16"/>
        </w:numPr>
        <w:spacing w:after="0" w:line="276" w:lineRule="auto"/>
        <w:rPr>
          <w:rFonts w:cs="Calibri"/>
          <w:b/>
          <w:bCs/>
        </w:rPr>
      </w:pPr>
      <w:r w:rsidRPr="00631F69">
        <w:rPr>
          <w:rFonts w:cs="Calibri"/>
          <w:b/>
          <w:bCs/>
        </w:rPr>
        <w:t xml:space="preserve">Financial and </w:t>
      </w:r>
      <w:r w:rsidR="00B42E34">
        <w:rPr>
          <w:rFonts w:cs="Calibri"/>
          <w:b/>
          <w:bCs/>
        </w:rPr>
        <w:t>r</w:t>
      </w:r>
      <w:r w:rsidRPr="00631F69">
        <w:rPr>
          <w:rFonts w:cs="Calibri"/>
          <w:b/>
          <w:bCs/>
        </w:rPr>
        <w:t>isk management</w:t>
      </w:r>
    </w:p>
    <w:p w14:paraId="3B75E315" w14:textId="2EA6218D" w:rsidR="0009183F" w:rsidRPr="0009183F" w:rsidRDefault="0009183F" w:rsidP="002B6B4C">
      <w:pPr>
        <w:spacing w:after="0" w:line="276" w:lineRule="auto"/>
        <w:ind w:left="720"/>
        <w:rPr>
          <w:rFonts w:cs="Calibri"/>
        </w:rPr>
      </w:pPr>
      <w:r w:rsidRPr="00631F69">
        <w:rPr>
          <w:rFonts w:cs="Calibri"/>
          <w:b/>
          <w:bCs/>
        </w:rPr>
        <w:t xml:space="preserve">Mitigate </w:t>
      </w:r>
      <w:r w:rsidR="00B42E34">
        <w:rPr>
          <w:rFonts w:cs="Calibri"/>
          <w:b/>
          <w:bCs/>
        </w:rPr>
        <w:t>r</w:t>
      </w:r>
      <w:r w:rsidRPr="00631F69">
        <w:rPr>
          <w:rFonts w:cs="Calibri"/>
          <w:b/>
          <w:bCs/>
        </w:rPr>
        <w:t>isks:</w:t>
      </w:r>
      <w:r w:rsidRPr="0009183F">
        <w:rPr>
          <w:rFonts w:cs="Calibri"/>
        </w:rPr>
        <w:t xml:space="preserve"> TD should balance green investments with its primary retail and commercial banking activities to maintain a diversified portfolio and reduce the risks associated with substantial expenditures in wireless charging. This ensures the bank's financial stability despite its technological investments.</w:t>
      </w:r>
    </w:p>
    <w:p w14:paraId="34956A08" w14:textId="128A2284" w:rsidR="0009183F" w:rsidRPr="0009183F" w:rsidRDefault="0009183F" w:rsidP="002B6B4C">
      <w:pPr>
        <w:spacing w:after="0" w:line="276" w:lineRule="auto"/>
        <w:ind w:left="720"/>
        <w:rPr>
          <w:rFonts w:cs="Calibri"/>
        </w:rPr>
      </w:pPr>
      <w:r w:rsidRPr="00631F69">
        <w:rPr>
          <w:rFonts w:cs="Calibri"/>
          <w:b/>
          <w:bCs/>
        </w:rPr>
        <w:t xml:space="preserve">Monitor </w:t>
      </w:r>
      <w:r w:rsidR="00B42E34">
        <w:rPr>
          <w:rFonts w:cs="Calibri"/>
          <w:b/>
          <w:bCs/>
        </w:rPr>
        <w:t>r</w:t>
      </w:r>
      <w:r w:rsidRPr="00631F69">
        <w:rPr>
          <w:rFonts w:cs="Calibri"/>
          <w:b/>
          <w:bCs/>
        </w:rPr>
        <w:t xml:space="preserve">egulatory </w:t>
      </w:r>
      <w:r w:rsidR="00B42E34">
        <w:rPr>
          <w:rFonts w:cs="Calibri"/>
          <w:b/>
          <w:bCs/>
        </w:rPr>
        <w:t>c</w:t>
      </w:r>
      <w:r w:rsidRPr="00631F69">
        <w:rPr>
          <w:rFonts w:cs="Calibri"/>
          <w:b/>
          <w:bCs/>
        </w:rPr>
        <w:t>hanges:</w:t>
      </w:r>
      <w:r w:rsidRPr="0009183F">
        <w:rPr>
          <w:rFonts w:cs="Calibri"/>
        </w:rPr>
        <w:t xml:space="preserve"> As governments increasingly encourage green finance projects, keep a careful eye on the legislation around green technology and ESG investments to ensure compliance and take advantage of opportunities.</w:t>
      </w:r>
    </w:p>
    <w:p w14:paraId="12BFD5E7" w14:textId="631180BB" w:rsidR="00381F1E" w:rsidRPr="00B967B5" w:rsidRDefault="0009183F" w:rsidP="0009183F">
      <w:pPr>
        <w:spacing w:after="0" w:line="276" w:lineRule="auto"/>
        <w:rPr>
          <w:rFonts w:cs="Calibri"/>
        </w:rPr>
      </w:pPr>
      <w:r w:rsidRPr="0009183F">
        <w:rPr>
          <w:rFonts w:cs="Calibri"/>
        </w:rPr>
        <w:t>TD Bank will be able to acquire WiTricity strategically to close the gap between its current market position and its objective of leading the EV and green finance field through these steps.</w:t>
      </w:r>
    </w:p>
    <w:p w14:paraId="2078B701" w14:textId="41BF76B8" w:rsidR="001222CC" w:rsidRPr="00B967B5" w:rsidRDefault="001222CC" w:rsidP="006378C0">
      <w:pPr>
        <w:pStyle w:val="Heading1"/>
      </w:pPr>
      <w:bookmarkStart w:id="5" w:name="_Toc178363728"/>
      <w:r w:rsidRPr="00B967B5">
        <w:t xml:space="preserve">Solution for TD Bank to </w:t>
      </w:r>
      <w:r w:rsidR="00B42E34">
        <w:t>a</w:t>
      </w:r>
      <w:r w:rsidRPr="00B967B5">
        <w:t xml:space="preserve">cquire and </w:t>
      </w:r>
      <w:r w:rsidR="00B42E34">
        <w:t>h</w:t>
      </w:r>
      <w:r w:rsidRPr="00B967B5">
        <w:t xml:space="preserve">elp WiTricity </w:t>
      </w:r>
      <w:r w:rsidR="00B42E34">
        <w:t>e</w:t>
      </w:r>
      <w:r w:rsidRPr="00B967B5">
        <w:t>xpand</w:t>
      </w:r>
      <w:bookmarkEnd w:id="5"/>
    </w:p>
    <w:p w14:paraId="521176C8" w14:textId="2BB9712B" w:rsidR="001222CC" w:rsidRPr="00B967B5" w:rsidRDefault="001222CC" w:rsidP="00033070">
      <w:pPr>
        <w:pStyle w:val="Heading3"/>
        <w:spacing w:after="0"/>
        <w:rPr>
          <w:rFonts w:cs="Calibri"/>
        </w:rPr>
      </w:pPr>
      <w:bookmarkStart w:id="6" w:name="_Toc178363729"/>
      <w:r w:rsidRPr="00B967B5">
        <w:rPr>
          <w:rFonts w:cs="Calibri"/>
        </w:rPr>
        <w:t xml:space="preserve">Step 1: Market and </w:t>
      </w:r>
      <w:r w:rsidR="00B42E34">
        <w:rPr>
          <w:rFonts w:cs="Calibri"/>
        </w:rPr>
        <w:t>t</w:t>
      </w:r>
      <w:r w:rsidRPr="00B967B5">
        <w:rPr>
          <w:rFonts w:cs="Calibri"/>
        </w:rPr>
        <w:t xml:space="preserve">echnology </w:t>
      </w:r>
      <w:r w:rsidR="00B42E34">
        <w:rPr>
          <w:rFonts w:cs="Calibri"/>
        </w:rPr>
        <w:t>e</w:t>
      </w:r>
      <w:r w:rsidRPr="00B967B5">
        <w:rPr>
          <w:rFonts w:cs="Calibri"/>
        </w:rPr>
        <w:t>valuation</w:t>
      </w:r>
      <w:bookmarkEnd w:id="6"/>
    </w:p>
    <w:p w14:paraId="0306B332" w14:textId="77777777" w:rsidR="001222CC" w:rsidRPr="00B967B5" w:rsidRDefault="001222CC" w:rsidP="007011F1">
      <w:pPr>
        <w:spacing w:after="0" w:line="278" w:lineRule="auto"/>
        <w:rPr>
          <w:rFonts w:cs="Calibri"/>
        </w:rPr>
      </w:pPr>
      <w:r w:rsidRPr="00B967B5">
        <w:rPr>
          <w:rFonts w:cs="Calibri"/>
          <w:b/>
          <w:bCs/>
        </w:rPr>
        <w:t>Timeline</w:t>
      </w:r>
      <w:r w:rsidRPr="00B967B5">
        <w:rPr>
          <w:rFonts w:cs="Calibri"/>
        </w:rPr>
        <w:t>: 3-6 months</w:t>
      </w:r>
    </w:p>
    <w:p w14:paraId="33154527" w14:textId="77777777" w:rsidR="001222CC" w:rsidRPr="00B967B5" w:rsidRDefault="001222CC" w:rsidP="007011F1">
      <w:pPr>
        <w:spacing w:after="0" w:line="278" w:lineRule="auto"/>
        <w:rPr>
          <w:rFonts w:cs="Calibri"/>
        </w:rPr>
      </w:pPr>
      <w:r w:rsidRPr="00B967B5">
        <w:rPr>
          <w:rFonts w:cs="Calibri"/>
          <w:b/>
          <w:bCs/>
        </w:rPr>
        <w:t>Actions</w:t>
      </w:r>
    </w:p>
    <w:p w14:paraId="520AC7A7" w14:textId="44AB7134" w:rsidR="001222CC" w:rsidRPr="00B967B5" w:rsidRDefault="001222CC" w:rsidP="004369DD">
      <w:pPr>
        <w:pStyle w:val="ListParagraph"/>
        <w:numPr>
          <w:ilvl w:val="0"/>
          <w:numId w:val="2"/>
        </w:numPr>
        <w:spacing w:after="0" w:line="278" w:lineRule="auto"/>
        <w:rPr>
          <w:rFonts w:cs="Calibri"/>
        </w:rPr>
      </w:pPr>
      <w:r w:rsidRPr="00B967B5">
        <w:rPr>
          <w:rFonts w:cs="Calibri"/>
          <w:b/>
          <w:bCs/>
        </w:rPr>
        <w:t xml:space="preserve">Conduct </w:t>
      </w:r>
      <w:r w:rsidR="00B42E34">
        <w:rPr>
          <w:rFonts w:cs="Calibri"/>
          <w:b/>
          <w:bCs/>
        </w:rPr>
        <w:t>f</w:t>
      </w:r>
      <w:r w:rsidRPr="00B967B5">
        <w:rPr>
          <w:rFonts w:cs="Calibri"/>
          <w:b/>
          <w:bCs/>
        </w:rPr>
        <w:t xml:space="preserve">ull </w:t>
      </w:r>
      <w:r w:rsidR="00B42E34">
        <w:rPr>
          <w:rFonts w:cs="Calibri"/>
          <w:b/>
          <w:bCs/>
        </w:rPr>
        <w:t>r</w:t>
      </w:r>
      <w:r w:rsidRPr="00B967B5">
        <w:rPr>
          <w:rFonts w:cs="Calibri"/>
          <w:b/>
          <w:bCs/>
        </w:rPr>
        <w:t>esearch</w:t>
      </w:r>
    </w:p>
    <w:p w14:paraId="029A4463" w14:textId="77777777" w:rsidR="001222CC" w:rsidRPr="00413A54" w:rsidRDefault="001222CC" w:rsidP="00053B86">
      <w:pPr>
        <w:spacing w:after="0" w:line="278" w:lineRule="auto"/>
        <w:ind w:left="720"/>
        <w:rPr>
          <w:rFonts w:cs="Calibri"/>
        </w:rPr>
      </w:pPr>
      <w:r w:rsidRPr="00413A54">
        <w:rPr>
          <w:rFonts w:cs="Calibri"/>
        </w:rPr>
        <w:t>Review WiTricity’s financials, technology (patents, IP), competitive positioning and business models.</w:t>
      </w:r>
    </w:p>
    <w:p w14:paraId="733E40F6" w14:textId="77777777" w:rsidR="001222CC" w:rsidRPr="00053B86" w:rsidRDefault="001222CC" w:rsidP="00053B86">
      <w:pPr>
        <w:spacing w:after="0" w:line="278" w:lineRule="auto"/>
        <w:ind w:left="720"/>
        <w:rPr>
          <w:rFonts w:cs="Calibri"/>
        </w:rPr>
      </w:pPr>
      <w:r w:rsidRPr="00053B86">
        <w:rPr>
          <w:rFonts w:cs="Calibri"/>
        </w:rPr>
        <w:t>Assess the scalability of wireless EV charging solutions in Canada and globally.</w:t>
      </w:r>
    </w:p>
    <w:p w14:paraId="364F03A6" w14:textId="55B1A464" w:rsidR="001222CC" w:rsidRPr="00B967B5" w:rsidRDefault="001222CC" w:rsidP="004369DD">
      <w:pPr>
        <w:pStyle w:val="ListParagraph"/>
        <w:numPr>
          <w:ilvl w:val="0"/>
          <w:numId w:val="2"/>
        </w:numPr>
        <w:spacing w:after="0" w:line="278" w:lineRule="auto"/>
        <w:rPr>
          <w:rFonts w:cs="Calibri"/>
        </w:rPr>
      </w:pPr>
      <w:r w:rsidRPr="00B967B5">
        <w:rPr>
          <w:rFonts w:cs="Calibri"/>
          <w:b/>
          <w:bCs/>
        </w:rPr>
        <w:t xml:space="preserve">Engage </w:t>
      </w:r>
      <w:r w:rsidR="00B42E34">
        <w:rPr>
          <w:rFonts w:cs="Calibri"/>
          <w:b/>
          <w:bCs/>
        </w:rPr>
        <w:t>i</w:t>
      </w:r>
      <w:r w:rsidRPr="00B967B5">
        <w:rPr>
          <w:rFonts w:cs="Calibri"/>
          <w:b/>
          <w:bCs/>
        </w:rPr>
        <w:t xml:space="preserve">ndustry </w:t>
      </w:r>
      <w:r w:rsidR="00B42E34">
        <w:rPr>
          <w:rFonts w:cs="Calibri"/>
          <w:b/>
          <w:bCs/>
        </w:rPr>
        <w:t>e</w:t>
      </w:r>
      <w:r w:rsidRPr="00B967B5">
        <w:rPr>
          <w:rFonts w:cs="Calibri"/>
          <w:b/>
          <w:bCs/>
        </w:rPr>
        <w:t>xperts</w:t>
      </w:r>
    </w:p>
    <w:p w14:paraId="104BBF77" w14:textId="77777777" w:rsidR="001222CC" w:rsidRPr="00053B86" w:rsidRDefault="001222CC" w:rsidP="00053B86">
      <w:pPr>
        <w:spacing w:after="0" w:line="278" w:lineRule="auto"/>
        <w:ind w:left="720"/>
        <w:rPr>
          <w:rFonts w:cs="Calibri"/>
        </w:rPr>
      </w:pPr>
      <w:r w:rsidRPr="00053B86">
        <w:rPr>
          <w:rFonts w:cs="Calibri"/>
        </w:rPr>
        <w:t>Bring in consultants or advisors specializing in EV infrastructure and wireless charging.</w:t>
      </w:r>
    </w:p>
    <w:p w14:paraId="44FCE8A2" w14:textId="77777777" w:rsidR="001222CC" w:rsidRPr="00053B86" w:rsidRDefault="001222CC" w:rsidP="00053B86">
      <w:pPr>
        <w:spacing w:after="0" w:line="278" w:lineRule="auto"/>
        <w:ind w:left="720"/>
        <w:rPr>
          <w:rFonts w:cs="Calibri"/>
        </w:rPr>
      </w:pPr>
      <w:r w:rsidRPr="00053B86">
        <w:rPr>
          <w:rFonts w:cs="Calibri"/>
        </w:rPr>
        <w:t>Study market trends and projected growth in the Canadian along with U.S. markets.</w:t>
      </w:r>
    </w:p>
    <w:p w14:paraId="357575BB" w14:textId="5FA46F40" w:rsidR="001222CC" w:rsidRPr="00B967B5" w:rsidRDefault="001222CC" w:rsidP="004369DD">
      <w:pPr>
        <w:pStyle w:val="ListParagraph"/>
        <w:numPr>
          <w:ilvl w:val="0"/>
          <w:numId w:val="2"/>
        </w:numPr>
        <w:spacing w:after="0" w:line="278" w:lineRule="auto"/>
        <w:rPr>
          <w:rFonts w:cs="Calibri"/>
        </w:rPr>
      </w:pPr>
      <w:r w:rsidRPr="00B967B5">
        <w:rPr>
          <w:rFonts w:cs="Calibri"/>
          <w:b/>
          <w:bCs/>
        </w:rPr>
        <w:t xml:space="preserve">Valuation </w:t>
      </w:r>
      <w:r w:rsidR="00B42E34">
        <w:rPr>
          <w:rFonts w:cs="Calibri"/>
          <w:b/>
          <w:bCs/>
        </w:rPr>
        <w:t>s</w:t>
      </w:r>
      <w:r w:rsidRPr="00B967B5">
        <w:rPr>
          <w:rFonts w:cs="Calibri"/>
          <w:b/>
          <w:bCs/>
        </w:rPr>
        <w:t>tudy</w:t>
      </w:r>
    </w:p>
    <w:p w14:paraId="76324978" w14:textId="77777777" w:rsidR="001222CC" w:rsidRPr="00053B86" w:rsidRDefault="001222CC" w:rsidP="00053B86">
      <w:pPr>
        <w:spacing w:after="0" w:line="278" w:lineRule="auto"/>
        <w:ind w:left="720"/>
        <w:rPr>
          <w:rFonts w:cs="Calibri"/>
        </w:rPr>
      </w:pPr>
      <w:r w:rsidRPr="00053B86">
        <w:rPr>
          <w:rFonts w:cs="Calibri"/>
        </w:rPr>
        <w:lastRenderedPageBreak/>
        <w:t>Determine WiTricity’s valuation targeting a stake purchase of $300 million - $500 million for a significant ownership share.</w:t>
      </w:r>
    </w:p>
    <w:p w14:paraId="023965D3" w14:textId="0479B305" w:rsidR="001222CC" w:rsidRPr="00B967B5" w:rsidRDefault="001222CC" w:rsidP="00033070">
      <w:pPr>
        <w:pStyle w:val="Heading3"/>
        <w:spacing w:after="0"/>
        <w:rPr>
          <w:rFonts w:cs="Calibri"/>
        </w:rPr>
      </w:pPr>
      <w:bookmarkStart w:id="7" w:name="_Toc178363730"/>
      <w:r w:rsidRPr="00B967B5">
        <w:rPr>
          <w:rFonts w:cs="Calibri"/>
        </w:rPr>
        <w:t xml:space="preserve">Step 2: Negotiation and </w:t>
      </w:r>
      <w:r w:rsidR="00B42E34">
        <w:rPr>
          <w:rFonts w:cs="Calibri"/>
        </w:rPr>
        <w:t>a</w:t>
      </w:r>
      <w:r w:rsidRPr="00B967B5">
        <w:rPr>
          <w:rFonts w:cs="Calibri"/>
        </w:rPr>
        <w:t xml:space="preserve">cquisition </w:t>
      </w:r>
      <w:r w:rsidR="00B42E34">
        <w:rPr>
          <w:rFonts w:cs="Calibri"/>
        </w:rPr>
        <w:t>p</w:t>
      </w:r>
      <w:r w:rsidRPr="00B967B5">
        <w:rPr>
          <w:rFonts w:cs="Calibri"/>
        </w:rPr>
        <w:t>lanning</w:t>
      </w:r>
      <w:bookmarkEnd w:id="7"/>
    </w:p>
    <w:p w14:paraId="6F041269" w14:textId="77777777" w:rsidR="001222CC" w:rsidRPr="00B967B5" w:rsidRDefault="001222CC" w:rsidP="00A05A29">
      <w:pPr>
        <w:spacing w:after="0" w:line="278" w:lineRule="auto"/>
        <w:rPr>
          <w:rFonts w:cs="Calibri"/>
        </w:rPr>
      </w:pPr>
      <w:r w:rsidRPr="00B967B5">
        <w:rPr>
          <w:rFonts w:cs="Calibri"/>
          <w:b/>
          <w:bCs/>
        </w:rPr>
        <w:t>Timeline</w:t>
      </w:r>
      <w:r w:rsidRPr="00B967B5">
        <w:rPr>
          <w:rFonts w:cs="Calibri"/>
        </w:rPr>
        <w:t>: 3-4 months</w:t>
      </w:r>
    </w:p>
    <w:p w14:paraId="0A434049" w14:textId="77777777" w:rsidR="001222CC" w:rsidRPr="00B967B5" w:rsidRDefault="001222CC" w:rsidP="00A05A29">
      <w:pPr>
        <w:spacing w:after="0" w:line="278" w:lineRule="auto"/>
        <w:rPr>
          <w:rFonts w:cs="Calibri"/>
        </w:rPr>
      </w:pPr>
      <w:r w:rsidRPr="00B967B5">
        <w:rPr>
          <w:rFonts w:cs="Calibri"/>
          <w:b/>
          <w:bCs/>
        </w:rPr>
        <w:t>Actions</w:t>
      </w:r>
    </w:p>
    <w:p w14:paraId="5105D78E" w14:textId="34643311" w:rsidR="001222CC" w:rsidRPr="00B967B5" w:rsidRDefault="001222CC" w:rsidP="004369DD">
      <w:pPr>
        <w:pStyle w:val="ListParagraph"/>
        <w:numPr>
          <w:ilvl w:val="0"/>
          <w:numId w:val="3"/>
        </w:numPr>
        <w:spacing w:after="0" w:line="278" w:lineRule="auto"/>
        <w:rPr>
          <w:rFonts w:cs="Calibri"/>
        </w:rPr>
      </w:pPr>
      <w:r w:rsidRPr="00B967B5">
        <w:rPr>
          <w:rFonts w:cs="Calibri"/>
          <w:b/>
          <w:bCs/>
        </w:rPr>
        <w:t xml:space="preserve">Initiate </w:t>
      </w:r>
      <w:r w:rsidR="00B42E34">
        <w:rPr>
          <w:rFonts w:cs="Calibri"/>
          <w:b/>
          <w:bCs/>
        </w:rPr>
        <w:t>a</w:t>
      </w:r>
      <w:r w:rsidRPr="00B967B5">
        <w:rPr>
          <w:rFonts w:cs="Calibri"/>
          <w:b/>
          <w:bCs/>
        </w:rPr>
        <w:t xml:space="preserve">cquisition </w:t>
      </w:r>
      <w:r w:rsidR="00B42E34">
        <w:rPr>
          <w:rFonts w:cs="Calibri"/>
          <w:b/>
          <w:bCs/>
        </w:rPr>
        <w:t>t</w:t>
      </w:r>
      <w:r w:rsidRPr="00B967B5">
        <w:rPr>
          <w:rFonts w:cs="Calibri"/>
          <w:b/>
          <w:bCs/>
        </w:rPr>
        <w:t>alks</w:t>
      </w:r>
    </w:p>
    <w:p w14:paraId="682B54C6" w14:textId="77777777" w:rsidR="001222CC" w:rsidRPr="00053B86" w:rsidRDefault="001222CC" w:rsidP="00053B86">
      <w:pPr>
        <w:spacing w:after="0" w:line="278" w:lineRule="auto"/>
        <w:ind w:left="720"/>
        <w:rPr>
          <w:rFonts w:cs="Calibri"/>
        </w:rPr>
      </w:pPr>
      <w:r w:rsidRPr="00053B86">
        <w:rPr>
          <w:rFonts w:cs="Calibri"/>
        </w:rPr>
        <w:t>Begin negotiations with WiTricity’s board focusing on acquiring a 30-50% stake.</w:t>
      </w:r>
    </w:p>
    <w:p w14:paraId="6160293D" w14:textId="77777777" w:rsidR="001222CC" w:rsidRPr="00053B86" w:rsidRDefault="001222CC" w:rsidP="00053B86">
      <w:pPr>
        <w:spacing w:after="0" w:line="278" w:lineRule="auto"/>
        <w:ind w:left="720"/>
        <w:rPr>
          <w:rFonts w:cs="Calibri"/>
        </w:rPr>
      </w:pPr>
      <w:r w:rsidRPr="00053B86">
        <w:rPr>
          <w:rFonts w:cs="Calibri"/>
        </w:rPr>
        <w:t>Propose a multi-stage investment of $300 million with an upfront payment of $50 million and further capital injections upon achieving growth milestones.</w:t>
      </w:r>
    </w:p>
    <w:p w14:paraId="411AE5EC" w14:textId="6075F722" w:rsidR="001222CC" w:rsidRPr="00B967B5" w:rsidRDefault="001222CC" w:rsidP="004369DD">
      <w:pPr>
        <w:pStyle w:val="ListParagraph"/>
        <w:numPr>
          <w:ilvl w:val="0"/>
          <w:numId w:val="3"/>
        </w:numPr>
        <w:spacing w:after="0" w:line="278" w:lineRule="auto"/>
        <w:rPr>
          <w:rFonts w:cs="Calibri"/>
        </w:rPr>
      </w:pPr>
      <w:r w:rsidRPr="00B967B5">
        <w:rPr>
          <w:rFonts w:cs="Calibri"/>
          <w:b/>
          <w:bCs/>
        </w:rPr>
        <w:t xml:space="preserve">Strategic </w:t>
      </w:r>
      <w:r w:rsidR="00B42E34">
        <w:rPr>
          <w:rFonts w:cs="Calibri"/>
          <w:b/>
          <w:bCs/>
        </w:rPr>
        <w:t>t</w:t>
      </w:r>
      <w:r w:rsidRPr="00B967B5">
        <w:rPr>
          <w:rFonts w:cs="Calibri"/>
          <w:b/>
          <w:bCs/>
        </w:rPr>
        <w:t>erms</w:t>
      </w:r>
    </w:p>
    <w:p w14:paraId="3FF363A1" w14:textId="77777777" w:rsidR="001222CC" w:rsidRPr="00AB4FFD" w:rsidRDefault="001222CC" w:rsidP="00AB4FFD">
      <w:pPr>
        <w:spacing w:after="0" w:line="278" w:lineRule="auto"/>
        <w:ind w:left="720"/>
        <w:rPr>
          <w:rFonts w:cs="Calibri"/>
        </w:rPr>
      </w:pPr>
      <w:r w:rsidRPr="00AB4FFD">
        <w:rPr>
          <w:rFonts w:cs="Calibri"/>
        </w:rPr>
        <w:t>Negotiate terms that give TD Bank influence over WiTricity’s expansion in Canada and strategic markets in the U.S.</w:t>
      </w:r>
    </w:p>
    <w:p w14:paraId="7741E99B" w14:textId="77777777" w:rsidR="001222CC" w:rsidRPr="00AB4FFD" w:rsidRDefault="001222CC" w:rsidP="00AB4FFD">
      <w:pPr>
        <w:spacing w:after="0" w:line="278" w:lineRule="auto"/>
        <w:ind w:left="720"/>
        <w:rPr>
          <w:rFonts w:cs="Calibri"/>
        </w:rPr>
      </w:pPr>
      <w:r w:rsidRPr="00AB4FFD">
        <w:rPr>
          <w:rFonts w:cs="Calibri"/>
        </w:rPr>
        <w:t>Explore agreements on profit-sharing from licensing deals revenue from infrastructure projects and potential IPOs.</w:t>
      </w:r>
    </w:p>
    <w:p w14:paraId="36ABE282" w14:textId="4C4AD92D" w:rsidR="001222CC" w:rsidRPr="00B967B5" w:rsidRDefault="001222CC" w:rsidP="00033070">
      <w:pPr>
        <w:pStyle w:val="Heading3"/>
        <w:spacing w:after="0"/>
        <w:rPr>
          <w:rFonts w:cs="Calibri"/>
        </w:rPr>
      </w:pPr>
      <w:bookmarkStart w:id="8" w:name="_Toc178363731"/>
      <w:r w:rsidRPr="00B967B5">
        <w:rPr>
          <w:rFonts w:cs="Calibri"/>
        </w:rPr>
        <w:t xml:space="preserve">Step 3: Capital </w:t>
      </w:r>
      <w:r w:rsidR="005E6642">
        <w:rPr>
          <w:rFonts w:cs="Calibri"/>
        </w:rPr>
        <w:t>i</w:t>
      </w:r>
      <w:r w:rsidRPr="00B967B5">
        <w:rPr>
          <w:rFonts w:cs="Calibri"/>
        </w:rPr>
        <w:t xml:space="preserve">njection and </w:t>
      </w:r>
      <w:r w:rsidR="005E6642">
        <w:rPr>
          <w:rFonts w:cs="Calibri"/>
        </w:rPr>
        <w:t>e</w:t>
      </w:r>
      <w:r w:rsidRPr="00B967B5">
        <w:rPr>
          <w:rFonts w:cs="Calibri"/>
        </w:rPr>
        <w:t xml:space="preserve">xpansion </w:t>
      </w:r>
      <w:r w:rsidR="005E6642">
        <w:rPr>
          <w:rFonts w:cs="Calibri"/>
        </w:rPr>
        <w:t>f</w:t>
      </w:r>
      <w:r w:rsidRPr="00B967B5">
        <w:rPr>
          <w:rFonts w:cs="Calibri"/>
        </w:rPr>
        <w:t>unding</w:t>
      </w:r>
      <w:bookmarkEnd w:id="8"/>
    </w:p>
    <w:p w14:paraId="7B1D7129" w14:textId="77777777" w:rsidR="001222CC" w:rsidRPr="00B967B5" w:rsidRDefault="001222CC" w:rsidP="00754AB4">
      <w:pPr>
        <w:spacing w:after="0" w:line="278" w:lineRule="auto"/>
        <w:rPr>
          <w:rFonts w:cs="Calibri"/>
        </w:rPr>
      </w:pPr>
      <w:r w:rsidRPr="00B967B5">
        <w:rPr>
          <w:rFonts w:cs="Calibri"/>
          <w:b/>
          <w:bCs/>
        </w:rPr>
        <w:t>Timeline</w:t>
      </w:r>
      <w:r w:rsidRPr="00B967B5">
        <w:rPr>
          <w:rFonts w:cs="Calibri"/>
        </w:rPr>
        <w:t>: Immediate to 2 years</w:t>
      </w:r>
    </w:p>
    <w:p w14:paraId="338B2D3A" w14:textId="77777777" w:rsidR="001222CC" w:rsidRPr="00B967B5" w:rsidRDefault="001222CC" w:rsidP="00754AB4">
      <w:pPr>
        <w:spacing w:after="0" w:line="278" w:lineRule="auto"/>
        <w:rPr>
          <w:rFonts w:cs="Calibri"/>
        </w:rPr>
      </w:pPr>
      <w:r w:rsidRPr="00B967B5">
        <w:rPr>
          <w:rFonts w:cs="Calibri"/>
          <w:b/>
          <w:bCs/>
        </w:rPr>
        <w:t>Actions</w:t>
      </w:r>
    </w:p>
    <w:p w14:paraId="7D52E34E" w14:textId="371C1B6A" w:rsidR="001222CC" w:rsidRPr="00B967B5" w:rsidRDefault="001222CC" w:rsidP="004369DD">
      <w:pPr>
        <w:pStyle w:val="ListParagraph"/>
        <w:numPr>
          <w:ilvl w:val="0"/>
          <w:numId w:val="4"/>
        </w:numPr>
        <w:spacing w:after="0" w:line="278" w:lineRule="auto"/>
        <w:rPr>
          <w:rFonts w:cs="Calibri"/>
        </w:rPr>
      </w:pPr>
      <w:r w:rsidRPr="00B967B5">
        <w:rPr>
          <w:rFonts w:cs="Calibri"/>
          <w:b/>
          <w:bCs/>
        </w:rPr>
        <w:t xml:space="preserve">Initial </w:t>
      </w:r>
      <w:r w:rsidR="001B5588">
        <w:rPr>
          <w:rFonts w:cs="Calibri"/>
          <w:b/>
          <w:bCs/>
        </w:rPr>
        <w:t>c</w:t>
      </w:r>
      <w:r w:rsidRPr="00B967B5">
        <w:rPr>
          <w:rFonts w:cs="Calibri"/>
          <w:b/>
          <w:bCs/>
        </w:rPr>
        <w:t xml:space="preserve">apital </w:t>
      </w:r>
      <w:r w:rsidR="001B5588">
        <w:rPr>
          <w:rFonts w:cs="Calibri"/>
          <w:b/>
          <w:bCs/>
        </w:rPr>
        <w:t>i</w:t>
      </w:r>
      <w:r w:rsidRPr="00B967B5">
        <w:rPr>
          <w:rFonts w:cs="Calibri"/>
          <w:b/>
          <w:bCs/>
        </w:rPr>
        <w:t>njection</w:t>
      </w:r>
    </w:p>
    <w:p w14:paraId="6FE73459" w14:textId="77777777" w:rsidR="001222CC" w:rsidRPr="00AB4FFD" w:rsidRDefault="001222CC" w:rsidP="00AB4FFD">
      <w:pPr>
        <w:spacing w:after="0" w:line="278" w:lineRule="auto"/>
        <w:ind w:left="720"/>
        <w:rPr>
          <w:rFonts w:cs="Calibri"/>
        </w:rPr>
      </w:pPr>
      <w:r w:rsidRPr="00AB4FFD">
        <w:rPr>
          <w:rFonts w:cs="Calibri"/>
        </w:rPr>
        <w:t>Allocate $50 million of the investment to WiTricity’s R&amp;D, enhancing wireless EV charging technology and reducing costs.</w:t>
      </w:r>
    </w:p>
    <w:p w14:paraId="13D034D8" w14:textId="1FBE07B2" w:rsidR="001222CC" w:rsidRPr="00B967B5" w:rsidRDefault="001222CC" w:rsidP="004369DD">
      <w:pPr>
        <w:pStyle w:val="ListParagraph"/>
        <w:numPr>
          <w:ilvl w:val="0"/>
          <w:numId w:val="4"/>
        </w:numPr>
        <w:spacing w:after="0" w:line="278" w:lineRule="auto"/>
        <w:rPr>
          <w:rFonts w:cs="Calibri"/>
        </w:rPr>
      </w:pPr>
      <w:r w:rsidRPr="00B967B5">
        <w:rPr>
          <w:rFonts w:cs="Calibri"/>
          <w:b/>
          <w:bCs/>
        </w:rPr>
        <w:t xml:space="preserve">Canadian </w:t>
      </w:r>
      <w:r w:rsidR="001B5588">
        <w:rPr>
          <w:rFonts w:cs="Calibri"/>
          <w:b/>
          <w:bCs/>
        </w:rPr>
        <w:t>m</w:t>
      </w:r>
      <w:r w:rsidRPr="00B967B5">
        <w:rPr>
          <w:rFonts w:cs="Calibri"/>
          <w:b/>
          <w:bCs/>
        </w:rPr>
        <w:t xml:space="preserve">arket </w:t>
      </w:r>
      <w:r w:rsidR="001B5588">
        <w:rPr>
          <w:rFonts w:cs="Calibri"/>
          <w:b/>
          <w:bCs/>
        </w:rPr>
        <w:t>e</w:t>
      </w:r>
      <w:r w:rsidRPr="00B967B5">
        <w:rPr>
          <w:rFonts w:cs="Calibri"/>
          <w:b/>
          <w:bCs/>
        </w:rPr>
        <w:t>xpansion</w:t>
      </w:r>
    </w:p>
    <w:p w14:paraId="3587F559" w14:textId="3679A7FF" w:rsidR="001222CC" w:rsidRPr="00AB4FFD" w:rsidRDefault="002904CA" w:rsidP="00AB4FFD">
      <w:pPr>
        <w:spacing w:after="0" w:line="278" w:lineRule="auto"/>
        <w:ind w:firstLine="720"/>
        <w:rPr>
          <w:rFonts w:cs="Calibri"/>
        </w:rPr>
      </w:pPr>
      <w:r w:rsidRPr="00AB4FFD">
        <w:rPr>
          <w:rFonts w:cs="Calibri"/>
        </w:rPr>
        <w:t xml:space="preserve">Acquire </w:t>
      </w:r>
      <w:r w:rsidR="001222CC" w:rsidRPr="00AB4FFD">
        <w:rPr>
          <w:rFonts w:cs="Calibri"/>
        </w:rPr>
        <w:t>$70 million in WiTricity’s Canadian operations focusing on</w:t>
      </w:r>
    </w:p>
    <w:p w14:paraId="3BDC179F" w14:textId="77777777" w:rsidR="001222CC" w:rsidRPr="00EA71F7" w:rsidRDefault="001222CC" w:rsidP="004369DD">
      <w:pPr>
        <w:pStyle w:val="ListParagraph"/>
        <w:numPr>
          <w:ilvl w:val="1"/>
          <w:numId w:val="15"/>
        </w:numPr>
        <w:spacing w:after="0" w:line="278" w:lineRule="auto"/>
        <w:rPr>
          <w:rFonts w:cs="Calibri"/>
        </w:rPr>
      </w:pPr>
      <w:r w:rsidRPr="00EA71F7">
        <w:rPr>
          <w:rFonts w:cs="Calibri"/>
        </w:rPr>
        <w:t>Building a Canadian headquarters.</w:t>
      </w:r>
    </w:p>
    <w:p w14:paraId="058302C3" w14:textId="77777777" w:rsidR="001222CC" w:rsidRPr="00EA71F7" w:rsidRDefault="001222CC" w:rsidP="004369DD">
      <w:pPr>
        <w:pStyle w:val="ListParagraph"/>
        <w:numPr>
          <w:ilvl w:val="1"/>
          <w:numId w:val="15"/>
        </w:numPr>
        <w:spacing w:after="0" w:line="278" w:lineRule="auto"/>
        <w:rPr>
          <w:rFonts w:cs="Calibri"/>
        </w:rPr>
      </w:pPr>
      <w:r w:rsidRPr="00EA71F7">
        <w:rPr>
          <w:rFonts w:cs="Calibri"/>
        </w:rPr>
        <w:t>Developing partnerships with provincial and federal governments.</w:t>
      </w:r>
    </w:p>
    <w:p w14:paraId="0E0D97B5" w14:textId="77777777" w:rsidR="001222CC" w:rsidRPr="00EA71F7" w:rsidRDefault="001222CC" w:rsidP="004369DD">
      <w:pPr>
        <w:pStyle w:val="ListParagraph"/>
        <w:numPr>
          <w:ilvl w:val="1"/>
          <w:numId w:val="15"/>
        </w:numPr>
        <w:spacing w:after="0" w:line="278" w:lineRule="auto"/>
        <w:rPr>
          <w:rFonts w:cs="Calibri"/>
        </w:rPr>
      </w:pPr>
      <w:r w:rsidRPr="00EA71F7">
        <w:rPr>
          <w:rFonts w:cs="Calibri"/>
        </w:rPr>
        <w:t>Collaborating with Canadian EV manufacturers like Electra Meccanica.</w:t>
      </w:r>
    </w:p>
    <w:p w14:paraId="3A81BC51" w14:textId="4B3EE2D5" w:rsidR="001222CC" w:rsidRPr="00B967B5" w:rsidRDefault="001222CC" w:rsidP="004369DD">
      <w:pPr>
        <w:pStyle w:val="ListParagraph"/>
        <w:numPr>
          <w:ilvl w:val="0"/>
          <w:numId w:val="4"/>
        </w:numPr>
        <w:spacing w:after="0" w:line="278" w:lineRule="auto"/>
        <w:rPr>
          <w:rFonts w:cs="Calibri"/>
        </w:rPr>
      </w:pPr>
      <w:r w:rsidRPr="00B967B5">
        <w:rPr>
          <w:rFonts w:cs="Calibri"/>
          <w:b/>
          <w:bCs/>
        </w:rPr>
        <w:t xml:space="preserve">U.S. </w:t>
      </w:r>
      <w:r w:rsidR="001B5588">
        <w:rPr>
          <w:rFonts w:cs="Calibri"/>
          <w:b/>
          <w:bCs/>
        </w:rPr>
        <w:t>m</w:t>
      </w:r>
      <w:r w:rsidRPr="00B967B5">
        <w:rPr>
          <w:rFonts w:cs="Calibri"/>
          <w:b/>
          <w:bCs/>
        </w:rPr>
        <w:t xml:space="preserve">arket </w:t>
      </w:r>
      <w:r w:rsidR="001B5588">
        <w:rPr>
          <w:rFonts w:cs="Calibri"/>
          <w:b/>
          <w:bCs/>
        </w:rPr>
        <w:t>g</w:t>
      </w:r>
      <w:r w:rsidRPr="00B967B5">
        <w:rPr>
          <w:rFonts w:cs="Calibri"/>
          <w:b/>
          <w:bCs/>
        </w:rPr>
        <w:t>rowth</w:t>
      </w:r>
    </w:p>
    <w:p w14:paraId="1E2246CB" w14:textId="77777777" w:rsidR="001222CC" w:rsidRPr="00EA71F7" w:rsidRDefault="001222CC" w:rsidP="00215912">
      <w:pPr>
        <w:spacing w:after="0" w:line="278" w:lineRule="auto"/>
        <w:ind w:left="720"/>
        <w:rPr>
          <w:rFonts w:cs="Calibri"/>
        </w:rPr>
      </w:pPr>
      <w:r w:rsidRPr="00EA71F7">
        <w:rPr>
          <w:rFonts w:cs="Calibri"/>
        </w:rPr>
        <w:t>Allocate $80 million - $180 million to support expansion in the U.S. through partnerships with automakers (Ford, GM) and infrastructure projects such as public wireless charging networks.</w:t>
      </w:r>
    </w:p>
    <w:p w14:paraId="2402ABA5" w14:textId="73B7DF1F" w:rsidR="001222CC" w:rsidRPr="00B967B5" w:rsidRDefault="001222CC" w:rsidP="00033070">
      <w:pPr>
        <w:pStyle w:val="Heading3"/>
        <w:spacing w:after="0"/>
        <w:rPr>
          <w:rFonts w:cs="Calibri"/>
        </w:rPr>
      </w:pPr>
      <w:bookmarkStart w:id="9" w:name="_Toc178363732"/>
      <w:r w:rsidRPr="00B967B5">
        <w:rPr>
          <w:rFonts w:cs="Calibri"/>
        </w:rPr>
        <w:t xml:space="preserve">Step 4: Partnership and </w:t>
      </w:r>
      <w:r w:rsidR="005E6642">
        <w:rPr>
          <w:rFonts w:cs="Calibri"/>
        </w:rPr>
        <w:t>t</w:t>
      </w:r>
      <w:r w:rsidRPr="00B967B5">
        <w:rPr>
          <w:rFonts w:cs="Calibri"/>
        </w:rPr>
        <w:t xml:space="preserve">echnology </w:t>
      </w:r>
      <w:r w:rsidR="005E6642">
        <w:rPr>
          <w:rFonts w:cs="Calibri"/>
        </w:rPr>
        <w:t>i</w:t>
      </w:r>
      <w:r w:rsidRPr="00B967B5">
        <w:rPr>
          <w:rFonts w:cs="Calibri"/>
        </w:rPr>
        <w:t>ntegration</w:t>
      </w:r>
      <w:bookmarkEnd w:id="9"/>
    </w:p>
    <w:p w14:paraId="157FA0E0" w14:textId="77777777" w:rsidR="001222CC" w:rsidRPr="00B967B5" w:rsidRDefault="001222CC" w:rsidP="00952738">
      <w:pPr>
        <w:spacing w:after="0" w:line="278" w:lineRule="auto"/>
        <w:rPr>
          <w:rFonts w:cs="Calibri"/>
        </w:rPr>
      </w:pPr>
      <w:r w:rsidRPr="00B967B5">
        <w:rPr>
          <w:rFonts w:cs="Calibri"/>
          <w:b/>
          <w:bCs/>
        </w:rPr>
        <w:t>Timeline</w:t>
      </w:r>
      <w:r w:rsidRPr="00B967B5">
        <w:rPr>
          <w:rFonts w:cs="Calibri"/>
        </w:rPr>
        <w:t>: 1-2 years</w:t>
      </w:r>
    </w:p>
    <w:p w14:paraId="5C4B733C" w14:textId="77777777" w:rsidR="001222CC" w:rsidRPr="00B967B5" w:rsidRDefault="001222CC" w:rsidP="00952738">
      <w:pPr>
        <w:spacing w:after="0" w:line="278" w:lineRule="auto"/>
        <w:rPr>
          <w:rFonts w:cs="Calibri"/>
        </w:rPr>
      </w:pPr>
      <w:r w:rsidRPr="00B967B5">
        <w:rPr>
          <w:rFonts w:cs="Calibri"/>
          <w:b/>
          <w:bCs/>
        </w:rPr>
        <w:t>Actions</w:t>
      </w:r>
    </w:p>
    <w:p w14:paraId="5590B809" w14:textId="1C732537" w:rsidR="001222CC" w:rsidRPr="00B967B5" w:rsidRDefault="001222CC" w:rsidP="004369DD">
      <w:pPr>
        <w:pStyle w:val="ListParagraph"/>
        <w:numPr>
          <w:ilvl w:val="0"/>
          <w:numId w:val="5"/>
        </w:numPr>
        <w:spacing w:after="0" w:line="278" w:lineRule="auto"/>
        <w:rPr>
          <w:rFonts w:cs="Calibri"/>
        </w:rPr>
      </w:pPr>
      <w:r w:rsidRPr="00B967B5">
        <w:rPr>
          <w:rFonts w:cs="Calibri"/>
          <w:b/>
          <w:bCs/>
        </w:rPr>
        <w:t>Partner with the Canadian Government</w:t>
      </w:r>
    </w:p>
    <w:p w14:paraId="2BF1190C" w14:textId="77777777" w:rsidR="001222CC" w:rsidRPr="00215912" w:rsidRDefault="001222CC" w:rsidP="00215912">
      <w:pPr>
        <w:spacing w:after="0" w:line="278" w:lineRule="auto"/>
        <w:ind w:left="720"/>
        <w:rPr>
          <w:rFonts w:cs="Calibri"/>
        </w:rPr>
      </w:pPr>
      <w:r w:rsidRPr="00215912">
        <w:rPr>
          <w:rFonts w:cs="Calibri"/>
        </w:rPr>
        <w:t>Collaborate with the Canadian government to include wireless EV charging in national infrastructure projects.</w:t>
      </w:r>
    </w:p>
    <w:p w14:paraId="5B5AAACA" w14:textId="49913B66" w:rsidR="001222CC" w:rsidRPr="00B967B5" w:rsidRDefault="001222CC" w:rsidP="004369DD">
      <w:pPr>
        <w:pStyle w:val="ListParagraph"/>
        <w:numPr>
          <w:ilvl w:val="0"/>
          <w:numId w:val="5"/>
        </w:numPr>
        <w:spacing w:after="0" w:line="278" w:lineRule="auto"/>
        <w:rPr>
          <w:rFonts w:cs="Calibri"/>
        </w:rPr>
      </w:pPr>
      <w:r w:rsidRPr="00B967B5">
        <w:rPr>
          <w:rFonts w:cs="Calibri"/>
          <w:b/>
          <w:bCs/>
        </w:rPr>
        <w:t xml:space="preserve">Strategic </w:t>
      </w:r>
      <w:r w:rsidR="001B5588">
        <w:rPr>
          <w:rFonts w:cs="Calibri"/>
          <w:b/>
          <w:bCs/>
        </w:rPr>
        <w:t>a</w:t>
      </w:r>
      <w:r w:rsidRPr="00B967B5">
        <w:rPr>
          <w:rFonts w:cs="Calibri"/>
          <w:b/>
          <w:bCs/>
        </w:rPr>
        <w:t xml:space="preserve">lliances with </w:t>
      </w:r>
      <w:r w:rsidR="001B5588">
        <w:rPr>
          <w:rFonts w:cs="Calibri"/>
          <w:b/>
          <w:bCs/>
        </w:rPr>
        <w:t>a</w:t>
      </w:r>
      <w:r w:rsidRPr="00B967B5">
        <w:rPr>
          <w:rFonts w:cs="Calibri"/>
          <w:b/>
          <w:bCs/>
        </w:rPr>
        <w:t>utomakers</w:t>
      </w:r>
    </w:p>
    <w:p w14:paraId="4056E186" w14:textId="77777777" w:rsidR="001222CC" w:rsidRPr="00215912" w:rsidRDefault="001222CC" w:rsidP="00215912">
      <w:pPr>
        <w:spacing w:after="0" w:line="278" w:lineRule="auto"/>
        <w:ind w:left="720"/>
        <w:rPr>
          <w:rFonts w:cs="Calibri"/>
        </w:rPr>
      </w:pPr>
      <w:r w:rsidRPr="00215912">
        <w:rPr>
          <w:rFonts w:cs="Calibri"/>
        </w:rPr>
        <w:t>Partner with automakers to integrate WiTricity’s technology into new EV models sold in Canada and the U.S.</w:t>
      </w:r>
    </w:p>
    <w:p w14:paraId="601698DC" w14:textId="31520464" w:rsidR="001222CC" w:rsidRPr="00B967B5" w:rsidRDefault="001222CC" w:rsidP="004369DD">
      <w:pPr>
        <w:pStyle w:val="ListParagraph"/>
        <w:numPr>
          <w:ilvl w:val="0"/>
          <w:numId w:val="5"/>
        </w:numPr>
        <w:spacing w:after="0" w:line="278" w:lineRule="auto"/>
        <w:rPr>
          <w:rFonts w:cs="Calibri"/>
        </w:rPr>
      </w:pPr>
      <w:r w:rsidRPr="00B967B5">
        <w:rPr>
          <w:rFonts w:cs="Calibri"/>
          <w:b/>
          <w:bCs/>
        </w:rPr>
        <w:t xml:space="preserve">Smart </w:t>
      </w:r>
      <w:r w:rsidR="001B5588">
        <w:rPr>
          <w:rFonts w:cs="Calibri"/>
          <w:b/>
          <w:bCs/>
        </w:rPr>
        <w:t>c</w:t>
      </w:r>
      <w:r w:rsidRPr="00B967B5">
        <w:rPr>
          <w:rFonts w:cs="Calibri"/>
          <w:b/>
          <w:bCs/>
        </w:rPr>
        <w:t xml:space="preserve">ity </w:t>
      </w:r>
      <w:r w:rsidR="001B5588">
        <w:rPr>
          <w:rFonts w:cs="Calibri"/>
          <w:b/>
          <w:bCs/>
        </w:rPr>
        <w:t>p</w:t>
      </w:r>
      <w:r w:rsidRPr="00B967B5">
        <w:rPr>
          <w:rFonts w:cs="Calibri"/>
          <w:b/>
          <w:bCs/>
        </w:rPr>
        <w:t>rojects</w:t>
      </w:r>
    </w:p>
    <w:p w14:paraId="5DF31F30" w14:textId="77777777" w:rsidR="001222CC" w:rsidRPr="00215912" w:rsidRDefault="001222CC" w:rsidP="00215912">
      <w:pPr>
        <w:spacing w:after="0" w:line="278" w:lineRule="auto"/>
        <w:ind w:left="720"/>
        <w:rPr>
          <w:rFonts w:cs="Calibri"/>
        </w:rPr>
      </w:pPr>
      <w:r w:rsidRPr="00215912">
        <w:rPr>
          <w:rFonts w:cs="Calibri"/>
        </w:rPr>
        <w:lastRenderedPageBreak/>
        <w:t>Work with municipalities in Canada to roll out wireless EV charging stations in public spaces. TD Bank will finance these projects in exchange for a share of the revenue.</w:t>
      </w:r>
    </w:p>
    <w:p w14:paraId="53006A86" w14:textId="6CC6E9A3" w:rsidR="001222CC" w:rsidRPr="00B967B5" w:rsidRDefault="001222CC" w:rsidP="00033070">
      <w:pPr>
        <w:pStyle w:val="Heading3"/>
        <w:spacing w:after="0"/>
        <w:rPr>
          <w:rFonts w:cs="Calibri"/>
        </w:rPr>
      </w:pPr>
      <w:bookmarkStart w:id="10" w:name="_Toc178363733"/>
      <w:r w:rsidRPr="00B967B5">
        <w:rPr>
          <w:rFonts w:cs="Calibri"/>
        </w:rPr>
        <w:t xml:space="preserve">Step 5: Monetization and </w:t>
      </w:r>
      <w:r w:rsidR="005E6642">
        <w:rPr>
          <w:rFonts w:cs="Calibri"/>
        </w:rPr>
        <w:t>r</w:t>
      </w:r>
      <w:r w:rsidRPr="00B967B5">
        <w:rPr>
          <w:rFonts w:cs="Calibri"/>
        </w:rPr>
        <w:t xml:space="preserve">evenue </w:t>
      </w:r>
      <w:r w:rsidR="005E6642">
        <w:rPr>
          <w:rFonts w:cs="Calibri"/>
        </w:rPr>
        <w:t>g</w:t>
      </w:r>
      <w:r w:rsidRPr="00B967B5">
        <w:rPr>
          <w:rFonts w:cs="Calibri"/>
        </w:rPr>
        <w:t>eneration</w:t>
      </w:r>
      <w:bookmarkEnd w:id="10"/>
    </w:p>
    <w:p w14:paraId="52037AB5" w14:textId="77777777" w:rsidR="001222CC" w:rsidRPr="00B967B5" w:rsidRDefault="001222CC" w:rsidP="0031394E">
      <w:pPr>
        <w:spacing w:after="0" w:line="278" w:lineRule="auto"/>
        <w:rPr>
          <w:rFonts w:cs="Calibri"/>
        </w:rPr>
      </w:pPr>
      <w:r w:rsidRPr="00B967B5">
        <w:rPr>
          <w:rFonts w:cs="Calibri"/>
          <w:b/>
          <w:bCs/>
        </w:rPr>
        <w:t>Timeline</w:t>
      </w:r>
      <w:r w:rsidRPr="00B967B5">
        <w:rPr>
          <w:rFonts w:cs="Calibri"/>
        </w:rPr>
        <w:t>: 3-5 years</w:t>
      </w:r>
    </w:p>
    <w:p w14:paraId="6A875E66" w14:textId="77777777" w:rsidR="001222CC" w:rsidRPr="00B967B5" w:rsidRDefault="001222CC" w:rsidP="0031394E">
      <w:pPr>
        <w:spacing w:after="0" w:line="278" w:lineRule="auto"/>
        <w:rPr>
          <w:rFonts w:cs="Calibri"/>
        </w:rPr>
      </w:pPr>
      <w:r w:rsidRPr="00B967B5">
        <w:rPr>
          <w:rFonts w:cs="Calibri"/>
          <w:b/>
          <w:bCs/>
        </w:rPr>
        <w:t>Actions</w:t>
      </w:r>
    </w:p>
    <w:p w14:paraId="663D576E" w14:textId="58C0201E" w:rsidR="001222CC" w:rsidRPr="00B967B5" w:rsidRDefault="001222CC" w:rsidP="004369DD">
      <w:pPr>
        <w:pStyle w:val="ListParagraph"/>
        <w:numPr>
          <w:ilvl w:val="0"/>
          <w:numId w:val="6"/>
        </w:numPr>
        <w:spacing w:after="0" w:line="278" w:lineRule="auto"/>
        <w:rPr>
          <w:rFonts w:cs="Calibri"/>
        </w:rPr>
      </w:pPr>
      <w:r w:rsidRPr="00B967B5">
        <w:rPr>
          <w:rFonts w:cs="Calibri"/>
          <w:b/>
          <w:bCs/>
        </w:rPr>
        <w:t xml:space="preserve">Revenue from </w:t>
      </w:r>
      <w:r w:rsidR="001B5588">
        <w:rPr>
          <w:rFonts w:cs="Calibri"/>
          <w:b/>
          <w:bCs/>
        </w:rPr>
        <w:t>l</w:t>
      </w:r>
      <w:r w:rsidRPr="00B967B5">
        <w:rPr>
          <w:rFonts w:cs="Calibri"/>
          <w:b/>
          <w:bCs/>
        </w:rPr>
        <w:t>icensing</w:t>
      </w:r>
    </w:p>
    <w:p w14:paraId="5A4FF1C6" w14:textId="77777777" w:rsidR="001222CC" w:rsidRPr="00215912" w:rsidRDefault="001222CC" w:rsidP="00215912">
      <w:pPr>
        <w:spacing w:after="0" w:line="278" w:lineRule="auto"/>
        <w:ind w:left="720"/>
        <w:rPr>
          <w:rFonts w:cs="Calibri"/>
        </w:rPr>
      </w:pPr>
      <w:r w:rsidRPr="00215912">
        <w:rPr>
          <w:rFonts w:cs="Calibri"/>
        </w:rPr>
        <w:t>WiTricity can generate revenue from licensing deals with automakers and municipalities, benefiting TD Bank through 10-20% profit-sharing.</w:t>
      </w:r>
    </w:p>
    <w:p w14:paraId="47FB1877" w14:textId="6DF8CE8C" w:rsidR="001222CC" w:rsidRPr="00B967B5" w:rsidRDefault="001222CC" w:rsidP="004369DD">
      <w:pPr>
        <w:pStyle w:val="ListParagraph"/>
        <w:numPr>
          <w:ilvl w:val="0"/>
          <w:numId w:val="6"/>
        </w:numPr>
        <w:spacing w:after="0" w:line="278" w:lineRule="auto"/>
        <w:rPr>
          <w:rFonts w:cs="Calibri"/>
        </w:rPr>
      </w:pPr>
      <w:r w:rsidRPr="00B967B5">
        <w:rPr>
          <w:rFonts w:cs="Calibri"/>
          <w:b/>
          <w:bCs/>
        </w:rPr>
        <w:t xml:space="preserve">Infrastructure </w:t>
      </w:r>
      <w:r w:rsidR="001B5588">
        <w:rPr>
          <w:rFonts w:cs="Calibri"/>
          <w:b/>
          <w:bCs/>
        </w:rPr>
        <w:t>r</w:t>
      </w:r>
      <w:r w:rsidRPr="00B967B5">
        <w:rPr>
          <w:rFonts w:cs="Calibri"/>
          <w:b/>
          <w:bCs/>
        </w:rPr>
        <w:t>evenue</w:t>
      </w:r>
    </w:p>
    <w:p w14:paraId="06E6576A" w14:textId="77777777" w:rsidR="001222CC" w:rsidRPr="00215912" w:rsidRDefault="001222CC" w:rsidP="00215912">
      <w:pPr>
        <w:spacing w:after="0" w:line="278" w:lineRule="auto"/>
        <w:ind w:left="720"/>
        <w:rPr>
          <w:rFonts w:cs="Calibri"/>
        </w:rPr>
      </w:pPr>
      <w:r w:rsidRPr="00215912">
        <w:rPr>
          <w:rFonts w:cs="Calibri"/>
        </w:rPr>
        <w:t>Co-finance wireless charging hubs across Canadian highways and cities, generating $150 million - $250 million annually.</w:t>
      </w:r>
    </w:p>
    <w:p w14:paraId="4DB42A3D" w14:textId="6780D69E" w:rsidR="001222CC" w:rsidRPr="00B967B5" w:rsidRDefault="001222CC" w:rsidP="004369DD">
      <w:pPr>
        <w:pStyle w:val="ListParagraph"/>
        <w:numPr>
          <w:ilvl w:val="0"/>
          <w:numId w:val="6"/>
        </w:numPr>
        <w:spacing w:after="0" w:line="278" w:lineRule="auto"/>
        <w:rPr>
          <w:rFonts w:cs="Calibri"/>
        </w:rPr>
      </w:pPr>
      <w:r w:rsidRPr="00B967B5">
        <w:rPr>
          <w:rFonts w:cs="Calibri"/>
          <w:b/>
          <w:bCs/>
        </w:rPr>
        <w:t xml:space="preserve">New </w:t>
      </w:r>
      <w:r w:rsidR="001B5588">
        <w:rPr>
          <w:rFonts w:cs="Calibri"/>
          <w:b/>
          <w:bCs/>
        </w:rPr>
        <w:t>f</w:t>
      </w:r>
      <w:r w:rsidRPr="00B967B5">
        <w:rPr>
          <w:rFonts w:cs="Calibri"/>
          <w:b/>
          <w:bCs/>
        </w:rPr>
        <w:t xml:space="preserve">inancial </w:t>
      </w:r>
      <w:r w:rsidR="001B5588">
        <w:rPr>
          <w:rFonts w:cs="Calibri"/>
          <w:b/>
          <w:bCs/>
        </w:rPr>
        <w:t>p</w:t>
      </w:r>
      <w:r w:rsidRPr="00B967B5">
        <w:rPr>
          <w:rFonts w:cs="Calibri"/>
          <w:b/>
          <w:bCs/>
        </w:rPr>
        <w:t>roducts</w:t>
      </w:r>
    </w:p>
    <w:p w14:paraId="13C550DC" w14:textId="3C97C6BC" w:rsidR="001222CC" w:rsidRPr="00215912" w:rsidRDefault="001222CC" w:rsidP="00F46F49">
      <w:pPr>
        <w:spacing w:after="0" w:line="278" w:lineRule="auto"/>
        <w:ind w:left="720"/>
        <w:rPr>
          <w:rFonts w:cs="Calibri"/>
        </w:rPr>
      </w:pPr>
      <w:r w:rsidRPr="00215912">
        <w:rPr>
          <w:rFonts w:cs="Calibri"/>
        </w:rPr>
        <w:t xml:space="preserve">Offer specialized EV financing products tied to WiTricity’s wireless charging solutions that </w:t>
      </w:r>
      <w:r w:rsidR="003D3ED8" w:rsidRPr="00215912">
        <w:rPr>
          <w:rFonts w:cs="Calibri"/>
        </w:rPr>
        <w:t>contribute</w:t>
      </w:r>
      <w:r w:rsidRPr="00215912">
        <w:rPr>
          <w:rFonts w:cs="Calibri"/>
        </w:rPr>
        <w:t xml:space="preserve"> an additional $100 million annually.</w:t>
      </w:r>
    </w:p>
    <w:p w14:paraId="13BBD494" w14:textId="1CED7D73" w:rsidR="001222CC" w:rsidRPr="00B967B5" w:rsidRDefault="001222CC" w:rsidP="00033070">
      <w:pPr>
        <w:pStyle w:val="Heading3"/>
        <w:spacing w:after="0"/>
        <w:rPr>
          <w:rFonts w:cs="Calibri"/>
        </w:rPr>
      </w:pPr>
      <w:bookmarkStart w:id="11" w:name="_Toc178363734"/>
      <w:r w:rsidRPr="00B967B5">
        <w:rPr>
          <w:rFonts w:cs="Calibri"/>
        </w:rPr>
        <w:t xml:space="preserve">Step 6: Profit and ROI </w:t>
      </w:r>
      <w:r w:rsidR="005E6642">
        <w:rPr>
          <w:rFonts w:cs="Calibri"/>
        </w:rPr>
        <w:t>m</w:t>
      </w:r>
      <w:r w:rsidRPr="00B967B5">
        <w:rPr>
          <w:rFonts w:cs="Calibri"/>
        </w:rPr>
        <w:t>onitoring</w:t>
      </w:r>
      <w:bookmarkEnd w:id="11"/>
    </w:p>
    <w:p w14:paraId="27D6DE46" w14:textId="77777777" w:rsidR="001222CC" w:rsidRPr="00B967B5" w:rsidRDefault="001222CC" w:rsidP="0031394E">
      <w:pPr>
        <w:spacing w:after="0" w:line="278" w:lineRule="auto"/>
        <w:rPr>
          <w:rFonts w:cs="Calibri"/>
        </w:rPr>
      </w:pPr>
      <w:r w:rsidRPr="00B967B5">
        <w:rPr>
          <w:rFonts w:cs="Calibri"/>
          <w:b/>
          <w:bCs/>
        </w:rPr>
        <w:t>Timeline</w:t>
      </w:r>
      <w:r w:rsidRPr="00B967B5">
        <w:rPr>
          <w:rFonts w:cs="Calibri"/>
        </w:rPr>
        <w:t>: Ongoing (5-10 years)</w:t>
      </w:r>
    </w:p>
    <w:p w14:paraId="7919F938" w14:textId="77777777" w:rsidR="001222CC" w:rsidRPr="00B967B5" w:rsidRDefault="001222CC" w:rsidP="0031394E">
      <w:pPr>
        <w:spacing w:after="0" w:line="278" w:lineRule="auto"/>
        <w:rPr>
          <w:rFonts w:cs="Calibri"/>
        </w:rPr>
      </w:pPr>
      <w:r w:rsidRPr="00B967B5">
        <w:rPr>
          <w:rFonts w:cs="Calibri"/>
          <w:b/>
          <w:bCs/>
        </w:rPr>
        <w:t>Actions</w:t>
      </w:r>
    </w:p>
    <w:p w14:paraId="747AD8B8" w14:textId="43BEC464" w:rsidR="001222CC" w:rsidRPr="00B967B5" w:rsidRDefault="001222CC" w:rsidP="004369DD">
      <w:pPr>
        <w:pStyle w:val="ListParagraph"/>
        <w:numPr>
          <w:ilvl w:val="0"/>
          <w:numId w:val="7"/>
        </w:numPr>
        <w:spacing w:after="0" w:line="278" w:lineRule="auto"/>
        <w:rPr>
          <w:rFonts w:cs="Calibri"/>
        </w:rPr>
      </w:pPr>
      <w:r w:rsidRPr="00B967B5">
        <w:rPr>
          <w:rFonts w:cs="Calibri"/>
          <w:b/>
          <w:bCs/>
        </w:rPr>
        <w:t xml:space="preserve">Monitor </w:t>
      </w:r>
      <w:r w:rsidR="001B5588">
        <w:rPr>
          <w:rFonts w:cs="Calibri"/>
          <w:b/>
          <w:bCs/>
        </w:rPr>
        <w:t>f</w:t>
      </w:r>
      <w:r w:rsidRPr="00B967B5">
        <w:rPr>
          <w:rFonts w:cs="Calibri"/>
          <w:b/>
          <w:bCs/>
        </w:rPr>
        <w:t xml:space="preserve">inancial </w:t>
      </w:r>
      <w:r w:rsidR="001B5588">
        <w:rPr>
          <w:rFonts w:cs="Calibri"/>
          <w:b/>
          <w:bCs/>
        </w:rPr>
        <w:t>r</w:t>
      </w:r>
      <w:r w:rsidRPr="00B967B5">
        <w:rPr>
          <w:rFonts w:cs="Calibri"/>
          <w:b/>
          <w:bCs/>
        </w:rPr>
        <w:t>eturns</w:t>
      </w:r>
    </w:p>
    <w:p w14:paraId="27D902F5" w14:textId="77777777" w:rsidR="001222CC" w:rsidRPr="00F46F49" w:rsidRDefault="001222CC" w:rsidP="00F46F49">
      <w:pPr>
        <w:spacing w:after="0" w:line="278" w:lineRule="auto"/>
        <w:ind w:left="720"/>
        <w:rPr>
          <w:rFonts w:cs="Calibri"/>
        </w:rPr>
      </w:pPr>
      <w:r w:rsidRPr="00F46F49">
        <w:rPr>
          <w:rFonts w:cs="Calibri"/>
        </w:rPr>
        <w:t>WiTricity is projected to generate $500 million - $700 million in annual profits for TD Bank by 2030, if the company captures 10-15% of the EV market.</w:t>
      </w:r>
    </w:p>
    <w:p w14:paraId="4B532B13" w14:textId="5B94EC97" w:rsidR="001222CC" w:rsidRPr="00B967B5" w:rsidRDefault="001222CC" w:rsidP="004369DD">
      <w:pPr>
        <w:pStyle w:val="ListParagraph"/>
        <w:numPr>
          <w:ilvl w:val="0"/>
          <w:numId w:val="7"/>
        </w:numPr>
        <w:spacing w:after="0" w:line="278" w:lineRule="auto"/>
        <w:rPr>
          <w:rFonts w:cs="Calibri"/>
        </w:rPr>
      </w:pPr>
      <w:r w:rsidRPr="00B967B5">
        <w:rPr>
          <w:rFonts w:cs="Calibri"/>
          <w:b/>
          <w:bCs/>
        </w:rPr>
        <w:t xml:space="preserve">Exit </w:t>
      </w:r>
      <w:r w:rsidR="001B5588">
        <w:rPr>
          <w:rFonts w:cs="Calibri"/>
          <w:b/>
          <w:bCs/>
        </w:rPr>
        <w:t>s</w:t>
      </w:r>
      <w:r w:rsidRPr="00B967B5">
        <w:rPr>
          <w:rFonts w:cs="Calibri"/>
          <w:b/>
          <w:bCs/>
        </w:rPr>
        <w:t>trategy</w:t>
      </w:r>
    </w:p>
    <w:p w14:paraId="50A848F9" w14:textId="77777777" w:rsidR="001222CC" w:rsidRPr="00F46F49" w:rsidRDefault="001222CC" w:rsidP="00F46F49">
      <w:pPr>
        <w:spacing w:after="0" w:line="278" w:lineRule="auto"/>
        <w:ind w:left="720"/>
        <w:rPr>
          <w:rFonts w:cs="Calibri"/>
        </w:rPr>
      </w:pPr>
      <w:r w:rsidRPr="00F46F49">
        <w:rPr>
          <w:rFonts w:cs="Calibri"/>
        </w:rPr>
        <w:t>TD Bank can evaluate exit strategies (IPO or sale), potentially valuing WiTricity at $5 billion - $10 billion and yielding TD Bank $500 million - $1 billion in profit.</w:t>
      </w:r>
    </w:p>
    <w:p w14:paraId="630466D3" w14:textId="08C23F66" w:rsidR="001222CC" w:rsidRPr="00B967B5" w:rsidRDefault="001222CC" w:rsidP="00033070">
      <w:pPr>
        <w:pStyle w:val="Heading3"/>
        <w:spacing w:after="0"/>
        <w:rPr>
          <w:rFonts w:cs="Calibri"/>
        </w:rPr>
      </w:pPr>
      <w:bookmarkStart w:id="12" w:name="_Toc178363735"/>
      <w:r w:rsidRPr="00B967B5">
        <w:rPr>
          <w:rFonts w:cs="Calibri"/>
        </w:rPr>
        <w:t xml:space="preserve">Step 7: Ongoing </w:t>
      </w:r>
      <w:r w:rsidR="005E6642">
        <w:rPr>
          <w:rFonts w:cs="Calibri"/>
        </w:rPr>
        <w:t>s</w:t>
      </w:r>
      <w:r w:rsidRPr="00B967B5">
        <w:rPr>
          <w:rFonts w:cs="Calibri"/>
        </w:rPr>
        <w:t xml:space="preserve">upport and </w:t>
      </w:r>
      <w:r w:rsidR="005E6642">
        <w:rPr>
          <w:rFonts w:cs="Calibri"/>
        </w:rPr>
        <w:t>e</w:t>
      </w:r>
      <w:r w:rsidRPr="00B967B5">
        <w:rPr>
          <w:rFonts w:cs="Calibri"/>
        </w:rPr>
        <w:t>xpansion</w:t>
      </w:r>
      <w:bookmarkEnd w:id="12"/>
    </w:p>
    <w:p w14:paraId="3AE99BD9" w14:textId="77777777" w:rsidR="001222CC" w:rsidRPr="00B967B5" w:rsidRDefault="001222CC" w:rsidP="0031394E">
      <w:pPr>
        <w:spacing w:after="0" w:line="278" w:lineRule="auto"/>
        <w:rPr>
          <w:rFonts w:cs="Calibri"/>
        </w:rPr>
      </w:pPr>
      <w:r w:rsidRPr="00B967B5">
        <w:rPr>
          <w:rFonts w:cs="Calibri"/>
          <w:b/>
          <w:bCs/>
        </w:rPr>
        <w:t>Timeline</w:t>
      </w:r>
      <w:r w:rsidRPr="00B967B5">
        <w:rPr>
          <w:rFonts w:cs="Calibri"/>
        </w:rPr>
        <w:t>: Ongoing</w:t>
      </w:r>
    </w:p>
    <w:p w14:paraId="2F0C9C97" w14:textId="77777777" w:rsidR="001222CC" w:rsidRPr="00B967B5" w:rsidRDefault="001222CC" w:rsidP="0031394E">
      <w:pPr>
        <w:spacing w:after="0" w:line="278" w:lineRule="auto"/>
        <w:rPr>
          <w:rFonts w:cs="Calibri"/>
        </w:rPr>
      </w:pPr>
      <w:r w:rsidRPr="00B967B5">
        <w:rPr>
          <w:rFonts w:cs="Calibri"/>
          <w:b/>
          <w:bCs/>
        </w:rPr>
        <w:t>Actions</w:t>
      </w:r>
    </w:p>
    <w:p w14:paraId="11E00EA5" w14:textId="2C04DD2B" w:rsidR="001222CC" w:rsidRPr="00B967B5" w:rsidRDefault="001222CC" w:rsidP="004369DD">
      <w:pPr>
        <w:pStyle w:val="ListParagraph"/>
        <w:numPr>
          <w:ilvl w:val="0"/>
          <w:numId w:val="8"/>
        </w:numPr>
        <w:spacing w:after="0" w:line="278" w:lineRule="auto"/>
        <w:rPr>
          <w:rFonts w:cs="Calibri"/>
        </w:rPr>
      </w:pPr>
      <w:r w:rsidRPr="00B967B5">
        <w:rPr>
          <w:rFonts w:cs="Calibri"/>
          <w:b/>
          <w:bCs/>
        </w:rPr>
        <w:t xml:space="preserve">Financial </w:t>
      </w:r>
      <w:r w:rsidR="001B5588">
        <w:rPr>
          <w:rFonts w:cs="Calibri"/>
          <w:b/>
          <w:bCs/>
        </w:rPr>
        <w:t>s</w:t>
      </w:r>
      <w:r w:rsidRPr="00B967B5">
        <w:rPr>
          <w:rFonts w:cs="Calibri"/>
          <w:b/>
          <w:bCs/>
        </w:rPr>
        <w:t>ervices</w:t>
      </w:r>
    </w:p>
    <w:p w14:paraId="5B9E95D9" w14:textId="77777777" w:rsidR="001222CC" w:rsidRPr="00F46F49" w:rsidRDefault="001222CC" w:rsidP="00F46F49">
      <w:pPr>
        <w:spacing w:after="0" w:line="278" w:lineRule="auto"/>
        <w:ind w:firstLine="720"/>
        <w:rPr>
          <w:rFonts w:cs="Calibri"/>
        </w:rPr>
      </w:pPr>
      <w:r w:rsidRPr="00F46F49">
        <w:rPr>
          <w:rFonts w:cs="Calibri"/>
        </w:rPr>
        <w:t>Continue supporting WiTricity through loans for infrastructure expansion and project financing.</w:t>
      </w:r>
    </w:p>
    <w:p w14:paraId="6DE791BA" w14:textId="58D2BDD0" w:rsidR="001222CC" w:rsidRPr="00B967B5" w:rsidRDefault="001222CC" w:rsidP="004369DD">
      <w:pPr>
        <w:pStyle w:val="ListParagraph"/>
        <w:numPr>
          <w:ilvl w:val="0"/>
          <w:numId w:val="8"/>
        </w:numPr>
        <w:spacing w:after="0" w:line="278" w:lineRule="auto"/>
        <w:rPr>
          <w:rFonts w:cs="Calibri"/>
        </w:rPr>
      </w:pPr>
      <w:r w:rsidRPr="00B967B5">
        <w:rPr>
          <w:rFonts w:cs="Calibri"/>
          <w:b/>
          <w:bCs/>
        </w:rPr>
        <w:t xml:space="preserve">Future </w:t>
      </w:r>
      <w:r w:rsidR="001B5588">
        <w:rPr>
          <w:rFonts w:cs="Calibri"/>
          <w:b/>
          <w:bCs/>
        </w:rPr>
        <w:t>a</w:t>
      </w:r>
      <w:r w:rsidR="003779CC" w:rsidRPr="00B967B5">
        <w:rPr>
          <w:rFonts w:cs="Calibri"/>
          <w:b/>
          <w:bCs/>
        </w:rPr>
        <w:t>cquisition</w:t>
      </w:r>
    </w:p>
    <w:p w14:paraId="67CE7BFD" w14:textId="77777777" w:rsidR="001222CC" w:rsidRPr="00F46F49" w:rsidRDefault="001222CC" w:rsidP="00F46F49">
      <w:pPr>
        <w:spacing w:after="0" w:line="278" w:lineRule="auto"/>
        <w:ind w:left="720"/>
        <w:rPr>
          <w:rFonts w:cs="Calibri"/>
        </w:rPr>
      </w:pPr>
      <w:r w:rsidRPr="00F46F49">
        <w:rPr>
          <w:rFonts w:cs="Calibri"/>
        </w:rPr>
        <w:t>Participate in future funding rounds to increase TD Bank’s stake and further WiTricity’s business ventures into other industries such as consumer electronics.</w:t>
      </w:r>
    </w:p>
    <w:p w14:paraId="777776A4" w14:textId="3AC5B5A5" w:rsidR="001222CC" w:rsidRPr="00B967B5" w:rsidRDefault="001222CC" w:rsidP="00033070">
      <w:pPr>
        <w:pStyle w:val="Heading3"/>
        <w:spacing w:after="0"/>
        <w:rPr>
          <w:rFonts w:cs="Calibri"/>
        </w:rPr>
      </w:pPr>
      <w:bookmarkStart w:id="13" w:name="_Toc178363736"/>
      <w:r w:rsidRPr="00B967B5">
        <w:rPr>
          <w:rFonts w:cs="Calibri"/>
        </w:rPr>
        <w:t xml:space="preserve">Summary of </w:t>
      </w:r>
      <w:r w:rsidR="005E6642">
        <w:rPr>
          <w:rFonts w:cs="Calibri"/>
        </w:rPr>
        <w:t>e</w:t>
      </w:r>
      <w:r w:rsidRPr="00B967B5">
        <w:rPr>
          <w:rFonts w:cs="Calibri"/>
        </w:rPr>
        <w:t xml:space="preserve">xpected </w:t>
      </w:r>
      <w:r w:rsidR="005E6642">
        <w:rPr>
          <w:rFonts w:cs="Calibri"/>
        </w:rPr>
        <w:t>p</w:t>
      </w:r>
      <w:r w:rsidRPr="00B967B5">
        <w:rPr>
          <w:rFonts w:cs="Calibri"/>
        </w:rPr>
        <w:t>rofitability</w:t>
      </w:r>
      <w:bookmarkEnd w:id="13"/>
    </w:p>
    <w:p w14:paraId="3D0F7AB3" w14:textId="5B279C73" w:rsidR="001222CC" w:rsidRPr="00B967B5" w:rsidRDefault="001222CC" w:rsidP="0031394E">
      <w:pPr>
        <w:spacing w:after="0" w:line="278" w:lineRule="auto"/>
        <w:rPr>
          <w:rFonts w:cs="Calibri"/>
        </w:rPr>
      </w:pPr>
      <w:r w:rsidRPr="00B967B5">
        <w:rPr>
          <w:rFonts w:cs="Calibri"/>
          <w:b/>
          <w:bCs/>
        </w:rPr>
        <w:t xml:space="preserve">Initial </w:t>
      </w:r>
      <w:r w:rsidR="001B5588">
        <w:rPr>
          <w:rFonts w:cs="Calibri"/>
          <w:b/>
          <w:bCs/>
        </w:rPr>
        <w:t>i</w:t>
      </w:r>
      <w:r w:rsidRPr="00B967B5">
        <w:rPr>
          <w:rFonts w:cs="Calibri"/>
          <w:b/>
          <w:bCs/>
        </w:rPr>
        <w:t>nvestment</w:t>
      </w:r>
      <w:r w:rsidRPr="00B967B5">
        <w:rPr>
          <w:rFonts w:cs="Calibri"/>
        </w:rPr>
        <w:t>: $300 million - $500 million over 2-3 years.</w:t>
      </w:r>
    </w:p>
    <w:p w14:paraId="15E2E817" w14:textId="1FA6A562" w:rsidR="001222CC" w:rsidRPr="00B967B5" w:rsidRDefault="001222CC" w:rsidP="0031394E">
      <w:pPr>
        <w:spacing w:after="0" w:line="278" w:lineRule="auto"/>
        <w:rPr>
          <w:rFonts w:cs="Calibri"/>
        </w:rPr>
      </w:pPr>
      <w:r w:rsidRPr="00B967B5">
        <w:rPr>
          <w:rFonts w:cs="Calibri"/>
          <w:b/>
          <w:bCs/>
        </w:rPr>
        <w:t xml:space="preserve">Revenue </w:t>
      </w:r>
      <w:r w:rsidR="001B5588">
        <w:rPr>
          <w:rFonts w:cs="Calibri"/>
          <w:b/>
          <w:bCs/>
        </w:rPr>
        <w:t>p</w:t>
      </w:r>
      <w:r w:rsidRPr="00B967B5">
        <w:rPr>
          <w:rFonts w:cs="Calibri"/>
          <w:b/>
          <w:bCs/>
        </w:rPr>
        <w:t>otential</w:t>
      </w:r>
    </w:p>
    <w:p w14:paraId="3CEE83A3" w14:textId="77777777" w:rsidR="001222CC" w:rsidRPr="00F46F49" w:rsidRDefault="001222CC" w:rsidP="00F46F49">
      <w:pPr>
        <w:spacing w:after="0" w:line="278" w:lineRule="auto"/>
        <w:rPr>
          <w:rFonts w:cs="Calibri"/>
        </w:rPr>
      </w:pPr>
      <w:r w:rsidRPr="00F46F49">
        <w:rPr>
          <w:rFonts w:cs="Calibri"/>
        </w:rPr>
        <w:t>WiTricity’s annual revenues are projected to reach $1.5 billion - $3 billion by 2030.</w:t>
      </w:r>
    </w:p>
    <w:p w14:paraId="253CD06B" w14:textId="762ADD00" w:rsidR="001222CC" w:rsidRPr="00F46F49" w:rsidRDefault="001222CC" w:rsidP="00F46F49">
      <w:pPr>
        <w:spacing w:after="0" w:line="278" w:lineRule="auto"/>
        <w:rPr>
          <w:rFonts w:cs="Calibri"/>
        </w:rPr>
      </w:pPr>
      <w:r w:rsidRPr="00F46F49">
        <w:rPr>
          <w:rFonts w:cs="Calibri"/>
        </w:rPr>
        <w:t>TD Bank could earn $500 million - $700 million annually from licensing, infrastructure revenue and new financial products tied to WiTricity’s expansion.</w:t>
      </w:r>
    </w:p>
    <w:p w14:paraId="654958B0" w14:textId="0584E517" w:rsidR="0031394E" w:rsidRPr="00B967B5" w:rsidRDefault="001222CC" w:rsidP="0031394E">
      <w:pPr>
        <w:spacing w:after="0" w:line="278" w:lineRule="auto"/>
        <w:rPr>
          <w:rFonts w:cs="Calibri"/>
        </w:rPr>
      </w:pPr>
      <w:r w:rsidRPr="00B967B5">
        <w:rPr>
          <w:rFonts w:cs="Calibri"/>
          <w:b/>
          <w:bCs/>
        </w:rPr>
        <w:t xml:space="preserve">Return on </w:t>
      </w:r>
      <w:r w:rsidR="001B5588">
        <w:rPr>
          <w:rFonts w:cs="Calibri"/>
          <w:b/>
          <w:bCs/>
        </w:rPr>
        <w:t>i</w:t>
      </w:r>
      <w:r w:rsidRPr="00B967B5">
        <w:rPr>
          <w:rFonts w:cs="Calibri"/>
          <w:b/>
          <w:bCs/>
        </w:rPr>
        <w:t>nvestment (ROI)</w:t>
      </w:r>
      <w:r w:rsidRPr="00B967B5">
        <w:rPr>
          <w:rFonts w:cs="Calibri"/>
        </w:rPr>
        <w:t xml:space="preserve"> </w:t>
      </w:r>
    </w:p>
    <w:p w14:paraId="2914684C" w14:textId="1E635F3D" w:rsidR="001222CC" w:rsidRPr="00F46F49" w:rsidRDefault="001222CC" w:rsidP="00F46F49">
      <w:pPr>
        <w:spacing w:after="0" w:line="278" w:lineRule="auto"/>
        <w:rPr>
          <w:rFonts w:cs="Calibri"/>
        </w:rPr>
      </w:pPr>
      <w:r w:rsidRPr="00F46F49">
        <w:rPr>
          <w:rFonts w:cs="Calibri"/>
        </w:rPr>
        <w:lastRenderedPageBreak/>
        <w:t>TD Bank could achieve 2x to 5x returns over 5-10 years, translating to $500 million - $1 billion in profit through its stake, revenue-sharing and potential exit.</w:t>
      </w:r>
    </w:p>
    <w:p w14:paraId="73217CF8" w14:textId="0F84A251" w:rsidR="001222CC" w:rsidRPr="00B967B5" w:rsidRDefault="001222CC" w:rsidP="001222CC">
      <w:pPr>
        <w:spacing w:after="0"/>
        <w:rPr>
          <w:rFonts w:cs="Calibri"/>
        </w:rPr>
      </w:pPr>
      <w:r w:rsidRPr="00B967B5">
        <w:rPr>
          <w:rFonts w:cs="Calibri"/>
        </w:rPr>
        <w:t>This updated plan aligns with the detailed projections from the Word file, positioning TD Bank to lead the EV infrastructure market while generating significant long-term profits.</w:t>
      </w:r>
    </w:p>
    <w:p w14:paraId="58869804" w14:textId="081BFA25" w:rsidR="00850076" w:rsidRPr="00B967B5" w:rsidRDefault="00850076" w:rsidP="006378C0">
      <w:pPr>
        <w:pStyle w:val="Heading1"/>
      </w:pPr>
      <w:bookmarkStart w:id="14" w:name="_Toc178363737"/>
      <w:r w:rsidRPr="00B967B5">
        <w:t>Reasons why TD Bank is investing in WiTricity</w:t>
      </w:r>
      <w:bookmarkEnd w:id="14"/>
    </w:p>
    <w:p w14:paraId="3E82B628" w14:textId="77777777" w:rsidR="00850076" w:rsidRPr="00850076" w:rsidRDefault="00850076" w:rsidP="00850076">
      <w:pPr>
        <w:spacing w:after="0" w:line="276" w:lineRule="auto"/>
        <w:rPr>
          <w:rFonts w:cs="Calibri"/>
        </w:rPr>
      </w:pPr>
      <w:r w:rsidRPr="00850076">
        <w:rPr>
          <w:rFonts w:cs="Calibri"/>
          <w:b/>
          <w:bCs/>
        </w:rPr>
        <w:t>Emerging market potential:</w:t>
      </w:r>
      <w:r w:rsidRPr="00850076">
        <w:rPr>
          <w:rFonts w:cs="Calibri"/>
        </w:rPr>
        <w:t xml:space="preserve"> The electric vehicle market in North America is expected to grow rapidly with wireless charging becoming a critical part of vehicle infrastructure.</w:t>
      </w:r>
    </w:p>
    <w:p w14:paraId="3792FB2B" w14:textId="77777777" w:rsidR="00850076" w:rsidRPr="00850076" w:rsidRDefault="00850076" w:rsidP="00850076">
      <w:pPr>
        <w:spacing w:after="0" w:line="276" w:lineRule="auto"/>
        <w:rPr>
          <w:rFonts w:cs="Calibri"/>
        </w:rPr>
      </w:pPr>
      <w:r w:rsidRPr="00850076">
        <w:rPr>
          <w:rFonts w:cs="Calibri"/>
          <w:b/>
          <w:bCs/>
        </w:rPr>
        <w:t>Focus on sustainability:</w:t>
      </w:r>
      <w:r w:rsidRPr="00850076">
        <w:rPr>
          <w:rFonts w:cs="Calibri"/>
        </w:rPr>
        <w:t xml:space="preserve"> TD Bank's investment aligns </w:t>
      </w:r>
      <w:r w:rsidRPr="005E2A73">
        <w:rPr>
          <w:rFonts w:cs="Calibri"/>
        </w:rPr>
        <w:t>with its environmental, social and governance (ESG) objectives and reinforces</w:t>
      </w:r>
      <w:r w:rsidRPr="00850076">
        <w:rPr>
          <w:rFonts w:cs="Calibri"/>
        </w:rPr>
        <w:t xml:space="preserve"> its commitment to sustainable energy solutions. </w:t>
      </w:r>
    </w:p>
    <w:p w14:paraId="1CBA63E9" w14:textId="77777777" w:rsidR="00850076" w:rsidRPr="00850076" w:rsidRDefault="00850076" w:rsidP="00850076">
      <w:pPr>
        <w:spacing w:after="0" w:line="276" w:lineRule="auto"/>
        <w:rPr>
          <w:rFonts w:cs="Calibri"/>
        </w:rPr>
      </w:pPr>
      <w:r w:rsidRPr="00850076">
        <w:rPr>
          <w:rFonts w:cs="Calibri"/>
          <w:b/>
          <w:bCs/>
        </w:rPr>
        <w:t>Long-term benefits:</w:t>
      </w:r>
      <w:r w:rsidRPr="00850076">
        <w:rPr>
          <w:rFonts w:cs="Calibri"/>
        </w:rPr>
        <w:t xml:space="preserve"> Although the initial investments may be substantial, the long-term financial benefits can be significant as the benefits are expected to reach around $500 million to $700 million annually by 2030.</w:t>
      </w:r>
    </w:p>
    <w:p w14:paraId="35979978" w14:textId="012052ED" w:rsidR="00850076" w:rsidRPr="00B967B5" w:rsidRDefault="00850076" w:rsidP="00033070">
      <w:pPr>
        <w:pStyle w:val="Heading3"/>
        <w:spacing w:after="0"/>
        <w:rPr>
          <w:rFonts w:cs="Calibri"/>
        </w:rPr>
      </w:pPr>
      <w:bookmarkStart w:id="15" w:name="_Toc178363738"/>
      <w:r w:rsidRPr="00B967B5">
        <w:rPr>
          <w:rFonts w:cs="Calibri"/>
        </w:rPr>
        <w:t xml:space="preserve">Key </w:t>
      </w:r>
      <w:r w:rsidR="005E6642">
        <w:rPr>
          <w:rFonts w:cs="Calibri"/>
        </w:rPr>
        <w:t>f</w:t>
      </w:r>
      <w:r w:rsidRPr="00B967B5">
        <w:rPr>
          <w:rFonts w:cs="Calibri"/>
        </w:rPr>
        <w:t xml:space="preserve">inancial </w:t>
      </w:r>
      <w:r w:rsidR="005E6642">
        <w:rPr>
          <w:rFonts w:cs="Calibri"/>
        </w:rPr>
        <w:t>f</w:t>
      </w:r>
      <w:r w:rsidRPr="00B967B5">
        <w:rPr>
          <w:rFonts w:cs="Calibri"/>
        </w:rPr>
        <w:t xml:space="preserve">actors for TD Bank’s </w:t>
      </w:r>
      <w:r w:rsidR="005E6642">
        <w:rPr>
          <w:rFonts w:cs="Calibri"/>
        </w:rPr>
        <w:t>i</w:t>
      </w:r>
      <w:r w:rsidRPr="00B967B5">
        <w:rPr>
          <w:rFonts w:cs="Calibri"/>
        </w:rPr>
        <w:t>nvestment in WiTricity</w:t>
      </w:r>
      <w:bookmarkEnd w:id="15"/>
    </w:p>
    <w:p w14:paraId="13E75070" w14:textId="58342EE7" w:rsidR="00850076" w:rsidRPr="00850076" w:rsidRDefault="00850076" w:rsidP="00850076">
      <w:pPr>
        <w:spacing w:after="0" w:line="276" w:lineRule="auto"/>
        <w:rPr>
          <w:rFonts w:cs="Calibri"/>
        </w:rPr>
      </w:pPr>
      <w:r w:rsidRPr="00850076">
        <w:rPr>
          <w:rFonts w:cs="Calibri"/>
          <w:b/>
          <w:bCs/>
        </w:rPr>
        <w:t xml:space="preserve">Strategic </w:t>
      </w:r>
      <w:r w:rsidR="001B5588">
        <w:rPr>
          <w:rFonts w:cs="Calibri"/>
          <w:b/>
          <w:bCs/>
        </w:rPr>
        <w:t>m</w:t>
      </w:r>
      <w:r w:rsidRPr="00850076">
        <w:rPr>
          <w:rFonts w:cs="Calibri"/>
          <w:b/>
          <w:bCs/>
        </w:rPr>
        <w:t xml:space="preserve">arket </w:t>
      </w:r>
      <w:r w:rsidR="001B5588">
        <w:rPr>
          <w:rFonts w:cs="Calibri"/>
          <w:b/>
          <w:bCs/>
        </w:rPr>
        <w:t>p</w:t>
      </w:r>
      <w:r w:rsidRPr="00850076">
        <w:rPr>
          <w:rFonts w:cs="Calibri"/>
          <w:b/>
          <w:bCs/>
        </w:rPr>
        <w:t>ositioning:</w:t>
      </w:r>
      <w:r w:rsidRPr="00850076">
        <w:rPr>
          <w:rFonts w:cs="Calibri"/>
        </w:rPr>
        <w:t xml:space="preserve"> The North American electric vehicle market is expected to grow at a CAGR of 16.1% from 2023 to 2030, driven by government support, consumer demand for electric vehicles, and advances in charging technologies. TD Bank's investment in WiTricity will position it at the forefront of this growth, capitalizing on the growing demand for wireless charging infrastructure.</w:t>
      </w:r>
    </w:p>
    <w:p w14:paraId="2C0582E0" w14:textId="21702C99" w:rsidR="00850076" w:rsidRPr="00850076" w:rsidRDefault="00850076" w:rsidP="00850076">
      <w:pPr>
        <w:spacing w:after="0" w:line="276" w:lineRule="auto"/>
        <w:rPr>
          <w:rFonts w:cs="Calibri"/>
        </w:rPr>
      </w:pPr>
      <w:r w:rsidRPr="00850076">
        <w:rPr>
          <w:rFonts w:cs="Calibri"/>
          <w:b/>
          <w:bCs/>
        </w:rPr>
        <w:t xml:space="preserve">Revenue </w:t>
      </w:r>
      <w:r w:rsidR="001B5588">
        <w:rPr>
          <w:rFonts w:cs="Calibri"/>
          <w:b/>
          <w:bCs/>
        </w:rPr>
        <w:t>g</w:t>
      </w:r>
      <w:r w:rsidRPr="00850076">
        <w:rPr>
          <w:rFonts w:cs="Calibri"/>
          <w:b/>
          <w:bCs/>
        </w:rPr>
        <w:t>eneration:</w:t>
      </w:r>
      <w:r w:rsidRPr="00850076">
        <w:rPr>
          <w:rFonts w:cs="Calibri"/>
        </w:rPr>
        <w:t xml:space="preserve"> TD Bank may generate revenue from various sources, such as equity interests in WiTricity, project financing and consulting services related to the deployment of wireless charging networks. By supporting WiTricity's growth in North America, TD Bank will benefit from the booming market for electric vehicle infrastructure investments, especially as automakers such as Ford and GM are advancing their lineup of electric vehicles.</w:t>
      </w:r>
    </w:p>
    <w:p w14:paraId="6A7A88F7" w14:textId="27D3CA58" w:rsidR="00850076" w:rsidRPr="00850076" w:rsidRDefault="00850076" w:rsidP="00850076">
      <w:pPr>
        <w:spacing w:after="0" w:line="276" w:lineRule="auto"/>
        <w:rPr>
          <w:rFonts w:cs="Calibri"/>
        </w:rPr>
      </w:pPr>
      <w:r w:rsidRPr="00850076">
        <w:rPr>
          <w:rFonts w:cs="Calibri"/>
          <w:b/>
          <w:bCs/>
        </w:rPr>
        <w:t xml:space="preserve">Sustainability </w:t>
      </w:r>
      <w:r w:rsidR="001B5588">
        <w:rPr>
          <w:rFonts w:cs="Calibri"/>
          <w:b/>
          <w:bCs/>
        </w:rPr>
        <w:t>a</w:t>
      </w:r>
      <w:r w:rsidRPr="00850076">
        <w:rPr>
          <w:rFonts w:cs="Calibri"/>
          <w:b/>
          <w:bCs/>
        </w:rPr>
        <w:t>lignment</w:t>
      </w:r>
      <w:r w:rsidRPr="00850076">
        <w:rPr>
          <w:rFonts w:cs="Calibri"/>
        </w:rPr>
        <w:t xml:space="preserve">: </w:t>
      </w:r>
      <w:r w:rsidRPr="005E2A73">
        <w:rPr>
          <w:rFonts w:cs="Calibri"/>
        </w:rPr>
        <w:t>The investment in WiTricity supports TD Bank's green initiatives and sustainability goals, which will attract environmentally conscious investors and customers.</w:t>
      </w:r>
    </w:p>
    <w:p w14:paraId="79E55168" w14:textId="77777777" w:rsidR="00850076" w:rsidRPr="00850076" w:rsidRDefault="00850076" w:rsidP="00850076">
      <w:pPr>
        <w:spacing w:after="0" w:line="276" w:lineRule="auto"/>
        <w:rPr>
          <w:rFonts w:cs="Calibri"/>
        </w:rPr>
      </w:pPr>
      <w:r w:rsidRPr="00850076">
        <w:rPr>
          <w:rFonts w:cs="Calibri"/>
        </w:rPr>
        <w:t>Financial Forecast Between 2023-2030</w:t>
      </w:r>
    </w:p>
    <w:p w14:paraId="1135BAFC" w14:textId="7E748539" w:rsidR="00C938CE" w:rsidRDefault="00850076" w:rsidP="00C938CE">
      <w:pPr>
        <w:spacing w:after="0" w:line="276" w:lineRule="auto"/>
        <w:rPr>
          <w:rFonts w:cs="Calibri"/>
          <w:b/>
          <w:bCs/>
        </w:rPr>
      </w:pPr>
      <w:r w:rsidRPr="00850076">
        <w:rPr>
          <w:rFonts w:cs="Calibri"/>
          <w:b/>
          <w:bCs/>
        </w:rPr>
        <w:t xml:space="preserve">Initial </w:t>
      </w:r>
      <w:r w:rsidR="001B5588">
        <w:rPr>
          <w:rFonts w:cs="Calibri"/>
          <w:b/>
          <w:bCs/>
        </w:rPr>
        <w:t>c</w:t>
      </w:r>
      <w:r w:rsidRPr="00850076">
        <w:rPr>
          <w:rFonts w:cs="Calibri"/>
          <w:b/>
          <w:bCs/>
        </w:rPr>
        <w:t>osts</w:t>
      </w:r>
    </w:p>
    <w:p w14:paraId="2098513C" w14:textId="27B63DA2" w:rsidR="00850076" w:rsidRPr="00C938CE" w:rsidRDefault="00850076" w:rsidP="004369DD">
      <w:pPr>
        <w:pStyle w:val="ListParagraph"/>
        <w:numPr>
          <w:ilvl w:val="0"/>
          <w:numId w:val="11"/>
        </w:numPr>
        <w:spacing w:after="0" w:line="276" w:lineRule="auto"/>
        <w:rPr>
          <w:rFonts w:cs="Calibri"/>
          <w:b/>
          <w:bCs/>
        </w:rPr>
      </w:pPr>
      <w:r w:rsidRPr="00C938CE">
        <w:rPr>
          <w:rFonts w:cs="Calibri"/>
          <w:b/>
          <w:bCs/>
        </w:rPr>
        <w:t xml:space="preserve">Capital </w:t>
      </w:r>
      <w:r w:rsidR="001B5588">
        <w:rPr>
          <w:rFonts w:cs="Calibri"/>
          <w:b/>
          <w:bCs/>
        </w:rPr>
        <w:t>i</w:t>
      </w:r>
      <w:r w:rsidRPr="00C938CE">
        <w:rPr>
          <w:rFonts w:cs="Calibri"/>
          <w:b/>
          <w:bCs/>
        </w:rPr>
        <w:t>nvestments:</w:t>
      </w:r>
      <w:r w:rsidRPr="00C938CE">
        <w:rPr>
          <w:rFonts w:cs="Calibri"/>
        </w:rPr>
        <w:t xml:space="preserve"> TD Bank may initially need to invest approximately $300-500 million in WiTricity for a significant stake, covering expansion, research and infrastructure development efforts in North America.</w:t>
      </w:r>
    </w:p>
    <w:p w14:paraId="0E712791" w14:textId="3341597B" w:rsidR="00850076" w:rsidRPr="00C938CE" w:rsidRDefault="00850076" w:rsidP="004369DD">
      <w:pPr>
        <w:pStyle w:val="ListParagraph"/>
        <w:numPr>
          <w:ilvl w:val="0"/>
          <w:numId w:val="11"/>
        </w:numPr>
        <w:spacing w:after="0" w:line="276" w:lineRule="auto"/>
        <w:rPr>
          <w:rFonts w:cs="Calibri"/>
        </w:rPr>
      </w:pPr>
      <w:r w:rsidRPr="00C938CE">
        <w:rPr>
          <w:rFonts w:cs="Calibri"/>
          <w:b/>
          <w:bCs/>
        </w:rPr>
        <w:t xml:space="preserve">Project </w:t>
      </w:r>
      <w:r w:rsidR="001B5588">
        <w:rPr>
          <w:rFonts w:cs="Calibri"/>
          <w:b/>
          <w:bCs/>
        </w:rPr>
        <w:t>f</w:t>
      </w:r>
      <w:r w:rsidRPr="00C938CE">
        <w:rPr>
          <w:rFonts w:cs="Calibri"/>
          <w:b/>
          <w:bCs/>
        </w:rPr>
        <w:t>unding:</w:t>
      </w:r>
      <w:r w:rsidRPr="00C938CE">
        <w:rPr>
          <w:rFonts w:cs="Calibri"/>
        </w:rPr>
        <w:t xml:space="preserve"> TD may commit an additional $500 to $1 billion to assist with wireless charging infrastructure projects in the United States and Canada.</w:t>
      </w:r>
    </w:p>
    <w:p w14:paraId="2607A511" w14:textId="3F1AB729" w:rsidR="00850076" w:rsidRPr="00850076" w:rsidRDefault="00850076" w:rsidP="00850076">
      <w:pPr>
        <w:spacing w:after="0" w:line="276" w:lineRule="auto"/>
        <w:rPr>
          <w:rFonts w:cs="Calibri"/>
          <w:b/>
          <w:bCs/>
        </w:rPr>
      </w:pPr>
      <w:r w:rsidRPr="00850076">
        <w:rPr>
          <w:rFonts w:cs="Calibri"/>
          <w:b/>
          <w:bCs/>
        </w:rPr>
        <w:t>Projected income</w:t>
      </w:r>
    </w:p>
    <w:p w14:paraId="0E544A48" w14:textId="7DA515AF" w:rsidR="00850076" w:rsidRPr="00C938CE" w:rsidRDefault="00850076" w:rsidP="004369DD">
      <w:pPr>
        <w:pStyle w:val="ListParagraph"/>
        <w:numPr>
          <w:ilvl w:val="0"/>
          <w:numId w:val="12"/>
        </w:numPr>
        <w:spacing w:after="0" w:line="276" w:lineRule="auto"/>
        <w:rPr>
          <w:rFonts w:cs="Calibri"/>
        </w:rPr>
      </w:pPr>
      <w:r w:rsidRPr="00C938CE">
        <w:rPr>
          <w:rFonts w:cs="Calibri"/>
          <w:b/>
          <w:bCs/>
        </w:rPr>
        <w:t xml:space="preserve">Capital </w:t>
      </w:r>
      <w:r w:rsidR="001B5588">
        <w:rPr>
          <w:rFonts w:cs="Calibri"/>
          <w:b/>
          <w:bCs/>
        </w:rPr>
        <w:t>i</w:t>
      </w:r>
      <w:r w:rsidRPr="00C938CE">
        <w:rPr>
          <w:rFonts w:cs="Calibri"/>
          <w:b/>
          <w:bCs/>
        </w:rPr>
        <w:t>ncome:</w:t>
      </w:r>
      <w:r w:rsidRPr="00C938CE">
        <w:rPr>
          <w:rFonts w:cs="Calibri"/>
        </w:rPr>
        <w:t xml:space="preserve"> WiTricity's market share is seen to grow as the adoption of electric vehicles increases. TD Bank shares could generate income of up to 20% annually for reaching a projected income of $1 billion by 2030.</w:t>
      </w:r>
    </w:p>
    <w:p w14:paraId="52B25C1C" w14:textId="77777777" w:rsidR="00850076" w:rsidRPr="00C938CE" w:rsidRDefault="00850076" w:rsidP="004369DD">
      <w:pPr>
        <w:pStyle w:val="ListParagraph"/>
        <w:numPr>
          <w:ilvl w:val="0"/>
          <w:numId w:val="12"/>
        </w:numPr>
        <w:spacing w:after="0" w:line="276" w:lineRule="auto"/>
        <w:rPr>
          <w:rFonts w:cs="Calibri"/>
        </w:rPr>
      </w:pPr>
      <w:r w:rsidRPr="00C938CE">
        <w:rPr>
          <w:rFonts w:cs="Calibri"/>
          <w:b/>
          <w:bCs/>
        </w:rPr>
        <w:t>Lending and financing income:</w:t>
      </w:r>
      <w:r w:rsidRPr="00C938CE">
        <w:rPr>
          <w:rFonts w:cs="Calibri"/>
        </w:rPr>
        <w:t xml:space="preserve"> By financing wireless charging station projects TD Bank can generate additional interest income of $300 million to $500 million annually.</w:t>
      </w:r>
    </w:p>
    <w:p w14:paraId="1F84819B" w14:textId="0DD2B5C3" w:rsidR="00850076" w:rsidRPr="00850076" w:rsidRDefault="00850076" w:rsidP="00850076">
      <w:pPr>
        <w:spacing w:after="0" w:line="276" w:lineRule="auto"/>
        <w:rPr>
          <w:rFonts w:cs="Calibri"/>
          <w:b/>
          <w:bCs/>
        </w:rPr>
      </w:pPr>
      <w:r w:rsidRPr="00850076">
        <w:rPr>
          <w:rFonts w:cs="Calibri"/>
          <w:b/>
          <w:bCs/>
        </w:rPr>
        <w:t>Expenses</w:t>
      </w:r>
    </w:p>
    <w:p w14:paraId="396CCC35" w14:textId="77777777" w:rsidR="00850076" w:rsidRPr="00C938CE" w:rsidRDefault="00850076" w:rsidP="004369DD">
      <w:pPr>
        <w:pStyle w:val="ListParagraph"/>
        <w:numPr>
          <w:ilvl w:val="0"/>
          <w:numId w:val="13"/>
        </w:numPr>
        <w:spacing w:after="0" w:line="276" w:lineRule="auto"/>
        <w:rPr>
          <w:rFonts w:cs="Calibri"/>
        </w:rPr>
      </w:pPr>
      <w:r w:rsidRPr="00C938CE">
        <w:rPr>
          <w:rFonts w:cs="Calibri"/>
          <w:b/>
          <w:bCs/>
        </w:rPr>
        <w:lastRenderedPageBreak/>
        <w:t>Provision for credit losses (PCL):</w:t>
      </w:r>
      <w:r w:rsidRPr="00C938CE">
        <w:rPr>
          <w:rFonts w:cs="Calibri"/>
        </w:rPr>
        <w:t xml:space="preserve"> Since electric vehicle technologies are new and constantly evolving TD Bank must prepare for potential credit losses especially during the early stages of the investment. French estimate PCL can vary from $ 50 million to $ 100 million annually depending on market volatility.</w:t>
      </w:r>
    </w:p>
    <w:p w14:paraId="1DE2F03D" w14:textId="77777777" w:rsidR="00850076" w:rsidRPr="00C938CE" w:rsidRDefault="00850076" w:rsidP="004369DD">
      <w:pPr>
        <w:pStyle w:val="ListParagraph"/>
        <w:numPr>
          <w:ilvl w:val="0"/>
          <w:numId w:val="13"/>
        </w:numPr>
        <w:spacing w:after="0" w:line="276" w:lineRule="auto"/>
        <w:rPr>
          <w:rFonts w:cs="Calibri"/>
        </w:rPr>
      </w:pPr>
      <w:r w:rsidRPr="00C938CE">
        <w:rPr>
          <w:rFonts w:cs="Calibri"/>
          <w:b/>
          <w:bCs/>
        </w:rPr>
        <w:t>Non-interest expenses:</w:t>
      </w:r>
      <w:r w:rsidRPr="00C938CE">
        <w:rPr>
          <w:rFonts w:cs="Calibri"/>
        </w:rPr>
        <w:t xml:space="preserve"> The operational costs of managing green investments, meeting environmental standards and supporting WiTricity's business expansion could result in $100 million yearly in non-interest expenses.</w:t>
      </w:r>
    </w:p>
    <w:p w14:paraId="2627059D" w14:textId="6793A8F8" w:rsidR="00850076" w:rsidRPr="00850076" w:rsidRDefault="00850076" w:rsidP="00850076">
      <w:pPr>
        <w:spacing w:after="0" w:line="276" w:lineRule="auto"/>
        <w:rPr>
          <w:rFonts w:cs="Calibri"/>
          <w:b/>
          <w:bCs/>
        </w:rPr>
      </w:pPr>
      <w:r w:rsidRPr="00850076">
        <w:rPr>
          <w:rFonts w:cs="Calibri"/>
          <w:b/>
          <w:bCs/>
        </w:rPr>
        <w:t>Profitability</w:t>
      </w:r>
    </w:p>
    <w:p w14:paraId="420F2D61" w14:textId="351A7471" w:rsidR="00850076" w:rsidRPr="00C938CE" w:rsidRDefault="00850076" w:rsidP="004369DD">
      <w:pPr>
        <w:pStyle w:val="ListParagraph"/>
        <w:numPr>
          <w:ilvl w:val="0"/>
          <w:numId w:val="14"/>
        </w:numPr>
        <w:spacing w:after="0" w:line="276" w:lineRule="auto"/>
        <w:rPr>
          <w:rFonts w:cs="Calibri"/>
        </w:rPr>
      </w:pPr>
      <w:r w:rsidRPr="00C938CE">
        <w:rPr>
          <w:rFonts w:cs="Calibri"/>
          <w:b/>
          <w:bCs/>
        </w:rPr>
        <w:t xml:space="preserve">Net </w:t>
      </w:r>
      <w:r w:rsidR="001B5588">
        <w:rPr>
          <w:rFonts w:cs="Calibri"/>
          <w:b/>
          <w:bCs/>
        </w:rPr>
        <w:t>i</w:t>
      </w:r>
      <w:r w:rsidRPr="00C938CE">
        <w:rPr>
          <w:rFonts w:cs="Calibri"/>
          <w:b/>
          <w:bCs/>
        </w:rPr>
        <w:t xml:space="preserve">nterest </w:t>
      </w:r>
      <w:r w:rsidR="001B5588">
        <w:rPr>
          <w:rFonts w:cs="Calibri"/>
          <w:b/>
          <w:bCs/>
        </w:rPr>
        <w:t>i</w:t>
      </w:r>
      <w:r w:rsidRPr="00C938CE">
        <w:rPr>
          <w:rFonts w:cs="Calibri"/>
          <w:b/>
          <w:bCs/>
        </w:rPr>
        <w:t>ncome:</w:t>
      </w:r>
      <w:r w:rsidRPr="00C938CE">
        <w:rPr>
          <w:rFonts w:cs="Calibri"/>
        </w:rPr>
        <w:t xml:space="preserve"> TD Bank could see its net interest margin increase as financing for electric vehicle infrastructure increases. The loans are expected to support wireless charging and it could grow from $100 million to $300 million annually.</w:t>
      </w:r>
    </w:p>
    <w:p w14:paraId="5B4CB7CE" w14:textId="77777777" w:rsidR="00850076" w:rsidRPr="00C938CE" w:rsidRDefault="00850076" w:rsidP="004369DD">
      <w:pPr>
        <w:pStyle w:val="ListParagraph"/>
        <w:numPr>
          <w:ilvl w:val="0"/>
          <w:numId w:val="14"/>
        </w:numPr>
        <w:spacing w:after="0" w:line="276" w:lineRule="auto"/>
        <w:rPr>
          <w:rFonts w:cs="Calibri"/>
        </w:rPr>
      </w:pPr>
      <w:r w:rsidRPr="00C938CE">
        <w:rPr>
          <w:rFonts w:cs="Calibri"/>
          <w:b/>
          <w:bCs/>
        </w:rPr>
        <w:t>Income without interest:</w:t>
      </w:r>
      <w:r w:rsidRPr="00C938CE">
        <w:rPr>
          <w:rFonts w:cs="Calibri"/>
        </w:rPr>
        <w:t xml:space="preserve"> Beyond traditional loans TD Bank can benefit from fees related to advisory services, underwriting green bonds and collaboration in sustainability projects. This can bring between 50 and 200 million dollars a year.</w:t>
      </w:r>
    </w:p>
    <w:p w14:paraId="29344450" w14:textId="77777777" w:rsidR="00850076" w:rsidRPr="00C938CE" w:rsidRDefault="00850076" w:rsidP="004369DD">
      <w:pPr>
        <w:pStyle w:val="ListParagraph"/>
        <w:numPr>
          <w:ilvl w:val="0"/>
          <w:numId w:val="14"/>
        </w:numPr>
        <w:spacing w:after="0" w:line="276" w:lineRule="auto"/>
        <w:rPr>
          <w:rFonts w:cs="Calibri"/>
        </w:rPr>
      </w:pPr>
      <w:r w:rsidRPr="00C938CE">
        <w:rPr>
          <w:rFonts w:cs="Calibri"/>
          <w:b/>
          <w:bCs/>
        </w:rPr>
        <w:t>Net profit:</w:t>
      </w:r>
      <w:r w:rsidRPr="00C938CE">
        <w:rPr>
          <w:rFonts w:cs="Calibri"/>
        </w:rPr>
        <w:t xml:space="preserve"> By 2027 WiTricity is expected to continue its expansion and the growth of the electric vehicle market. TD Bank could expect a net profit of $500 million to $700 million annually from this electric vehicle business by 2030.</w:t>
      </w:r>
    </w:p>
    <w:p w14:paraId="552D68CF" w14:textId="26C6159A" w:rsidR="00850076" w:rsidRPr="00850076" w:rsidRDefault="00850076" w:rsidP="00850076">
      <w:pPr>
        <w:spacing w:after="0" w:line="276" w:lineRule="auto"/>
        <w:rPr>
          <w:rFonts w:cs="Calibri"/>
          <w:b/>
          <w:bCs/>
        </w:rPr>
      </w:pPr>
      <w:r w:rsidRPr="00850076">
        <w:rPr>
          <w:rFonts w:cs="Calibri"/>
          <w:b/>
          <w:bCs/>
        </w:rPr>
        <w:t>Interest rates</w:t>
      </w:r>
    </w:p>
    <w:p w14:paraId="4A1AAC6F" w14:textId="77777777" w:rsidR="00850076" w:rsidRPr="00850076" w:rsidRDefault="00850076" w:rsidP="00850076">
      <w:pPr>
        <w:spacing w:after="0" w:line="276" w:lineRule="auto"/>
        <w:rPr>
          <w:rFonts w:cs="Calibri"/>
        </w:rPr>
      </w:pPr>
      <w:r w:rsidRPr="00850076">
        <w:rPr>
          <w:rFonts w:cs="Calibri"/>
        </w:rPr>
        <w:t>TD Bank can expect to finance these projects at competitive rates, assuming interest rates remain in a manageable 3-5% range typically for infrastructure projects large-scale and low-risk green.</w:t>
      </w:r>
    </w:p>
    <w:p w14:paraId="7C55F2FD" w14:textId="77777777" w:rsidR="00850076" w:rsidRPr="00850076" w:rsidRDefault="00850076" w:rsidP="00850076">
      <w:pPr>
        <w:spacing w:after="0" w:line="276" w:lineRule="auto"/>
        <w:rPr>
          <w:rFonts w:cs="Calibri"/>
        </w:rPr>
      </w:pPr>
    </w:p>
    <w:tbl>
      <w:tblPr>
        <w:tblStyle w:val="TableGrid"/>
        <w:tblW w:w="9209" w:type="dxa"/>
        <w:tblLook w:val="04A0" w:firstRow="1" w:lastRow="0" w:firstColumn="1" w:lastColumn="0" w:noHBand="0" w:noVBand="1"/>
      </w:tblPr>
      <w:tblGrid>
        <w:gridCol w:w="1168"/>
        <w:gridCol w:w="1379"/>
        <w:gridCol w:w="1134"/>
        <w:gridCol w:w="1276"/>
        <w:gridCol w:w="1275"/>
        <w:gridCol w:w="1276"/>
        <w:gridCol w:w="1701"/>
      </w:tblGrid>
      <w:tr w:rsidR="00C43B93" w:rsidRPr="00850076" w14:paraId="21D76B32" w14:textId="77777777" w:rsidTr="00C43B93">
        <w:tc>
          <w:tcPr>
            <w:tcW w:w="1168" w:type="dxa"/>
            <w:tcBorders>
              <w:top w:val="single" w:sz="4" w:space="0" w:color="auto"/>
              <w:left w:val="single" w:sz="4" w:space="0" w:color="auto"/>
              <w:bottom w:val="single" w:sz="4" w:space="0" w:color="auto"/>
              <w:right w:val="single" w:sz="4" w:space="0" w:color="auto"/>
            </w:tcBorders>
            <w:vAlign w:val="center"/>
            <w:hideMark/>
          </w:tcPr>
          <w:p w14:paraId="0857DDDB" w14:textId="77777777" w:rsidR="00C43B93" w:rsidRPr="00850076" w:rsidRDefault="00C43B93" w:rsidP="00265F2A">
            <w:pPr>
              <w:spacing w:line="276" w:lineRule="auto"/>
              <w:jc w:val="center"/>
              <w:rPr>
                <w:rFonts w:cs="Calibri"/>
              </w:rPr>
            </w:pPr>
            <w:r w:rsidRPr="00850076">
              <w:rPr>
                <w:rFonts w:cs="Calibri"/>
                <w:b/>
                <w:bCs/>
              </w:rPr>
              <w:t>Year</w:t>
            </w:r>
          </w:p>
        </w:tc>
        <w:tc>
          <w:tcPr>
            <w:tcW w:w="1379" w:type="dxa"/>
            <w:tcBorders>
              <w:top w:val="single" w:sz="4" w:space="0" w:color="auto"/>
              <w:left w:val="single" w:sz="4" w:space="0" w:color="auto"/>
              <w:bottom w:val="single" w:sz="4" w:space="0" w:color="auto"/>
              <w:right w:val="single" w:sz="4" w:space="0" w:color="auto"/>
            </w:tcBorders>
            <w:vAlign w:val="center"/>
            <w:hideMark/>
          </w:tcPr>
          <w:p w14:paraId="2DE6DD79" w14:textId="77777777" w:rsidR="00C43B93" w:rsidRPr="00850076" w:rsidRDefault="00C43B93" w:rsidP="00265F2A">
            <w:pPr>
              <w:spacing w:line="276" w:lineRule="auto"/>
              <w:jc w:val="center"/>
              <w:rPr>
                <w:rFonts w:cs="Calibri"/>
              </w:rPr>
            </w:pPr>
            <w:r w:rsidRPr="00850076">
              <w:rPr>
                <w:rFonts w:cs="Calibri"/>
                <w:b/>
                <w:bCs/>
              </w:rPr>
              <w:t>Revenue from WiTricity (In Million)</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CCB264E" w14:textId="77777777" w:rsidR="00C43B93" w:rsidRPr="00850076" w:rsidRDefault="00C43B93" w:rsidP="00265F2A">
            <w:pPr>
              <w:spacing w:line="276" w:lineRule="auto"/>
              <w:jc w:val="center"/>
              <w:rPr>
                <w:rFonts w:cs="Calibri"/>
              </w:rPr>
            </w:pPr>
            <w:r w:rsidRPr="00850076">
              <w:rPr>
                <w:rFonts w:cs="Calibri"/>
                <w:b/>
                <w:bCs/>
              </w:rPr>
              <w:t>Initial Costs (In Million)</w:t>
            </w:r>
          </w:p>
        </w:tc>
        <w:tc>
          <w:tcPr>
            <w:tcW w:w="1276" w:type="dxa"/>
            <w:tcBorders>
              <w:top w:val="single" w:sz="4" w:space="0" w:color="auto"/>
              <w:left w:val="single" w:sz="4" w:space="0" w:color="auto"/>
              <w:bottom w:val="single" w:sz="4" w:space="0" w:color="auto"/>
              <w:right w:val="single" w:sz="4" w:space="0" w:color="auto"/>
            </w:tcBorders>
            <w:vAlign w:val="center"/>
            <w:hideMark/>
          </w:tcPr>
          <w:p w14:paraId="68892C6A" w14:textId="77777777" w:rsidR="00C43B93" w:rsidRPr="00850076" w:rsidRDefault="00C43B93" w:rsidP="00265F2A">
            <w:pPr>
              <w:spacing w:line="276" w:lineRule="auto"/>
              <w:jc w:val="center"/>
              <w:rPr>
                <w:rFonts w:cs="Calibri"/>
              </w:rPr>
            </w:pPr>
            <w:r w:rsidRPr="00850076">
              <w:rPr>
                <w:rFonts w:cs="Calibri"/>
                <w:b/>
                <w:bCs/>
              </w:rPr>
              <w:t>PCL (IN Million)</w:t>
            </w:r>
          </w:p>
        </w:tc>
        <w:tc>
          <w:tcPr>
            <w:tcW w:w="1275" w:type="dxa"/>
            <w:tcBorders>
              <w:top w:val="single" w:sz="4" w:space="0" w:color="auto"/>
              <w:left w:val="single" w:sz="4" w:space="0" w:color="auto"/>
              <w:bottom w:val="single" w:sz="4" w:space="0" w:color="auto"/>
              <w:right w:val="single" w:sz="4" w:space="0" w:color="auto"/>
            </w:tcBorders>
            <w:vAlign w:val="center"/>
            <w:hideMark/>
          </w:tcPr>
          <w:p w14:paraId="69B5710E" w14:textId="77777777" w:rsidR="00C43B93" w:rsidRPr="00850076" w:rsidRDefault="00C43B93" w:rsidP="00265F2A">
            <w:pPr>
              <w:spacing w:line="276" w:lineRule="auto"/>
              <w:jc w:val="center"/>
              <w:rPr>
                <w:rFonts w:cs="Calibri"/>
              </w:rPr>
            </w:pPr>
            <w:r w:rsidRPr="00850076">
              <w:rPr>
                <w:rFonts w:cs="Calibri"/>
                <w:b/>
                <w:bCs/>
              </w:rPr>
              <w:t>Net Profit (In Million)</w:t>
            </w:r>
          </w:p>
        </w:tc>
        <w:tc>
          <w:tcPr>
            <w:tcW w:w="1276" w:type="dxa"/>
            <w:tcBorders>
              <w:top w:val="single" w:sz="4" w:space="0" w:color="auto"/>
              <w:left w:val="single" w:sz="4" w:space="0" w:color="auto"/>
              <w:bottom w:val="single" w:sz="4" w:space="0" w:color="auto"/>
              <w:right w:val="single" w:sz="4" w:space="0" w:color="auto"/>
            </w:tcBorders>
            <w:vAlign w:val="center"/>
            <w:hideMark/>
          </w:tcPr>
          <w:p w14:paraId="70BF2623" w14:textId="77777777" w:rsidR="00C43B93" w:rsidRPr="00850076" w:rsidRDefault="00C43B93" w:rsidP="00265F2A">
            <w:pPr>
              <w:spacing w:line="276" w:lineRule="auto"/>
              <w:jc w:val="center"/>
              <w:rPr>
                <w:rFonts w:cs="Calibri"/>
              </w:rPr>
            </w:pPr>
            <w:r w:rsidRPr="00850076">
              <w:rPr>
                <w:rFonts w:cs="Calibri"/>
                <w:b/>
                <w:bCs/>
              </w:rPr>
              <w:t>Net Interest Income (In Million)</w:t>
            </w:r>
          </w:p>
        </w:tc>
        <w:tc>
          <w:tcPr>
            <w:tcW w:w="1701" w:type="dxa"/>
            <w:tcBorders>
              <w:top w:val="single" w:sz="4" w:space="0" w:color="auto"/>
              <w:left w:val="single" w:sz="4" w:space="0" w:color="auto"/>
              <w:bottom w:val="single" w:sz="4" w:space="0" w:color="auto"/>
              <w:right w:val="single" w:sz="4" w:space="0" w:color="auto"/>
            </w:tcBorders>
            <w:vAlign w:val="center"/>
            <w:hideMark/>
          </w:tcPr>
          <w:p w14:paraId="7026F6D0" w14:textId="77777777" w:rsidR="00C43B93" w:rsidRPr="00850076" w:rsidRDefault="00C43B93" w:rsidP="00265F2A">
            <w:pPr>
              <w:spacing w:line="276" w:lineRule="auto"/>
              <w:jc w:val="center"/>
              <w:rPr>
                <w:rFonts w:cs="Calibri"/>
              </w:rPr>
            </w:pPr>
            <w:r w:rsidRPr="00850076">
              <w:rPr>
                <w:rFonts w:cs="Calibri"/>
                <w:b/>
                <w:bCs/>
              </w:rPr>
              <w:t>Non-Interest Income (In Million)</w:t>
            </w:r>
          </w:p>
        </w:tc>
      </w:tr>
      <w:tr w:rsidR="00C43B93" w:rsidRPr="00850076" w14:paraId="02A6DD16" w14:textId="77777777" w:rsidTr="00C43B93">
        <w:tc>
          <w:tcPr>
            <w:tcW w:w="1168" w:type="dxa"/>
            <w:tcBorders>
              <w:top w:val="single" w:sz="4" w:space="0" w:color="auto"/>
              <w:left w:val="single" w:sz="4" w:space="0" w:color="auto"/>
              <w:bottom w:val="single" w:sz="4" w:space="0" w:color="auto"/>
              <w:right w:val="single" w:sz="4" w:space="0" w:color="auto"/>
            </w:tcBorders>
            <w:vAlign w:val="center"/>
            <w:hideMark/>
          </w:tcPr>
          <w:p w14:paraId="60382AB7" w14:textId="77777777" w:rsidR="00C43B93" w:rsidRPr="00850076" w:rsidRDefault="00C43B93" w:rsidP="007D2E17">
            <w:pPr>
              <w:spacing w:line="276" w:lineRule="auto"/>
              <w:jc w:val="center"/>
              <w:rPr>
                <w:rFonts w:cs="Calibri"/>
              </w:rPr>
            </w:pPr>
            <w:r w:rsidRPr="00850076">
              <w:rPr>
                <w:rFonts w:cs="Calibri"/>
              </w:rPr>
              <w:t>2023</w:t>
            </w:r>
          </w:p>
        </w:tc>
        <w:tc>
          <w:tcPr>
            <w:tcW w:w="1379" w:type="dxa"/>
            <w:tcBorders>
              <w:top w:val="single" w:sz="4" w:space="0" w:color="auto"/>
              <w:left w:val="single" w:sz="4" w:space="0" w:color="auto"/>
              <w:bottom w:val="single" w:sz="4" w:space="0" w:color="auto"/>
              <w:right w:val="single" w:sz="4" w:space="0" w:color="auto"/>
            </w:tcBorders>
            <w:vAlign w:val="center"/>
            <w:hideMark/>
          </w:tcPr>
          <w:p w14:paraId="65CB883E" w14:textId="77777777" w:rsidR="00C43B93" w:rsidRPr="00850076" w:rsidRDefault="00C43B93" w:rsidP="007D2E17">
            <w:pPr>
              <w:spacing w:line="276" w:lineRule="auto"/>
              <w:jc w:val="center"/>
              <w:rPr>
                <w:rFonts w:cs="Calibri"/>
              </w:rPr>
            </w:pPr>
            <w:r w:rsidRPr="00850076">
              <w:rPr>
                <w:rFonts w:cs="Calibri"/>
              </w:rPr>
              <w:t>134</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C36A397" w14:textId="77777777" w:rsidR="00C43B93" w:rsidRPr="00850076" w:rsidRDefault="00C43B93" w:rsidP="007D2E17">
            <w:pPr>
              <w:spacing w:line="276" w:lineRule="auto"/>
              <w:jc w:val="center"/>
              <w:rPr>
                <w:rFonts w:cs="Calibri"/>
              </w:rPr>
            </w:pPr>
            <w:r w:rsidRPr="00850076">
              <w:rPr>
                <w:rFonts w:cs="Calibri"/>
              </w:rPr>
              <w:t>1,072.00</w:t>
            </w:r>
          </w:p>
        </w:tc>
        <w:tc>
          <w:tcPr>
            <w:tcW w:w="1276" w:type="dxa"/>
            <w:tcBorders>
              <w:top w:val="single" w:sz="4" w:space="0" w:color="auto"/>
              <w:left w:val="single" w:sz="4" w:space="0" w:color="auto"/>
              <w:bottom w:val="single" w:sz="4" w:space="0" w:color="auto"/>
              <w:right w:val="single" w:sz="4" w:space="0" w:color="auto"/>
            </w:tcBorders>
            <w:vAlign w:val="center"/>
            <w:hideMark/>
          </w:tcPr>
          <w:p w14:paraId="672EB55D" w14:textId="77777777" w:rsidR="00C43B93" w:rsidRPr="00850076" w:rsidRDefault="00C43B93" w:rsidP="007D2E17">
            <w:pPr>
              <w:spacing w:line="276" w:lineRule="auto"/>
              <w:jc w:val="center"/>
              <w:rPr>
                <w:rFonts w:cs="Calibri"/>
              </w:rPr>
            </w:pPr>
            <w:r w:rsidRPr="00850076">
              <w:rPr>
                <w:rFonts w:cs="Calibri"/>
              </w:rPr>
              <w:t>67</w:t>
            </w:r>
          </w:p>
        </w:tc>
        <w:tc>
          <w:tcPr>
            <w:tcW w:w="1275" w:type="dxa"/>
            <w:tcBorders>
              <w:top w:val="single" w:sz="4" w:space="0" w:color="auto"/>
              <w:left w:val="single" w:sz="4" w:space="0" w:color="auto"/>
              <w:bottom w:val="single" w:sz="4" w:space="0" w:color="auto"/>
              <w:right w:val="single" w:sz="4" w:space="0" w:color="auto"/>
            </w:tcBorders>
            <w:vAlign w:val="center"/>
            <w:hideMark/>
          </w:tcPr>
          <w:p w14:paraId="7BF6C045" w14:textId="77777777" w:rsidR="00C43B93" w:rsidRPr="00850076" w:rsidRDefault="00C43B93" w:rsidP="007D2E17">
            <w:pPr>
              <w:spacing w:line="276" w:lineRule="auto"/>
              <w:jc w:val="center"/>
              <w:rPr>
                <w:rFonts w:cs="Calibri"/>
              </w:rPr>
            </w:pPr>
            <w:r w:rsidRPr="00850076">
              <w:rPr>
                <w:rFonts w:cs="Calibri"/>
              </w:rPr>
              <w:t>67</w:t>
            </w:r>
          </w:p>
        </w:tc>
        <w:tc>
          <w:tcPr>
            <w:tcW w:w="1276" w:type="dxa"/>
            <w:tcBorders>
              <w:top w:val="single" w:sz="4" w:space="0" w:color="auto"/>
              <w:left w:val="single" w:sz="4" w:space="0" w:color="auto"/>
              <w:bottom w:val="single" w:sz="4" w:space="0" w:color="auto"/>
              <w:right w:val="single" w:sz="4" w:space="0" w:color="auto"/>
            </w:tcBorders>
            <w:vAlign w:val="center"/>
            <w:hideMark/>
          </w:tcPr>
          <w:p w14:paraId="443B1E03" w14:textId="77777777" w:rsidR="00C43B93" w:rsidRPr="00850076" w:rsidRDefault="00C43B93" w:rsidP="007D2E17">
            <w:pPr>
              <w:spacing w:line="276" w:lineRule="auto"/>
              <w:jc w:val="center"/>
              <w:rPr>
                <w:rFonts w:cs="Calibri"/>
              </w:rPr>
            </w:pPr>
            <w:r w:rsidRPr="00850076">
              <w:rPr>
                <w:rFonts w:cs="Calibri"/>
              </w:rPr>
              <w:t>134</w:t>
            </w:r>
          </w:p>
        </w:tc>
        <w:tc>
          <w:tcPr>
            <w:tcW w:w="1701" w:type="dxa"/>
            <w:tcBorders>
              <w:top w:val="single" w:sz="4" w:space="0" w:color="auto"/>
              <w:left w:val="single" w:sz="4" w:space="0" w:color="auto"/>
              <w:bottom w:val="single" w:sz="4" w:space="0" w:color="auto"/>
              <w:right w:val="single" w:sz="4" w:space="0" w:color="auto"/>
            </w:tcBorders>
            <w:vAlign w:val="center"/>
            <w:hideMark/>
          </w:tcPr>
          <w:p w14:paraId="2AFB382D" w14:textId="77777777" w:rsidR="00C43B93" w:rsidRPr="00850076" w:rsidRDefault="00C43B93" w:rsidP="007D2E17">
            <w:pPr>
              <w:spacing w:line="276" w:lineRule="auto"/>
              <w:jc w:val="center"/>
              <w:rPr>
                <w:rFonts w:cs="Calibri"/>
              </w:rPr>
            </w:pPr>
            <w:r w:rsidRPr="00850076">
              <w:rPr>
                <w:rFonts w:cs="Calibri"/>
              </w:rPr>
              <w:t>67</w:t>
            </w:r>
          </w:p>
        </w:tc>
      </w:tr>
      <w:tr w:rsidR="00C43B93" w:rsidRPr="00850076" w14:paraId="1521C879" w14:textId="77777777" w:rsidTr="00C43B93">
        <w:tc>
          <w:tcPr>
            <w:tcW w:w="1168" w:type="dxa"/>
            <w:tcBorders>
              <w:top w:val="single" w:sz="4" w:space="0" w:color="auto"/>
              <w:left w:val="single" w:sz="4" w:space="0" w:color="auto"/>
              <w:bottom w:val="single" w:sz="4" w:space="0" w:color="auto"/>
              <w:right w:val="single" w:sz="4" w:space="0" w:color="auto"/>
            </w:tcBorders>
            <w:vAlign w:val="center"/>
            <w:hideMark/>
          </w:tcPr>
          <w:p w14:paraId="567C3416" w14:textId="77777777" w:rsidR="00C43B93" w:rsidRPr="00850076" w:rsidRDefault="00C43B93" w:rsidP="007D2E17">
            <w:pPr>
              <w:spacing w:line="276" w:lineRule="auto"/>
              <w:jc w:val="center"/>
              <w:rPr>
                <w:rFonts w:cs="Calibri"/>
              </w:rPr>
            </w:pPr>
            <w:r w:rsidRPr="00850076">
              <w:rPr>
                <w:rFonts w:cs="Calibri"/>
              </w:rPr>
              <w:t>2024</w:t>
            </w:r>
          </w:p>
        </w:tc>
        <w:tc>
          <w:tcPr>
            <w:tcW w:w="1379" w:type="dxa"/>
            <w:tcBorders>
              <w:top w:val="single" w:sz="4" w:space="0" w:color="auto"/>
              <w:left w:val="single" w:sz="4" w:space="0" w:color="auto"/>
              <w:bottom w:val="single" w:sz="4" w:space="0" w:color="auto"/>
              <w:right w:val="single" w:sz="4" w:space="0" w:color="auto"/>
            </w:tcBorders>
            <w:vAlign w:val="center"/>
            <w:hideMark/>
          </w:tcPr>
          <w:p w14:paraId="75E71871" w14:textId="77777777" w:rsidR="00C43B93" w:rsidRPr="00850076" w:rsidRDefault="00C43B93" w:rsidP="007D2E17">
            <w:pPr>
              <w:spacing w:line="276" w:lineRule="auto"/>
              <w:jc w:val="center"/>
              <w:rPr>
                <w:rFonts w:cs="Calibri"/>
              </w:rPr>
            </w:pPr>
            <w:r w:rsidRPr="00850076">
              <w:rPr>
                <w:rFonts w:cs="Calibri"/>
              </w:rPr>
              <w:t>201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DA19FD6" w14:textId="77777777" w:rsidR="00C43B93" w:rsidRPr="00850076" w:rsidRDefault="00C43B93" w:rsidP="007D2E17">
            <w:pPr>
              <w:spacing w:line="276" w:lineRule="auto"/>
              <w:jc w:val="center"/>
              <w:rPr>
                <w:rFonts w:cs="Calibri"/>
              </w:rPr>
            </w:pPr>
            <w:r w:rsidRPr="00850076">
              <w:rPr>
                <w:rFonts w:cs="Calibri"/>
              </w:rPr>
              <w:t>1,072.00</w:t>
            </w:r>
          </w:p>
        </w:tc>
        <w:tc>
          <w:tcPr>
            <w:tcW w:w="1276" w:type="dxa"/>
            <w:tcBorders>
              <w:top w:val="single" w:sz="4" w:space="0" w:color="auto"/>
              <w:left w:val="single" w:sz="4" w:space="0" w:color="auto"/>
              <w:bottom w:val="single" w:sz="4" w:space="0" w:color="auto"/>
              <w:right w:val="single" w:sz="4" w:space="0" w:color="auto"/>
            </w:tcBorders>
            <w:vAlign w:val="center"/>
            <w:hideMark/>
          </w:tcPr>
          <w:p w14:paraId="7C7DA716" w14:textId="77777777" w:rsidR="00C43B93" w:rsidRPr="00850076" w:rsidRDefault="00C43B93" w:rsidP="007D2E17">
            <w:pPr>
              <w:spacing w:line="276" w:lineRule="auto"/>
              <w:jc w:val="center"/>
              <w:rPr>
                <w:rFonts w:cs="Calibri"/>
              </w:rPr>
            </w:pPr>
            <w:r w:rsidRPr="00850076">
              <w:rPr>
                <w:rFonts w:cs="Calibri"/>
              </w:rPr>
              <w:t>80.4</w:t>
            </w:r>
          </w:p>
        </w:tc>
        <w:tc>
          <w:tcPr>
            <w:tcW w:w="1275" w:type="dxa"/>
            <w:tcBorders>
              <w:top w:val="single" w:sz="4" w:space="0" w:color="auto"/>
              <w:left w:val="single" w:sz="4" w:space="0" w:color="auto"/>
              <w:bottom w:val="single" w:sz="4" w:space="0" w:color="auto"/>
              <w:right w:val="single" w:sz="4" w:space="0" w:color="auto"/>
            </w:tcBorders>
            <w:vAlign w:val="center"/>
            <w:hideMark/>
          </w:tcPr>
          <w:p w14:paraId="751043F1" w14:textId="77777777" w:rsidR="00C43B93" w:rsidRPr="00850076" w:rsidRDefault="00C43B93" w:rsidP="007D2E17">
            <w:pPr>
              <w:spacing w:line="276" w:lineRule="auto"/>
              <w:jc w:val="center"/>
              <w:rPr>
                <w:rFonts w:cs="Calibri"/>
              </w:rPr>
            </w:pPr>
            <w:r w:rsidRPr="00850076">
              <w:rPr>
                <w:rFonts w:cs="Calibri"/>
              </w:rPr>
              <w:t>134</w:t>
            </w:r>
          </w:p>
        </w:tc>
        <w:tc>
          <w:tcPr>
            <w:tcW w:w="1276" w:type="dxa"/>
            <w:tcBorders>
              <w:top w:val="single" w:sz="4" w:space="0" w:color="auto"/>
              <w:left w:val="single" w:sz="4" w:space="0" w:color="auto"/>
              <w:bottom w:val="single" w:sz="4" w:space="0" w:color="auto"/>
              <w:right w:val="single" w:sz="4" w:space="0" w:color="auto"/>
            </w:tcBorders>
            <w:vAlign w:val="center"/>
            <w:hideMark/>
          </w:tcPr>
          <w:p w14:paraId="0C0B780E" w14:textId="77777777" w:rsidR="00C43B93" w:rsidRPr="00850076" w:rsidRDefault="00C43B93" w:rsidP="007D2E17">
            <w:pPr>
              <w:spacing w:line="276" w:lineRule="auto"/>
              <w:jc w:val="center"/>
              <w:rPr>
                <w:rFonts w:cs="Calibri"/>
              </w:rPr>
            </w:pPr>
            <w:r w:rsidRPr="00850076">
              <w:rPr>
                <w:rFonts w:cs="Calibri"/>
              </w:rPr>
              <w:t>201</w:t>
            </w:r>
          </w:p>
        </w:tc>
        <w:tc>
          <w:tcPr>
            <w:tcW w:w="1701" w:type="dxa"/>
            <w:tcBorders>
              <w:top w:val="single" w:sz="4" w:space="0" w:color="auto"/>
              <w:left w:val="single" w:sz="4" w:space="0" w:color="auto"/>
              <w:bottom w:val="single" w:sz="4" w:space="0" w:color="auto"/>
              <w:right w:val="single" w:sz="4" w:space="0" w:color="auto"/>
            </w:tcBorders>
            <w:vAlign w:val="center"/>
            <w:hideMark/>
          </w:tcPr>
          <w:p w14:paraId="2F095C2C" w14:textId="77777777" w:rsidR="00C43B93" w:rsidRPr="00850076" w:rsidRDefault="00C43B93" w:rsidP="007D2E17">
            <w:pPr>
              <w:spacing w:line="276" w:lineRule="auto"/>
              <w:jc w:val="center"/>
              <w:rPr>
                <w:rFonts w:cs="Calibri"/>
              </w:rPr>
            </w:pPr>
            <w:r w:rsidRPr="00850076">
              <w:rPr>
                <w:rFonts w:cs="Calibri"/>
              </w:rPr>
              <w:t>80.4</w:t>
            </w:r>
          </w:p>
        </w:tc>
      </w:tr>
      <w:tr w:rsidR="00C43B93" w:rsidRPr="00850076" w14:paraId="10FB4937" w14:textId="77777777" w:rsidTr="00C43B93">
        <w:tc>
          <w:tcPr>
            <w:tcW w:w="1168" w:type="dxa"/>
            <w:tcBorders>
              <w:top w:val="single" w:sz="4" w:space="0" w:color="auto"/>
              <w:left w:val="single" w:sz="4" w:space="0" w:color="auto"/>
              <w:bottom w:val="single" w:sz="4" w:space="0" w:color="auto"/>
              <w:right w:val="single" w:sz="4" w:space="0" w:color="auto"/>
            </w:tcBorders>
            <w:vAlign w:val="center"/>
            <w:hideMark/>
          </w:tcPr>
          <w:p w14:paraId="4C147E2F" w14:textId="77777777" w:rsidR="00C43B93" w:rsidRPr="00850076" w:rsidRDefault="00C43B93" w:rsidP="007D2E17">
            <w:pPr>
              <w:spacing w:line="276" w:lineRule="auto"/>
              <w:jc w:val="center"/>
              <w:rPr>
                <w:rFonts w:cs="Calibri"/>
              </w:rPr>
            </w:pPr>
            <w:r w:rsidRPr="00850076">
              <w:rPr>
                <w:rFonts w:cs="Calibri"/>
              </w:rPr>
              <w:t>2025</w:t>
            </w:r>
          </w:p>
        </w:tc>
        <w:tc>
          <w:tcPr>
            <w:tcW w:w="1379" w:type="dxa"/>
            <w:tcBorders>
              <w:top w:val="single" w:sz="4" w:space="0" w:color="auto"/>
              <w:left w:val="single" w:sz="4" w:space="0" w:color="auto"/>
              <w:bottom w:val="single" w:sz="4" w:space="0" w:color="auto"/>
              <w:right w:val="single" w:sz="4" w:space="0" w:color="auto"/>
            </w:tcBorders>
            <w:vAlign w:val="center"/>
            <w:hideMark/>
          </w:tcPr>
          <w:p w14:paraId="49399BB4" w14:textId="77777777" w:rsidR="00C43B93" w:rsidRPr="00850076" w:rsidRDefault="00C43B93" w:rsidP="007D2E17">
            <w:pPr>
              <w:spacing w:line="276" w:lineRule="auto"/>
              <w:jc w:val="center"/>
              <w:rPr>
                <w:rFonts w:cs="Calibri"/>
              </w:rPr>
            </w:pPr>
            <w:r w:rsidRPr="00850076">
              <w:rPr>
                <w:rFonts w:cs="Calibri"/>
              </w:rPr>
              <w:t>335</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2171EEF" w14:textId="77777777" w:rsidR="00C43B93" w:rsidRPr="00850076" w:rsidRDefault="00C43B93" w:rsidP="007D2E17">
            <w:pPr>
              <w:spacing w:line="276" w:lineRule="auto"/>
              <w:jc w:val="center"/>
              <w:rPr>
                <w:rFonts w:cs="Calibri"/>
              </w:rPr>
            </w:pPr>
            <w:r w:rsidRPr="00850076">
              <w:rPr>
                <w:rFonts w:cs="Calibri"/>
              </w:rPr>
              <w:t>670</w:t>
            </w:r>
          </w:p>
        </w:tc>
        <w:tc>
          <w:tcPr>
            <w:tcW w:w="1276" w:type="dxa"/>
            <w:tcBorders>
              <w:top w:val="single" w:sz="4" w:space="0" w:color="auto"/>
              <w:left w:val="single" w:sz="4" w:space="0" w:color="auto"/>
              <w:bottom w:val="single" w:sz="4" w:space="0" w:color="auto"/>
              <w:right w:val="single" w:sz="4" w:space="0" w:color="auto"/>
            </w:tcBorders>
            <w:vAlign w:val="center"/>
            <w:hideMark/>
          </w:tcPr>
          <w:p w14:paraId="0C0A88CD" w14:textId="77777777" w:rsidR="00C43B93" w:rsidRPr="00850076" w:rsidRDefault="00C43B93" w:rsidP="007D2E17">
            <w:pPr>
              <w:spacing w:line="276" w:lineRule="auto"/>
              <w:jc w:val="center"/>
              <w:rPr>
                <w:rFonts w:cs="Calibri"/>
              </w:rPr>
            </w:pPr>
            <w:r w:rsidRPr="00850076">
              <w:rPr>
                <w:rFonts w:cs="Calibri"/>
              </w:rPr>
              <w:t>93.8</w:t>
            </w:r>
          </w:p>
        </w:tc>
        <w:tc>
          <w:tcPr>
            <w:tcW w:w="1275" w:type="dxa"/>
            <w:tcBorders>
              <w:top w:val="single" w:sz="4" w:space="0" w:color="auto"/>
              <w:left w:val="single" w:sz="4" w:space="0" w:color="auto"/>
              <w:bottom w:val="single" w:sz="4" w:space="0" w:color="auto"/>
              <w:right w:val="single" w:sz="4" w:space="0" w:color="auto"/>
            </w:tcBorders>
            <w:vAlign w:val="center"/>
            <w:hideMark/>
          </w:tcPr>
          <w:p w14:paraId="1CE235D5" w14:textId="77777777" w:rsidR="00C43B93" w:rsidRPr="00850076" w:rsidRDefault="00C43B93" w:rsidP="007D2E17">
            <w:pPr>
              <w:spacing w:line="276" w:lineRule="auto"/>
              <w:jc w:val="center"/>
              <w:rPr>
                <w:rFonts w:cs="Calibri"/>
              </w:rPr>
            </w:pPr>
            <w:r w:rsidRPr="00850076">
              <w:rPr>
                <w:rFonts w:cs="Calibri"/>
              </w:rPr>
              <w:t>201</w:t>
            </w:r>
          </w:p>
        </w:tc>
        <w:tc>
          <w:tcPr>
            <w:tcW w:w="1276" w:type="dxa"/>
            <w:tcBorders>
              <w:top w:val="single" w:sz="4" w:space="0" w:color="auto"/>
              <w:left w:val="single" w:sz="4" w:space="0" w:color="auto"/>
              <w:bottom w:val="single" w:sz="4" w:space="0" w:color="auto"/>
              <w:right w:val="single" w:sz="4" w:space="0" w:color="auto"/>
            </w:tcBorders>
            <w:vAlign w:val="center"/>
            <w:hideMark/>
          </w:tcPr>
          <w:p w14:paraId="2D37F9A2" w14:textId="77777777" w:rsidR="00C43B93" w:rsidRPr="00850076" w:rsidRDefault="00C43B93" w:rsidP="007D2E17">
            <w:pPr>
              <w:spacing w:line="276" w:lineRule="auto"/>
              <w:jc w:val="center"/>
              <w:rPr>
                <w:rFonts w:cs="Calibri"/>
              </w:rPr>
            </w:pPr>
            <w:r w:rsidRPr="00850076">
              <w:rPr>
                <w:rFonts w:cs="Calibri"/>
              </w:rPr>
              <w:t>268</w:t>
            </w:r>
          </w:p>
        </w:tc>
        <w:tc>
          <w:tcPr>
            <w:tcW w:w="1701" w:type="dxa"/>
            <w:tcBorders>
              <w:top w:val="single" w:sz="4" w:space="0" w:color="auto"/>
              <w:left w:val="single" w:sz="4" w:space="0" w:color="auto"/>
              <w:bottom w:val="single" w:sz="4" w:space="0" w:color="auto"/>
              <w:right w:val="single" w:sz="4" w:space="0" w:color="auto"/>
            </w:tcBorders>
            <w:vAlign w:val="center"/>
            <w:hideMark/>
          </w:tcPr>
          <w:p w14:paraId="577079BE" w14:textId="77777777" w:rsidR="00C43B93" w:rsidRPr="00850076" w:rsidRDefault="00C43B93" w:rsidP="007D2E17">
            <w:pPr>
              <w:spacing w:line="276" w:lineRule="auto"/>
              <w:jc w:val="center"/>
              <w:rPr>
                <w:rFonts w:cs="Calibri"/>
              </w:rPr>
            </w:pPr>
            <w:r w:rsidRPr="00850076">
              <w:rPr>
                <w:rFonts w:cs="Calibri"/>
              </w:rPr>
              <w:t>107.2</w:t>
            </w:r>
          </w:p>
        </w:tc>
      </w:tr>
      <w:tr w:rsidR="00C43B93" w:rsidRPr="00850076" w14:paraId="622F0424" w14:textId="77777777" w:rsidTr="00C43B93">
        <w:tc>
          <w:tcPr>
            <w:tcW w:w="1168" w:type="dxa"/>
            <w:tcBorders>
              <w:top w:val="single" w:sz="4" w:space="0" w:color="auto"/>
              <w:left w:val="single" w:sz="4" w:space="0" w:color="auto"/>
              <w:bottom w:val="single" w:sz="4" w:space="0" w:color="auto"/>
              <w:right w:val="single" w:sz="4" w:space="0" w:color="auto"/>
            </w:tcBorders>
            <w:vAlign w:val="center"/>
            <w:hideMark/>
          </w:tcPr>
          <w:p w14:paraId="133478A2" w14:textId="77777777" w:rsidR="00C43B93" w:rsidRPr="00850076" w:rsidRDefault="00C43B93" w:rsidP="007D2E17">
            <w:pPr>
              <w:spacing w:line="276" w:lineRule="auto"/>
              <w:jc w:val="center"/>
              <w:rPr>
                <w:rFonts w:cs="Calibri"/>
              </w:rPr>
            </w:pPr>
            <w:r w:rsidRPr="00850076">
              <w:rPr>
                <w:rFonts w:cs="Calibri"/>
              </w:rPr>
              <w:t>2026</w:t>
            </w:r>
          </w:p>
        </w:tc>
        <w:tc>
          <w:tcPr>
            <w:tcW w:w="1379" w:type="dxa"/>
            <w:tcBorders>
              <w:top w:val="single" w:sz="4" w:space="0" w:color="auto"/>
              <w:left w:val="single" w:sz="4" w:space="0" w:color="auto"/>
              <w:bottom w:val="single" w:sz="4" w:space="0" w:color="auto"/>
              <w:right w:val="single" w:sz="4" w:space="0" w:color="auto"/>
            </w:tcBorders>
            <w:vAlign w:val="center"/>
            <w:hideMark/>
          </w:tcPr>
          <w:p w14:paraId="5F04946C" w14:textId="77777777" w:rsidR="00C43B93" w:rsidRPr="00850076" w:rsidRDefault="00C43B93" w:rsidP="007D2E17">
            <w:pPr>
              <w:spacing w:line="276" w:lineRule="auto"/>
              <w:jc w:val="center"/>
              <w:rPr>
                <w:rFonts w:cs="Calibri"/>
              </w:rPr>
            </w:pPr>
            <w:r w:rsidRPr="00850076">
              <w:rPr>
                <w:rFonts w:cs="Calibri"/>
              </w:rPr>
              <w:t>536</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DBEEE91" w14:textId="77777777" w:rsidR="00C43B93" w:rsidRPr="00850076" w:rsidRDefault="00C43B93" w:rsidP="007D2E17">
            <w:pPr>
              <w:spacing w:line="276" w:lineRule="auto"/>
              <w:jc w:val="center"/>
              <w:rPr>
                <w:rFonts w:cs="Calibri"/>
              </w:rPr>
            </w:pPr>
            <w:r w:rsidRPr="00850076">
              <w:rPr>
                <w:rFonts w:cs="Calibri"/>
              </w:rPr>
              <w:t>670</w:t>
            </w:r>
          </w:p>
        </w:tc>
        <w:tc>
          <w:tcPr>
            <w:tcW w:w="1276" w:type="dxa"/>
            <w:tcBorders>
              <w:top w:val="single" w:sz="4" w:space="0" w:color="auto"/>
              <w:left w:val="single" w:sz="4" w:space="0" w:color="auto"/>
              <w:bottom w:val="single" w:sz="4" w:space="0" w:color="auto"/>
              <w:right w:val="single" w:sz="4" w:space="0" w:color="auto"/>
            </w:tcBorders>
            <w:vAlign w:val="center"/>
            <w:hideMark/>
          </w:tcPr>
          <w:p w14:paraId="30D309C4" w14:textId="77777777" w:rsidR="00C43B93" w:rsidRPr="00850076" w:rsidRDefault="00C43B93" w:rsidP="007D2E17">
            <w:pPr>
              <w:spacing w:line="276" w:lineRule="auto"/>
              <w:jc w:val="center"/>
              <w:rPr>
                <w:rFonts w:cs="Calibri"/>
              </w:rPr>
            </w:pPr>
            <w:r w:rsidRPr="00850076">
              <w:rPr>
                <w:rFonts w:cs="Calibri"/>
              </w:rPr>
              <w:t>107.2</w:t>
            </w:r>
          </w:p>
        </w:tc>
        <w:tc>
          <w:tcPr>
            <w:tcW w:w="1275" w:type="dxa"/>
            <w:tcBorders>
              <w:top w:val="single" w:sz="4" w:space="0" w:color="auto"/>
              <w:left w:val="single" w:sz="4" w:space="0" w:color="auto"/>
              <w:bottom w:val="single" w:sz="4" w:space="0" w:color="auto"/>
              <w:right w:val="single" w:sz="4" w:space="0" w:color="auto"/>
            </w:tcBorders>
            <w:vAlign w:val="center"/>
            <w:hideMark/>
          </w:tcPr>
          <w:p w14:paraId="18071F9C" w14:textId="77777777" w:rsidR="00C43B93" w:rsidRPr="00850076" w:rsidRDefault="00C43B93" w:rsidP="007D2E17">
            <w:pPr>
              <w:spacing w:line="276" w:lineRule="auto"/>
              <w:jc w:val="center"/>
              <w:rPr>
                <w:rFonts w:cs="Calibri"/>
              </w:rPr>
            </w:pPr>
            <w:r w:rsidRPr="00850076">
              <w:rPr>
                <w:rFonts w:cs="Calibri"/>
              </w:rPr>
              <w:t>335</w:t>
            </w:r>
          </w:p>
        </w:tc>
        <w:tc>
          <w:tcPr>
            <w:tcW w:w="1276" w:type="dxa"/>
            <w:tcBorders>
              <w:top w:val="single" w:sz="4" w:space="0" w:color="auto"/>
              <w:left w:val="single" w:sz="4" w:space="0" w:color="auto"/>
              <w:bottom w:val="single" w:sz="4" w:space="0" w:color="auto"/>
              <w:right w:val="single" w:sz="4" w:space="0" w:color="auto"/>
            </w:tcBorders>
            <w:vAlign w:val="center"/>
            <w:hideMark/>
          </w:tcPr>
          <w:p w14:paraId="64546E26" w14:textId="77777777" w:rsidR="00C43B93" w:rsidRPr="00850076" w:rsidRDefault="00C43B93" w:rsidP="007D2E17">
            <w:pPr>
              <w:spacing w:line="276" w:lineRule="auto"/>
              <w:jc w:val="center"/>
              <w:rPr>
                <w:rFonts w:cs="Calibri"/>
              </w:rPr>
            </w:pPr>
            <w:r w:rsidRPr="00850076">
              <w:rPr>
                <w:rFonts w:cs="Calibri"/>
              </w:rPr>
              <w:t>335</w:t>
            </w:r>
          </w:p>
        </w:tc>
        <w:tc>
          <w:tcPr>
            <w:tcW w:w="1701" w:type="dxa"/>
            <w:tcBorders>
              <w:top w:val="single" w:sz="4" w:space="0" w:color="auto"/>
              <w:left w:val="single" w:sz="4" w:space="0" w:color="auto"/>
              <w:bottom w:val="single" w:sz="4" w:space="0" w:color="auto"/>
              <w:right w:val="single" w:sz="4" w:space="0" w:color="auto"/>
            </w:tcBorders>
            <w:vAlign w:val="center"/>
            <w:hideMark/>
          </w:tcPr>
          <w:p w14:paraId="161296C7" w14:textId="77777777" w:rsidR="00C43B93" w:rsidRPr="00850076" w:rsidRDefault="00C43B93" w:rsidP="007D2E17">
            <w:pPr>
              <w:spacing w:line="276" w:lineRule="auto"/>
              <w:jc w:val="center"/>
              <w:rPr>
                <w:rFonts w:cs="Calibri"/>
              </w:rPr>
            </w:pPr>
            <w:r w:rsidRPr="00850076">
              <w:rPr>
                <w:rFonts w:cs="Calibri"/>
              </w:rPr>
              <w:t>134</w:t>
            </w:r>
          </w:p>
        </w:tc>
      </w:tr>
      <w:tr w:rsidR="00C43B93" w:rsidRPr="00850076" w14:paraId="5F386526" w14:textId="77777777" w:rsidTr="00C43B93">
        <w:tc>
          <w:tcPr>
            <w:tcW w:w="1168" w:type="dxa"/>
            <w:tcBorders>
              <w:top w:val="single" w:sz="4" w:space="0" w:color="auto"/>
              <w:left w:val="single" w:sz="4" w:space="0" w:color="auto"/>
              <w:bottom w:val="single" w:sz="4" w:space="0" w:color="auto"/>
              <w:right w:val="single" w:sz="4" w:space="0" w:color="auto"/>
            </w:tcBorders>
            <w:vAlign w:val="center"/>
            <w:hideMark/>
          </w:tcPr>
          <w:p w14:paraId="40BECD98" w14:textId="77777777" w:rsidR="00C43B93" w:rsidRPr="00850076" w:rsidRDefault="00C43B93" w:rsidP="007D2E17">
            <w:pPr>
              <w:spacing w:line="276" w:lineRule="auto"/>
              <w:jc w:val="center"/>
              <w:rPr>
                <w:rFonts w:cs="Calibri"/>
              </w:rPr>
            </w:pPr>
            <w:r w:rsidRPr="00850076">
              <w:rPr>
                <w:rFonts w:cs="Calibri"/>
              </w:rPr>
              <w:t>2027</w:t>
            </w:r>
          </w:p>
        </w:tc>
        <w:tc>
          <w:tcPr>
            <w:tcW w:w="1379" w:type="dxa"/>
            <w:tcBorders>
              <w:top w:val="single" w:sz="4" w:space="0" w:color="auto"/>
              <w:left w:val="single" w:sz="4" w:space="0" w:color="auto"/>
              <w:bottom w:val="single" w:sz="4" w:space="0" w:color="auto"/>
              <w:right w:val="single" w:sz="4" w:space="0" w:color="auto"/>
            </w:tcBorders>
            <w:vAlign w:val="center"/>
            <w:hideMark/>
          </w:tcPr>
          <w:p w14:paraId="72E20500" w14:textId="77777777" w:rsidR="00C43B93" w:rsidRPr="00850076" w:rsidRDefault="00C43B93" w:rsidP="007D2E17">
            <w:pPr>
              <w:spacing w:line="276" w:lineRule="auto"/>
              <w:jc w:val="center"/>
              <w:rPr>
                <w:rFonts w:cs="Calibri"/>
              </w:rPr>
            </w:pPr>
            <w:r w:rsidRPr="00850076">
              <w:rPr>
                <w:rFonts w:cs="Calibri"/>
              </w:rPr>
              <w:t>737</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3E6C776" w14:textId="77777777" w:rsidR="00C43B93" w:rsidRPr="00850076" w:rsidRDefault="00C43B93" w:rsidP="007D2E17">
            <w:pPr>
              <w:spacing w:line="276" w:lineRule="auto"/>
              <w:jc w:val="center"/>
              <w:rPr>
                <w:rFonts w:cs="Calibri"/>
              </w:rPr>
            </w:pPr>
            <w:r w:rsidRPr="00850076">
              <w:rPr>
                <w:rFonts w:cs="Calibri"/>
              </w:rPr>
              <w:t>670</w:t>
            </w:r>
          </w:p>
        </w:tc>
        <w:tc>
          <w:tcPr>
            <w:tcW w:w="1276" w:type="dxa"/>
            <w:tcBorders>
              <w:top w:val="single" w:sz="4" w:space="0" w:color="auto"/>
              <w:left w:val="single" w:sz="4" w:space="0" w:color="auto"/>
              <w:bottom w:val="single" w:sz="4" w:space="0" w:color="auto"/>
              <w:right w:val="single" w:sz="4" w:space="0" w:color="auto"/>
            </w:tcBorders>
            <w:vAlign w:val="center"/>
            <w:hideMark/>
          </w:tcPr>
          <w:p w14:paraId="277EDA74" w14:textId="77777777" w:rsidR="00C43B93" w:rsidRPr="00850076" w:rsidRDefault="00C43B93" w:rsidP="007D2E17">
            <w:pPr>
              <w:spacing w:line="276" w:lineRule="auto"/>
              <w:jc w:val="center"/>
              <w:rPr>
                <w:rFonts w:cs="Calibri"/>
              </w:rPr>
            </w:pPr>
            <w:r w:rsidRPr="00850076">
              <w:rPr>
                <w:rFonts w:cs="Calibri"/>
              </w:rPr>
              <w:t>120.6</w:t>
            </w:r>
          </w:p>
        </w:tc>
        <w:tc>
          <w:tcPr>
            <w:tcW w:w="1275" w:type="dxa"/>
            <w:tcBorders>
              <w:top w:val="single" w:sz="4" w:space="0" w:color="auto"/>
              <w:left w:val="single" w:sz="4" w:space="0" w:color="auto"/>
              <w:bottom w:val="single" w:sz="4" w:space="0" w:color="auto"/>
              <w:right w:val="single" w:sz="4" w:space="0" w:color="auto"/>
            </w:tcBorders>
            <w:vAlign w:val="center"/>
            <w:hideMark/>
          </w:tcPr>
          <w:p w14:paraId="3C81A126" w14:textId="77777777" w:rsidR="00C43B93" w:rsidRPr="00850076" w:rsidRDefault="00C43B93" w:rsidP="007D2E17">
            <w:pPr>
              <w:spacing w:line="276" w:lineRule="auto"/>
              <w:jc w:val="center"/>
              <w:rPr>
                <w:rFonts w:cs="Calibri"/>
              </w:rPr>
            </w:pPr>
            <w:r w:rsidRPr="00850076">
              <w:rPr>
                <w:rFonts w:cs="Calibri"/>
              </w:rPr>
              <w:t>469</w:t>
            </w:r>
          </w:p>
        </w:tc>
        <w:tc>
          <w:tcPr>
            <w:tcW w:w="1276" w:type="dxa"/>
            <w:tcBorders>
              <w:top w:val="single" w:sz="4" w:space="0" w:color="auto"/>
              <w:left w:val="single" w:sz="4" w:space="0" w:color="auto"/>
              <w:bottom w:val="single" w:sz="4" w:space="0" w:color="auto"/>
              <w:right w:val="single" w:sz="4" w:space="0" w:color="auto"/>
            </w:tcBorders>
            <w:vAlign w:val="center"/>
            <w:hideMark/>
          </w:tcPr>
          <w:p w14:paraId="540FF862" w14:textId="77777777" w:rsidR="00C43B93" w:rsidRPr="00850076" w:rsidRDefault="00C43B93" w:rsidP="007D2E17">
            <w:pPr>
              <w:spacing w:line="276" w:lineRule="auto"/>
              <w:jc w:val="center"/>
              <w:rPr>
                <w:rFonts w:cs="Calibri"/>
              </w:rPr>
            </w:pPr>
            <w:r w:rsidRPr="00850076">
              <w:rPr>
                <w:rFonts w:cs="Calibri"/>
              </w:rPr>
              <w:t>402</w:t>
            </w:r>
          </w:p>
        </w:tc>
        <w:tc>
          <w:tcPr>
            <w:tcW w:w="1701" w:type="dxa"/>
            <w:tcBorders>
              <w:top w:val="single" w:sz="4" w:space="0" w:color="auto"/>
              <w:left w:val="single" w:sz="4" w:space="0" w:color="auto"/>
              <w:bottom w:val="single" w:sz="4" w:space="0" w:color="auto"/>
              <w:right w:val="single" w:sz="4" w:space="0" w:color="auto"/>
            </w:tcBorders>
            <w:vAlign w:val="center"/>
            <w:hideMark/>
          </w:tcPr>
          <w:p w14:paraId="03B8AFAE" w14:textId="77777777" w:rsidR="00C43B93" w:rsidRPr="00850076" w:rsidRDefault="00C43B93" w:rsidP="007D2E17">
            <w:pPr>
              <w:spacing w:line="276" w:lineRule="auto"/>
              <w:jc w:val="center"/>
              <w:rPr>
                <w:rFonts w:cs="Calibri"/>
              </w:rPr>
            </w:pPr>
            <w:r w:rsidRPr="00850076">
              <w:rPr>
                <w:rFonts w:cs="Calibri"/>
              </w:rPr>
              <w:t>160.8</w:t>
            </w:r>
          </w:p>
        </w:tc>
      </w:tr>
      <w:tr w:rsidR="00C43B93" w:rsidRPr="00850076" w14:paraId="27361756" w14:textId="77777777" w:rsidTr="00C43B93">
        <w:tc>
          <w:tcPr>
            <w:tcW w:w="1168" w:type="dxa"/>
            <w:tcBorders>
              <w:top w:val="single" w:sz="4" w:space="0" w:color="auto"/>
              <w:left w:val="single" w:sz="4" w:space="0" w:color="auto"/>
              <w:bottom w:val="single" w:sz="4" w:space="0" w:color="auto"/>
              <w:right w:val="single" w:sz="4" w:space="0" w:color="auto"/>
            </w:tcBorders>
            <w:vAlign w:val="center"/>
            <w:hideMark/>
          </w:tcPr>
          <w:p w14:paraId="118D52D3" w14:textId="77777777" w:rsidR="00C43B93" w:rsidRPr="00850076" w:rsidRDefault="00C43B93" w:rsidP="007D2E17">
            <w:pPr>
              <w:spacing w:line="276" w:lineRule="auto"/>
              <w:jc w:val="center"/>
              <w:rPr>
                <w:rFonts w:cs="Calibri"/>
              </w:rPr>
            </w:pPr>
            <w:r w:rsidRPr="00850076">
              <w:rPr>
                <w:rFonts w:cs="Calibri"/>
              </w:rPr>
              <w:t>2028</w:t>
            </w:r>
          </w:p>
        </w:tc>
        <w:tc>
          <w:tcPr>
            <w:tcW w:w="1379" w:type="dxa"/>
            <w:tcBorders>
              <w:top w:val="single" w:sz="4" w:space="0" w:color="auto"/>
              <w:left w:val="single" w:sz="4" w:space="0" w:color="auto"/>
              <w:bottom w:val="single" w:sz="4" w:space="0" w:color="auto"/>
              <w:right w:val="single" w:sz="4" w:space="0" w:color="auto"/>
            </w:tcBorders>
            <w:vAlign w:val="center"/>
            <w:hideMark/>
          </w:tcPr>
          <w:p w14:paraId="75AF3154" w14:textId="77777777" w:rsidR="00C43B93" w:rsidRPr="00850076" w:rsidRDefault="00C43B93" w:rsidP="007D2E17">
            <w:pPr>
              <w:spacing w:line="276" w:lineRule="auto"/>
              <w:jc w:val="center"/>
              <w:rPr>
                <w:rFonts w:cs="Calibri"/>
              </w:rPr>
            </w:pPr>
            <w:r w:rsidRPr="00850076">
              <w:rPr>
                <w:rFonts w:cs="Calibri"/>
              </w:rPr>
              <w:t>938</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D046B0F" w14:textId="77777777" w:rsidR="00C43B93" w:rsidRPr="00850076" w:rsidRDefault="00C43B93" w:rsidP="007D2E17">
            <w:pPr>
              <w:spacing w:line="276" w:lineRule="auto"/>
              <w:jc w:val="center"/>
              <w:rPr>
                <w:rFonts w:cs="Calibri"/>
              </w:rPr>
            </w:pPr>
            <w:r w:rsidRPr="00850076">
              <w:rPr>
                <w:rFonts w:cs="Calibri"/>
              </w:rPr>
              <w:t>670</w:t>
            </w:r>
          </w:p>
        </w:tc>
        <w:tc>
          <w:tcPr>
            <w:tcW w:w="1276" w:type="dxa"/>
            <w:tcBorders>
              <w:top w:val="single" w:sz="4" w:space="0" w:color="auto"/>
              <w:left w:val="single" w:sz="4" w:space="0" w:color="auto"/>
              <w:bottom w:val="single" w:sz="4" w:space="0" w:color="auto"/>
              <w:right w:val="single" w:sz="4" w:space="0" w:color="auto"/>
            </w:tcBorders>
            <w:vAlign w:val="center"/>
            <w:hideMark/>
          </w:tcPr>
          <w:p w14:paraId="0D8C0EEC" w14:textId="77777777" w:rsidR="00C43B93" w:rsidRPr="00850076" w:rsidRDefault="00C43B93" w:rsidP="007D2E17">
            <w:pPr>
              <w:spacing w:line="276" w:lineRule="auto"/>
              <w:jc w:val="center"/>
              <w:rPr>
                <w:rFonts w:cs="Calibri"/>
              </w:rPr>
            </w:pPr>
            <w:r w:rsidRPr="00850076">
              <w:rPr>
                <w:rFonts w:cs="Calibri"/>
              </w:rPr>
              <w:t>134</w:t>
            </w:r>
          </w:p>
        </w:tc>
        <w:tc>
          <w:tcPr>
            <w:tcW w:w="1275" w:type="dxa"/>
            <w:tcBorders>
              <w:top w:val="single" w:sz="4" w:space="0" w:color="auto"/>
              <w:left w:val="single" w:sz="4" w:space="0" w:color="auto"/>
              <w:bottom w:val="single" w:sz="4" w:space="0" w:color="auto"/>
              <w:right w:val="single" w:sz="4" w:space="0" w:color="auto"/>
            </w:tcBorders>
            <w:vAlign w:val="center"/>
            <w:hideMark/>
          </w:tcPr>
          <w:p w14:paraId="17500BF5" w14:textId="77777777" w:rsidR="00C43B93" w:rsidRPr="00850076" w:rsidRDefault="00C43B93" w:rsidP="007D2E17">
            <w:pPr>
              <w:spacing w:line="276" w:lineRule="auto"/>
              <w:jc w:val="center"/>
              <w:rPr>
                <w:rFonts w:cs="Calibri"/>
              </w:rPr>
            </w:pPr>
            <w:r w:rsidRPr="00850076">
              <w:rPr>
                <w:rFonts w:cs="Calibri"/>
              </w:rPr>
              <w:t>670</w:t>
            </w:r>
          </w:p>
        </w:tc>
        <w:tc>
          <w:tcPr>
            <w:tcW w:w="1276" w:type="dxa"/>
            <w:tcBorders>
              <w:top w:val="single" w:sz="4" w:space="0" w:color="auto"/>
              <w:left w:val="single" w:sz="4" w:space="0" w:color="auto"/>
              <w:bottom w:val="single" w:sz="4" w:space="0" w:color="auto"/>
              <w:right w:val="single" w:sz="4" w:space="0" w:color="auto"/>
            </w:tcBorders>
            <w:vAlign w:val="center"/>
            <w:hideMark/>
          </w:tcPr>
          <w:p w14:paraId="74E78247" w14:textId="77777777" w:rsidR="00C43B93" w:rsidRPr="00850076" w:rsidRDefault="00C43B93" w:rsidP="007D2E17">
            <w:pPr>
              <w:spacing w:line="276" w:lineRule="auto"/>
              <w:jc w:val="center"/>
              <w:rPr>
                <w:rFonts w:cs="Calibri"/>
              </w:rPr>
            </w:pPr>
            <w:r w:rsidRPr="00850076">
              <w:rPr>
                <w:rFonts w:cs="Calibri"/>
              </w:rPr>
              <w:t>536</w:t>
            </w:r>
          </w:p>
        </w:tc>
        <w:tc>
          <w:tcPr>
            <w:tcW w:w="1701" w:type="dxa"/>
            <w:tcBorders>
              <w:top w:val="single" w:sz="4" w:space="0" w:color="auto"/>
              <w:left w:val="single" w:sz="4" w:space="0" w:color="auto"/>
              <w:bottom w:val="single" w:sz="4" w:space="0" w:color="auto"/>
              <w:right w:val="single" w:sz="4" w:space="0" w:color="auto"/>
            </w:tcBorders>
            <w:vAlign w:val="center"/>
            <w:hideMark/>
          </w:tcPr>
          <w:p w14:paraId="707DDA8C" w14:textId="77777777" w:rsidR="00C43B93" w:rsidRPr="00850076" w:rsidRDefault="00C43B93" w:rsidP="007D2E17">
            <w:pPr>
              <w:spacing w:line="276" w:lineRule="auto"/>
              <w:jc w:val="center"/>
              <w:rPr>
                <w:rFonts w:cs="Calibri"/>
              </w:rPr>
            </w:pPr>
            <w:r w:rsidRPr="00850076">
              <w:rPr>
                <w:rFonts w:cs="Calibri"/>
              </w:rPr>
              <w:t>201</w:t>
            </w:r>
          </w:p>
        </w:tc>
      </w:tr>
      <w:tr w:rsidR="00C43B93" w:rsidRPr="00850076" w14:paraId="4363196B" w14:textId="77777777" w:rsidTr="00C43B93">
        <w:tc>
          <w:tcPr>
            <w:tcW w:w="1168" w:type="dxa"/>
            <w:tcBorders>
              <w:top w:val="single" w:sz="4" w:space="0" w:color="auto"/>
              <w:left w:val="single" w:sz="4" w:space="0" w:color="auto"/>
              <w:bottom w:val="single" w:sz="4" w:space="0" w:color="auto"/>
              <w:right w:val="single" w:sz="4" w:space="0" w:color="auto"/>
            </w:tcBorders>
            <w:vAlign w:val="center"/>
            <w:hideMark/>
          </w:tcPr>
          <w:p w14:paraId="6129F610" w14:textId="77777777" w:rsidR="00C43B93" w:rsidRPr="00850076" w:rsidRDefault="00C43B93" w:rsidP="007D2E17">
            <w:pPr>
              <w:spacing w:line="276" w:lineRule="auto"/>
              <w:jc w:val="center"/>
              <w:rPr>
                <w:rFonts w:cs="Calibri"/>
              </w:rPr>
            </w:pPr>
            <w:r w:rsidRPr="00850076">
              <w:rPr>
                <w:rFonts w:cs="Calibri"/>
              </w:rPr>
              <w:t>2029</w:t>
            </w:r>
          </w:p>
        </w:tc>
        <w:tc>
          <w:tcPr>
            <w:tcW w:w="1379" w:type="dxa"/>
            <w:tcBorders>
              <w:top w:val="single" w:sz="4" w:space="0" w:color="auto"/>
              <w:left w:val="single" w:sz="4" w:space="0" w:color="auto"/>
              <w:bottom w:val="single" w:sz="4" w:space="0" w:color="auto"/>
              <w:right w:val="single" w:sz="4" w:space="0" w:color="auto"/>
            </w:tcBorders>
            <w:vAlign w:val="center"/>
            <w:hideMark/>
          </w:tcPr>
          <w:p w14:paraId="21D1AA04" w14:textId="77777777" w:rsidR="00C43B93" w:rsidRPr="00850076" w:rsidRDefault="00C43B93" w:rsidP="007D2E17">
            <w:pPr>
              <w:spacing w:line="276" w:lineRule="auto"/>
              <w:jc w:val="center"/>
              <w:rPr>
                <w:rFonts w:cs="Calibri"/>
              </w:rPr>
            </w:pPr>
            <w:r w:rsidRPr="00850076">
              <w:rPr>
                <w:rFonts w:cs="Calibri"/>
              </w:rPr>
              <w:t>1,206.00</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3742C01" w14:textId="77777777" w:rsidR="00C43B93" w:rsidRPr="00850076" w:rsidRDefault="00C43B93" w:rsidP="007D2E17">
            <w:pPr>
              <w:spacing w:line="276" w:lineRule="auto"/>
              <w:jc w:val="center"/>
              <w:rPr>
                <w:rFonts w:cs="Calibri"/>
              </w:rPr>
            </w:pPr>
            <w:r w:rsidRPr="00850076">
              <w:rPr>
                <w:rFonts w:cs="Calibri"/>
              </w:rPr>
              <w:t>670</w:t>
            </w:r>
          </w:p>
        </w:tc>
        <w:tc>
          <w:tcPr>
            <w:tcW w:w="1276" w:type="dxa"/>
            <w:tcBorders>
              <w:top w:val="single" w:sz="4" w:space="0" w:color="auto"/>
              <w:left w:val="single" w:sz="4" w:space="0" w:color="auto"/>
              <w:bottom w:val="single" w:sz="4" w:space="0" w:color="auto"/>
              <w:right w:val="single" w:sz="4" w:space="0" w:color="auto"/>
            </w:tcBorders>
            <w:vAlign w:val="center"/>
            <w:hideMark/>
          </w:tcPr>
          <w:p w14:paraId="1AC8DFF5" w14:textId="77777777" w:rsidR="00C43B93" w:rsidRPr="00850076" w:rsidRDefault="00C43B93" w:rsidP="007D2E17">
            <w:pPr>
              <w:spacing w:line="276" w:lineRule="auto"/>
              <w:jc w:val="center"/>
              <w:rPr>
                <w:rFonts w:cs="Calibri"/>
              </w:rPr>
            </w:pPr>
            <w:r w:rsidRPr="00850076">
              <w:rPr>
                <w:rFonts w:cs="Calibri"/>
              </w:rPr>
              <w:t>160.8</w:t>
            </w:r>
          </w:p>
        </w:tc>
        <w:tc>
          <w:tcPr>
            <w:tcW w:w="1275" w:type="dxa"/>
            <w:tcBorders>
              <w:top w:val="single" w:sz="4" w:space="0" w:color="auto"/>
              <w:left w:val="single" w:sz="4" w:space="0" w:color="auto"/>
              <w:bottom w:val="single" w:sz="4" w:space="0" w:color="auto"/>
              <w:right w:val="single" w:sz="4" w:space="0" w:color="auto"/>
            </w:tcBorders>
            <w:vAlign w:val="center"/>
            <w:hideMark/>
          </w:tcPr>
          <w:p w14:paraId="08EF04ED" w14:textId="77777777" w:rsidR="00C43B93" w:rsidRPr="00850076" w:rsidRDefault="00C43B93" w:rsidP="007D2E17">
            <w:pPr>
              <w:spacing w:line="276" w:lineRule="auto"/>
              <w:jc w:val="center"/>
              <w:rPr>
                <w:rFonts w:cs="Calibri"/>
              </w:rPr>
            </w:pPr>
            <w:r w:rsidRPr="00850076">
              <w:rPr>
                <w:rFonts w:cs="Calibri"/>
              </w:rPr>
              <w:t>804</w:t>
            </w:r>
          </w:p>
        </w:tc>
        <w:tc>
          <w:tcPr>
            <w:tcW w:w="1276" w:type="dxa"/>
            <w:tcBorders>
              <w:top w:val="single" w:sz="4" w:space="0" w:color="auto"/>
              <w:left w:val="single" w:sz="4" w:space="0" w:color="auto"/>
              <w:bottom w:val="single" w:sz="4" w:space="0" w:color="auto"/>
              <w:right w:val="single" w:sz="4" w:space="0" w:color="auto"/>
            </w:tcBorders>
            <w:vAlign w:val="center"/>
            <w:hideMark/>
          </w:tcPr>
          <w:p w14:paraId="549CAC2C" w14:textId="77777777" w:rsidR="00C43B93" w:rsidRPr="00850076" w:rsidRDefault="00C43B93" w:rsidP="007D2E17">
            <w:pPr>
              <w:spacing w:line="276" w:lineRule="auto"/>
              <w:jc w:val="center"/>
              <w:rPr>
                <w:rFonts w:cs="Calibri"/>
              </w:rPr>
            </w:pPr>
            <w:r w:rsidRPr="00850076">
              <w:rPr>
                <w:rFonts w:cs="Calibri"/>
              </w:rPr>
              <w:t>670</w:t>
            </w:r>
          </w:p>
        </w:tc>
        <w:tc>
          <w:tcPr>
            <w:tcW w:w="1701" w:type="dxa"/>
            <w:tcBorders>
              <w:top w:val="single" w:sz="4" w:space="0" w:color="auto"/>
              <w:left w:val="single" w:sz="4" w:space="0" w:color="auto"/>
              <w:bottom w:val="single" w:sz="4" w:space="0" w:color="auto"/>
              <w:right w:val="single" w:sz="4" w:space="0" w:color="auto"/>
            </w:tcBorders>
            <w:vAlign w:val="center"/>
            <w:hideMark/>
          </w:tcPr>
          <w:p w14:paraId="1985F70B" w14:textId="77777777" w:rsidR="00C43B93" w:rsidRPr="00850076" w:rsidRDefault="00C43B93" w:rsidP="007D2E17">
            <w:pPr>
              <w:spacing w:line="276" w:lineRule="auto"/>
              <w:jc w:val="center"/>
              <w:rPr>
                <w:rFonts w:cs="Calibri"/>
              </w:rPr>
            </w:pPr>
            <w:r w:rsidRPr="00850076">
              <w:rPr>
                <w:rFonts w:cs="Calibri"/>
              </w:rPr>
              <w:t>268</w:t>
            </w:r>
          </w:p>
        </w:tc>
      </w:tr>
      <w:tr w:rsidR="00C43B93" w:rsidRPr="00850076" w14:paraId="6CB24050" w14:textId="77777777" w:rsidTr="00C43B93">
        <w:tc>
          <w:tcPr>
            <w:tcW w:w="1168" w:type="dxa"/>
            <w:tcBorders>
              <w:top w:val="single" w:sz="4" w:space="0" w:color="auto"/>
              <w:left w:val="single" w:sz="4" w:space="0" w:color="auto"/>
              <w:bottom w:val="single" w:sz="4" w:space="0" w:color="auto"/>
              <w:right w:val="single" w:sz="4" w:space="0" w:color="auto"/>
            </w:tcBorders>
            <w:vAlign w:val="center"/>
            <w:hideMark/>
          </w:tcPr>
          <w:p w14:paraId="4BD2EF18" w14:textId="77777777" w:rsidR="00C43B93" w:rsidRPr="00850076" w:rsidRDefault="00C43B93" w:rsidP="007D2E17">
            <w:pPr>
              <w:spacing w:line="276" w:lineRule="auto"/>
              <w:jc w:val="center"/>
              <w:rPr>
                <w:rFonts w:cs="Calibri"/>
              </w:rPr>
            </w:pPr>
            <w:r w:rsidRPr="00850076">
              <w:rPr>
                <w:rFonts w:cs="Calibri"/>
              </w:rPr>
              <w:t>2030</w:t>
            </w:r>
          </w:p>
        </w:tc>
        <w:tc>
          <w:tcPr>
            <w:tcW w:w="1379" w:type="dxa"/>
            <w:tcBorders>
              <w:top w:val="single" w:sz="4" w:space="0" w:color="auto"/>
              <w:left w:val="single" w:sz="4" w:space="0" w:color="auto"/>
              <w:bottom w:val="single" w:sz="4" w:space="0" w:color="auto"/>
              <w:right w:val="single" w:sz="4" w:space="0" w:color="auto"/>
            </w:tcBorders>
            <w:vAlign w:val="center"/>
            <w:hideMark/>
          </w:tcPr>
          <w:p w14:paraId="762B41A9" w14:textId="77777777" w:rsidR="00C43B93" w:rsidRPr="00850076" w:rsidRDefault="00C43B93" w:rsidP="007D2E17">
            <w:pPr>
              <w:spacing w:line="276" w:lineRule="auto"/>
              <w:jc w:val="center"/>
              <w:rPr>
                <w:rFonts w:cs="Calibri"/>
              </w:rPr>
            </w:pPr>
            <w:r w:rsidRPr="00850076">
              <w:rPr>
                <w:rFonts w:cs="Calibri"/>
              </w:rPr>
              <w:t>1,608.00</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482D758" w14:textId="77777777" w:rsidR="00C43B93" w:rsidRPr="00850076" w:rsidRDefault="00C43B93" w:rsidP="007D2E17">
            <w:pPr>
              <w:spacing w:line="276" w:lineRule="auto"/>
              <w:jc w:val="center"/>
              <w:rPr>
                <w:rFonts w:cs="Calibri"/>
              </w:rPr>
            </w:pPr>
            <w:r w:rsidRPr="00850076">
              <w:rPr>
                <w:rFonts w:cs="Calibri"/>
              </w:rPr>
              <w:t>670</w:t>
            </w:r>
          </w:p>
        </w:tc>
        <w:tc>
          <w:tcPr>
            <w:tcW w:w="1276" w:type="dxa"/>
            <w:tcBorders>
              <w:top w:val="single" w:sz="4" w:space="0" w:color="auto"/>
              <w:left w:val="single" w:sz="4" w:space="0" w:color="auto"/>
              <w:bottom w:val="single" w:sz="4" w:space="0" w:color="auto"/>
              <w:right w:val="single" w:sz="4" w:space="0" w:color="auto"/>
            </w:tcBorders>
            <w:vAlign w:val="center"/>
            <w:hideMark/>
          </w:tcPr>
          <w:p w14:paraId="5A8C3AFC" w14:textId="77777777" w:rsidR="00C43B93" w:rsidRPr="00850076" w:rsidRDefault="00C43B93" w:rsidP="007D2E17">
            <w:pPr>
              <w:spacing w:line="276" w:lineRule="auto"/>
              <w:jc w:val="center"/>
              <w:rPr>
                <w:rFonts w:cs="Calibri"/>
              </w:rPr>
            </w:pPr>
            <w:r w:rsidRPr="00850076">
              <w:rPr>
                <w:rFonts w:cs="Calibri"/>
              </w:rPr>
              <w:t>187.6</w:t>
            </w:r>
          </w:p>
        </w:tc>
        <w:tc>
          <w:tcPr>
            <w:tcW w:w="1275" w:type="dxa"/>
            <w:tcBorders>
              <w:top w:val="single" w:sz="4" w:space="0" w:color="auto"/>
              <w:left w:val="single" w:sz="4" w:space="0" w:color="auto"/>
              <w:bottom w:val="single" w:sz="4" w:space="0" w:color="auto"/>
              <w:right w:val="single" w:sz="4" w:space="0" w:color="auto"/>
            </w:tcBorders>
            <w:vAlign w:val="center"/>
            <w:hideMark/>
          </w:tcPr>
          <w:p w14:paraId="67E895E8" w14:textId="77777777" w:rsidR="00C43B93" w:rsidRPr="00850076" w:rsidRDefault="00C43B93" w:rsidP="007D2E17">
            <w:pPr>
              <w:spacing w:line="276" w:lineRule="auto"/>
              <w:jc w:val="center"/>
              <w:rPr>
                <w:rFonts w:cs="Calibri"/>
              </w:rPr>
            </w:pPr>
            <w:r w:rsidRPr="00850076">
              <w:rPr>
                <w:rFonts w:cs="Calibri"/>
              </w:rPr>
              <w:t>938</w:t>
            </w:r>
          </w:p>
        </w:tc>
        <w:tc>
          <w:tcPr>
            <w:tcW w:w="1276" w:type="dxa"/>
            <w:tcBorders>
              <w:top w:val="single" w:sz="4" w:space="0" w:color="auto"/>
              <w:left w:val="single" w:sz="4" w:space="0" w:color="auto"/>
              <w:bottom w:val="single" w:sz="4" w:space="0" w:color="auto"/>
              <w:right w:val="single" w:sz="4" w:space="0" w:color="auto"/>
            </w:tcBorders>
            <w:vAlign w:val="center"/>
            <w:hideMark/>
          </w:tcPr>
          <w:p w14:paraId="60CBD18D" w14:textId="77777777" w:rsidR="00C43B93" w:rsidRPr="00850076" w:rsidRDefault="00C43B93" w:rsidP="007D2E17">
            <w:pPr>
              <w:spacing w:line="276" w:lineRule="auto"/>
              <w:jc w:val="center"/>
              <w:rPr>
                <w:rFonts w:cs="Calibri"/>
              </w:rPr>
            </w:pPr>
            <w:r w:rsidRPr="00850076">
              <w:rPr>
                <w:rFonts w:cs="Calibri"/>
              </w:rPr>
              <w:t>804</w:t>
            </w:r>
          </w:p>
        </w:tc>
        <w:tc>
          <w:tcPr>
            <w:tcW w:w="1701" w:type="dxa"/>
            <w:tcBorders>
              <w:top w:val="single" w:sz="4" w:space="0" w:color="auto"/>
              <w:left w:val="single" w:sz="4" w:space="0" w:color="auto"/>
              <w:bottom w:val="single" w:sz="4" w:space="0" w:color="auto"/>
              <w:right w:val="single" w:sz="4" w:space="0" w:color="auto"/>
            </w:tcBorders>
            <w:vAlign w:val="center"/>
            <w:hideMark/>
          </w:tcPr>
          <w:p w14:paraId="0632FA20" w14:textId="77777777" w:rsidR="00C43B93" w:rsidRPr="00850076" w:rsidRDefault="00C43B93" w:rsidP="007D2E17">
            <w:pPr>
              <w:spacing w:line="276" w:lineRule="auto"/>
              <w:jc w:val="center"/>
              <w:rPr>
                <w:rFonts w:cs="Calibri"/>
              </w:rPr>
            </w:pPr>
            <w:r w:rsidRPr="00850076">
              <w:rPr>
                <w:rFonts w:cs="Calibri"/>
              </w:rPr>
              <w:t>335</w:t>
            </w:r>
          </w:p>
        </w:tc>
      </w:tr>
    </w:tbl>
    <w:p w14:paraId="0D5A4117" w14:textId="77777777" w:rsidR="00850076" w:rsidRPr="00850076" w:rsidRDefault="00850076" w:rsidP="00850076">
      <w:pPr>
        <w:spacing w:after="0" w:line="276" w:lineRule="auto"/>
        <w:rPr>
          <w:rFonts w:cs="Calibri"/>
        </w:rPr>
      </w:pPr>
    </w:p>
    <w:p w14:paraId="5A7FC4EE" w14:textId="026FE40E" w:rsidR="00850076" w:rsidRPr="00850076" w:rsidRDefault="00850076" w:rsidP="00850076">
      <w:pPr>
        <w:spacing w:after="0" w:line="276" w:lineRule="auto"/>
        <w:rPr>
          <w:rFonts w:cs="Calibri"/>
        </w:rPr>
      </w:pPr>
    </w:p>
    <w:p w14:paraId="72B2B36D" w14:textId="03D98372" w:rsidR="00850076" w:rsidRPr="00850076" w:rsidRDefault="00850076" w:rsidP="004369DD">
      <w:pPr>
        <w:numPr>
          <w:ilvl w:val="0"/>
          <w:numId w:val="9"/>
        </w:numPr>
        <w:spacing w:after="0" w:line="276" w:lineRule="auto"/>
        <w:rPr>
          <w:rFonts w:cs="Calibri"/>
        </w:rPr>
      </w:pPr>
      <w:r w:rsidRPr="00850076">
        <w:rPr>
          <w:rFonts w:cs="Calibri"/>
        </w:rPr>
        <w:t>This chart tells us the total revenue growth till 20</w:t>
      </w:r>
      <w:r w:rsidR="00944588">
        <w:rPr>
          <w:rFonts w:cs="Calibri"/>
        </w:rPr>
        <w:t>30</w:t>
      </w:r>
      <w:r w:rsidRPr="00850076">
        <w:rPr>
          <w:rFonts w:cs="Calibri"/>
        </w:rPr>
        <w:t xml:space="preserve"> generated by TD Bank by investing in WiTricity.</w:t>
      </w:r>
    </w:p>
    <w:p w14:paraId="4C9A5C0D" w14:textId="77777777" w:rsidR="00850076" w:rsidRPr="00B967B5" w:rsidRDefault="00850076" w:rsidP="00850076">
      <w:pPr>
        <w:spacing w:after="0" w:line="276" w:lineRule="auto"/>
        <w:rPr>
          <w:rFonts w:cs="Calibri"/>
        </w:rPr>
      </w:pPr>
      <w:r w:rsidRPr="00850076">
        <w:rPr>
          <w:rFonts w:cs="Calibri"/>
        </w:rPr>
        <w:t>It follows a linear trendline as the graph is projected to go upwards.</w:t>
      </w:r>
    </w:p>
    <w:p w14:paraId="4935094E" w14:textId="70B1C944" w:rsidR="00A03BD6" w:rsidRDefault="00224CD7" w:rsidP="00A03BD6">
      <w:pPr>
        <w:keepNext/>
        <w:spacing w:after="0" w:line="276" w:lineRule="auto"/>
      </w:pPr>
      <w:r w:rsidRPr="00224CD7">
        <w:lastRenderedPageBreak/>
        <w:drawing>
          <wp:inline distT="0" distB="0" distL="0" distR="0" wp14:anchorId="6F832FD5" wp14:editId="32D45C93">
            <wp:extent cx="5943600" cy="1379855"/>
            <wp:effectExtent l="0" t="0" r="0" b="0"/>
            <wp:docPr id="1751675683" name="Picture 1" descr="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675683" name="Picture 1" descr="A graph with numbers and a line&#10;&#10;Description automatically generated"/>
                    <pic:cNvPicPr/>
                  </pic:nvPicPr>
                  <pic:blipFill>
                    <a:blip r:embed="rId14"/>
                    <a:stretch>
                      <a:fillRect/>
                    </a:stretch>
                  </pic:blipFill>
                  <pic:spPr>
                    <a:xfrm>
                      <a:off x="0" y="0"/>
                      <a:ext cx="5943600" cy="1379855"/>
                    </a:xfrm>
                    <a:prstGeom prst="rect">
                      <a:avLst/>
                    </a:prstGeom>
                  </pic:spPr>
                </pic:pic>
              </a:graphicData>
            </a:graphic>
          </wp:inline>
        </w:drawing>
      </w:r>
    </w:p>
    <w:p w14:paraId="2E0A48AF" w14:textId="63FAF06A" w:rsidR="00B146B9" w:rsidRPr="00B967B5" w:rsidRDefault="00A03BD6" w:rsidP="00944588">
      <w:pPr>
        <w:pStyle w:val="Caption"/>
        <w:rPr>
          <w:rFonts w:cs="Calibri"/>
        </w:rPr>
      </w:pPr>
      <w:bookmarkStart w:id="16" w:name="_Toc178364660"/>
      <w:r>
        <w:t xml:space="preserve">Figure </w:t>
      </w:r>
      <w:r w:rsidR="00C43B93">
        <w:fldChar w:fldCharType="begin"/>
      </w:r>
      <w:r w:rsidR="00C43B93">
        <w:instrText xml:space="preserve"> SEQ Figure \* ARABIC </w:instrText>
      </w:r>
      <w:r w:rsidR="00C43B93">
        <w:fldChar w:fldCharType="separate"/>
      </w:r>
      <w:r>
        <w:rPr>
          <w:noProof/>
        </w:rPr>
        <w:t>1</w:t>
      </w:r>
      <w:r w:rsidR="00C43B93">
        <w:rPr>
          <w:noProof/>
        </w:rPr>
        <w:fldChar w:fldCharType="end"/>
      </w:r>
      <w:r>
        <w:t>- Yearly revenue generated by TD Bank</w:t>
      </w:r>
      <w:bookmarkEnd w:id="16"/>
    </w:p>
    <w:p w14:paraId="2158C762" w14:textId="77777777" w:rsidR="001002B8" w:rsidRPr="00B967B5" w:rsidRDefault="001002B8" w:rsidP="001222CC">
      <w:pPr>
        <w:spacing w:after="0" w:line="276" w:lineRule="auto"/>
        <w:rPr>
          <w:rFonts w:cs="Calibri"/>
        </w:rPr>
      </w:pPr>
    </w:p>
    <w:p w14:paraId="0342D3C5" w14:textId="7C4B2242" w:rsidR="00CB1B79" w:rsidRPr="00CB1B79" w:rsidRDefault="00CB1B79" w:rsidP="004369DD">
      <w:pPr>
        <w:numPr>
          <w:ilvl w:val="0"/>
          <w:numId w:val="9"/>
        </w:numPr>
        <w:spacing w:after="0" w:line="276" w:lineRule="auto"/>
        <w:rPr>
          <w:rFonts w:cs="Calibri"/>
        </w:rPr>
      </w:pPr>
      <w:r w:rsidRPr="00CB1B79">
        <w:rPr>
          <w:rFonts w:cs="Calibri"/>
        </w:rPr>
        <w:t>This chart tells us the total net income growth till 20</w:t>
      </w:r>
      <w:r w:rsidR="00944588">
        <w:rPr>
          <w:rFonts w:cs="Calibri"/>
        </w:rPr>
        <w:t>30</w:t>
      </w:r>
      <w:r w:rsidRPr="00CB1B79">
        <w:rPr>
          <w:rFonts w:cs="Calibri"/>
        </w:rPr>
        <w:t xml:space="preserve"> generated by TD Bank by investing in WiTricity.</w:t>
      </w:r>
    </w:p>
    <w:p w14:paraId="714EBFE6" w14:textId="70B9CD3A" w:rsidR="00A03BD6" w:rsidRDefault="00224CD7" w:rsidP="00A03BD6">
      <w:pPr>
        <w:keepNext/>
        <w:spacing w:after="0" w:line="276" w:lineRule="auto"/>
      </w:pPr>
      <w:r w:rsidRPr="00224CD7">
        <w:drawing>
          <wp:inline distT="0" distB="0" distL="0" distR="0" wp14:anchorId="230312D2" wp14:editId="7C469E8C">
            <wp:extent cx="5943600" cy="1732280"/>
            <wp:effectExtent l="0" t="0" r="0" b="1270"/>
            <wp:docPr id="2116728400" name="Picture 1" descr="A yellow rectangular object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728400" name="Picture 1" descr="A yellow rectangular objects with black text&#10;&#10;Description automatically generated"/>
                    <pic:cNvPicPr/>
                  </pic:nvPicPr>
                  <pic:blipFill>
                    <a:blip r:embed="rId15"/>
                    <a:stretch>
                      <a:fillRect/>
                    </a:stretch>
                  </pic:blipFill>
                  <pic:spPr>
                    <a:xfrm>
                      <a:off x="0" y="0"/>
                      <a:ext cx="5943600" cy="1732280"/>
                    </a:xfrm>
                    <a:prstGeom prst="rect">
                      <a:avLst/>
                    </a:prstGeom>
                  </pic:spPr>
                </pic:pic>
              </a:graphicData>
            </a:graphic>
          </wp:inline>
        </w:drawing>
      </w:r>
    </w:p>
    <w:p w14:paraId="493C990F" w14:textId="1C68F8A0" w:rsidR="00CB1B79" w:rsidRPr="00B967B5" w:rsidRDefault="00A03BD6" w:rsidP="00A03BD6">
      <w:pPr>
        <w:pStyle w:val="Caption"/>
        <w:rPr>
          <w:rFonts w:cs="Calibri"/>
        </w:rPr>
      </w:pPr>
      <w:bookmarkStart w:id="17" w:name="_Toc178364661"/>
      <w:r>
        <w:t xml:space="preserve">Figure </w:t>
      </w:r>
      <w:r w:rsidR="00C43B93">
        <w:fldChar w:fldCharType="begin"/>
      </w:r>
      <w:r w:rsidR="00C43B93">
        <w:instrText xml:space="preserve"> SEQ Figure \* ARABIC </w:instrText>
      </w:r>
      <w:r w:rsidR="00C43B93">
        <w:fldChar w:fldCharType="separate"/>
      </w:r>
      <w:r>
        <w:rPr>
          <w:noProof/>
        </w:rPr>
        <w:t>2</w:t>
      </w:r>
      <w:r w:rsidR="00C43B93">
        <w:rPr>
          <w:noProof/>
        </w:rPr>
        <w:fldChar w:fldCharType="end"/>
      </w:r>
      <w:r>
        <w:t>- Net income</w:t>
      </w:r>
      <w:r w:rsidR="00944588">
        <w:t xml:space="preserve"> generated by TD bank till 2030</w:t>
      </w:r>
      <w:bookmarkEnd w:id="17"/>
    </w:p>
    <w:p w14:paraId="2098DADB" w14:textId="77777777" w:rsidR="00401B49" w:rsidRDefault="00401B49" w:rsidP="001222CC">
      <w:pPr>
        <w:spacing w:after="0"/>
        <w:rPr>
          <w:rFonts w:cs="Calibri"/>
          <w:lang w:val="en-US"/>
        </w:rPr>
      </w:pPr>
    </w:p>
    <w:p w14:paraId="2835B1EF" w14:textId="77777777" w:rsidR="00633729" w:rsidRDefault="00633729" w:rsidP="001222CC">
      <w:pPr>
        <w:spacing w:after="0"/>
        <w:rPr>
          <w:rFonts w:cs="Calibri"/>
          <w:lang w:val="en-US"/>
        </w:rPr>
      </w:pPr>
    </w:p>
    <w:p w14:paraId="2BD2EA82" w14:textId="77777777" w:rsidR="00633729" w:rsidRDefault="00633729" w:rsidP="001222CC">
      <w:pPr>
        <w:spacing w:after="0"/>
        <w:rPr>
          <w:rFonts w:cs="Calibri"/>
          <w:lang w:val="en-US"/>
        </w:rPr>
      </w:pPr>
    </w:p>
    <w:p w14:paraId="7521975E" w14:textId="77777777" w:rsidR="00633729" w:rsidRDefault="00633729" w:rsidP="001222CC">
      <w:pPr>
        <w:spacing w:after="0"/>
        <w:rPr>
          <w:rFonts w:cs="Calibri"/>
          <w:lang w:val="en-US"/>
        </w:rPr>
      </w:pPr>
    </w:p>
    <w:p w14:paraId="62444727" w14:textId="77777777" w:rsidR="00633729" w:rsidRDefault="00633729" w:rsidP="001222CC">
      <w:pPr>
        <w:spacing w:after="0"/>
        <w:rPr>
          <w:rFonts w:cs="Calibri"/>
          <w:lang w:val="en-US"/>
        </w:rPr>
      </w:pPr>
    </w:p>
    <w:p w14:paraId="430AC7B7" w14:textId="77777777" w:rsidR="00633729" w:rsidRDefault="00633729" w:rsidP="001222CC">
      <w:pPr>
        <w:spacing w:after="0"/>
        <w:rPr>
          <w:rFonts w:cs="Calibri"/>
          <w:lang w:val="en-US"/>
        </w:rPr>
      </w:pPr>
    </w:p>
    <w:p w14:paraId="029CDE31" w14:textId="77777777" w:rsidR="00633729" w:rsidRDefault="00633729" w:rsidP="001222CC">
      <w:pPr>
        <w:spacing w:after="0"/>
        <w:rPr>
          <w:rFonts w:cs="Calibri"/>
          <w:lang w:val="en-US"/>
        </w:rPr>
      </w:pPr>
    </w:p>
    <w:p w14:paraId="6A458023" w14:textId="77777777" w:rsidR="00633729" w:rsidRPr="00B967B5" w:rsidRDefault="00633729" w:rsidP="001222CC">
      <w:pPr>
        <w:spacing w:after="0"/>
        <w:rPr>
          <w:rFonts w:cs="Calibri"/>
          <w:lang w:val="en-US"/>
        </w:rPr>
      </w:pPr>
    </w:p>
    <w:p w14:paraId="54EE530F" w14:textId="4FF5CDFC" w:rsidR="00401B49" w:rsidRPr="004369DD" w:rsidRDefault="004369DD" w:rsidP="004369DD">
      <w:pPr>
        <w:pStyle w:val="ListParagraph"/>
        <w:numPr>
          <w:ilvl w:val="0"/>
          <w:numId w:val="9"/>
        </w:numPr>
        <w:spacing w:after="0"/>
        <w:rPr>
          <w:rFonts w:cs="Calibri"/>
          <w:lang w:val="en-US"/>
        </w:rPr>
      </w:pPr>
      <w:r w:rsidRPr="004369DD">
        <w:rPr>
          <w:rFonts w:cs="Calibri"/>
          <w:lang w:val="en-US"/>
        </w:rPr>
        <w:t xml:space="preserve">The Below graph depicts the </w:t>
      </w:r>
      <w:r>
        <w:rPr>
          <w:rFonts w:cs="Calibri"/>
          <w:lang w:val="en-US"/>
        </w:rPr>
        <w:t>n</w:t>
      </w:r>
      <w:r w:rsidRPr="004369DD">
        <w:rPr>
          <w:rFonts w:cs="Calibri"/>
          <w:lang w:val="en-US"/>
        </w:rPr>
        <w:t>et-</w:t>
      </w:r>
      <w:r>
        <w:rPr>
          <w:rFonts w:cs="Calibri"/>
          <w:lang w:val="en-US"/>
        </w:rPr>
        <w:t>i</w:t>
      </w:r>
      <w:r w:rsidRPr="004369DD">
        <w:rPr>
          <w:rFonts w:cs="Calibri"/>
          <w:lang w:val="en-US"/>
        </w:rPr>
        <w:t>nterest income generated by TD Bank till 2030</w:t>
      </w:r>
    </w:p>
    <w:p w14:paraId="314EDE17" w14:textId="0FF5ED1A" w:rsidR="00A03BD6" w:rsidRDefault="00C43B93" w:rsidP="00A03BD6">
      <w:pPr>
        <w:keepNext/>
      </w:pPr>
      <w:r w:rsidRPr="00C43B93">
        <w:drawing>
          <wp:inline distT="0" distB="0" distL="0" distR="0" wp14:anchorId="6895B451" wp14:editId="65380D1B">
            <wp:extent cx="5943600" cy="1778635"/>
            <wp:effectExtent l="0" t="0" r="0" b="0"/>
            <wp:docPr id="79405477" name="Picture 1" descr="A graph with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05477" name="Picture 1" descr="A graph with orange bars&#10;&#10;Description automatically generated"/>
                    <pic:cNvPicPr/>
                  </pic:nvPicPr>
                  <pic:blipFill>
                    <a:blip r:embed="rId16"/>
                    <a:stretch>
                      <a:fillRect/>
                    </a:stretch>
                  </pic:blipFill>
                  <pic:spPr>
                    <a:xfrm>
                      <a:off x="0" y="0"/>
                      <a:ext cx="5943600" cy="1778635"/>
                    </a:xfrm>
                    <a:prstGeom prst="rect">
                      <a:avLst/>
                    </a:prstGeom>
                  </pic:spPr>
                </pic:pic>
              </a:graphicData>
            </a:graphic>
          </wp:inline>
        </w:drawing>
      </w:r>
    </w:p>
    <w:p w14:paraId="4E474A77" w14:textId="53C8892A" w:rsidR="00755BA9" w:rsidRDefault="00A03BD6" w:rsidP="00A03BD6">
      <w:pPr>
        <w:pStyle w:val="Caption"/>
        <w:rPr>
          <w:rFonts w:cs="Calibri"/>
          <w:lang w:val="en-US"/>
        </w:rPr>
      </w:pPr>
      <w:bookmarkStart w:id="18" w:name="_Toc178364662"/>
      <w:r>
        <w:t xml:space="preserve">Figure </w:t>
      </w:r>
      <w:r w:rsidR="00C43B93">
        <w:fldChar w:fldCharType="begin"/>
      </w:r>
      <w:r w:rsidR="00C43B93">
        <w:instrText xml:space="preserve"> SEQ Figure \* ARABIC </w:instrText>
      </w:r>
      <w:r w:rsidR="00C43B93">
        <w:fldChar w:fldCharType="separate"/>
      </w:r>
      <w:r>
        <w:rPr>
          <w:noProof/>
        </w:rPr>
        <w:t>3</w:t>
      </w:r>
      <w:r w:rsidR="00C43B93">
        <w:rPr>
          <w:noProof/>
        </w:rPr>
        <w:fldChar w:fldCharType="end"/>
      </w:r>
      <w:r w:rsidR="00944588">
        <w:t xml:space="preserve">- </w:t>
      </w:r>
      <w:r w:rsidR="00FA68BF">
        <w:t>Net interest generated by TD Bank till 2030</w:t>
      </w:r>
      <w:bookmarkEnd w:id="18"/>
    </w:p>
    <w:p w14:paraId="07A7EC9F" w14:textId="426FC1B0" w:rsidR="00633729" w:rsidRPr="004369DD" w:rsidRDefault="004369DD" w:rsidP="004369DD">
      <w:pPr>
        <w:pStyle w:val="ListParagraph"/>
        <w:numPr>
          <w:ilvl w:val="0"/>
          <w:numId w:val="9"/>
        </w:numPr>
        <w:rPr>
          <w:rFonts w:cs="Calibri"/>
          <w:lang w:val="en-US"/>
        </w:rPr>
      </w:pPr>
      <w:r>
        <w:rPr>
          <w:rFonts w:cs="Calibri"/>
          <w:lang w:val="en-US"/>
        </w:rPr>
        <w:t>The below graph depicts the non-interest income generated by TD Bank till 2030</w:t>
      </w:r>
    </w:p>
    <w:p w14:paraId="1627C80D" w14:textId="7E92B1ED" w:rsidR="00A03BD6" w:rsidRDefault="00C43B93" w:rsidP="00A03BD6">
      <w:pPr>
        <w:keepNext/>
      </w:pPr>
      <w:r w:rsidRPr="00C43B93">
        <w:lastRenderedPageBreak/>
        <w:drawing>
          <wp:inline distT="0" distB="0" distL="0" distR="0" wp14:anchorId="5CC0DEC9" wp14:editId="574D07E1">
            <wp:extent cx="5943600" cy="3366770"/>
            <wp:effectExtent l="0" t="0" r="0" b="5080"/>
            <wp:docPr id="765024264" name="Picture 1" descr="A graph showing the growth of inco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024264" name="Picture 1" descr="A graph showing the growth of income&#10;&#10;Description automatically generated"/>
                    <pic:cNvPicPr/>
                  </pic:nvPicPr>
                  <pic:blipFill>
                    <a:blip r:embed="rId17"/>
                    <a:stretch>
                      <a:fillRect/>
                    </a:stretch>
                  </pic:blipFill>
                  <pic:spPr>
                    <a:xfrm>
                      <a:off x="0" y="0"/>
                      <a:ext cx="5943600" cy="3366770"/>
                    </a:xfrm>
                    <a:prstGeom prst="rect">
                      <a:avLst/>
                    </a:prstGeom>
                  </pic:spPr>
                </pic:pic>
              </a:graphicData>
            </a:graphic>
          </wp:inline>
        </w:drawing>
      </w:r>
    </w:p>
    <w:p w14:paraId="676FF2EC" w14:textId="0A6D2267" w:rsidR="00633729" w:rsidRDefault="00A03BD6" w:rsidP="00A03BD6">
      <w:pPr>
        <w:pStyle w:val="Caption"/>
        <w:rPr>
          <w:rFonts w:cs="Calibri"/>
          <w:lang w:val="en-US"/>
        </w:rPr>
      </w:pPr>
      <w:bookmarkStart w:id="19" w:name="_Toc178364663"/>
      <w:r>
        <w:t xml:space="preserve">Figure </w:t>
      </w:r>
      <w:r w:rsidR="00C43B93">
        <w:fldChar w:fldCharType="begin"/>
      </w:r>
      <w:r w:rsidR="00C43B93">
        <w:instrText xml:space="preserve"> SEQ Figure \* ARABIC </w:instrText>
      </w:r>
      <w:r w:rsidR="00C43B93">
        <w:fldChar w:fldCharType="separate"/>
      </w:r>
      <w:r>
        <w:rPr>
          <w:noProof/>
        </w:rPr>
        <w:t>4</w:t>
      </w:r>
      <w:r w:rsidR="00C43B93">
        <w:rPr>
          <w:noProof/>
        </w:rPr>
        <w:fldChar w:fldCharType="end"/>
      </w:r>
      <w:r w:rsidR="00FA68BF">
        <w:t>- non</w:t>
      </w:r>
      <w:r w:rsidR="003110CA">
        <w:t>-interest income generated by TD Bank till 2030</w:t>
      </w:r>
      <w:bookmarkEnd w:id="19"/>
    </w:p>
    <w:p w14:paraId="524E57E9" w14:textId="431BE425" w:rsidR="00633729" w:rsidRDefault="00633729" w:rsidP="001222CC">
      <w:pPr>
        <w:rPr>
          <w:rFonts w:cs="Calibri"/>
          <w:lang w:val="en-US"/>
        </w:rPr>
      </w:pPr>
    </w:p>
    <w:p w14:paraId="553DF46B" w14:textId="1A234F66" w:rsidR="00633729" w:rsidRPr="004369DD" w:rsidRDefault="00D71DD0" w:rsidP="004369DD">
      <w:pPr>
        <w:pStyle w:val="ListParagraph"/>
        <w:numPr>
          <w:ilvl w:val="0"/>
          <w:numId w:val="9"/>
        </w:numPr>
        <w:rPr>
          <w:rFonts w:cs="Calibri"/>
          <w:lang w:val="en-US"/>
        </w:rPr>
      </w:pPr>
      <w:r w:rsidRPr="00D71DD0">
        <w:rPr>
          <w:rFonts w:cs="Calibri"/>
          <w:lang w:val="en-US"/>
        </w:rPr>
        <w:t>Total registrations for Electric Vehicles from Quarter 1 of 2022 to Quarter 2 of 2024</w:t>
      </w:r>
    </w:p>
    <w:p w14:paraId="021B52CD" w14:textId="77777777" w:rsidR="00A03BD6" w:rsidRDefault="00D147B3" w:rsidP="00A03BD6">
      <w:pPr>
        <w:keepNext/>
      </w:pPr>
      <w:r w:rsidRPr="00D147B3">
        <w:rPr>
          <w:rFonts w:cs="Calibri"/>
          <w:noProof/>
          <w:lang w:val="en-US"/>
        </w:rPr>
        <w:drawing>
          <wp:inline distT="0" distB="0" distL="0" distR="0" wp14:anchorId="794F550B" wp14:editId="71790F4D">
            <wp:extent cx="5943600" cy="3552190"/>
            <wp:effectExtent l="0" t="0" r="0" b="0"/>
            <wp:docPr id="1476911239" name="Picture 1" descr="A graph showing the price of electric vehi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911239" name="Picture 1" descr="A graph showing the price of electric vehicles&#10;&#10;Description automatically generated"/>
                    <pic:cNvPicPr/>
                  </pic:nvPicPr>
                  <pic:blipFill>
                    <a:blip r:embed="rId18"/>
                    <a:stretch>
                      <a:fillRect/>
                    </a:stretch>
                  </pic:blipFill>
                  <pic:spPr>
                    <a:xfrm>
                      <a:off x="0" y="0"/>
                      <a:ext cx="5943600" cy="3552190"/>
                    </a:xfrm>
                    <a:prstGeom prst="rect">
                      <a:avLst/>
                    </a:prstGeom>
                  </pic:spPr>
                </pic:pic>
              </a:graphicData>
            </a:graphic>
          </wp:inline>
        </w:drawing>
      </w:r>
    </w:p>
    <w:p w14:paraId="7FD3932F" w14:textId="413420C6" w:rsidR="00C50CBC" w:rsidRDefault="00A03BD6" w:rsidP="00C43B93">
      <w:pPr>
        <w:pStyle w:val="Caption"/>
        <w:rPr>
          <w:rFonts w:cs="Calibri"/>
          <w:lang w:val="en-US"/>
        </w:rPr>
      </w:pPr>
      <w:bookmarkStart w:id="20" w:name="_Toc178364664"/>
      <w:r>
        <w:t xml:space="preserve">Figure </w:t>
      </w:r>
      <w:r w:rsidR="00C43B93">
        <w:fldChar w:fldCharType="begin"/>
      </w:r>
      <w:r w:rsidR="00C43B93">
        <w:instrText xml:space="preserve"> SEQ Figure \* ARABIC </w:instrText>
      </w:r>
      <w:r w:rsidR="00C43B93">
        <w:fldChar w:fldCharType="separate"/>
      </w:r>
      <w:r>
        <w:rPr>
          <w:noProof/>
        </w:rPr>
        <w:t>5</w:t>
      </w:r>
      <w:r w:rsidR="00C43B93">
        <w:rPr>
          <w:noProof/>
        </w:rPr>
        <w:fldChar w:fldCharType="end"/>
      </w:r>
      <w:r w:rsidR="003110CA">
        <w:t xml:space="preserve">- </w:t>
      </w:r>
      <w:r w:rsidR="00C50CBC">
        <w:t>Total registrations for EV from Quarter 1 of 2022 to Quarter 2 of 2024</w:t>
      </w:r>
      <w:bookmarkEnd w:id="20"/>
    </w:p>
    <w:p w14:paraId="326FCC06" w14:textId="77777777" w:rsidR="00C50CBC" w:rsidRPr="00B967B5" w:rsidRDefault="00C50CBC" w:rsidP="001222CC">
      <w:pPr>
        <w:rPr>
          <w:rFonts w:cs="Calibri"/>
          <w:lang w:val="en-US"/>
        </w:rPr>
      </w:pPr>
    </w:p>
    <w:p w14:paraId="36BB74F6" w14:textId="6A2FA212" w:rsidR="00DE3F05" w:rsidRDefault="00C86A26" w:rsidP="006378C0">
      <w:pPr>
        <w:pStyle w:val="Heading1"/>
        <w:rPr>
          <w:lang w:val="en-US"/>
        </w:rPr>
      </w:pPr>
      <w:bookmarkStart w:id="21" w:name="_Toc178363739"/>
      <w:r w:rsidRPr="00B967B5">
        <w:rPr>
          <w:lang w:val="en-US"/>
        </w:rPr>
        <w:t>News Board</w:t>
      </w:r>
      <w:bookmarkEnd w:id="21"/>
    </w:p>
    <w:p w14:paraId="03346B95" w14:textId="705B98D7" w:rsidR="00D91738" w:rsidRPr="00786C78" w:rsidRDefault="004F3294" w:rsidP="00207535">
      <w:pPr>
        <w:pStyle w:val="Heading3"/>
        <w:rPr>
          <w:lang w:val="en-US"/>
        </w:rPr>
      </w:pPr>
      <w:bookmarkStart w:id="22" w:name="_Toc178363740"/>
      <w:r w:rsidRPr="00786C78">
        <w:rPr>
          <w:lang w:val="en-US"/>
        </w:rPr>
        <w:t>Bank of Canada needs to 'stick the landing' now that inflation is at 2%: Macklem.</w:t>
      </w:r>
      <w:bookmarkEnd w:id="22"/>
    </w:p>
    <w:p w14:paraId="71A6E8D5" w14:textId="2A5BAA36" w:rsidR="000536A8" w:rsidRDefault="000536A8" w:rsidP="00D91738">
      <w:pPr>
        <w:spacing w:after="0"/>
        <w:rPr>
          <w:rFonts w:asciiTheme="minorHAnsi" w:hAnsiTheme="minorHAnsi"/>
        </w:rPr>
      </w:pPr>
      <w:r>
        <w:t xml:space="preserve">On September 25, 2024, Tiff Macklem announced that while the inflation rate has reached 2%. Bank of Canada must ensure it stays within the target range of 1-3%. He indicated that further interest rate cuts are reasonable as inflation shows progress. He has acknowledged that the central bank may need to cut interest rates further to stimulate the economy. The Bank of Canada has already reduced its policy rate by 75 basis points since June 2024 bringing it down to 4.25%. However, analysts believe the Bank may need to implement more aggressive 50 basis point cuts in the coming months. </w:t>
      </w:r>
    </w:p>
    <w:p w14:paraId="2B3F2F89" w14:textId="77777777" w:rsidR="000536A8" w:rsidRDefault="000536A8" w:rsidP="00D91738">
      <w:pPr>
        <w:spacing w:after="0"/>
      </w:pPr>
      <w:r>
        <w:t>There are growing concerns about stalling economic growth and labor market slack in Canada. The Bank of Canada anticipates a period of slower economic growth. This slowdown is seen as necessary to bring inflation back to the target level. The next interest rate announcement is scheduled for October 23.</w:t>
      </w:r>
    </w:p>
    <w:p w14:paraId="4FEE9436" w14:textId="77777777" w:rsidR="003C3209" w:rsidRDefault="003C3209" w:rsidP="00D91738">
      <w:pPr>
        <w:spacing w:after="0"/>
      </w:pPr>
    </w:p>
    <w:p w14:paraId="320F73DC" w14:textId="77777777" w:rsidR="000536A8" w:rsidRDefault="000536A8" w:rsidP="00D91738">
      <w:pPr>
        <w:spacing w:after="0"/>
        <w:rPr>
          <w:b/>
          <w:bCs/>
        </w:rPr>
      </w:pPr>
      <w:r>
        <w:rPr>
          <w:b/>
          <w:bCs/>
        </w:rPr>
        <w:t xml:space="preserve">Impact on TD Bank </w:t>
      </w:r>
    </w:p>
    <w:p w14:paraId="15DC97A4" w14:textId="308C5337" w:rsidR="000536A8" w:rsidRDefault="000536A8" w:rsidP="00D91738">
      <w:pPr>
        <w:spacing w:after="0"/>
      </w:pPr>
      <w:r>
        <w:t>The Bank of Canada's potential interest rate cuts signaled by Governor Tiff Macklem may have a mixed impact on TD Bank. Lower rates could stimulate loan demand. TD bank may benefit from increased loan growth and borrowing demand. This would be more in areas like mortgages and business loans.  The rate cuts could compress TD Bank's profit margins due to reduced net interest margin. This could also increase credit risk as consumers may over</w:t>
      </w:r>
      <w:r w:rsidR="00DD5140">
        <w:t xml:space="preserve"> </w:t>
      </w:r>
      <w:r>
        <w:t xml:space="preserve">leverage in a </w:t>
      </w:r>
      <w:r w:rsidR="00345267">
        <w:t>l</w:t>
      </w:r>
      <w:r>
        <w:t>ow</w:t>
      </w:r>
      <w:r w:rsidR="00345267">
        <w:t xml:space="preserve"> </w:t>
      </w:r>
      <w:r>
        <w:t>interest landscape. Bank may face intensified competition among banks requiring adjustments to product offerings to remain attractive to customers. Overall TD Bank will need to balance these opportunities and challenges to navigate the changing interest rate environment.</w:t>
      </w:r>
    </w:p>
    <w:p w14:paraId="61E1DAF9" w14:textId="77777777" w:rsidR="003C3209" w:rsidRDefault="003C3209" w:rsidP="00D91738">
      <w:pPr>
        <w:spacing w:after="0"/>
      </w:pPr>
    </w:p>
    <w:p w14:paraId="4AB22474" w14:textId="261118E4" w:rsidR="000536A8" w:rsidRDefault="000536A8" w:rsidP="00D91738">
      <w:pPr>
        <w:spacing w:after="0"/>
        <w:rPr>
          <w:b/>
          <w:bCs/>
        </w:rPr>
      </w:pPr>
      <w:r>
        <w:rPr>
          <w:b/>
          <w:bCs/>
        </w:rPr>
        <w:t xml:space="preserve">Impact on TD Bank's </w:t>
      </w:r>
      <w:r w:rsidR="001B5588">
        <w:rPr>
          <w:b/>
          <w:bCs/>
        </w:rPr>
        <w:t>a</w:t>
      </w:r>
      <w:r>
        <w:rPr>
          <w:b/>
          <w:bCs/>
        </w:rPr>
        <w:t>cquisition of WiTricity</w:t>
      </w:r>
    </w:p>
    <w:p w14:paraId="2F2D409F" w14:textId="1C0FA0B2" w:rsidR="000536A8" w:rsidRDefault="000536A8" w:rsidP="00D91738">
      <w:pPr>
        <w:spacing w:after="0"/>
      </w:pPr>
      <w:r>
        <w:t>The Bank of Canada's potential interest rate cuts could influence TD Bank's acquisition of WiTricity. Lower interest rates could make borrowing cheaper for TD. This will make the acquisition more financially attractive. However, the lower</w:t>
      </w:r>
      <w:r w:rsidR="00CF294A">
        <w:t xml:space="preserve"> </w:t>
      </w:r>
      <w:r>
        <w:t>rate environment might also increase WiTricity's valuation due to increased investor attention. WiTricity operates in a high</w:t>
      </w:r>
      <w:r w:rsidR="00CF294A">
        <w:t xml:space="preserve"> </w:t>
      </w:r>
      <w:r>
        <w:t xml:space="preserve">growth tech sector. TD Bank's ability to tap into this segment under favorable monetary conditions could drive future revenue growth. TD Bank's acquisition of WiTricity is likely to benefit from the current </w:t>
      </w:r>
      <w:r w:rsidR="004F2A58">
        <w:t>low-interest rate</w:t>
      </w:r>
      <w:r>
        <w:t xml:space="preserve"> environment. This reduces financing costs and encourages investment in innovation. However, slower economic growth presents some risks</w:t>
      </w:r>
      <w:r w:rsidR="00345267">
        <w:t>. C</w:t>
      </w:r>
      <w:r>
        <w:t>areful integration and management of the acquisition to maximize its potential. This could make the acquisition a strategic long-term investment for TD Bank.</w:t>
      </w:r>
    </w:p>
    <w:p w14:paraId="63F10F1F" w14:textId="77777777" w:rsidR="000536A8" w:rsidRDefault="000536A8" w:rsidP="000536A8">
      <w:pPr>
        <w:rPr>
          <w:lang w:val="en-US"/>
        </w:rPr>
      </w:pPr>
    </w:p>
    <w:p w14:paraId="19F070E0" w14:textId="77777777" w:rsidR="004145B0" w:rsidRDefault="004145B0" w:rsidP="000536A8">
      <w:pPr>
        <w:rPr>
          <w:lang w:val="en-US"/>
        </w:rPr>
      </w:pPr>
    </w:p>
    <w:p w14:paraId="4DA271CB" w14:textId="77777777" w:rsidR="004145B0" w:rsidRDefault="004145B0" w:rsidP="000536A8">
      <w:pPr>
        <w:rPr>
          <w:lang w:val="en-US"/>
        </w:rPr>
      </w:pPr>
    </w:p>
    <w:p w14:paraId="3D5549C2" w14:textId="77777777" w:rsidR="004145B0" w:rsidRDefault="004145B0" w:rsidP="000536A8">
      <w:pPr>
        <w:rPr>
          <w:lang w:val="en-US"/>
        </w:rPr>
      </w:pPr>
    </w:p>
    <w:p w14:paraId="7695B947" w14:textId="77777777" w:rsidR="00414FBE" w:rsidRPr="000536A8" w:rsidRDefault="00414FBE" w:rsidP="000536A8">
      <w:pPr>
        <w:rPr>
          <w:lang w:val="en-US"/>
        </w:rPr>
      </w:pPr>
    </w:p>
    <w:p w14:paraId="2A2CBF03" w14:textId="68C7AD2A" w:rsidR="00C86A26" w:rsidRDefault="00C86A26" w:rsidP="006378C0">
      <w:pPr>
        <w:pStyle w:val="Heading1"/>
        <w:rPr>
          <w:lang w:val="en-US"/>
        </w:rPr>
      </w:pPr>
      <w:bookmarkStart w:id="23" w:name="_Toc178363741"/>
      <w:r w:rsidRPr="00B967B5">
        <w:rPr>
          <w:lang w:val="en-US"/>
        </w:rPr>
        <w:lastRenderedPageBreak/>
        <w:t>Conclusion</w:t>
      </w:r>
      <w:bookmarkEnd w:id="23"/>
    </w:p>
    <w:p w14:paraId="2A9D912C" w14:textId="70430A83" w:rsidR="00116D9E" w:rsidRPr="00116D9E" w:rsidRDefault="00116D9E" w:rsidP="00116D9E">
      <w:pPr>
        <w:spacing w:after="0"/>
        <w:rPr>
          <w:lang w:val="en-US"/>
        </w:rPr>
      </w:pPr>
      <w:r w:rsidRPr="00116D9E">
        <w:rPr>
          <w:lang w:val="en-US"/>
        </w:rPr>
        <w:t>In conclusion, TD Bank's strategic acquisition of WiTricity positions the bank as a leader in the rapidly expanding EV market a</w:t>
      </w:r>
      <w:r w:rsidR="008C01FC">
        <w:rPr>
          <w:lang w:val="en-US"/>
        </w:rPr>
        <w:t>long with</w:t>
      </w:r>
      <w:r w:rsidRPr="00116D9E">
        <w:rPr>
          <w:lang w:val="en-US"/>
        </w:rPr>
        <w:t xml:space="preserve"> </w:t>
      </w:r>
      <w:r w:rsidR="008C01FC">
        <w:rPr>
          <w:lang w:val="en-US"/>
        </w:rPr>
        <w:t>reinforcing</w:t>
      </w:r>
      <w:r w:rsidRPr="00116D9E">
        <w:rPr>
          <w:lang w:val="en-US"/>
        </w:rPr>
        <w:t xml:space="preserve"> its commitment to sustainable finance and green energy solutions. The acquisition not only presents a unique opportunity for TD to enter the EV infrastructure sector but also aligns with the bank’s broader goals of driving innovation, diversifying its revenue streams, and maintaining a competitive edge in the financial services industry.</w:t>
      </w:r>
    </w:p>
    <w:p w14:paraId="4C2DFD2E" w14:textId="40EE3FF4" w:rsidR="00116D9E" w:rsidRPr="00116D9E" w:rsidRDefault="00116D9E" w:rsidP="00116D9E">
      <w:pPr>
        <w:spacing w:after="0"/>
        <w:rPr>
          <w:lang w:val="en-US"/>
        </w:rPr>
      </w:pPr>
      <w:r w:rsidRPr="00116D9E">
        <w:rPr>
          <w:lang w:val="en-US"/>
        </w:rPr>
        <w:t>The projected financial benefits of this acquisition are substantial. By 2030, TD Bank could potentially generate between $500 million and $700 million annually from its involvement in the wireless charging infrastructure market. Additionally, the acquisition supports TD’s ESG</w:t>
      </w:r>
      <w:r w:rsidR="00461A59">
        <w:rPr>
          <w:lang w:val="en-US"/>
        </w:rPr>
        <w:t xml:space="preserve"> is </w:t>
      </w:r>
      <w:r w:rsidRPr="00116D9E">
        <w:rPr>
          <w:lang w:val="en-US"/>
        </w:rPr>
        <w:t>enhancing its reputation among eco-conscious consumers, investors and partners. As ESG criteria continue to gain importance in investment decisions, TD’s stake in WiTricity is expected to boost its ESG ratings, attracting further investments and solidifying its market position in the green finance space.</w:t>
      </w:r>
    </w:p>
    <w:p w14:paraId="6494F2D8" w14:textId="234EA436" w:rsidR="00116D9E" w:rsidRPr="00116D9E" w:rsidRDefault="00116D9E" w:rsidP="00116D9E">
      <w:pPr>
        <w:spacing w:after="0"/>
        <w:rPr>
          <w:lang w:val="en-US"/>
        </w:rPr>
      </w:pPr>
      <w:r w:rsidRPr="00116D9E">
        <w:rPr>
          <w:lang w:val="en-US"/>
        </w:rPr>
        <w:t>Moreover, the report highlights how TD Bank can capitalize on WiTricity’s technology to offer innovative financial products, such as EV-specific insurance packages which cater to the growing market demand for electric vehicles and related infrastructure. This, in turn, opens new avenues for TD to expand its customer base, particularly in North America, as it partners with government entities and private organizations to drive sustainable urban infrastructure projects.</w:t>
      </w:r>
    </w:p>
    <w:p w14:paraId="423EF980" w14:textId="46231E96" w:rsidR="00414FBE" w:rsidRDefault="00116D9E" w:rsidP="00116D9E">
      <w:pPr>
        <w:spacing w:after="0"/>
        <w:rPr>
          <w:lang w:val="en-US"/>
        </w:rPr>
      </w:pPr>
      <w:r w:rsidRPr="00116D9E">
        <w:rPr>
          <w:lang w:val="en-US"/>
        </w:rPr>
        <w:t xml:space="preserve">The ongoing support and technological integration outlined in this report </w:t>
      </w:r>
      <w:r w:rsidR="001D1C2A">
        <w:rPr>
          <w:lang w:val="en-US"/>
        </w:rPr>
        <w:t>ensures</w:t>
      </w:r>
      <w:r w:rsidRPr="00116D9E">
        <w:rPr>
          <w:lang w:val="en-US"/>
        </w:rPr>
        <w:t xml:space="preserve"> that TD Bank will be well-positioned to maximize the return on its investment while maintaining its leadership role in sustainability</w:t>
      </w:r>
      <w:r w:rsidR="00461A59">
        <w:rPr>
          <w:lang w:val="en-US"/>
        </w:rPr>
        <w:t xml:space="preserve">. </w:t>
      </w:r>
      <w:r w:rsidRPr="00116D9E">
        <w:rPr>
          <w:lang w:val="en-US"/>
        </w:rPr>
        <w:t>The acquisition of WiTricity, combined with TD’s strategic efforts in green finance, promises to be a transformative move that will significantly enhance the bank’s long-term profitability, market share, and contribution to a more sustainable future. TD Bank's proactive steps in the EV space not only position the bank for future growth but also reflect its commitment to leading the charge in sustainable finance and environmental stewardship, driving positive change in the global financial industry.</w:t>
      </w:r>
    </w:p>
    <w:p w14:paraId="47C19FE9" w14:textId="77777777" w:rsidR="00414FBE" w:rsidRDefault="00414FBE" w:rsidP="00414FBE">
      <w:pPr>
        <w:rPr>
          <w:lang w:val="en-US"/>
        </w:rPr>
      </w:pPr>
    </w:p>
    <w:p w14:paraId="619EA654" w14:textId="77777777" w:rsidR="00414FBE" w:rsidRDefault="00414FBE" w:rsidP="00414FBE">
      <w:pPr>
        <w:rPr>
          <w:lang w:val="en-US"/>
        </w:rPr>
      </w:pPr>
    </w:p>
    <w:p w14:paraId="034C928C" w14:textId="77777777" w:rsidR="00414FBE" w:rsidRDefault="00414FBE" w:rsidP="00414FBE">
      <w:pPr>
        <w:rPr>
          <w:lang w:val="en-US"/>
        </w:rPr>
      </w:pPr>
    </w:p>
    <w:p w14:paraId="75CC3BE5" w14:textId="77777777" w:rsidR="00414FBE" w:rsidRDefault="00414FBE" w:rsidP="00414FBE">
      <w:pPr>
        <w:rPr>
          <w:lang w:val="en-US"/>
        </w:rPr>
      </w:pPr>
    </w:p>
    <w:p w14:paraId="5B19ADEA" w14:textId="77777777" w:rsidR="00414FBE" w:rsidRDefault="00414FBE" w:rsidP="00414FBE">
      <w:pPr>
        <w:rPr>
          <w:lang w:val="en-US"/>
        </w:rPr>
      </w:pPr>
    </w:p>
    <w:p w14:paraId="71863477" w14:textId="77777777" w:rsidR="00414FBE" w:rsidRDefault="00414FBE" w:rsidP="00414FBE">
      <w:pPr>
        <w:rPr>
          <w:lang w:val="en-US"/>
        </w:rPr>
      </w:pPr>
    </w:p>
    <w:p w14:paraId="017C4A4F" w14:textId="77777777" w:rsidR="00414FBE" w:rsidRDefault="00414FBE" w:rsidP="00414FBE">
      <w:pPr>
        <w:rPr>
          <w:lang w:val="en-US"/>
        </w:rPr>
      </w:pPr>
    </w:p>
    <w:p w14:paraId="28E1E8E9" w14:textId="77777777" w:rsidR="00414FBE" w:rsidRDefault="00414FBE" w:rsidP="00414FBE">
      <w:pPr>
        <w:rPr>
          <w:lang w:val="en-US"/>
        </w:rPr>
      </w:pPr>
    </w:p>
    <w:p w14:paraId="16EEABB1" w14:textId="77777777" w:rsidR="00414FBE" w:rsidRDefault="00414FBE" w:rsidP="00414FBE">
      <w:pPr>
        <w:rPr>
          <w:lang w:val="en-US"/>
        </w:rPr>
      </w:pPr>
    </w:p>
    <w:p w14:paraId="590E40DA" w14:textId="77777777" w:rsidR="00414FBE" w:rsidRDefault="00414FBE" w:rsidP="00414FBE">
      <w:pPr>
        <w:rPr>
          <w:lang w:val="en-US"/>
        </w:rPr>
      </w:pPr>
    </w:p>
    <w:p w14:paraId="2B7DAE27" w14:textId="77777777" w:rsidR="00414FBE" w:rsidRDefault="00414FBE" w:rsidP="00414FBE">
      <w:pPr>
        <w:rPr>
          <w:lang w:val="en-US"/>
        </w:rPr>
      </w:pPr>
    </w:p>
    <w:p w14:paraId="2070F565" w14:textId="77777777" w:rsidR="00414FBE" w:rsidRDefault="00414FBE" w:rsidP="00414FBE">
      <w:pPr>
        <w:rPr>
          <w:lang w:val="en-US"/>
        </w:rPr>
      </w:pPr>
    </w:p>
    <w:p w14:paraId="1CD18EC6" w14:textId="77777777" w:rsidR="00414FBE" w:rsidRPr="00414FBE" w:rsidRDefault="00414FBE" w:rsidP="00414FBE">
      <w:pPr>
        <w:rPr>
          <w:lang w:val="en-US"/>
        </w:rPr>
      </w:pPr>
    </w:p>
    <w:p w14:paraId="0CA0C422" w14:textId="604C0D9C" w:rsidR="00C86A26" w:rsidRPr="00B967B5" w:rsidRDefault="00C86A26" w:rsidP="006378C0">
      <w:pPr>
        <w:pStyle w:val="Heading1"/>
        <w:rPr>
          <w:lang w:val="en-US"/>
        </w:rPr>
      </w:pPr>
      <w:bookmarkStart w:id="24" w:name="_Toc178363742"/>
      <w:r w:rsidRPr="00B967B5">
        <w:rPr>
          <w:lang w:val="en-US"/>
        </w:rPr>
        <w:lastRenderedPageBreak/>
        <w:t>Call of Action</w:t>
      </w:r>
      <w:bookmarkEnd w:id="24"/>
    </w:p>
    <w:p w14:paraId="30B23246" w14:textId="6D3BB4D3" w:rsidR="00C3034C" w:rsidRPr="00C3034C" w:rsidRDefault="00C3034C" w:rsidP="00C3034C">
      <w:pPr>
        <w:spacing w:after="0"/>
        <w:rPr>
          <w:rFonts w:cs="Calibri"/>
        </w:rPr>
      </w:pPr>
      <w:r w:rsidRPr="00C3034C">
        <w:rPr>
          <w:rFonts w:cs="Calibri"/>
          <w:b/>
          <w:bCs/>
        </w:rPr>
        <w:t xml:space="preserve">Empower TD Bank’s EV </w:t>
      </w:r>
      <w:r w:rsidR="001B5588">
        <w:rPr>
          <w:rFonts w:cs="Calibri"/>
          <w:b/>
          <w:bCs/>
        </w:rPr>
        <w:t>i</w:t>
      </w:r>
      <w:r w:rsidRPr="00C3034C">
        <w:rPr>
          <w:rFonts w:cs="Calibri"/>
          <w:b/>
          <w:bCs/>
        </w:rPr>
        <w:t>nitiative with ProcessPro Partners</w:t>
      </w:r>
    </w:p>
    <w:p w14:paraId="3F3F7FB2" w14:textId="77777777" w:rsidR="00C3034C" w:rsidRPr="00C3034C" w:rsidRDefault="00C3034C" w:rsidP="00C3034C">
      <w:pPr>
        <w:spacing w:after="0"/>
        <w:rPr>
          <w:rFonts w:cs="Calibri"/>
        </w:rPr>
      </w:pPr>
      <w:r w:rsidRPr="00C3034C">
        <w:rPr>
          <w:rFonts w:cs="Calibri"/>
        </w:rPr>
        <w:t>Get ready to plug into a wireless future. TD Bank introduce a new era of innovation with its strategic acquisition of WiTricity. We invite you to be part of this journey that is set to electrify the future!</w:t>
      </w:r>
    </w:p>
    <w:p w14:paraId="0212A875" w14:textId="77777777" w:rsidR="00C3034C" w:rsidRPr="00C3034C" w:rsidRDefault="00C3034C" w:rsidP="00C3034C">
      <w:pPr>
        <w:spacing w:after="0"/>
        <w:rPr>
          <w:rFonts w:cs="Calibri"/>
        </w:rPr>
      </w:pPr>
      <w:r w:rsidRPr="00C3034C">
        <w:rPr>
          <w:rFonts w:cs="Calibri"/>
        </w:rPr>
        <w:t>We welcome all stakeholders to make this ambitious vision a reality. Together, we can prioritize sustainability and customer satisfaction to shape the future of electric vehicles.</w:t>
      </w:r>
    </w:p>
    <w:p w14:paraId="20D54D59" w14:textId="6CDF45CA" w:rsidR="00C3034C" w:rsidRPr="006C372A" w:rsidRDefault="00C3034C" w:rsidP="004369DD">
      <w:pPr>
        <w:pStyle w:val="ListParagraph"/>
        <w:numPr>
          <w:ilvl w:val="0"/>
          <w:numId w:val="9"/>
        </w:numPr>
        <w:spacing w:after="0"/>
        <w:rPr>
          <w:rFonts w:cs="Calibri"/>
        </w:rPr>
      </w:pPr>
      <w:r w:rsidRPr="006C372A">
        <w:rPr>
          <w:rFonts w:cs="Calibri"/>
          <w:b/>
          <w:bCs/>
        </w:rPr>
        <w:t xml:space="preserve">For the </w:t>
      </w:r>
      <w:r w:rsidR="001B5588">
        <w:rPr>
          <w:rFonts w:cs="Calibri"/>
          <w:b/>
          <w:bCs/>
        </w:rPr>
        <w:t>e</w:t>
      </w:r>
      <w:r w:rsidRPr="006C372A">
        <w:rPr>
          <w:rFonts w:cs="Calibri"/>
          <w:b/>
          <w:bCs/>
        </w:rPr>
        <w:t xml:space="preserve">xecutive </w:t>
      </w:r>
      <w:r w:rsidR="001B5588">
        <w:rPr>
          <w:rFonts w:cs="Calibri"/>
          <w:b/>
          <w:bCs/>
        </w:rPr>
        <w:t>t</w:t>
      </w:r>
      <w:r w:rsidRPr="006C372A">
        <w:rPr>
          <w:rFonts w:cs="Calibri"/>
          <w:b/>
          <w:bCs/>
        </w:rPr>
        <w:t>eam</w:t>
      </w:r>
      <w:r w:rsidRPr="006C372A">
        <w:rPr>
          <w:rFonts w:cs="Calibri"/>
        </w:rPr>
        <w:t xml:space="preserve">: Lead the charge in using WiTricity's cutting-edge technology to expand digital offerings, attract new customers and unlock new revenue streams. Be the driving force behind this transformative initiative. </w:t>
      </w:r>
    </w:p>
    <w:p w14:paraId="320515B1" w14:textId="2E94957D" w:rsidR="00C3034C" w:rsidRPr="006C372A" w:rsidRDefault="00C3034C" w:rsidP="004369DD">
      <w:pPr>
        <w:pStyle w:val="ListParagraph"/>
        <w:numPr>
          <w:ilvl w:val="0"/>
          <w:numId w:val="9"/>
        </w:numPr>
        <w:spacing w:after="0"/>
        <w:rPr>
          <w:rFonts w:cs="Calibri"/>
        </w:rPr>
      </w:pPr>
      <w:r w:rsidRPr="006C372A">
        <w:rPr>
          <w:rFonts w:cs="Calibri"/>
          <w:b/>
          <w:bCs/>
        </w:rPr>
        <w:t xml:space="preserve">For </w:t>
      </w:r>
      <w:r w:rsidR="001B5588">
        <w:rPr>
          <w:rFonts w:cs="Calibri"/>
          <w:b/>
          <w:bCs/>
        </w:rPr>
        <w:t>e</w:t>
      </w:r>
      <w:r w:rsidRPr="006C372A">
        <w:rPr>
          <w:rFonts w:cs="Calibri"/>
          <w:b/>
          <w:bCs/>
        </w:rPr>
        <w:t>mployees:</w:t>
      </w:r>
      <w:r w:rsidRPr="006C372A">
        <w:rPr>
          <w:rFonts w:cs="Calibri"/>
        </w:rPr>
        <w:t xml:space="preserve"> Be part of the innovation. Join interactive workshops, share your insights and provide feedback. Your contributions will shape a more sustainable future.</w:t>
      </w:r>
    </w:p>
    <w:p w14:paraId="081E074A" w14:textId="5E154878" w:rsidR="00C3034C" w:rsidRPr="006C372A" w:rsidRDefault="00C3034C" w:rsidP="004369DD">
      <w:pPr>
        <w:pStyle w:val="ListParagraph"/>
        <w:numPr>
          <w:ilvl w:val="0"/>
          <w:numId w:val="9"/>
        </w:numPr>
        <w:spacing w:after="0"/>
        <w:rPr>
          <w:rFonts w:cs="Calibri"/>
        </w:rPr>
      </w:pPr>
      <w:r w:rsidRPr="006C372A">
        <w:rPr>
          <w:rFonts w:cs="Calibri"/>
          <w:b/>
          <w:bCs/>
        </w:rPr>
        <w:t xml:space="preserve">For </w:t>
      </w:r>
      <w:r w:rsidR="001B5588">
        <w:rPr>
          <w:rFonts w:cs="Calibri"/>
          <w:b/>
          <w:bCs/>
        </w:rPr>
        <w:t>i</w:t>
      </w:r>
      <w:r w:rsidRPr="006C372A">
        <w:rPr>
          <w:rFonts w:cs="Calibri"/>
          <w:b/>
          <w:bCs/>
        </w:rPr>
        <w:t xml:space="preserve">ndustry and </w:t>
      </w:r>
      <w:r w:rsidR="001B5588">
        <w:rPr>
          <w:rFonts w:cs="Calibri"/>
          <w:b/>
          <w:bCs/>
        </w:rPr>
        <w:t>t</w:t>
      </w:r>
      <w:r w:rsidRPr="006C372A">
        <w:rPr>
          <w:rFonts w:cs="Calibri"/>
          <w:b/>
          <w:bCs/>
        </w:rPr>
        <w:t xml:space="preserve">echnology </w:t>
      </w:r>
      <w:r w:rsidR="001B5588">
        <w:rPr>
          <w:rFonts w:cs="Calibri"/>
          <w:b/>
          <w:bCs/>
        </w:rPr>
        <w:t>p</w:t>
      </w:r>
      <w:r w:rsidRPr="006C372A">
        <w:rPr>
          <w:rFonts w:cs="Calibri"/>
          <w:b/>
          <w:bCs/>
        </w:rPr>
        <w:t>artners:</w:t>
      </w:r>
      <w:r w:rsidRPr="006C372A">
        <w:rPr>
          <w:rFonts w:cs="Calibri"/>
        </w:rPr>
        <w:t xml:space="preserve"> Explore the potential of Wi</w:t>
      </w:r>
      <w:r w:rsidR="001B5588">
        <w:rPr>
          <w:rFonts w:cs="Calibri"/>
        </w:rPr>
        <w:t>T</w:t>
      </w:r>
      <w:r w:rsidRPr="006C372A">
        <w:rPr>
          <w:rFonts w:cs="Calibri"/>
        </w:rPr>
        <w:t>r</w:t>
      </w:r>
      <w:r w:rsidR="001B5588">
        <w:rPr>
          <w:rFonts w:cs="Calibri"/>
        </w:rPr>
        <w:t>i</w:t>
      </w:r>
      <w:r w:rsidRPr="006C372A">
        <w:rPr>
          <w:rFonts w:cs="Calibri"/>
        </w:rPr>
        <w:t>city's technology and actively participate in shaping the future of TD Bank. Attend industry events, participate in discussions and share your insights to help us refine our approach.</w:t>
      </w:r>
    </w:p>
    <w:p w14:paraId="030A4926" w14:textId="58F6F886" w:rsidR="00C3034C" w:rsidRPr="006C372A" w:rsidRDefault="00C3034C" w:rsidP="004369DD">
      <w:pPr>
        <w:pStyle w:val="ListParagraph"/>
        <w:numPr>
          <w:ilvl w:val="0"/>
          <w:numId w:val="9"/>
        </w:numPr>
        <w:spacing w:after="0"/>
        <w:rPr>
          <w:rFonts w:cs="Calibri"/>
        </w:rPr>
      </w:pPr>
      <w:r w:rsidRPr="006C372A">
        <w:rPr>
          <w:rFonts w:cs="Calibri"/>
          <w:b/>
          <w:bCs/>
        </w:rPr>
        <w:t xml:space="preserve">For </w:t>
      </w:r>
      <w:r w:rsidR="001B5588">
        <w:rPr>
          <w:rFonts w:cs="Calibri"/>
          <w:b/>
          <w:bCs/>
        </w:rPr>
        <w:t>c</w:t>
      </w:r>
      <w:r w:rsidRPr="006C372A">
        <w:rPr>
          <w:rFonts w:cs="Calibri"/>
          <w:b/>
          <w:bCs/>
        </w:rPr>
        <w:t xml:space="preserve">ustomers: </w:t>
      </w:r>
      <w:r w:rsidRPr="006C372A">
        <w:rPr>
          <w:rFonts w:cs="Calibri"/>
        </w:rPr>
        <w:t xml:space="preserve">Your opinions and insights are crucial in shaping the future of TD Bank's sustainable offerings. Join our surveys and feedback sessions to share your thoughts. Your input will ensure that our sustainable initiatives align with your values and priorities. </w:t>
      </w:r>
    </w:p>
    <w:p w14:paraId="3CA4F12D" w14:textId="0150CC63" w:rsidR="00C3034C" w:rsidRPr="006C372A" w:rsidRDefault="00C3034C" w:rsidP="004369DD">
      <w:pPr>
        <w:pStyle w:val="ListParagraph"/>
        <w:numPr>
          <w:ilvl w:val="0"/>
          <w:numId w:val="9"/>
        </w:numPr>
        <w:spacing w:after="0"/>
        <w:rPr>
          <w:rFonts w:cs="Calibri"/>
        </w:rPr>
      </w:pPr>
      <w:r w:rsidRPr="006C372A">
        <w:rPr>
          <w:rFonts w:cs="Calibri"/>
          <w:b/>
          <w:bCs/>
        </w:rPr>
        <w:t xml:space="preserve">For </w:t>
      </w:r>
      <w:r w:rsidR="001B5588">
        <w:rPr>
          <w:rFonts w:cs="Calibri"/>
          <w:b/>
          <w:bCs/>
        </w:rPr>
        <w:t>r</w:t>
      </w:r>
      <w:r w:rsidRPr="006C372A">
        <w:rPr>
          <w:rFonts w:cs="Calibri"/>
          <w:b/>
          <w:bCs/>
        </w:rPr>
        <w:t xml:space="preserve">egulatory </w:t>
      </w:r>
      <w:r w:rsidR="001B5588">
        <w:rPr>
          <w:rFonts w:cs="Calibri"/>
          <w:b/>
          <w:bCs/>
        </w:rPr>
        <w:t>b</w:t>
      </w:r>
      <w:r w:rsidRPr="006C372A">
        <w:rPr>
          <w:rFonts w:cs="Calibri"/>
          <w:b/>
          <w:bCs/>
        </w:rPr>
        <w:t>odies:</w:t>
      </w:r>
      <w:r w:rsidRPr="006C372A">
        <w:rPr>
          <w:rFonts w:cs="Calibri"/>
        </w:rPr>
        <w:t xml:space="preserve"> Your expertise and guidance are essential in shaping the future of sustainable finance. Collaborate with us, share your insights and provide feedback on our initiatives.</w:t>
      </w:r>
    </w:p>
    <w:p w14:paraId="1EC511EF" w14:textId="77777777" w:rsidR="00C3034C" w:rsidRPr="00C3034C" w:rsidRDefault="00C3034C" w:rsidP="00C3034C">
      <w:pPr>
        <w:spacing w:after="0"/>
        <w:rPr>
          <w:rFonts w:cs="Calibri"/>
        </w:rPr>
      </w:pPr>
      <w:r w:rsidRPr="00C3034C">
        <w:rPr>
          <w:rFonts w:cs="Calibri"/>
        </w:rPr>
        <w:t xml:space="preserve">Imagine a world powered by electric vehicles and be among the first to make it happen! Together, we can redefine the future of banking and sustainability.  </w:t>
      </w:r>
    </w:p>
    <w:p w14:paraId="094DCC5A" w14:textId="77777777" w:rsidR="00C3034C" w:rsidRPr="00C3034C" w:rsidRDefault="00C3034C" w:rsidP="00C3034C">
      <w:pPr>
        <w:spacing w:after="0"/>
        <w:rPr>
          <w:rFonts w:cs="Calibri"/>
        </w:rPr>
      </w:pPr>
      <w:r w:rsidRPr="00C3034C">
        <w:rPr>
          <w:rFonts w:cs="Calibri"/>
        </w:rPr>
        <w:t>Let ProcessPro Partners guide you in transforming this vision into a successful reality.</w:t>
      </w:r>
    </w:p>
    <w:p w14:paraId="08A559F6" w14:textId="77777777" w:rsidR="00C3034C" w:rsidRPr="00C3034C" w:rsidRDefault="00C3034C" w:rsidP="00C3034C">
      <w:pPr>
        <w:spacing w:after="0"/>
        <w:rPr>
          <w:rFonts w:cs="Calibri"/>
        </w:rPr>
      </w:pPr>
      <w:r w:rsidRPr="00C3034C">
        <w:rPr>
          <w:rFonts w:cs="Calibri"/>
          <w:b/>
          <w:bCs/>
        </w:rPr>
        <w:t>Let’s accelerate TD Bank’s journey towards a greener future.</w:t>
      </w:r>
    </w:p>
    <w:p w14:paraId="4A78EDDC" w14:textId="77777777" w:rsidR="00C3034C" w:rsidRPr="00C3034C" w:rsidRDefault="00C3034C" w:rsidP="00C3034C">
      <w:pPr>
        <w:spacing w:after="0"/>
        <w:rPr>
          <w:rFonts w:cs="Calibri"/>
        </w:rPr>
      </w:pPr>
      <w:r w:rsidRPr="00C3034C">
        <w:rPr>
          <w:rFonts w:cs="Calibri"/>
        </w:rPr>
        <w:t>Contact us to discuss the next steps in this transformative initiative.</w:t>
      </w:r>
    </w:p>
    <w:p w14:paraId="1C49F34E" w14:textId="77777777" w:rsidR="00C3034C" w:rsidRPr="00C3034C" w:rsidRDefault="00C3034C" w:rsidP="00C3034C">
      <w:pPr>
        <w:rPr>
          <w:rFonts w:cs="Calibri"/>
        </w:rPr>
      </w:pPr>
    </w:p>
    <w:p w14:paraId="763DF07D" w14:textId="77777777" w:rsidR="00C6176C" w:rsidRPr="00B967B5" w:rsidRDefault="00C6176C" w:rsidP="00C6176C">
      <w:pPr>
        <w:rPr>
          <w:rFonts w:cs="Calibri"/>
          <w:lang w:val="en-US"/>
        </w:rPr>
      </w:pPr>
    </w:p>
    <w:p w14:paraId="48480582" w14:textId="77777777" w:rsidR="00C6176C" w:rsidRPr="00B967B5" w:rsidRDefault="00C6176C" w:rsidP="00C6176C">
      <w:pPr>
        <w:rPr>
          <w:rFonts w:cs="Calibri"/>
          <w:lang w:val="en-US"/>
        </w:rPr>
      </w:pPr>
    </w:p>
    <w:p w14:paraId="584129F1" w14:textId="77777777" w:rsidR="00C6176C" w:rsidRPr="00B967B5" w:rsidRDefault="00C6176C" w:rsidP="00C6176C">
      <w:pPr>
        <w:rPr>
          <w:rFonts w:cs="Calibri"/>
          <w:lang w:val="en-US"/>
        </w:rPr>
      </w:pPr>
    </w:p>
    <w:p w14:paraId="1E8D2356" w14:textId="77777777" w:rsidR="00C6176C" w:rsidRPr="00B967B5" w:rsidRDefault="00C6176C" w:rsidP="00C6176C">
      <w:pPr>
        <w:rPr>
          <w:rFonts w:cs="Calibri"/>
          <w:lang w:val="en-US"/>
        </w:rPr>
      </w:pPr>
    </w:p>
    <w:p w14:paraId="7BD27DFA" w14:textId="77777777" w:rsidR="00A57BE3" w:rsidRDefault="00A57BE3" w:rsidP="00C6176C">
      <w:pPr>
        <w:rPr>
          <w:rFonts w:cs="Calibri"/>
          <w:lang w:val="en-US"/>
        </w:rPr>
        <w:sectPr w:rsidR="00A57BE3" w:rsidSect="005E6642">
          <w:type w:val="continuous"/>
          <w:pgSz w:w="12240" w:h="15840"/>
          <w:pgMar w:top="1440" w:right="1440" w:bottom="1440" w:left="1440" w:header="708" w:footer="708" w:gutter="0"/>
          <w:pgNumType w:start="3"/>
          <w:cols w:space="708"/>
          <w:docGrid w:linePitch="360"/>
        </w:sectPr>
      </w:pPr>
    </w:p>
    <w:p w14:paraId="68453A5A" w14:textId="77777777" w:rsidR="00C6176C" w:rsidRPr="00B967B5" w:rsidRDefault="00C6176C" w:rsidP="00C6176C">
      <w:pPr>
        <w:rPr>
          <w:rFonts w:cs="Calibri"/>
          <w:lang w:val="en-US"/>
        </w:rPr>
      </w:pPr>
    </w:p>
    <w:p w14:paraId="7EB24566" w14:textId="50413E89" w:rsidR="00401B49" w:rsidRPr="00B967B5" w:rsidRDefault="00401B49" w:rsidP="006378C0">
      <w:pPr>
        <w:pStyle w:val="Heading1"/>
        <w:rPr>
          <w:lang w:val="en-US"/>
        </w:rPr>
      </w:pPr>
      <w:bookmarkStart w:id="25" w:name="_Toc178363743"/>
      <w:r w:rsidRPr="00B967B5">
        <w:rPr>
          <w:lang w:val="en-US"/>
        </w:rPr>
        <w:t>References</w:t>
      </w:r>
      <w:bookmarkEnd w:id="25"/>
    </w:p>
    <w:p w14:paraId="44FCF934" w14:textId="77777777" w:rsidR="003A6A3A" w:rsidRPr="00B967B5" w:rsidRDefault="003A6A3A" w:rsidP="003A6A3A">
      <w:pPr>
        <w:spacing w:after="0"/>
        <w:rPr>
          <w:rFonts w:cs="Calibri"/>
          <w:lang w:val="en-US"/>
        </w:rPr>
      </w:pPr>
      <w:r w:rsidRPr="00B967B5">
        <w:rPr>
          <w:rFonts w:cs="Calibri"/>
          <w:lang w:val="en-US"/>
        </w:rPr>
        <w:t xml:space="preserve">Fortune Business Insights. (n.d.). North America electric vehicle market size, share &amp; COVID-19 impact analysis. </w:t>
      </w:r>
    </w:p>
    <w:p w14:paraId="5038173A" w14:textId="3DEAD21D" w:rsidR="003A6A3A" w:rsidRDefault="00C43B93" w:rsidP="003A6A3A">
      <w:pPr>
        <w:spacing w:after="0"/>
        <w:rPr>
          <w:rFonts w:cs="Calibri"/>
          <w:lang w:val="en-US"/>
        </w:rPr>
      </w:pPr>
      <w:hyperlink r:id="rId19" w:history="1">
        <w:r w:rsidR="003A6A3A" w:rsidRPr="00B967B5">
          <w:rPr>
            <w:rStyle w:val="Hyperlink"/>
            <w:rFonts w:cs="Calibri"/>
            <w:lang w:val="en-US"/>
          </w:rPr>
          <w:t>https://www.fortunebusinessinsights.com/north-america-electric-vehicle-market-107688</w:t>
        </w:r>
      </w:hyperlink>
      <w:r w:rsidR="003A6A3A" w:rsidRPr="00B967B5">
        <w:rPr>
          <w:rFonts w:cs="Calibri"/>
          <w:lang w:val="en-US"/>
        </w:rPr>
        <w:t xml:space="preserve"> </w:t>
      </w:r>
    </w:p>
    <w:p w14:paraId="7EEBCFF9" w14:textId="77777777" w:rsidR="00414FBE" w:rsidRPr="00B967B5" w:rsidRDefault="00414FBE" w:rsidP="00414FBE">
      <w:pPr>
        <w:spacing w:after="0" w:line="276" w:lineRule="auto"/>
        <w:jc w:val="left"/>
        <w:rPr>
          <w:rFonts w:cs="Calibri"/>
        </w:rPr>
      </w:pPr>
      <w:r>
        <w:rPr>
          <w:rFonts w:cs="Calibri"/>
        </w:rPr>
        <w:t xml:space="preserve">MDPI. (2024). </w:t>
      </w:r>
      <w:r w:rsidRPr="00A06F1D">
        <w:rPr>
          <w:rFonts w:cs="Calibri"/>
        </w:rPr>
        <w:t>Electric Vehicle Adoption</w:t>
      </w:r>
      <w:r>
        <w:rPr>
          <w:rFonts w:cs="Calibri"/>
        </w:rPr>
        <w:t>.</w:t>
      </w:r>
    </w:p>
    <w:p w14:paraId="37967EB7" w14:textId="77777777" w:rsidR="00414FBE" w:rsidRDefault="00C43B93" w:rsidP="00414FBE">
      <w:pPr>
        <w:spacing w:after="0"/>
        <w:rPr>
          <w:rStyle w:val="Hyperlink"/>
          <w:rFonts w:cs="Calibri"/>
        </w:rPr>
      </w:pPr>
      <w:hyperlink r:id="rId20" w:history="1">
        <w:r w:rsidR="00414FBE" w:rsidRPr="001B66DD">
          <w:rPr>
            <w:rStyle w:val="Hyperlink"/>
            <w:rFonts w:cs="Calibri"/>
          </w:rPr>
          <w:t>https://www.mdpi.com/2032-6653/15/8/375</w:t>
        </w:r>
      </w:hyperlink>
    </w:p>
    <w:p w14:paraId="238804AE" w14:textId="77777777" w:rsidR="00414FBE" w:rsidRPr="001B66DD" w:rsidRDefault="00414FBE" w:rsidP="00414FBE">
      <w:pPr>
        <w:spacing w:after="0"/>
        <w:rPr>
          <w:rFonts w:cs="Calibri"/>
        </w:rPr>
      </w:pPr>
      <w:r>
        <w:rPr>
          <w:rFonts w:cs="Calibri"/>
        </w:rPr>
        <w:t xml:space="preserve">McKinsey &amp; Company. (2019). </w:t>
      </w:r>
      <w:r w:rsidRPr="00414FBE">
        <w:rPr>
          <w:rFonts w:cs="Calibri"/>
        </w:rPr>
        <w:t>Expanding electric-vehicle adoption despite early growing pains</w:t>
      </w:r>
      <w:r>
        <w:rPr>
          <w:rFonts w:cs="Calibri"/>
        </w:rPr>
        <w:t>.</w:t>
      </w:r>
    </w:p>
    <w:p w14:paraId="24AC3EA4" w14:textId="1EB0A0E1" w:rsidR="00414FBE" w:rsidRPr="00B967B5" w:rsidRDefault="00C43B93" w:rsidP="00414FBE">
      <w:pPr>
        <w:spacing w:after="0"/>
        <w:jc w:val="left"/>
        <w:rPr>
          <w:rFonts w:cs="Calibri"/>
          <w:lang w:val="en-US"/>
        </w:rPr>
      </w:pPr>
      <w:hyperlink r:id="rId21" w:history="1">
        <w:r w:rsidR="00414FBE" w:rsidRPr="001B66DD">
          <w:rPr>
            <w:rStyle w:val="Hyperlink"/>
            <w:rFonts w:cs="Calibri"/>
          </w:rPr>
          <w:t>https://www.mckinsey.com/industries/automotive-and-assembly/our-insights/expanding-electric-vehicle-adoption-despite-early-growing-pains</w:t>
        </w:r>
      </w:hyperlink>
    </w:p>
    <w:p w14:paraId="15A13932" w14:textId="77777777" w:rsidR="0003126A" w:rsidRPr="00B967B5" w:rsidRDefault="0003126A" w:rsidP="001222CC">
      <w:pPr>
        <w:spacing w:after="0"/>
        <w:rPr>
          <w:rFonts w:cs="Calibri"/>
          <w:lang w:val="en-US"/>
        </w:rPr>
      </w:pPr>
      <w:r w:rsidRPr="00B967B5">
        <w:rPr>
          <w:rFonts w:cs="Calibri"/>
          <w:lang w:val="en-US"/>
        </w:rPr>
        <w:t>TD Bank Group. (2023). 2023 annual report.</w:t>
      </w:r>
    </w:p>
    <w:p w14:paraId="7B2F6A74" w14:textId="6A811421" w:rsidR="0003126A" w:rsidRPr="00B967B5" w:rsidRDefault="00C43B93" w:rsidP="001222CC">
      <w:pPr>
        <w:spacing w:after="0"/>
        <w:rPr>
          <w:rFonts w:cs="Calibri"/>
          <w:lang w:val="en-US"/>
        </w:rPr>
      </w:pPr>
      <w:hyperlink r:id="rId22" w:history="1">
        <w:r w:rsidR="0094556A" w:rsidRPr="00B967B5">
          <w:rPr>
            <w:rStyle w:val="Hyperlink"/>
            <w:rFonts w:cs="Calibri"/>
          </w:rPr>
          <w:t>https://www.td.com/content/dam/tdcom/canada/about-td/pdf/quarterly-results/2023/2023-annual-report-e.pdf</w:t>
        </w:r>
      </w:hyperlink>
      <w:r w:rsidR="0094556A" w:rsidRPr="00B967B5">
        <w:rPr>
          <w:rFonts w:cs="Calibri"/>
          <w:lang w:val="en-US"/>
        </w:rPr>
        <w:t xml:space="preserve"> </w:t>
      </w:r>
    </w:p>
    <w:p w14:paraId="6513D834" w14:textId="77777777" w:rsidR="0003126A" w:rsidRPr="00B967B5" w:rsidRDefault="0003126A" w:rsidP="001222CC">
      <w:pPr>
        <w:spacing w:after="0"/>
        <w:rPr>
          <w:rFonts w:cs="Calibri"/>
          <w:lang w:val="en-US"/>
        </w:rPr>
      </w:pPr>
      <w:r w:rsidRPr="00B967B5">
        <w:rPr>
          <w:rFonts w:cs="Calibri"/>
          <w:lang w:val="en-US"/>
        </w:rPr>
        <w:t xml:space="preserve">TD Bank Group. (2023). Sustainability report 2023. </w:t>
      </w:r>
    </w:p>
    <w:p w14:paraId="597C4AEC" w14:textId="4497544E" w:rsidR="00401B49" w:rsidRPr="00B967B5" w:rsidRDefault="00C43B93" w:rsidP="001222CC">
      <w:pPr>
        <w:spacing w:after="0"/>
        <w:rPr>
          <w:rFonts w:cs="Calibri"/>
          <w:lang w:val="en-US"/>
        </w:rPr>
      </w:pPr>
      <w:hyperlink r:id="rId23" w:history="1">
        <w:r w:rsidR="00AB63C6" w:rsidRPr="00B967B5">
          <w:rPr>
            <w:rStyle w:val="Hyperlink"/>
            <w:rFonts w:cs="Calibri"/>
          </w:rPr>
          <w:t>https://stories.td.com/ca/en/article/sustainability-report-2023</w:t>
        </w:r>
      </w:hyperlink>
      <w:r w:rsidR="00AB63C6" w:rsidRPr="00B967B5">
        <w:rPr>
          <w:rFonts w:cs="Calibri"/>
          <w:lang w:val="en-US"/>
        </w:rPr>
        <w:t xml:space="preserve"> </w:t>
      </w:r>
    </w:p>
    <w:p w14:paraId="6A0D8337" w14:textId="47F99F26" w:rsidR="00CE0AA8" w:rsidRPr="00B967B5" w:rsidRDefault="006F008B" w:rsidP="006F008B">
      <w:pPr>
        <w:spacing w:after="0"/>
        <w:jc w:val="left"/>
        <w:rPr>
          <w:rFonts w:cs="Calibri"/>
          <w:lang w:val="en-US"/>
        </w:rPr>
      </w:pPr>
      <w:r w:rsidRPr="00B967B5">
        <w:rPr>
          <w:rFonts w:cs="Calibri"/>
          <w:lang w:val="en-US"/>
        </w:rPr>
        <w:t xml:space="preserve">TD Economics. (2023, July 14). US scaling up electric vehicle production. TD Bank Group. </w:t>
      </w:r>
      <w:hyperlink r:id="rId24" w:history="1">
        <w:r w:rsidRPr="00B967B5">
          <w:rPr>
            <w:rStyle w:val="Hyperlink"/>
            <w:rFonts w:cs="Calibri"/>
            <w:lang w:val="en-US"/>
          </w:rPr>
          <w:t>https://economics.td.com/us-scaling-up-electric-vehicle-production</w:t>
        </w:r>
      </w:hyperlink>
      <w:r w:rsidRPr="00B967B5">
        <w:rPr>
          <w:rFonts w:cs="Calibri"/>
          <w:lang w:val="en-US"/>
        </w:rPr>
        <w:t xml:space="preserve"> </w:t>
      </w:r>
    </w:p>
    <w:p w14:paraId="445C1858" w14:textId="77777777" w:rsidR="003A6A3A" w:rsidRPr="006F008B" w:rsidRDefault="003A6A3A" w:rsidP="003A6A3A">
      <w:pPr>
        <w:spacing w:after="0" w:line="276" w:lineRule="auto"/>
        <w:jc w:val="left"/>
        <w:rPr>
          <w:rFonts w:cs="Calibri"/>
        </w:rPr>
      </w:pPr>
      <w:r w:rsidRPr="00B967B5">
        <w:rPr>
          <w:rFonts w:cs="Calibri"/>
        </w:rPr>
        <w:t xml:space="preserve">Toronto-Dominion Bank (TD). (n.d.). The Canadian Encyclopedia. </w:t>
      </w:r>
      <w:hyperlink r:id="rId25" w:history="1">
        <w:r w:rsidRPr="00B967B5">
          <w:rPr>
            <w:rStyle w:val="Hyperlink"/>
            <w:rFonts w:cs="Calibri"/>
          </w:rPr>
          <w:t>https://www.thecanadianencyclopedia.ca/en/article/td-bank-financial-group</w:t>
        </w:r>
      </w:hyperlink>
      <w:r w:rsidRPr="00B967B5">
        <w:rPr>
          <w:rFonts w:cs="Calibri"/>
          <w:lang w:val="en-US"/>
        </w:rPr>
        <w:t xml:space="preserve"> </w:t>
      </w:r>
    </w:p>
    <w:p w14:paraId="76BF5BF3" w14:textId="165E2BC4" w:rsidR="004F3294" w:rsidRDefault="003A6A3A" w:rsidP="003A6A3A">
      <w:pPr>
        <w:spacing w:after="0" w:line="276" w:lineRule="auto"/>
        <w:jc w:val="left"/>
        <w:rPr>
          <w:rStyle w:val="Hyperlink"/>
          <w:rFonts w:cs="Calibri"/>
        </w:rPr>
      </w:pPr>
      <w:r w:rsidRPr="00B967B5">
        <w:rPr>
          <w:rFonts w:cs="Calibri"/>
        </w:rPr>
        <w:t xml:space="preserve">Wireless Charging Market Size, Share, Growth &amp; Trends, 2030. (n.d.). </w:t>
      </w:r>
      <w:hyperlink r:id="rId26" w:history="1">
        <w:r w:rsidRPr="00B967B5">
          <w:rPr>
            <w:rStyle w:val="Hyperlink"/>
            <w:rFonts w:cs="Calibri"/>
          </w:rPr>
          <w:t>https://www.fortunebusinessinsights.com/wireless-charging-market-105183</w:t>
        </w:r>
      </w:hyperlink>
    </w:p>
    <w:p w14:paraId="4E6D5A2E" w14:textId="2044F639" w:rsidR="004F3294" w:rsidRPr="004F3294" w:rsidRDefault="004F3294" w:rsidP="004F3294">
      <w:pPr>
        <w:rPr>
          <w:rStyle w:val="Hyperlink"/>
          <w:rFonts w:cs="Calibri"/>
          <w:color w:val="auto"/>
          <w:u w:val="none"/>
        </w:rPr>
      </w:pPr>
      <w:r w:rsidRPr="004F3294">
        <w:rPr>
          <w:rStyle w:val="Hyperlink"/>
          <w:rFonts w:cs="Calibri"/>
          <w:color w:val="auto"/>
          <w:u w:val="none"/>
        </w:rPr>
        <w:t>CBC News. (2023, September 26). Trans Mountain's price tag now $30.9B, three times original cost.</w:t>
      </w:r>
      <w:r>
        <w:rPr>
          <w:rStyle w:val="Hyperlink"/>
          <w:rFonts w:cs="Calibri"/>
          <w:color w:val="auto"/>
          <w:u w:val="none"/>
        </w:rPr>
        <w:br/>
      </w:r>
      <w:hyperlink r:id="rId27" w:history="1">
        <w:r w:rsidRPr="008572B5">
          <w:rPr>
            <w:rStyle w:val="Hyperlink"/>
            <w:lang w:val="en-US"/>
          </w:rPr>
          <w:t>https://www.cbc.ca/amp/1.7333482</w:t>
        </w:r>
      </w:hyperlink>
      <w:r w:rsidRPr="004F3294">
        <w:rPr>
          <w:lang w:val="en-US"/>
        </w:rPr>
        <w:t xml:space="preserve"> </w:t>
      </w:r>
      <w:r w:rsidRPr="004F3294">
        <w:rPr>
          <w:lang w:val="en-US"/>
        </w:rPr>
        <w:br/>
      </w:r>
    </w:p>
    <w:sectPr w:rsidR="004F3294" w:rsidRPr="004F3294" w:rsidSect="00224CD7">
      <w:footerReference w:type="first" r:id="rId28"/>
      <w:pgSz w:w="12240" w:h="15840"/>
      <w:pgMar w:top="1440" w:right="1440" w:bottom="1440" w:left="1440" w:header="708" w:footer="708" w:gutter="0"/>
      <w:pgNumType w:fmt="lowerRoman" w:start="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0ABB93" w14:textId="77777777" w:rsidR="009845EA" w:rsidRDefault="009845EA" w:rsidP="004B46BC">
      <w:pPr>
        <w:spacing w:after="0" w:line="240" w:lineRule="auto"/>
      </w:pPr>
      <w:r>
        <w:separator/>
      </w:r>
    </w:p>
  </w:endnote>
  <w:endnote w:type="continuationSeparator" w:id="0">
    <w:p w14:paraId="1A0EB574" w14:textId="77777777" w:rsidR="009845EA" w:rsidRDefault="009845EA" w:rsidP="004B46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6523420"/>
      <w:docPartObj>
        <w:docPartGallery w:val="Page Numbers (Bottom of Page)"/>
        <w:docPartUnique/>
      </w:docPartObj>
    </w:sdtPr>
    <w:sdtEndPr>
      <w:rPr>
        <w:noProof/>
      </w:rPr>
    </w:sdtEndPr>
    <w:sdtContent>
      <w:p w14:paraId="35136A04" w14:textId="379AC2C3" w:rsidR="00633729" w:rsidRDefault="0063372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9831A06" w14:textId="77777777" w:rsidR="00A57BE3" w:rsidRDefault="00A57B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96571B" w14:textId="54D4AC11" w:rsidR="00A57BE3" w:rsidRDefault="00A57BE3">
    <w:pPr>
      <w:pStyle w:val="Footer"/>
      <w:jc w:val="right"/>
    </w:pPr>
  </w:p>
  <w:p w14:paraId="58F4E231" w14:textId="77777777" w:rsidR="00A57BE3" w:rsidRDefault="00A57BE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44798959"/>
      <w:docPartObj>
        <w:docPartGallery w:val="Page Numbers (Bottom of Page)"/>
        <w:docPartUnique/>
      </w:docPartObj>
    </w:sdtPr>
    <w:sdtEndPr>
      <w:rPr>
        <w:noProof/>
      </w:rPr>
    </w:sdtEndPr>
    <w:sdtContent>
      <w:p w14:paraId="2EFFA43E" w14:textId="77777777" w:rsidR="00224CD7" w:rsidRDefault="00224CD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04C9C57" w14:textId="77777777" w:rsidR="00224CD7" w:rsidRDefault="00224CD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97769382"/>
      <w:docPartObj>
        <w:docPartGallery w:val="Page Numbers (Bottom of Page)"/>
        <w:docPartUnique/>
      </w:docPartObj>
    </w:sdtPr>
    <w:sdtEndPr>
      <w:rPr>
        <w:noProof/>
      </w:rPr>
    </w:sdtEndPr>
    <w:sdtContent>
      <w:p w14:paraId="1C96FEA3" w14:textId="77777777" w:rsidR="00A57BE3" w:rsidRDefault="00A57BE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7B3875B" w14:textId="77777777" w:rsidR="00A57BE3" w:rsidRDefault="00A57B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B9D89F" w14:textId="77777777" w:rsidR="009845EA" w:rsidRDefault="009845EA" w:rsidP="004B46BC">
      <w:pPr>
        <w:spacing w:after="0" w:line="240" w:lineRule="auto"/>
      </w:pPr>
      <w:r>
        <w:separator/>
      </w:r>
    </w:p>
  </w:footnote>
  <w:footnote w:type="continuationSeparator" w:id="0">
    <w:p w14:paraId="2A1076DC" w14:textId="77777777" w:rsidR="009845EA" w:rsidRDefault="009845EA" w:rsidP="004B46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3D0C76" w14:textId="23F934D0" w:rsidR="009F5204" w:rsidRDefault="009F5204">
    <w:pPr>
      <w:pStyle w:val="Header"/>
    </w:pPr>
    <w:r w:rsidRPr="00BD797E">
      <w:rPr>
        <w:rFonts w:cs="Calibri"/>
        <w:noProof/>
      </w:rPr>
      <w:drawing>
        <wp:anchor distT="0" distB="0" distL="114300" distR="114300" simplePos="0" relativeHeight="251659264" behindDoc="1" locked="0" layoutInCell="1" allowOverlap="1" wp14:anchorId="2A6BE249" wp14:editId="0F4771AC">
          <wp:simplePos x="0" y="0"/>
          <wp:positionH relativeFrom="margin">
            <wp:posOffset>5998845</wp:posOffset>
          </wp:positionH>
          <wp:positionV relativeFrom="page">
            <wp:posOffset>407238</wp:posOffset>
          </wp:positionV>
          <wp:extent cx="445135" cy="457200"/>
          <wp:effectExtent l="0" t="0" r="0" b="0"/>
          <wp:wrapThrough wrapText="bothSides">
            <wp:wrapPolygon edited="0">
              <wp:start x="0" y="0"/>
              <wp:lineTo x="0" y="20700"/>
              <wp:lineTo x="20337" y="20700"/>
              <wp:lineTo x="20337" y="0"/>
              <wp:lineTo x="0" y="0"/>
            </wp:wrapPolygon>
          </wp:wrapThrough>
          <wp:docPr id="212438212" name="Picture 2"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524092" name="Picture 2" descr="A logo for a company&#10;&#10;Description automatically generated"/>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7064" t="15948" r="16496" b="15944"/>
                  <a:stretch/>
                </pic:blipFill>
                <pic:spPr bwMode="auto">
                  <a:xfrm>
                    <a:off x="0" y="0"/>
                    <a:ext cx="445135" cy="457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87694"/>
    <w:multiLevelType w:val="hybridMultilevel"/>
    <w:tmpl w:val="98E882EA"/>
    <w:lvl w:ilvl="0" w:tplc="FA842DCC">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D0C33E1"/>
    <w:multiLevelType w:val="hybridMultilevel"/>
    <w:tmpl w:val="E370C6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5592567"/>
    <w:multiLevelType w:val="hybridMultilevel"/>
    <w:tmpl w:val="98662972"/>
    <w:lvl w:ilvl="0" w:tplc="FA842DCC">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FEB270A"/>
    <w:multiLevelType w:val="hybridMultilevel"/>
    <w:tmpl w:val="F2B4A56C"/>
    <w:lvl w:ilvl="0" w:tplc="CBA4CF6C">
      <w:start w:val="1"/>
      <w:numFmt w:val="decimal"/>
      <w:lvlText w:val="%1."/>
      <w:lvlJc w:val="left"/>
      <w:pPr>
        <w:ind w:left="720" w:hanging="360"/>
      </w:pPr>
      <w:rPr>
        <w:rFonts w:hint="default"/>
        <w:b/>
        <w:b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EDF6E65"/>
    <w:multiLevelType w:val="hybridMultilevel"/>
    <w:tmpl w:val="094CFB08"/>
    <w:lvl w:ilvl="0" w:tplc="10090001">
      <w:start w:val="1"/>
      <w:numFmt w:val="bullet"/>
      <w:lvlText w:val=""/>
      <w:lvlJc w:val="left"/>
      <w:pPr>
        <w:ind w:left="720" w:hanging="360"/>
      </w:pPr>
      <w:rPr>
        <w:rFonts w:ascii="Symbol" w:hAnsi="Symbol" w:hint="default"/>
        <w:b/>
        <w:b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0193FF5"/>
    <w:multiLevelType w:val="hybridMultilevel"/>
    <w:tmpl w:val="D8B658E0"/>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15:restartNumberingAfterBreak="0">
    <w:nsid w:val="545F018A"/>
    <w:multiLevelType w:val="hybridMultilevel"/>
    <w:tmpl w:val="9462E2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5C2325A"/>
    <w:multiLevelType w:val="hybridMultilevel"/>
    <w:tmpl w:val="A8C04008"/>
    <w:lvl w:ilvl="0" w:tplc="FA842DCC">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6B86AD7"/>
    <w:multiLevelType w:val="hybridMultilevel"/>
    <w:tmpl w:val="342E1BFC"/>
    <w:lvl w:ilvl="0" w:tplc="F4ECA158">
      <w:start w:val="1"/>
      <w:numFmt w:val="decimal"/>
      <w:lvlText w:val="%1."/>
      <w:lvlJc w:val="left"/>
      <w:pPr>
        <w:ind w:left="720" w:hanging="360"/>
      </w:pPr>
      <w:rPr>
        <w:b/>
        <w:b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6CD1B1E"/>
    <w:multiLevelType w:val="hybridMultilevel"/>
    <w:tmpl w:val="4524D172"/>
    <w:lvl w:ilvl="0" w:tplc="FA842DCC">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B1C6140"/>
    <w:multiLevelType w:val="hybridMultilevel"/>
    <w:tmpl w:val="2BC8F3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D411DF4"/>
    <w:multiLevelType w:val="hybridMultilevel"/>
    <w:tmpl w:val="D8328038"/>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start w:val="1"/>
      <w:numFmt w:val="bullet"/>
      <w:lvlText w:val=""/>
      <w:lvlJc w:val="left"/>
      <w:pPr>
        <w:ind w:left="3960" w:hanging="360"/>
      </w:pPr>
      <w:rPr>
        <w:rFonts w:ascii="Wingdings" w:hAnsi="Wingdings" w:hint="default"/>
      </w:rPr>
    </w:lvl>
    <w:lvl w:ilvl="6" w:tplc="10090001">
      <w:start w:val="1"/>
      <w:numFmt w:val="bullet"/>
      <w:lvlText w:val=""/>
      <w:lvlJc w:val="left"/>
      <w:pPr>
        <w:ind w:left="4680" w:hanging="360"/>
      </w:pPr>
      <w:rPr>
        <w:rFonts w:ascii="Symbol" w:hAnsi="Symbol" w:hint="default"/>
      </w:rPr>
    </w:lvl>
    <w:lvl w:ilvl="7" w:tplc="10090003">
      <w:start w:val="1"/>
      <w:numFmt w:val="bullet"/>
      <w:lvlText w:val="o"/>
      <w:lvlJc w:val="left"/>
      <w:pPr>
        <w:ind w:left="5400" w:hanging="360"/>
      </w:pPr>
      <w:rPr>
        <w:rFonts w:ascii="Courier New" w:hAnsi="Courier New" w:cs="Courier New" w:hint="default"/>
      </w:rPr>
    </w:lvl>
    <w:lvl w:ilvl="8" w:tplc="10090005">
      <w:start w:val="1"/>
      <w:numFmt w:val="bullet"/>
      <w:lvlText w:val=""/>
      <w:lvlJc w:val="left"/>
      <w:pPr>
        <w:ind w:left="6120" w:hanging="360"/>
      </w:pPr>
      <w:rPr>
        <w:rFonts w:ascii="Wingdings" w:hAnsi="Wingdings" w:hint="default"/>
      </w:rPr>
    </w:lvl>
  </w:abstractNum>
  <w:abstractNum w:abstractNumId="12" w15:restartNumberingAfterBreak="0">
    <w:nsid w:val="6E423BD7"/>
    <w:multiLevelType w:val="hybridMultilevel"/>
    <w:tmpl w:val="2594027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07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F780E05"/>
    <w:multiLevelType w:val="multilevel"/>
    <w:tmpl w:val="6374D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F6562C"/>
    <w:multiLevelType w:val="hybridMultilevel"/>
    <w:tmpl w:val="CB3412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71E36C59"/>
    <w:multiLevelType w:val="hybridMultilevel"/>
    <w:tmpl w:val="B5949E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EC8213C"/>
    <w:multiLevelType w:val="hybridMultilevel"/>
    <w:tmpl w:val="01B61FCC"/>
    <w:lvl w:ilvl="0" w:tplc="FA842DCC">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703046917">
    <w:abstractNumId w:val="14"/>
  </w:num>
  <w:num w:numId="2" w16cid:durableId="1586917282">
    <w:abstractNumId w:val="8"/>
  </w:num>
  <w:num w:numId="3" w16cid:durableId="1882551193">
    <w:abstractNumId w:val="2"/>
  </w:num>
  <w:num w:numId="4" w16cid:durableId="428084745">
    <w:abstractNumId w:val="3"/>
  </w:num>
  <w:num w:numId="5" w16cid:durableId="807548029">
    <w:abstractNumId w:val="0"/>
  </w:num>
  <w:num w:numId="6" w16cid:durableId="1154104214">
    <w:abstractNumId w:val="9"/>
  </w:num>
  <w:num w:numId="7" w16cid:durableId="702051842">
    <w:abstractNumId w:val="16"/>
  </w:num>
  <w:num w:numId="8" w16cid:durableId="1960408464">
    <w:abstractNumId w:val="7"/>
  </w:num>
  <w:num w:numId="9" w16cid:durableId="475144194">
    <w:abstractNumId w:val="11"/>
  </w:num>
  <w:num w:numId="10" w16cid:durableId="396901058">
    <w:abstractNumId w:val="13"/>
  </w:num>
  <w:num w:numId="11" w16cid:durableId="352150354">
    <w:abstractNumId w:val="1"/>
  </w:num>
  <w:num w:numId="12" w16cid:durableId="563953403">
    <w:abstractNumId w:val="6"/>
  </w:num>
  <w:num w:numId="13" w16cid:durableId="1666593087">
    <w:abstractNumId w:val="15"/>
  </w:num>
  <w:num w:numId="14" w16cid:durableId="1846243621">
    <w:abstractNumId w:val="10"/>
  </w:num>
  <w:num w:numId="15" w16cid:durableId="1661083041">
    <w:abstractNumId w:val="12"/>
  </w:num>
  <w:num w:numId="16" w16cid:durableId="1608462229">
    <w:abstractNumId w:val="4"/>
  </w:num>
  <w:num w:numId="17" w16cid:durableId="1608729151">
    <w:abstractNumId w:val="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A63"/>
    <w:rsid w:val="00001A76"/>
    <w:rsid w:val="0000656B"/>
    <w:rsid w:val="00022B16"/>
    <w:rsid w:val="00030DEF"/>
    <w:rsid w:val="0003126A"/>
    <w:rsid w:val="00033070"/>
    <w:rsid w:val="000536A8"/>
    <w:rsid w:val="00053B86"/>
    <w:rsid w:val="000705A8"/>
    <w:rsid w:val="00083D8D"/>
    <w:rsid w:val="0009183F"/>
    <w:rsid w:val="000F7BFC"/>
    <w:rsid w:val="001002B8"/>
    <w:rsid w:val="00100EE6"/>
    <w:rsid w:val="001129BF"/>
    <w:rsid w:val="00116D9E"/>
    <w:rsid w:val="001222CC"/>
    <w:rsid w:val="001415EB"/>
    <w:rsid w:val="00153EBB"/>
    <w:rsid w:val="001540CC"/>
    <w:rsid w:val="00170101"/>
    <w:rsid w:val="00196C5F"/>
    <w:rsid w:val="0019712B"/>
    <w:rsid w:val="001A5D31"/>
    <w:rsid w:val="001B5588"/>
    <w:rsid w:val="001D1C2A"/>
    <w:rsid w:val="00204929"/>
    <w:rsid w:val="00206C15"/>
    <w:rsid w:val="00207535"/>
    <w:rsid w:val="002125EA"/>
    <w:rsid w:val="00215912"/>
    <w:rsid w:val="00224CD7"/>
    <w:rsid w:val="00236057"/>
    <w:rsid w:val="002420E5"/>
    <w:rsid w:val="00257CA1"/>
    <w:rsid w:val="00265F2A"/>
    <w:rsid w:val="00283182"/>
    <w:rsid w:val="002904CA"/>
    <w:rsid w:val="002A2FA8"/>
    <w:rsid w:val="002B4668"/>
    <w:rsid w:val="002B6B4C"/>
    <w:rsid w:val="002E707D"/>
    <w:rsid w:val="002F073B"/>
    <w:rsid w:val="002F3686"/>
    <w:rsid w:val="002F49E2"/>
    <w:rsid w:val="00307E0B"/>
    <w:rsid w:val="003110CA"/>
    <w:rsid w:val="0031394E"/>
    <w:rsid w:val="00337DE5"/>
    <w:rsid w:val="00345267"/>
    <w:rsid w:val="003630EB"/>
    <w:rsid w:val="003779CC"/>
    <w:rsid w:val="00381F1E"/>
    <w:rsid w:val="003A6A3A"/>
    <w:rsid w:val="003C3209"/>
    <w:rsid w:val="003D3ED8"/>
    <w:rsid w:val="00400F52"/>
    <w:rsid w:val="00401B49"/>
    <w:rsid w:val="00413A54"/>
    <w:rsid w:val="004145B0"/>
    <w:rsid w:val="00414FBE"/>
    <w:rsid w:val="004321C7"/>
    <w:rsid w:val="004369DD"/>
    <w:rsid w:val="00441F95"/>
    <w:rsid w:val="00461A59"/>
    <w:rsid w:val="00472E6F"/>
    <w:rsid w:val="004B46BC"/>
    <w:rsid w:val="004C1E02"/>
    <w:rsid w:val="004F2A58"/>
    <w:rsid w:val="004F3294"/>
    <w:rsid w:val="005016AA"/>
    <w:rsid w:val="005527CC"/>
    <w:rsid w:val="0058674F"/>
    <w:rsid w:val="005B4BA9"/>
    <w:rsid w:val="005D2D1A"/>
    <w:rsid w:val="005D3127"/>
    <w:rsid w:val="005E2A73"/>
    <w:rsid w:val="005E6642"/>
    <w:rsid w:val="00631F69"/>
    <w:rsid w:val="00633729"/>
    <w:rsid w:val="00634AC3"/>
    <w:rsid w:val="006378C0"/>
    <w:rsid w:val="006522A1"/>
    <w:rsid w:val="00663787"/>
    <w:rsid w:val="006908C1"/>
    <w:rsid w:val="006A185F"/>
    <w:rsid w:val="006C372A"/>
    <w:rsid w:val="006F008B"/>
    <w:rsid w:val="007011F1"/>
    <w:rsid w:val="007058BA"/>
    <w:rsid w:val="007313CA"/>
    <w:rsid w:val="00734B16"/>
    <w:rsid w:val="00754343"/>
    <w:rsid w:val="00754AB4"/>
    <w:rsid w:val="00755BA9"/>
    <w:rsid w:val="007625F6"/>
    <w:rsid w:val="00780E54"/>
    <w:rsid w:val="00781907"/>
    <w:rsid w:val="00786C78"/>
    <w:rsid w:val="007A2E93"/>
    <w:rsid w:val="007A53E3"/>
    <w:rsid w:val="007C6524"/>
    <w:rsid w:val="007D2E17"/>
    <w:rsid w:val="00806EAF"/>
    <w:rsid w:val="00831DB6"/>
    <w:rsid w:val="00834FF2"/>
    <w:rsid w:val="00845052"/>
    <w:rsid w:val="00850076"/>
    <w:rsid w:val="00853A28"/>
    <w:rsid w:val="00861C0A"/>
    <w:rsid w:val="0087280A"/>
    <w:rsid w:val="008851E8"/>
    <w:rsid w:val="008A3673"/>
    <w:rsid w:val="008B09BD"/>
    <w:rsid w:val="008C01FC"/>
    <w:rsid w:val="008C3DD9"/>
    <w:rsid w:val="008F5944"/>
    <w:rsid w:val="00944588"/>
    <w:rsid w:val="0094556A"/>
    <w:rsid w:val="00951E07"/>
    <w:rsid w:val="0095268D"/>
    <w:rsid w:val="00952738"/>
    <w:rsid w:val="009634CC"/>
    <w:rsid w:val="009845EA"/>
    <w:rsid w:val="009A3A88"/>
    <w:rsid w:val="009C3CE4"/>
    <w:rsid w:val="009E2CD3"/>
    <w:rsid w:val="009E5308"/>
    <w:rsid w:val="009F361D"/>
    <w:rsid w:val="009F5204"/>
    <w:rsid w:val="00A03BD6"/>
    <w:rsid w:val="00A05A29"/>
    <w:rsid w:val="00A06F1D"/>
    <w:rsid w:val="00A57BE3"/>
    <w:rsid w:val="00AB4FFD"/>
    <w:rsid w:val="00AB63C6"/>
    <w:rsid w:val="00AE6E78"/>
    <w:rsid w:val="00AF5496"/>
    <w:rsid w:val="00B10172"/>
    <w:rsid w:val="00B146B9"/>
    <w:rsid w:val="00B156F7"/>
    <w:rsid w:val="00B15E9B"/>
    <w:rsid w:val="00B42E34"/>
    <w:rsid w:val="00B44BCC"/>
    <w:rsid w:val="00B50082"/>
    <w:rsid w:val="00B824C1"/>
    <w:rsid w:val="00B967B5"/>
    <w:rsid w:val="00C06BA0"/>
    <w:rsid w:val="00C1259F"/>
    <w:rsid w:val="00C2143B"/>
    <w:rsid w:val="00C3034C"/>
    <w:rsid w:val="00C32175"/>
    <w:rsid w:val="00C40F67"/>
    <w:rsid w:val="00C43B93"/>
    <w:rsid w:val="00C50CBC"/>
    <w:rsid w:val="00C6176C"/>
    <w:rsid w:val="00C635E1"/>
    <w:rsid w:val="00C86A26"/>
    <w:rsid w:val="00C938CE"/>
    <w:rsid w:val="00C9435E"/>
    <w:rsid w:val="00CB1B79"/>
    <w:rsid w:val="00CE0AA8"/>
    <w:rsid w:val="00CE3310"/>
    <w:rsid w:val="00CF294A"/>
    <w:rsid w:val="00D01F15"/>
    <w:rsid w:val="00D055CF"/>
    <w:rsid w:val="00D147B3"/>
    <w:rsid w:val="00D71DD0"/>
    <w:rsid w:val="00D87201"/>
    <w:rsid w:val="00D91738"/>
    <w:rsid w:val="00D95F79"/>
    <w:rsid w:val="00DA0C1E"/>
    <w:rsid w:val="00DB4822"/>
    <w:rsid w:val="00DD5140"/>
    <w:rsid w:val="00DE3F05"/>
    <w:rsid w:val="00E26F30"/>
    <w:rsid w:val="00E3647B"/>
    <w:rsid w:val="00E66D68"/>
    <w:rsid w:val="00E6723A"/>
    <w:rsid w:val="00E92BBF"/>
    <w:rsid w:val="00E957EF"/>
    <w:rsid w:val="00EA71F7"/>
    <w:rsid w:val="00EB18FE"/>
    <w:rsid w:val="00F02286"/>
    <w:rsid w:val="00F44A63"/>
    <w:rsid w:val="00F46F49"/>
    <w:rsid w:val="00F84C15"/>
    <w:rsid w:val="00FA31F7"/>
    <w:rsid w:val="00FA68BF"/>
    <w:rsid w:val="00FA7E79"/>
    <w:rsid w:val="00FB448A"/>
    <w:rsid w:val="00FD1CE9"/>
    <w:rsid w:val="00FD6B22"/>
    <w:rsid w:val="00FE108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0C851B"/>
  <w15:chartTrackingRefBased/>
  <w15:docId w15:val="{937AC9D4-5A81-4319-931B-86C1E455C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4A63"/>
    <w:pPr>
      <w:spacing w:line="259" w:lineRule="auto"/>
      <w:jc w:val="both"/>
    </w:pPr>
    <w:rPr>
      <w:rFonts w:ascii="Calibri" w:hAnsi="Calibri"/>
      <w:sz w:val="22"/>
      <w:szCs w:val="22"/>
    </w:rPr>
  </w:style>
  <w:style w:type="paragraph" w:styleId="Heading1">
    <w:name w:val="heading 1"/>
    <w:basedOn w:val="Normal"/>
    <w:next w:val="Normal"/>
    <w:link w:val="Heading1Char"/>
    <w:uiPriority w:val="9"/>
    <w:qFormat/>
    <w:rsid w:val="00F44A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44A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44A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4A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4A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4A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4A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4A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4A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A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4A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4A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4A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4A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4A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4A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4A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4A63"/>
    <w:rPr>
      <w:rFonts w:eastAsiaTheme="majorEastAsia" w:cstheme="majorBidi"/>
      <w:color w:val="272727" w:themeColor="text1" w:themeTint="D8"/>
    </w:rPr>
  </w:style>
  <w:style w:type="paragraph" w:styleId="Title">
    <w:name w:val="Title"/>
    <w:basedOn w:val="Normal"/>
    <w:next w:val="Normal"/>
    <w:link w:val="TitleChar"/>
    <w:uiPriority w:val="10"/>
    <w:qFormat/>
    <w:rsid w:val="00F44A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4A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4A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4A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4A63"/>
    <w:pPr>
      <w:spacing w:before="160"/>
      <w:jc w:val="center"/>
    </w:pPr>
    <w:rPr>
      <w:i/>
      <w:iCs/>
      <w:color w:val="404040" w:themeColor="text1" w:themeTint="BF"/>
    </w:rPr>
  </w:style>
  <w:style w:type="character" w:customStyle="1" w:styleId="QuoteChar">
    <w:name w:val="Quote Char"/>
    <w:basedOn w:val="DefaultParagraphFont"/>
    <w:link w:val="Quote"/>
    <w:uiPriority w:val="29"/>
    <w:rsid w:val="00F44A63"/>
    <w:rPr>
      <w:i/>
      <w:iCs/>
      <w:color w:val="404040" w:themeColor="text1" w:themeTint="BF"/>
    </w:rPr>
  </w:style>
  <w:style w:type="paragraph" w:styleId="ListParagraph">
    <w:name w:val="List Paragraph"/>
    <w:basedOn w:val="Normal"/>
    <w:uiPriority w:val="34"/>
    <w:qFormat/>
    <w:rsid w:val="00F44A63"/>
    <w:pPr>
      <w:ind w:left="720"/>
      <w:contextualSpacing/>
    </w:pPr>
  </w:style>
  <w:style w:type="character" w:styleId="IntenseEmphasis">
    <w:name w:val="Intense Emphasis"/>
    <w:basedOn w:val="DefaultParagraphFont"/>
    <w:uiPriority w:val="21"/>
    <w:qFormat/>
    <w:rsid w:val="00F44A63"/>
    <w:rPr>
      <w:i/>
      <w:iCs/>
      <w:color w:val="0F4761" w:themeColor="accent1" w:themeShade="BF"/>
    </w:rPr>
  </w:style>
  <w:style w:type="paragraph" w:styleId="IntenseQuote">
    <w:name w:val="Intense Quote"/>
    <w:basedOn w:val="Normal"/>
    <w:next w:val="Normal"/>
    <w:link w:val="IntenseQuoteChar"/>
    <w:uiPriority w:val="30"/>
    <w:qFormat/>
    <w:rsid w:val="00F44A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4A63"/>
    <w:rPr>
      <w:i/>
      <w:iCs/>
      <w:color w:val="0F4761" w:themeColor="accent1" w:themeShade="BF"/>
    </w:rPr>
  </w:style>
  <w:style w:type="character" w:styleId="IntenseReference">
    <w:name w:val="Intense Reference"/>
    <w:basedOn w:val="DefaultParagraphFont"/>
    <w:uiPriority w:val="32"/>
    <w:qFormat/>
    <w:rsid w:val="00F44A63"/>
    <w:rPr>
      <w:b/>
      <w:bCs/>
      <w:smallCaps/>
      <w:color w:val="0F4761" w:themeColor="accent1" w:themeShade="BF"/>
      <w:spacing w:val="5"/>
    </w:rPr>
  </w:style>
  <w:style w:type="paragraph" w:styleId="Header">
    <w:name w:val="header"/>
    <w:basedOn w:val="Normal"/>
    <w:link w:val="HeaderChar"/>
    <w:uiPriority w:val="99"/>
    <w:unhideWhenUsed/>
    <w:rsid w:val="004B46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46BC"/>
    <w:rPr>
      <w:rFonts w:ascii="Calibri" w:hAnsi="Calibri"/>
      <w:sz w:val="22"/>
      <w:szCs w:val="22"/>
    </w:rPr>
  </w:style>
  <w:style w:type="paragraph" w:styleId="Footer">
    <w:name w:val="footer"/>
    <w:basedOn w:val="Normal"/>
    <w:link w:val="FooterChar"/>
    <w:uiPriority w:val="99"/>
    <w:unhideWhenUsed/>
    <w:rsid w:val="004B46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46BC"/>
    <w:rPr>
      <w:rFonts w:ascii="Calibri" w:hAnsi="Calibri"/>
      <w:sz w:val="22"/>
      <w:szCs w:val="22"/>
    </w:rPr>
  </w:style>
  <w:style w:type="paragraph" w:styleId="TOCHeading">
    <w:name w:val="TOC Heading"/>
    <w:basedOn w:val="Heading1"/>
    <w:next w:val="Normal"/>
    <w:uiPriority w:val="39"/>
    <w:unhideWhenUsed/>
    <w:qFormat/>
    <w:rsid w:val="009F5204"/>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755BA9"/>
    <w:pPr>
      <w:spacing w:after="100"/>
      <w:ind w:left="220"/>
    </w:pPr>
  </w:style>
  <w:style w:type="character" w:styleId="Hyperlink">
    <w:name w:val="Hyperlink"/>
    <w:basedOn w:val="DefaultParagraphFont"/>
    <w:uiPriority w:val="99"/>
    <w:unhideWhenUsed/>
    <w:rsid w:val="00755BA9"/>
    <w:rPr>
      <w:color w:val="467886" w:themeColor="hyperlink"/>
      <w:u w:val="single"/>
    </w:rPr>
  </w:style>
  <w:style w:type="character" w:styleId="UnresolvedMention">
    <w:name w:val="Unresolved Mention"/>
    <w:basedOn w:val="DefaultParagraphFont"/>
    <w:uiPriority w:val="99"/>
    <w:semiHidden/>
    <w:unhideWhenUsed/>
    <w:rsid w:val="0003126A"/>
    <w:rPr>
      <w:color w:val="605E5C"/>
      <w:shd w:val="clear" w:color="auto" w:fill="E1DFDD"/>
    </w:rPr>
  </w:style>
  <w:style w:type="paragraph" w:styleId="TOC3">
    <w:name w:val="toc 3"/>
    <w:basedOn w:val="Normal"/>
    <w:next w:val="Normal"/>
    <w:autoRedefine/>
    <w:uiPriority w:val="39"/>
    <w:unhideWhenUsed/>
    <w:rsid w:val="00DB4822"/>
    <w:pPr>
      <w:spacing w:after="100"/>
      <w:ind w:left="440"/>
    </w:pPr>
  </w:style>
  <w:style w:type="table" w:styleId="TableGrid">
    <w:name w:val="Table Grid"/>
    <w:basedOn w:val="TableNormal"/>
    <w:uiPriority w:val="39"/>
    <w:rsid w:val="008500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F3294"/>
    <w:rPr>
      <w:color w:val="96607D" w:themeColor="followedHyperlink"/>
      <w:u w:val="single"/>
    </w:rPr>
  </w:style>
  <w:style w:type="paragraph" w:styleId="TOC1">
    <w:name w:val="toc 1"/>
    <w:basedOn w:val="Normal"/>
    <w:next w:val="Normal"/>
    <w:autoRedefine/>
    <w:uiPriority w:val="39"/>
    <w:unhideWhenUsed/>
    <w:rsid w:val="00207535"/>
    <w:pPr>
      <w:spacing w:after="100"/>
    </w:pPr>
  </w:style>
  <w:style w:type="paragraph" w:styleId="Caption">
    <w:name w:val="caption"/>
    <w:basedOn w:val="Normal"/>
    <w:next w:val="Normal"/>
    <w:uiPriority w:val="35"/>
    <w:unhideWhenUsed/>
    <w:qFormat/>
    <w:rsid w:val="00A03BD6"/>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A03BD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8129255">
      <w:bodyDiv w:val="1"/>
      <w:marLeft w:val="0"/>
      <w:marRight w:val="0"/>
      <w:marTop w:val="0"/>
      <w:marBottom w:val="0"/>
      <w:divBdr>
        <w:top w:val="none" w:sz="0" w:space="0" w:color="auto"/>
        <w:left w:val="none" w:sz="0" w:space="0" w:color="auto"/>
        <w:bottom w:val="none" w:sz="0" w:space="0" w:color="auto"/>
        <w:right w:val="none" w:sz="0" w:space="0" w:color="auto"/>
      </w:divBdr>
    </w:div>
    <w:div w:id="607543378">
      <w:bodyDiv w:val="1"/>
      <w:marLeft w:val="0"/>
      <w:marRight w:val="0"/>
      <w:marTop w:val="0"/>
      <w:marBottom w:val="0"/>
      <w:divBdr>
        <w:top w:val="none" w:sz="0" w:space="0" w:color="auto"/>
        <w:left w:val="none" w:sz="0" w:space="0" w:color="auto"/>
        <w:bottom w:val="none" w:sz="0" w:space="0" w:color="auto"/>
        <w:right w:val="none" w:sz="0" w:space="0" w:color="auto"/>
      </w:divBdr>
    </w:div>
    <w:div w:id="738018625">
      <w:bodyDiv w:val="1"/>
      <w:marLeft w:val="0"/>
      <w:marRight w:val="0"/>
      <w:marTop w:val="0"/>
      <w:marBottom w:val="0"/>
      <w:divBdr>
        <w:top w:val="none" w:sz="0" w:space="0" w:color="auto"/>
        <w:left w:val="none" w:sz="0" w:space="0" w:color="auto"/>
        <w:bottom w:val="none" w:sz="0" w:space="0" w:color="auto"/>
        <w:right w:val="none" w:sz="0" w:space="0" w:color="auto"/>
      </w:divBdr>
    </w:div>
    <w:div w:id="830289758">
      <w:bodyDiv w:val="1"/>
      <w:marLeft w:val="0"/>
      <w:marRight w:val="0"/>
      <w:marTop w:val="0"/>
      <w:marBottom w:val="0"/>
      <w:divBdr>
        <w:top w:val="none" w:sz="0" w:space="0" w:color="auto"/>
        <w:left w:val="none" w:sz="0" w:space="0" w:color="auto"/>
        <w:bottom w:val="none" w:sz="0" w:space="0" w:color="auto"/>
        <w:right w:val="none" w:sz="0" w:space="0" w:color="auto"/>
      </w:divBdr>
    </w:div>
    <w:div w:id="1487936568">
      <w:bodyDiv w:val="1"/>
      <w:marLeft w:val="0"/>
      <w:marRight w:val="0"/>
      <w:marTop w:val="0"/>
      <w:marBottom w:val="0"/>
      <w:divBdr>
        <w:top w:val="none" w:sz="0" w:space="0" w:color="auto"/>
        <w:left w:val="none" w:sz="0" w:space="0" w:color="auto"/>
        <w:bottom w:val="none" w:sz="0" w:space="0" w:color="auto"/>
        <w:right w:val="none" w:sz="0" w:space="0" w:color="auto"/>
      </w:divBdr>
    </w:div>
    <w:div w:id="1581208322">
      <w:bodyDiv w:val="1"/>
      <w:marLeft w:val="0"/>
      <w:marRight w:val="0"/>
      <w:marTop w:val="0"/>
      <w:marBottom w:val="0"/>
      <w:divBdr>
        <w:top w:val="none" w:sz="0" w:space="0" w:color="auto"/>
        <w:left w:val="none" w:sz="0" w:space="0" w:color="auto"/>
        <w:bottom w:val="none" w:sz="0" w:space="0" w:color="auto"/>
        <w:right w:val="none" w:sz="0" w:space="0" w:color="auto"/>
      </w:divBdr>
    </w:div>
    <w:div w:id="1841919123">
      <w:bodyDiv w:val="1"/>
      <w:marLeft w:val="0"/>
      <w:marRight w:val="0"/>
      <w:marTop w:val="0"/>
      <w:marBottom w:val="0"/>
      <w:divBdr>
        <w:top w:val="none" w:sz="0" w:space="0" w:color="auto"/>
        <w:left w:val="none" w:sz="0" w:space="0" w:color="auto"/>
        <w:bottom w:val="none" w:sz="0" w:space="0" w:color="auto"/>
        <w:right w:val="none" w:sz="0" w:space="0" w:color="auto"/>
      </w:divBdr>
    </w:div>
    <w:div w:id="1853449086">
      <w:bodyDiv w:val="1"/>
      <w:marLeft w:val="0"/>
      <w:marRight w:val="0"/>
      <w:marTop w:val="0"/>
      <w:marBottom w:val="0"/>
      <w:divBdr>
        <w:top w:val="none" w:sz="0" w:space="0" w:color="auto"/>
        <w:left w:val="none" w:sz="0" w:space="0" w:color="auto"/>
        <w:bottom w:val="none" w:sz="0" w:space="0" w:color="auto"/>
        <w:right w:val="none" w:sz="0" w:space="0" w:color="auto"/>
      </w:divBdr>
    </w:div>
    <w:div w:id="1995143639">
      <w:bodyDiv w:val="1"/>
      <w:marLeft w:val="0"/>
      <w:marRight w:val="0"/>
      <w:marTop w:val="0"/>
      <w:marBottom w:val="0"/>
      <w:divBdr>
        <w:top w:val="none" w:sz="0" w:space="0" w:color="auto"/>
        <w:left w:val="none" w:sz="0" w:space="0" w:color="auto"/>
        <w:bottom w:val="none" w:sz="0" w:space="0" w:color="auto"/>
        <w:right w:val="none" w:sz="0" w:space="0" w:color="auto"/>
      </w:divBdr>
    </w:div>
    <w:div w:id="2109889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7.png"/><Relationship Id="rId26" Type="http://schemas.openxmlformats.org/officeDocument/2006/relationships/hyperlink" Target="https://www.fortunebusinessinsights.com/wireless-charging-market-105183" TargetMode="External"/><Relationship Id="rId3" Type="http://schemas.openxmlformats.org/officeDocument/2006/relationships/styles" Target="styles.xml"/><Relationship Id="rId21" Type="http://schemas.openxmlformats.org/officeDocument/2006/relationships/hyperlink" Target="https://www.mckinsey.com/industries/automotive-and-assembly/our-insights/expanding-electric-vehicle-adoption-despite-early-growing-pains"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hyperlink" Target="https://www.thecanadianencyclopedia.ca/en/article/td-bank-financial-group"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mdpi.com/2032-6653/15/8/375%20"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economics.td.com/us-scaling-up-electric-vehicle-production"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stories.td.com/ca/en/article/sustainability-report-2023"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s://www.fortunebusinessinsights.com/north-america-electric-vehicle-market-107688"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hyperlink" Target="https://www.td.com/content/dam/tdcom/canada/about-td/pdf/quarterly-results/2023/2023-annual-report-e.pdf" TargetMode="External"/><Relationship Id="rId27" Type="http://schemas.openxmlformats.org/officeDocument/2006/relationships/hyperlink" Target="https://www.cbc.ca/amp/1.7333482"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A94988-7F0B-425A-8E81-0CFB6369C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19</Pages>
  <Words>5245</Words>
  <Characters>33596</Characters>
  <Application>Microsoft Office Word</Application>
  <DocSecurity>4</DocSecurity>
  <Lines>279</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Rutvi Patel</dc:creator>
  <cp:keywords/>
  <dc:description/>
  <cp:lastModifiedBy>Prachi Arora</cp:lastModifiedBy>
  <cp:revision>2</cp:revision>
  <dcterms:created xsi:type="dcterms:W3CDTF">2024-09-28T01:44:00Z</dcterms:created>
  <dcterms:modified xsi:type="dcterms:W3CDTF">2024-09-28T01:44:00Z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db9f2916-5c09-4e47-a014-0dcde60f81ae</vt:lpwstr>
  </property>
</Properties>
</file>