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9562226"/>
    <w:bookmarkStart w:id="1" w:name="_Hlk179562298"/>
    <w:p w14:paraId="40265C97" w14:textId="6D9DBF1E" w:rsidR="009C522C" w:rsidRPr="002234F7" w:rsidRDefault="009C522C" w:rsidP="004C485B">
      <w:pPr>
        <w:spacing w:line="278" w:lineRule="auto"/>
        <w:rPr>
          <w:rFonts w:ascii="Arial" w:hAnsi="Arial" w:cs="Arial"/>
        </w:rPr>
      </w:pPr>
      <w:r w:rsidRPr="002234F7">
        <w:rPr>
          <w:rFonts w:ascii="Arial" w:hAnsi="Arial" w:cs="Arial"/>
          <w:noProof/>
        </w:rPr>
        <mc:AlternateContent>
          <mc:Choice Requires="wps">
            <w:drawing>
              <wp:anchor distT="0" distB="0" distL="114300" distR="114300" simplePos="0" relativeHeight="251666432" behindDoc="0" locked="0" layoutInCell="1" allowOverlap="1" wp14:anchorId="57B9CB52" wp14:editId="15B00E5E">
                <wp:simplePos x="0" y="0"/>
                <wp:positionH relativeFrom="column">
                  <wp:posOffset>-643095</wp:posOffset>
                </wp:positionH>
                <wp:positionV relativeFrom="paragraph">
                  <wp:posOffset>-612949</wp:posOffset>
                </wp:positionV>
                <wp:extent cx="7023798" cy="10038303"/>
                <wp:effectExtent l="0" t="0" r="24765" b="20320"/>
                <wp:wrapNone/>
                <wp:docPr id="1193273636" name="Rectangle 2"/>
                <wp:cNvGraphicFramePr/>
                <a:graphic xmlns:a="http://schemas.openxmlformats.org/drawingml/2006/main">
                  <a:graphicData uri="http://schemas.microsoft.com/office/word/2010/wordprocessingShape">
                    <wps:wsp>
                      <wps:cNvSpPr/>
                      <wps:spPr>
                        <a:xfrm>
                          <a:off x="0" y="0"/>
                          <a:ext cx="7023798" cy="1003830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089DC3" id="Rectangle 2" o:spid="_x0000_s1026" style="position:absolute;margin-left:-50.65pt;margin-top:-48.25pt;width:553.05pt;height:790.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" filled="f" strokecolor="#030e13 [484]" strokeweight="1pt"/>
            </w:pict>
          </mc:Fallback>
        </mc:AlternateContent>
      </w:r>
    </w:p>
    <w:p w14:paraId="1ABAF442" w14:textId="7270E081" w:rsidR="009C522C" w:rsidRPr="002234F7" w:rsidRDefault="009C522C" w:rsidP="004C485B">
      <w:pPr>
        <w:spacing w:line="278" w:lineRule="auto"/>
        <w:rPr>
          <w:rFonts w:ascii="Arial" w:hAnsi="Arial" w:cs="Arial"/>
        </w:rPr>
      </w:pPr>
      <w:r w:rsidRPr="002234F7">
        <w:rPr>
          <w:rFonts w:ascii="Arial" w:hAnsi="Arial" w:cs="Arial"/>
          <w:noProof/>
        </w:rPr>
        <w:drawing>
          <wp:anchor distT="0" distB="0" distL="114300" distR="114300" simplePos="0" relativeHeight="251659264" behindDoc="1" locked="0" layoutInCell="1" allowOverlap="1" wp14:anchorId="39896C97" wp14:editId="6817A78F">
            <wp:simplePos x="0" y="0"/>
            <wp:positionH relativeFrom="margin">
              <wp:posOffset>738505</wp:posOffset>
            </wp:positionH>
            <wp:positionV relativeFrom="page">
              <wp:posOffset>1509576</wp:posOffset>
            </wp:positionV>
            <wp:extent cx="1049655" cy="1076325"/>
            <wp:effectExtent l="0" t="0" r="0" b="9525"/>
            <wp:wrapThrough wrapText="bothSides">
              <wp:wrapPolygon edited="0">
                <wp:start x="0" y="0"/>
                <wp:lineTo x="0" y="21409"/>
                <wp:lineTo x="21169" y="21409"/>
                <wp:lineTo x="21169" y="0"/>
                <wp:lineTo x="0" y="0"/>
              </wp:wrapPolygon>
            </wp:wrapThrough>
            <wp:docPr id="81052409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64" t="15948" r="16496" b="15944"/>
                    <a:stretch/>
                  </pic:blipFill>
                  <pic:spPr bwMode="auto">
                    <a:xfrm>
                      <a:off x="0" y="0"/>
                      <a:ext cx="104965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3954EE" w14:textId="6F619E49" w:rsidR="009C522C" w:rsidRPr="002234F7" w:rsidRDefault="009C522C" w:rsidP="004C485B">
      <w:pPr>
        <w:rPr>
          <w:rFonts w:ascii="Arial" w:hAnsi="Arial" w:cs="Arial"/>
          <w:lang w:val="en-US"/>
        </w:rPr>
      </w:pPr>
      <w:r w:rsidRPr="002234F7">
        <w:rPr>
          <w:rFonts w:ascii="Arial" w:hAnsi="Arial" w:cs="Arial"/>
          <w:noProof/>
        </w:rPr>
        <mc:AlternateContent>
          <mc:Choice Requires="wps">
            <w:drawing>
              <wp:anchor distT="45720" distB="45720" distL="114300" distR="114300" simplePos="0" relativeHeight="251662336" behindDoc="0" locked="0" layoutInCell="1" allowOverlap="1" wp14:anchorId="6E83F675" wp14:editId="07A77BA7">
                <wp:simplePos x="0" y="0"/>
                <wp:positionH relativeFrom="margin">
                  <wp:posOffset>1872615</wp:posOffset>
                </wp:positionH>
                <wp:positionV relativeFrom="paragraph">
                  <wp:posOffset>265430</wp:posOffset>
                </wp:positionV>
                <wp:extent cx="4133850" cy="1404620"/>
                <wp:effectExtent l="0" t="0" r="0" b="0"/>
                <wp:wrapSquare wrapText="bothSides"/>
                <wp:docPr id="1693928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1349084C" w14:textId="77777777" w:rsidR="009C522C" w:rsidRPr="00F44A63" w:rsidRDefault="009C522C" w:rsidP="009C522C">
                            <w:pPr>
                              <w:rPr>
                                <w:b/>
                                <w:bCs/>
                                <w:sz w:val="56"/>
                                <w:szCs w:val="56"/>
                                <w:lang w:val="en-US"/>
                              </w:rPr>
                            </w:pPr>
                            <w:bookmarkStart w:id="2" w:name="_Hlk179478817"/>
                            <w:bookmarkEnd w:id="2"/>
                            <w:proofErr w:type="spellStart"/>
                            <w:r w:rsidRPr="00F44A63">
                              <w:rPr>
                                <w:b/>
                                <w:bCs/>
                                <w:sz w:val="56"/>
                                <w:szCs w:val="56"/>
                                <w:lang w:val="en-US"/>
                              </w:rPr>
                              <w:t>ProcessPro</w:t>
                            </w:r>
                            <w:proofErr w:type="spellEnd"/>
                            <w:r w:rsidRPr="00F44A63">
                              <w:rPr>
                                <w:b/>
                                <w:bCs/>
                                <w:sz w:val="56"/>
                                <w:szCs w:val="56"/>
                                <w:lang w:val="en-US"/>
                              </w:rPr>
                              <w:t xml:space="preserve"> 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83F675" id="_x0000_t202" coordsize="21600,21600" o:spt="202" path="m,l,21600r21600,l21600,xe">
                <v:stroke joinstyle="miter"/>
                <v:path gradientshapeok="t" o:connecttype="rect"/>
              </v:shapetype>
              <v:shape id="Text Box 2" o:spid="_x0000_s1026" type="#_x0000_t202" style="position:absolute;left:0;text-align:left;margin-left:147.45pt;margin-top:20.9pt;width:32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" stroked="f">
                <v:textbox style="mso-fit-shape-to-text:t">
                  <w:txbxContent>
                    <w:p w14:paraId="1349084C" w14:textId="77777777" w:rsidR="009C522C" w:rsidRPr="00F44A63" w:rsidRDefault="009C522C" w:rsidP="009C522C">
                      <w:pPr>
                        <w:rPr>
                          <w:b/>
                          <w:bCs/>
                          <w:sz w:val="56"/>
                          <w:szCs w:val="56"/>
                          <w:lang w:val="en-US"/>
                        </w:rPr>
                      </w:pPr>
                      <w:bookmarkStart w:id="3" w:name="_Hlk179478817"/>
                      <w:bookmarkEnd w:id="3"/>
                      <w:proofErr w:type="spellStart"/>
                      <w:r w:rsidRPr="00F44A63">
                        <w:rPr>
                          <w:b/>
                          <w:bCs/>
                          <w:sz w:val="56"/>
                          <w:szCs w:val="56"/>
                          <w:lang w:val="en-US"/>
                        </w:rPr>
                        <w:t>ProcessPro</w:t>
                      </w:r>
                      <w:proofErr w:type="spellEnd"/>
                      <w:r w:rsidRPr="00F44A63">
                        <w:rPr>
                          <w:b/>
                          <w:bCs/>
                          <w:sz w:val="56"/>
                          <w:szCs w:val="56"/>
                          <w:lang w:val="en-US"/>
                        </w:rPr>
                        <w:t xml:space="preserve"> Partners</w:t>
                      </w:r>
                    </w:p>
                  </w:txbxContent>
                </v:textbox>
                <w10:wrap type="square" anchorx="margin"/>
              </v:shape>
            </w:pict>
          </mc:Fallback>
        </mc:AlternateContent>
      </w:r>
    </w:p>
    <w:p w14:paraId="5F7BF6D7" w14:textId="56BDA1F7" w:rsidR="009C522C" w:rsidRPr="002234F7" w:rsidRDefault="009C522C" w:rsidP="004C485B">
      <w:pPr>
        <w:rPr>
          <w:rFonts w:ascii="Arial" w:hAnsi="Arial" w:cs="Arial"/>
          <w:lang w:val="en-US"/>
        </w:rPr>
      </w:pPr>
    </w:p>
    <w:p w14:paraId="31B981C7" w14:textId="77777777" w:rsidR="009C522C" w:rsidRPr="002234F7" w:rsidRDefault="009C522C" w:rsidP="004C485B">
      <w:pPr>
        <w:rPr>
          <w:rFonts w:ascii="Arial" w:hAnsi="Arial" w:cs="Arial"/>
          <w:lang w:val="en-US"/>
        </w:rPr>
      </w:pPr>
    </w:p>
    <w:p w14:paraId="34B489CF" w14:textId="77777777" w:rsidR="009C522C" w:rsidRPr="002234F7" w:rsidRDefault="009C522C" w:rsidP="004C485B">
      <w:pPr>
        <w:rPr>
          <w:rFonts w:ascii="Arial" w:hAnsi="Arial" w:cs="Arial"/>
          <w:lang w:val="en-US"/>
        </w:rPr>
      </w:pPr>
    </w:p>
    <w:p w14:paraId="0D178DDD" w14:textId="3094B949" w:rsidR="009C522C" w:rsidRPr="002234F7" w:rsidRDefault="009C522C" w:rsidP="004C485B">
      <w:pPr>
        <w:rPr>
          <w:rFonts w:ascii="Arial" w:hAnsi="Arial" w:cs="Arial"/>
          <w:lang w:val="en-US"/>
        </w:rPr>
      </w:pPr>
    </w:p>
    <w:p w14:paraId="5BAA0B95" w14:textId="3D177FB4" w:rsidR="009C522C" w:rsidRPr="002234F7" w:rsidRDefault="009C522C" w:rsidP="004C485B">
      <w:pPr>
        <w:rPr>
          <w:rFonts w:ascii="Arial" w:hAnsi="Arial" w:cs="Arial"/>
          <w:lang w:val="en-US"/>
        </w:rPr>
      </w:pPr>
      <w:r w:rsidRPr="002234F7">
        <w:rPr>
          <w:rFonts w:ascii="Arial" w:hAnsi="Arial" w:cs="Arial"/>
          <w:noProof/>
        </w:rPr>
        <w:drawing>
          <wp:anchor distT="0" distB="0" distL="114300" distR="114300" simplePos="0" relativeHeight="251660288" behindDoc="0" locked="0" layoutInCell="1" allowOverlap="1" wp14:anchorId="520C6E95" wp14:editId="3C833E79">
            <wp:simplePos x="0" y="0"/>
            <wp:positionH relativeFrom="column">
              <wp:posOffset>925195</wp:posOffset>
            </wp:positionH>
            <wp:positionV relativeFrom="page">
              <wp:posOffset>3150235</wp:posOffset>
            </wp:positionV>
            <wp:extent cx="551180" cy="492760"/>
            <wp:effectExtent l="0" t="0" r="1270" b="2540"/>
            <wp:wrapSquare wrapText="bothSides"/>
            <wp:docPr id="1942646568" name="Picture 4"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6568" name="Picture 4" descr="A green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180"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34F7">
        <w:rPr>
          <w:rFonts w:ascii="Arial" w:hAnsi="Arial" w:cs="Arial"/>
          <w:noProof/>
        </w:rPr>
        <mc:AlternateContent>
          <mc:Choice Requires="wps">
            <w:drawing>
              <wp:anchor distT="45720" distB="45720" distL="114300" distR="114300" simplePos="0" relativeHeight="251661312" behindDoc="0" locked="0" layoutInCell="1" allowOverlap="1" wp14:anchorId="5C857CE8" wp14:editId="6A7D9E82">
                <wp:simplePos x="0" y="0"/>
                <wp:positionH relativeFrom="margin">
                  <wp:posOffset>1873181</wp:posOffset>
                </wp:positionH>
                <wp:positionV relativeFrom="paragraph">
                  <wp:posOffset>131032</wp:posOffset>
                </wp:positionV>
                <wp:extent cx="3741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noFill/>
                          <a:miter lim="800000"/>
                          <a:headEnd/>
                          <a:tailEnd/>
                        </a:ln>
                      </wps:spPr>
                      <wps:txbx>
                        <w:txbxContent>
                          <w:p w14:paraId="3ACC8307" w14:textId="77777777" w:rsidR="009C522C" w:rsidRPr="00885742" w:rsidRDefault="009C522C" w:rsidP="009C522C">
                            <w:pPr>
                              <w:rPr>
                                <w:rFonts w:cs="Calibri"/>
                                <w:b/>
                                <w:sz w:val="44"/>
                                <w:szCs w:val="44"/>
                              </w:rPr>
                            </w:pPr>
                            <w:r w:rsidRPr="00885742">
                              <w:rPr>
                                <w:rFonts w:cs="Calibri"/>
                                <w:b/>
                                <w:sz w:val="44"/>
                                <w:szCs w:val="44"/>
                              </w:rPr>
                              <w:t>Toronto Dominion Bank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57CE8" id="_x0000_s1027" type="#_x0000_t202" style="position:absolute;left:0;text-align:left;margin-left:147.5pt;margin-top:10.3pt;width:294.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" stroked="f">
                <v:textbox style="mso-fit-shape-to-text:t">
                  <w:txbxContent>
                    <w:p w14:paraId="3ACC8307" w14:textId="77777777" w:rsidR="009C522C" w:rsidRPr="00885742" w:rsidRDefault="009C522C" w:rsidP="009C522C">
                      <w:pPr>
                        <w:rPr>
                          <w:rFonts w:cs="Calibri"/>
                          <w:b/>
                          <w:sz w:val="44"/>
                          <w:szCs w:val="44"/>
                        </w:rPr>
                      </w:pPr>
                      <w:r w:rsidRPr="00885742">
                        <w:rPr>
                          <w:rFonts w:cs="Calibri"/>
                          <w:b/>
                          <w:sz w:val="44"/>
                          <w:szCs w:val="44"/>
                        </w:rPr>
                        <w:t>Toronto Dominion Bank</w:t>
                      </w:r>
                    </w:p>
                  </w:txbxContent>
                </v:textbox>
                <w10:wrap type="square" anchorx="margin"/>
              </v:shape>
            </w:pict>
          </mc:Fallback>
        </mc:AlternateContent>
      </w:r>
    </w:p>
    <w:p w14:paraId="258B4B17" w14:textId="71547B0D" w:rsidR="009C522C" w:rsidRPr="002234F7" w:rsidRDefault="009C522C" w:rsidP="004C485B">
      <w:pPr>
        <w:rPr>
          <w:rFonts w:ascii="Arial" w:hAnsi="Arial" w:cs="Arial"/>
          <w:lang w:val="en-US"/>
        </w:rPr>
      </w:pPr>
    </w:p>
    <w:p w14:paraId="6BCC83C6" w14:textId="526F59EE" w:rsidR="009C522C" w:rsidRPr="002234F7" w:rsidRDefault="009C522C" w:rsidP="004C485B">
      <w:pPr>
        <w:rPr>
          <w:rFonts w:ascii="Arial" w:hAnsi="Arial" w:cs="Arial"/>
          <w:lang w:val="en-US"/>
        </w:rPr>
      </w:pPr>
    </w:p>
    <w:p w14:paraId="1FE83BA4" w14:textId="0F365BFB" w:rsidR="009C522C" w:rsidRPr="002234F7" w:rsidRDefault="009C522C" w:rsidP="004C485B">
      <w:pPr>
        <w:rPr>
          <w:rFonts w:ascii="Arial" w:hAnsi="Arial" w:cs="Arial"/>
          <w:lang w:val="en-US"/>
        </w:rPr>
      </w:pPr>
    </w:p>
    <w:p w14:paraId="2B44CE08" w14:textId="3E6D27D7" w:rsidR="009C522C" w:rsidRPr="002234F7" w:rsidRDefault="009C522C" w:rsidP="004C485B">
      <w:pPr>
        <w:rPr>
          <w:rFonts w:ascii="Arial" w:hAnsi="Arial" w:cs="Arial"/>
          <w:lang w:val="en-US"/>
        </w:rPr>
      </w:pPr>
    </w:p>
    <w:p w14:paraId="09A0DF61" w14:textId="6D3CAA5D" w:rsidR="009C522C" w:rsidRPr="002234F7" w:rsidRDefault="009C522C" w:rsidP="004C485B">
      <w:pPr>
        <w:rPr>
          <w:rFonts w:ascii="Arial" w:hAnsi="Arial" w:cs="Arial"/>
          <w:lang w:val="en-US"/>
        </w:rPr>
      </w:pPr>
      <w:r w:rsidRPr="002234F7">
        <w:rPr>
          <w:rFonts w:ascii="Arial" w:hAnsi="Arial" w:cs="Arial"/>
          <w:noProof/>
        </w:rPr>
        <mc:AlternateContent>
          <mc:Choice Requires="wps">
            <w:drawing>
              <wp:anchor distT="45720" distB="45720" distL="114300" distR="114300" simplePos="0" relativeHeight="251664384" behindDoc="0" locked="0" layoutInCell="1" allowOverlap="1" wp14:anchorId="37DD9432" wp14:editId="7967E16E">
                <wp:simplePos x="0" y="0"/>
                <wp:positionH relativeFrom="margin">
                  <wp:posOffset>1072010</wp:posOffset>
                </wp:positionH>
                <wp:positionV relativeFrom="paragraph">
                  <wp:posOffset>11369</wp:posOffset>
                </wp:positionV>
                <wp:extent cx="3520440" cy="1404620"/>
                <wp:effectExtent l="0" t="0" r="3810" b="0"/>
                <wp:wrapSquare wrapText="bothSides"/>
                <wp:docPr id="46071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404620"/>
                        </a:xfrm>
                        <a:prstGeom prst="rect">
                          <a:avLst/>
                        </a:prstGeom>
                        <a:solidFill>
                          <a:srgbClr val="FFFFFF"/>
                        </a:solidFill>
                        <a:ln w="9525">
                          <a:noFill/>
                          <a:miter lim="800000"/>
                          <a:headEnd/>
                          <a:tailEnd/>
                        </a:ln>
                      </wps:spPr>
                      <wps:txbx>
                        <w:txbxContent>
                          <w:p w14:paraId="73D00D65" w14:textId="19DF7DF6" w:rsidR="009C522C" w:rsidRPr="009C522C" w:rsidRDefault="009C522C" w:rsidP="009C522C">
                            <w:pPr>
                              <w:ind w:left="1440"/>
                              <w:jc w:val="left"/>
                              <w:rPr>
                                <w:b/>
                                <w:bCs/>
                                <w:sz w:val="48"/>
                                <w:szCs w:val="48"/>
                                <w:lang w:val="en-US"/>
                              </w:rPr>
                            </w:pPr>
                            <w:r w:rsidRPr="009C522C">
                              <w:rPr>
                                <w:b/>
                                <w:bCs/>
                                <w:noProof/>
                                <w:sz w:val="48"/>
                                <w:szCs w:val="48"/>
                                <w:lang w:val="en-US"/>
                              </w:rPr>
                              <w:t xml:space="preserve">ASSIGNMENT </w:t>
                            </w:r>
                            <w:r>
                              <w:rPr>
                                <w:b/>
                                <w:bCs/>
                                <w:noProof/>
                                <w:sz w:val="48"/>
                                <w:szCs w:val="48"/>
                                <w:lang w:val="en-U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DD9432" id="_x0000_s1028" type="#_x0000_t202" style="position:absolute;left:0;text-align:left;margin-left:84.4pt;margin-top:.9pt;width:277.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" stroked="f">
                <v:textbox style="mso-fit-shape-to-text:t">
                  <w:txbxContent>
                    <w:p w14:paraId="73D00D65" w14:textId="19DF7DF6" w:rsidR="009C522C" w:rsidRPr="009C522C" w:rsidRDefault="009C522C" w:rsidP="009C522C">
                      <w:pPr>
                        <w:ind w:left="1440"/>
                        <w:jc w:val="left"/>
                        <w:rPr>
                          <w:b/>
                          <w:bCs/>
                          <w:sz w:val="48"/>
                          <w:szCs w:val="48"/>
                          <w:lang w:val="en-US"/>
                        </w:rPr>
                      </w:pPr>
                      <w:r w:rsidRPr="009C522C">
                        <w:rPr>
                          <w:b/>
                          <w:bCs/>
                          <w:noProof/>
                          <w:sz w:val="48"/>
                          <w:szCs w:val="48"/>
                          <w:lang w:val="en-US"/>
                        </w:rPr>
                        <w:t xml:space="preserve">ASSIGNMENT </w:t>
                      </w:r>
                      <w:r>
                        <w:rPr>
                          <w:b/>
                          <w:bCs/>
                          <w:noProof/>
                          <w:sz w:val="48"/>
                          <w:szCs w:val="48"/>
                          <w:lang w:val="en-US"/>
                        </w:rPr>
                        <w:t>4</w:t>
                      </w:r>
                    </w:p>
                  </w:txbxContent>
                </v:textbox>
                <w10:wrap type="square" anchorx="margin"/>
              </v:shape>
            </w:pict>
          </mc:Fallback>
        </mc:AlternateContent>
      </w:r>
    </w:p>
    <w:p w14:paraId="7BA630E0" w14:textId="354152B5" w:rsidR="009C522C" w:rsidRPr="002234F7" w:rsidRDefault="009C522C" w:rsidP="004C485B">
      <w:pPr>
        <w:rPr>
          <w:rFonts w:ascii="Arial" w:hAnsi="Arial" w:cs="Arial"/>
          <w:lang w:val="en-US"/>
        </w:rPr>
      </w:pPr>
    </w:p>
    <w:p w14:paraId="31ADFAC3" w14:textId="4A9AC88D" w:rsidR="009C522C" w:rsidRPr="002234F7" w:rsidRDefault="009C522C" w:rsidP="004C485B">
      <w:pPr>
        <w:rPr>
          <w:rFonts w:ascii="Arial" w:hAnsi="Arial" w:cs="Arial"/>
          <w:lang w:val="en-US"/>
        </w:rPr>
      </w:pPr>
    </w:p>
    <w:p w14:paraId="7A79C834" w14:textId="45761C21" w:rsidR="009C522C" w:rsidRPr="002234F7" w:rsidRDefault="009C522C" w:rsidP="004C485B">
      <w:pPr>
        <w:rPr>
          <w:rFonts w:ascii="Arial" w:hAnsi="Arial" w:cs="Arial"/>
          <w:lang w:val="en-US"/>
        </w:rPr>
      </w:pPr>
    </w:p>
    <w:p w14:paraId="2D026A07" w14:textId="77948CD4" w:rsidR="009C522C" w:rsidRPr="002234F7" w:rsidRDefault="009C522C" w:rsidP="004C485B">
      <w:pPr>
        <w:rPr>
          <w:rFonts w:ascii="Arial" w:hAnsi="Arial" w:cs="Arial"/>
          <w:lang w:val="en-US"/>
        </w:rPr>
      </w:pPr>
    </w:p>
    <w:p w14:paraId="50AA6130" w14:textId="395C9BAF" w:rsidR="009C522C" w:rsidRPr="002234F7" w:rsidRDefault="009C522C" w:rsidP="004C485B">
      <w:pPr>
        <w:rPr>
          <w:rFonts w:ascii="Arial" w:hAnsi="Arial" w:cs="Arial"/>
          <w:lang w:val="en-US"/>
        </w:rPr>
      </w:pPr>
      <w:r w:rsidRPr="002234F7">
        <w:rPr>
          <w:rFonts w:ascii="Arial" w:hAnsi="Arial" w:cs="Arial"/>
          <w:noProof/>
        </w:rPr>
        <mc:AlternateContent>
          <mc:Choice Requires="wps">
            <w:drawing>
              <wp:anchor distT="45720" distB="45720" distL="114300" distR="114300" simplePos="0" relativeHeight="251663360" behindDoc="0" locked="0" layoutInCell="1" allowOverlap="1" wp14:anchorId="46F7A1B6" wp14:editId="2503A187">
                <wp:simplePos x="0" y="0"/>
                <wp:positionH relativeFrom="margin">
                  <wp:posOffset>1424940</wp:posOffset>
                </wp:positionH>
                <wp:positionV relativeFrom="paragraph">
                  <wp:posOffset>12700</wp:posOffset>
                </wp:positionV>
                <wp:extent cx="3421380" cy="1404620"/>
                <wp:effectExtent l="0" t="0" r="7620" b="0"/>
                <wp:wrapSquare wrapText="bothSides"/>
                <wp:docPr id="1982777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noFill/>
                          <a:miter lim="800000"/>
                          <a:headEnd/>
                          <a:tailEnd/>
                        </a:ln>
                      </wps:spPr>
                      <wps:txbx>
                        <w:txbxContent>
                          <w:p w14:paraId="63EF0643" w14:textId="3A583DF0" w:rsidR="009C522C" w:rsidRPr="00CF726C" w:rsidRDefault="009C522C" w:rsidP="009C522C">
                            <w:pPr>
                              <w:jc w:val="center"/>
                              <w:rPr>
                                <w:b/>
                                <w:bCs/>
                                <w:sz w:val="32"/>
                                <w:szCs w:val="32"/>
                                <w:lang w:val="en-US"/>
                              </w:rPr>
                            </w:pPr>
                            <w:r>
                              <w:rPr>
                                <w:b/>
                                <w:bCs/>
                                <w:sz w:val="32"/>
                                <w:szCs w:val="32"/>
                                <w:lang w:val="en-US"/>
                              </w:rPr>
                              <w:t>11</w:t>
                            </w:r>
                            <w:r w:rsidRPr="00CF726C">
                              <w:rPr>
                                <w:b/>
                                <w:bCs/>
                                <w:sz w:val="32"/>
                                <w:szCs w:val="32"/>
                                <w:vertAlign w:val="superscript"/>
                                <w:lang w:val="en-US"/>
                              </w:rPr>
                              <w:t xml:space="preserve">th </w:t>
                            </w:r>
                            <w:r w:rsidRPr="00CF726C">
                              <w:rPr>
                                <w:b/>
                                <w:bCs/>
                                <w:sz w:val="32"/>
                                <w:szCs w:val="32"/>
                                <w:lang w:val="en-US"/>
                              </w:rPr>
                              <w:t>October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7A1B6" id="_x0000_s1029" type="#_x0000_t202" style="position:absolute;left:0;text-align:left;margin-left:112.2pt;margin-top:1pt;width:269.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7z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" stroked="f">
                <v:textbox style="mso-fit-shape-to-text:t">
                  <w:txbxContent>
                    <w:p w14:paraId="63EF0643" w14:textId="3A583DF0" w:rsidR="009C522C" w:rsidRPr="00CF726C" w:rsidRDefault="009C522C" w:rsidP="009C522C">
                      <w:pPr>
                        <w:jc w:val="center"/>
                        <w:rPr>
                          <w:b/>
                          <w:bCs/>
                          <w:sz w:val="32"/>
                          <w:szCs w:val="32"/>
                          <w:lang w:val="en-US"/>
                        </w:rPr>
                      </w:pPr>
                      <w:r>
                        <w:rPr>
                          <w:b/>
                          <w:bCs/>
                          <w:sz w:val="32"/>
                          <w:szCs w:val="32"/>
                          <w:lang w:val="en-US"/>
                        </w:rPr>
                        <w:t>11</w:t>
                      </w:r>
                      <w:r w:rsidRPr="00CF726C">
                        <w:rPr>
                          <w:b/>
                          <w:bCs/>
                          <w:sz w:val="32"/>
                          <w:szCs w:val="32"/>
                          <w:vertAlign w:val="superscript"/>
                          <w:lang w:val="en-US"/>
                        </w:rPr>
                        <w:t xml:space="preserve">th </w:t>
                      </w:r>
                      <w:r w:rsidRPr="00CF726C">
                        <w:rPr>
                          <w:b/>
                          <w:bCs/>
                          <w:sz w:val="32"/>
                          <w:szCs w:val="32"/>
                          <w:lang w:val="en-US"/>
                        </w:rPr>
                        <w:t>October 2024</w:t>
                      </w:r>
                    </w:p>
                  </w:txbxContent>
                </v:textbox>
                <w10:wrap type="square" anchorx="margin"/>
              </v:shape>
            </w:pict>
          </mc:Fallback>
        </mc:AlternateContent>
      </w:r>
    </w:p>
    <w:p w14:paraId="335F55B1" w14:textId="7A9CD24C" w:rsidR="009C522C" w:rsidRPr="002234F7" w:rsidRDefault="009C522C" w:rsidP="004C485B">
      <w:pPr>
        <w:rPr>
          <w:rFonts w:ascii="Arial" w:hAnsi="Arial" w:cs="Arial"/>
          <w:lang w:val="en-US"/>
        </w:rPr>
      </w:pPr>
    </w:p>
    <w:p w14:paraId="6B672650" w14:textId="33AB2E1C" w:rsidR="009C522C" w:rsidRPr="002234F7" w:rsidRDefault="009C522C" w:rsidP="004C485B">
      <w:pPr>
        <w:rPr>
          <w:rFonts w:ascii="Arial" w:hAnsi="Arial" w:cs="Arial"/>
          <w:lang w:val="en-US"/>
        </w:rPr>
      </w:pPr>
    </w:p>
    <w:p w14:paraId="6F35C20C" w14:textId="21DD2D35" w:rsidR="009C522C" w:rsidRPr="002234F7" w:rsidRDefault="009C522C" w:rsidP="004C485B">
      <w:pPr>
        <w:spacing w:line="256" w:lineRule="auto"/>
        <w:ind w:left="2880"/>
        <w:rPr>
          <w:rFonts w:ascii="Arial" w:eastAsia="Aptos" w:hAnsi="Arial" w:cs="Arial"/>
          <w:b/>
          <w:color w:val="000000" w:themeColor="dark1"/>
          <w:sz w:val="28"/>
          <w:szCs w:val="28"/>
        </w:rPr>
      </w:pPr>
    </w:p>
    <w:tbl>
      <w:tblPr>
        <w:tblStyle w:val="PlainTable1"/>
        <w:tblW w:w="10360" w:type="dxa"/>
        <w:tblInd w:w="-572" w:type="dxa"/>
        <w:tblLook w:val="04A0" w:firstRow="1" w:lastRow="0" w:firstColumn="1" w:lastColumn="0" w:noHBand="0" w:noVBand="1"/>
      </w:tblPr>
      <w:tblGrid>
        <w:gridCol w:w="4962"/>
        <w:gridCol w:w="5398"/>
      </w:tblGrid>
      <w:tr w:rsidR="006308AF" w:rsidRPr="006308AF" w14:paraId="6811D763" w14:textId="77777777" w:rsidTr="006F7703">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230374F5" w14:textId="67DA0CB4" w:rsidR="006308AF" w:rsidRPr="006308AF" w:rsidRDefault="006308AF" w:rsidP="00007BE0">
            <w:pPr>
              <w:spacing w:line="256" w:lineRule="auto"/>
              <w:jc w:val="center"/>
              <w:rPr>
                <w:rFonts w:ascii="Arial" w:eastAsia="Aptos" w:hAnsi="Arial" w:cs="Arial"/>
                <w:bCs w:val="0"/>
                <w:color w:val="000000" w:themeColor="dark1"/>
                <w:sz w:val="24"/>
                <w:szCs w:val="24"/>
              </w:rPr>
            </w:pPr>
            <w:r w:rsidRPr="006308AF">
              <w:rPr>
                <w:rFonts w:ascii="Arial" w:eastAsia="Aptos" w:hAnsi="Arial" w:cs="Arial"/>
                <w:bCs w:val="0"/>
                <w:color w:val="000000" w:themeColor="dark1"/>
                <w:sz w:val="24"/>
                <w:szCs w:val="24"/>
              </w:rPr>
              <w:t>Name</w:t>
            </w:r>
          </w:p>
        </w:tc>
        <w:tc>
          <w:tcPr>
            <w:tcW w:w="5398" w:type="dxa"/>
          </w:tcPr>
          <w:p w14:paraId="56AA8DE1" w14:textId="733F6C11" w:rsidR="006308AF" w:rsidRPr="006308AF" w:rsidRDefault="006308AF" w:rsidP="00007BE0">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Aptos" w:hAnsi="Arial" w:cs="Arial"/>
                <w:bCs w:val="0"/>
                <w:color w:val="000000" w:themeColor="dark1"/>
                <w:sz w:val="24"/>
                <w:szCs w:val="24"/>
              </w:rPr>
            </w:pPr>
            <w:r w:rsidRPr="006308AF">
              <w:rPr>
                <w:rFonts w:ascii="Arial" w:eastAsia="Aptos" w:hAnsi="Arial" w:cs="Arial"/>
                <w:bCs w:val="0"/>
                <w:color w:val="000000" w:themeColor="dark1"/>
                <w:sz w:val="24"/>
                <w:szCs w:val="24"/>
              </w:rPr>
              <w:t>Designation</w:t>
            </w:r>
          </w:p>
        </w:tc>
      </w:tr>
      <w:tr w:rsidR="006308AF" w:rsidRPr="006308AF" w14:paraId="60BF632A" w14:textId="77777777" w:rsidTr="006F7703">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4962" w:type="dxa"/>
          </w:tcPr>
          <w:p w14:paraId="0F80EB53" w14:textId="09F5F6D9" w:rsidR="006308AF" w:rsidRPr="006308AF" w:rsidRDefault="006308AF" w:rsidP="00007BE0">
            <w:pPr>
              <w:spacing w:line="256" w:lineRule="auto"/>
              <w:jc w:val="left"/>
              <w:rPr>
                <w:rFonts w:ascii="Arial" w:eastAsia="Aptos" w:hAnsi="Arial" w:cs="Arial"/>
                <w:b w:val="0"/>
                <w:color w:val="000000" w:themeColor="dark1"/>
                <w:sz w:val="24"/>
                <w:szCs w:val="24"/>
              </w:rPr>
            </w:pPr>
            <w:r w:rsidRPr="006308AF">
              <w:rPr>
                <w:rFonts w:ascii="Arial" w:eastAsia="Aptos" w:hAnsi="Arial" w:cs="Arial"/>
                <w:b w:val="0"/>
                <w:color w:val="000000" w:themeColor="dark1"/>
                <w:sz w:val="24"/>
                <w:szCs w:val="24"/>
              </w:rPr>
              <w:t>Varahabhatla Karthik Venkata, Rama Murthy</w:t>
            </w:r>
          </w:p>
        </w:tc>
        <w:tc>
          <w:tcPr>
            <w:tcW w:w="5398" w:type="dxa"/>
          </w:tcPr>
          <w:p w14:paraId="5FD09A61" w14:textId="56816431" w:rsidR="006308AF" w:rsidRPr="006308AF" w:rsidRDefault="006308AF" w:rsidP="00007BE0">
            <w:pPr>
              <w:spacing w:line="256" w:lineRule="auto"/>
              <w:jc w:val="left"/>
              <w:cnfStyle w:val="000000100000" w:firstRow="0" w:lastRow="0" w:firstColumn="0" w:lastColumn="0" w:oddVBand="0" w:evenVBand="0" w:oddHBand="1" w:evenHBand="0" w:firstRowFirstColumn="0" w:firstRowLastColumn="0" w:lastRowFirstColumn="0" w:lastRowLastColumn="0"/>
              <w:rPr>
                <w:rFonts w:ascii="Arial" w:eastAsia="Aptos" w:hAnsi="Arial" w:cs="Arial"/>
                <w:bCs/>
                <w:color w:val="000000" w:themeColor="dark1"/>
                <w:sz w:val="24"/>
                <w:szCs w:val="24"/>
              </w:rPr>
            </w:pPr>
            <w:r w:rsidRPr="006308AF">
              <w:rPr>
                <w:rFonts w:ascii="Arial" w:eastAsia="Aptos" w:hAnsi="Arial" w:cs="Arial"/>
                <w:bCs/>
                <w:color w:val="000000" w:themeColor="dark1"/>
                <w:sz w:val="24"/>
                <w:szCs w:val="24"/>
              </w:rPr>
              <w:t xml:space="preserve">Project </w:t>
            </w:r>
            <w:r w:rsidRPr="006308AF">
              <w:rPr>
                <w:rFonts w:ascii="Arial" w:hAnsi="Arial" w:cs="Arial"/>
                <w:bCs/>
                <w:color w:val="000000" w:themeColor="dark1"/>
                <w:sz w:val="24"/>
                <w:szCs w:val="24"/>
              </w:rPr>
              <w:t>M</w:t>
            </w:r>
            <w:r w:rsidRPr="006308AF">
              <w:rPr>
                <w:rFonts w:ascii="Arial" w:eastAsia="Aptos" w:hAnsi="Arial" w:cs="Arial"/>
                <w:bCs/>
                <w:color w:val="000000" w:themeColor="dark1"/>
                <w:sz w:val="24"/>
                <w:szCs w:val="24"/>
              </w:rPr>
              <w:t>anager</w:t>
            </w:r>
          </w:p>
        </w:tc>
      </w:tr>
      <w:tr w:rsidR="006308AF" w:rsidRPr="006308AF" w14:paraId="2FE86B1D" w14:textId="77777777" w:rsidTr="006F7703">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6E07DB30" w14:textId="3975408D" w:rsidR="006308AF" w:rsidRPr="006308AF" w:rsidRDefault="006308AF" w:rsidP="00007BE0">
            <w:pPr>
              <w:spacing w:line="256" w:lineRule="auto"/>
              <w:jc w:val="left"/>
              <w:rPr>
                <w:rFonts w:ascii="Arial" w:eastAsia="Aptos" w:hAnsi="Arial" w:cs="Arial"/>
                <w:b w:val="0"/>
                <w:color w:val="000000" w:themeColor="dark1"/>
                <w:sz w:val="24"/>
                <w:szCs w:val="24"/>
              </w:rPr>
            </w:pPr>
            <w:r w:rsidRPr="006308AF">
              <w:rPr>
                <w:rFonts w:ascii="Arial" w:eastAsia="Aptos" w:hAnsi="Arial" w:cs="Arial"/>
                <w:b w:val="0"/>
                <w:color w:val="000000" w:themeColor="dark1"/>
                <w:sz w:val="24"/>
                <w:szCs w:val="24"/>
              </w:rPr>
              <w:t>Sandra Marya</w:t>
            </w:r>
          </w:p>
          <w:p w14:paraId="294C19A0" w14:textId="77777777" w:rsidR="006308AF" w:rsidRPr="006308AF" w:rsidRDefault="006308AF" w:rsidP="00007BE0">
            <w:pPr>
              <w:spacing w:line="256" w:lineRule="auto"/>
              <w:jc w:val="left"/>
              <w:rPr>
                <w:rFonts w:ascii="Arial" w:eastAsia="Aptos" w:hAnsi="Arial" w:cs="Arial"/>
                <w:b w:val="0"/>
                <w:color w:val="000000" w:themeColor="dark1"/>
                <w:sz w:val="24"/>
                <w:szCs w:val="24"/>
              </w:rPr>
            </w:pPr>
          </w:p>
        </w:tc>
        <w:tc>
          <w:tcPr>
            <w:tcW w:w="5398" w:type="dxa"/>
          </w:tcPr>
          <w:p w14:paraId="677FE105" w14:textId="7A267042" w:rsidR="006308AF" w:rsidRPr="006308AF" w:rsidRDefault="006308AF" w:rsidP="00007BE0">
            <w:pPr>
              <w:spacing w:line="256" w:lineRule="auto"/>
              <w:jc w:val="left"/>
              <w:cnfStyle w:val="000000000000" w:firstRow="0" w:lastRow="0" w:firstColumn="0" w:lastColumn="0" w:oddVBand="0" w:evenVBand="0" w:oddHBand="0" w:evenHBand="0" w:firstRowFirstColumn="0" w:firstRowLastColumn="0" w:lastRowFirstColumn="0" w:lastRowLastColumn="0"/>
              <w:rPr>
                <w:rFonts w:ascii="Arial" w:eastAsia="Aptos" w:hAnsi="Arial" w:cs="Arial"/>
                <w:bCs/>
                <w:color w:val="000000" w:themeColor="dark1"/>
                <w:sz w:val="24"/>
                <w:szCs w:val="24"/>
              </w:rPr>
            </w:pPr>
            <w:r w:rsidRPr="006308AF">
              <w:rPr>
                <w:rFonts w:ascii="Arial" w:eastAsia="Aptos" w:hAnsi="Arial" w:cs="Arial"/>
                <w:bCs/>
                <w:color w:val="000000" w:themeColor="dark1"/>
                <w:sz w:val="24"/>
                <w:szCs w:val="24"/>
              </w:rPr>
              <w:t>Team Lead</w:t>
            </w:r>
          </w:p>
        </w:tc>
      </w:tr>
      <w:tr w:rsidR="006308AF" w:rsidRPr="006308AF" w14:paraId="1A43B43E" w14:textId="77777777" w:rsidTr="006F7703">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962" w:type="dxa"/>
          </w:tcPr>
          <w:p w14:paraId="0261F967" w14:textId="623A2328" w:rsidR="006308AF" w:rsidRPr="006308AF" w:rsidRDefault="006308AF" w:rsidP="00007BE0">
            <w:pPr>
              <w:spacing w:line="256" w:lineRule="auto"/>
              <w:jc w:val="left"/>
              <w:rPr>
                <w:rFonts w:ascii="Arial" w:eastAsia="Aptos" w:hAnsi="Arial" w:cs="Arial"/>
                <w:b w:val="0"/>
                <w:color w:val="000000" w:themeColor="dark1"/>
                <w:sz w:val="24"/>
                <w:szCs w:val="24"/>
              </w:rPr>
            </w:pPr>
            <w:r w:rsidRPr="006308AF">
              <w:rPr>
                <w:rFonts w:ascii="Arial" w:eastAsia="Aptos" w:hAnsi="Arial" w:cs="Arial"/>
                <w:b w:val="0"/>
                <w:color w:val="000000" w:themeColor="dark1"/>
                <w:sz w:val="24"/>
                <w:szCs w:val="24"/>
              </w:rPr>
              <w:t xml:space="preserve">Patel, Rutvi </w:t>
            </w:r>
            <w:proofErr w:type="spellStart"/>
            <w:r w:rsidRPr="006308AF">
              <w:rPr>
                <w:rFonts w:ascii="Arial" w:eastAsia="Aptos" w:hAnsi="Arial" w:cs="Arial"/>
                <w:b w:val="0"/>
                <w:color w:val="000000" w:themeColor="dark1"/>
                <w:sz w:val="24"/>
                <w:szCs w:val="24"/>
              </w:rPr>
              <w:t>Manishbhai</w:t>
            </w:r>
            <w:proofErr w:type="spellEnd"/>
          </w:p>
        </w:tc>
        <w:tc>
          <w:tcPr>
            <w:tcW w:w="5398" w:type="dxa"/>
          </w:tcPr>
          <w:p w14:paraId="265D2522" w14:textId="77777777" w:rsidR="006308AF" w:rsidRPr="006308AF" w:rsidRDefault="006308AF" w:rsidP="00007BE0">
            <w:pPr>
              <w:spacing w:line="256" w:lineRule="auto"/>
              <w:jc w:val="left"/>
              <w:cnfStyle w:val="000000100000" w:firstRow="0" w:lastRow="0" w:firstColumn="0" w:lastColumn="0" w:oddVBand="0" w:evenVBand="0" w:oddHBand="1" w:evenHBand="0" w:firstRowFirstColumn="0" w:firstRowLastColumn="0" w:lastRowFirstColumn="0" w:lastRowLastColumn="0"/>
              <w:rPr>
                <w:rFonts w:ascii="Arial" w:eastAsia="Aptos" w:hAnsi="Arial" w:cs="Arial"/>
                <w:bCs/>
                <w:color w:val="000000" w:themeColor="dark1"/>
                <w:sz w:val="24"/>
                <w:szCs w:val="24"/>
              </w:rPr>
            </w:pPr>
            <w:r w:rsidRPr="006308AF">
              <w:rPr>
                <w:rFonts w:ascii="Arial" w:eastAsia="Aptos" w:hAnsi="Arial" w:cs="Arial"/>
                <w:bCs/>
                <w:color w:val="000000" w:themeColor="dark1"/>
                <w:sz w:val="24"/>
                <w:szCs w:val="24"/>
              </w:rPr>
              <w:t>Business Analyst</w:t>
            </w:r>
          </w:p>
          <w:p w14:paraId="03A98AEF" w14:textId="77777777" w:rsidR="006308AF" w:rsidRPr="006308AF" w:rsidRDefault="006308AF" w:rsidP="00007BE0">
            <w:pPr>
              <w:spacing w:line="256" w:lineRule="auto"/>
              <w:jc w:val="left"/>
              <w:cnfStyle w:val="000000100000" w:firstRow="0" w:lastRow="0" w:firstColumn="0" w:lastColumn="0" w:oddVBand="0" w:evenVBand="0" w:oddHBand="1" w:evenHBand="0" w:firstRowFirstColumn="0" w:firstRowLastColumn="0" w:lastRowFirstColumn="0" w:lastRowLastColumn="0"/>
              <w:rPr>
                <w:rFonts w:ascii="Arial" w:eastAsia="Aptos" w:hAnsi="Arial" w:cs="Arial"/>
                <w:bCs/>
                <w:color w:val="000000" w:themeColor="dark1"/>
                <w:sz w:val="24"/>
                <w:szCs w:val="24"/>
              </w:rPr>
            </w:pPr>
          </w:p>
        </w:tc>
      </w:tr>
      <w:tr w:rsidR="006308AF" w:rsidRPr="006308AF" w14:paraId="76FD73FF" w14:textId="77777777" w:rsidTr="006F7703">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1FD95193" w14:textId="6B63AFBD" w:rsidR="006308AF" w:rsidRPr="006308AF" w:rsidRDefault="006308AF" w:rsidP="00007BE0">
            <w:pPr>
              <w:jc w:val="left"/>
              <w:rPr>
                <w:rFonts w:ascii="Arial" w:eastAsia="Aptos" w:hAnsi="Arial" w:cs="Arial"/>
                <w:b w:val="0"/>
                <w:color w:val="000000" w:themeColor="dark1"/>
                <w:sz w:val="24"/>
                <w:szCs w:val="24"/>
              </w:rPr>
            </w:pPr>
            <w:r w:rsidRPr="006308AF">
              <w:rPr>
                <w:rFonts w:ascii="Arial" w:eastAsia="Aptos" w:hAnsi="Arial" w:cs="Arial"/>
                <w:b w:val="0"/>
                <w:color w:val="000000" w:themeColor="dark1"/>
                <w:sz w:val="24"/>
                <w:szCs w:val="24"/>
              </w:rPr>
              <w:t>Abraham, Sruthi</w:t>
            </w:r>
          </w:p>
          <w:p w14:paraId="32666896" w14:textId="77777777" w:rsidR="006308AF" w:rsidRPr="006308AF" w:rsidRDefault="006308AF" w:rsidP="00007BE0">
            <w:pPr>
              <w:spacing w:line="256" w:lineRule="auto"/>
              <w:jc w:val="left"/>
              <w:rPr>
                <w:rFonts w:ascii="Arial" w:eastAsia="Aptos" w:hAnsi="Arial" w:cs="Arial"/>
                <w:b w:val="0"/>
                <w:color w:val="000000" w:themeColor="dark1"/>
                <w:sz w:val="24"/>
                <w:szCs w:val="24"/>
              </w:rPr>
            </w:pPr>
          </w:p>
        </w:tc>
        <w:tc>
          <w:tcPr>
            <w:tcW w:w="5398" w:type="dxa"/>
          </w:tcPr>
          <w:p w14:paraId="1DC70452" w14:textId="6D8CE0E7" w:rsidR="006308AF" w:rsidRPr="006308AF" w:rsidRDefault="006308AF" w:rsidP="00007BE0">
            <w:pPr>
              <w:spacing w:line="256" w:lineRule="auto"/>
              <w:jc w:val="left"/>
              <w:cnfStyle w:val="000000000000" w:firstRow="0" w:lastRow="0" w:firstColumn="0" w:lastColumn="0" w:oddVBand="0" w:evenVBand="0" w:oddHBand="0" w:evenHBand="0" w:firstRowFirstColumn="0" w:firstRowLastColumn="0" w:lastRowFirstColumn="0" w:lastRowLastColumn="0"/>
              <w:rPr>
                <w:rFonts w:ascii="Arial" w:eastAsia="Aptos" w:hAnsi="Arial" w:cs="Arial"/>
                <w:bCs/>
                <w:color w:val="000000" w:themeColor="dark1"/>
                <w:sz w:val="24"/>
                <w:szCs w:val="24"/>
              </w:rPr>
            </w:pPr>
            <w:r w:rsidRPr="006308AF">
              <w:rPr>
                <w:rFonts w:ascii="Arial" w:eastAsia="Aptos" w:hAnsi="Arial" w:cs="Arial"/>
                <w:bCs/>
                <w:color w:val="000000" w:themeColor="dark1"/>
                <w:sz w:val="24"/>
                <w:szCs w:val="24"/>
              </w:rPr>
              <w:t>Business Analyst</w:t>
            </w:r>
          </w:p>
        </w:tc>
      </w:tr>
      <w:tr w:rsidR="006308AF" w:rsidRPr="006308AF" w14:paraId="4EAAB94B" w14:textId="77777777" w:rsidTr="006F7703">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06934FE9" w14:textId="6A59C950" w:rsidR="006308AF" w:rsidRPr="006308AF" w:rsidRDefault="006308AF" w:rsidP="00007BE0">
            <w:pPr>
              <w:spacing w:line="256" w:lineRule="auto"/>
              <w:jc w:val="left"/>
              <w:rPr>
                <w:rFonts w:ascii="Arial" w:eastAsia="Aptos" w:hAnsi="Arial" w:cs="Arial"/>
                <w:b w:val="0"/>
                <w:color w:val="000000" w:themeColor="dark1"/>
                <w:sz w:val="24"/>
                <w:szCs w:val="24"/>
              </w:rPr>
            </w:pPr>
            <w:r w:rsidRPr="006308AF">
              <w:rPr>
                <w:rFonts w:ascii="Arial" w:eastAsia="Aptos" w:hAnsi="Arial" w:cs="Arial"/>
                <w:b w:val="0"/>
                <w:color w:val="000000" w:themeColor="dark1"/>
                <w:sz w:val="24"/>
                <w:szCs w:val="24"/>
              </w:rPr>
              <w:t>Arora, Prachi</w:t>
            </w:r>
          </w:p>
          <w:p w14:paraId="5E2777B7" w14:textId="77777777" w:rsidR="006308AF" w:rsidRPr="006308AF" w:rsidRDefault="006308AF" w:rsidP="00007BE0">
            <w:pPr>
              <w:jc w:val="left"/>
              <w:rPr>
                <w:rFonts w:ascii="Arial" w:eastAsia="Aptos" w:hAnsi="Arial" w:cs="Arial"/>
                <w:b w:val="0"/>
                <w:color w:val="000000" w:themeColor="dark1"/>
                <w:sz w:val="24"/>
                <w:szCs w:val="24"/>
              </w:rPr>
            </w:pPr>
          </w:p>
        </w:tc>
        <w:tc>
          <w:tcPr>
            <w:tcW w:w="5398" w:type="dxa"/>
          </w:tcPr>
          <w:p w14:paraId="2B289361" w14:textId="6ED87F83" w:rsidR="006308AF" w:rsidRPr="006308AF" w:rsidRDefault="006308AF" w:rsidP="00007BE0">
            <w:pPr>
              <w:spacing w:line="256" w:lineRule="auto"/>
              <w:jc w:val="left"/>
              <w:cnfStyle w:val="000000100000" w:firstRow="0" w:lastRow="0" w:firstColumn="0" w:lastColumn="0" w:oddVBand="0" w:evenVBand="0" w:oddHBand="1" w:evenHBand="0" w:firstRowFirstColumn="0" w:firstRowLastColumn="0" w:lastRowFirstColumn="0" w:lastRowLastColumn="0"/>
              <w:rPr>
                <w:rFonts w:ascii="Arial" w:eastAsia="Aptos" w:hAnsi="Arial" w:cs="Arial"/>
                <w:bCs/>
                <w:color w:val="000000" w:themeColor="dark1"/>
                <w:sz w:val="24"/>
                <w:szCs w:val="24"/>
              </w:rPr>
            </w:pPr>
            <w:r w:rsidRPr="006308AF">
              <w:rPr>
                <w:rFonts w:ascii="Arial" w:eastAsia="Aptos" w:hAnsi="Arial" w:cs="Arial"/>
                <w:bCs/>
                <w:color w:val="000000" w:themeColor="dark1"/>
                <w:sz w:val="24"/>
                <w:szCs w:val="24"/>
              </w:rPr>
              <w:t>Business Analyst</w:t>
            </w:r>
          </w:p>
        </w:tc>
      </w:tr>
    </w:tbl>
    <w:p w14:paraId="7C623147" w14:textId="3B0939A3" w:rsidR="009C522C" w:rsidRPr="002234F7" w:rsidRDefault="009C522C" w:rsidP="004C485B">
      <w:pPr>
        <w:spacing w:line="256" w:lineRule="auto"/>
        <w:ind w:left="2880"/>
        <w:rPr>
          <w:rFonts w:ascii="Arial" w:eastAsia="Aptos" w:hAnsi="Arial" w:cs="Arial"/>
          <w:b/>
          <w:color w:val="000000" w:themeColor="dark1"/>
          <w:sz w:val="28"/>
          <w:szCs w:val="28"/>
        </w:rPr>
      </w:pPr>
    </w:p>
    <w:sdt>
      <w:sdtPr>
        <w:rPr>
          <w:rFonts w:ascii="Arial" w:eastAsiaTheme="minorHAnsi" w:hAnsi="Arial" w:cs="Arial"/>
          <w:color w:val="auto"/>
          <w:kern w:val="2"/>
          <w:sz w:val="22"/>
          <w:szCs w:val="22"/>
          <w:lang w:val="en-CA"/>
          <w14:ligatures w14:val="standardContextual"/>
        </w:rPr>
        <w:id w:val="112564541"/>
        <w:docPartObj>
          <w:docPartGallery w:val="Table of Contents"/>
          <w:docPartUnique/>
        </w:docPartObj>
      </w:sdtPr>
      <w:sdtEndPr>
        <w:rPr>
          <w:b/>
          <w:bCs/>
          <w:noProof/>
        </w:rPr>
      </w:sdtEndPr>
      <w:sdtContent>
        <w:p w14:paraId="601D0885" w14:textId="1B12B5E5" w:rsidR="009C522C" w:rsidRPr="00007BE0" w:rsidRDefault="009C522C" w:rsidP="004C485B">
          <w:pPr>
            <w:pStyle w:val="TOCHeading"/>
            <w:rPr>
              <w:rFonts w:ascii="Arial" w:hAnsi="Arial" w:cs="Arial"/>
            </w:rPr>
          </w:pPr>
          <w:r w:rsidRPr="00007BE0">
            <w:rPr>
              <w:rFonts w:ascii="Arial" w:hAnsi="Arial" w:cs="Arial"/>
            </w:rPr>
            <w:t>Table of Contents</w:t>
          </w:r>
        </w:p>
        <w:p w14:paraId="4A59E03D" w14:textId="77777777" w:rsidR="00A049C6" w:rsidRPr="002234F7" w:rsidRDefault="00A049C6" w:rsidP="00A049C6">
          <w:pPr>
            <w:rPr>
              <w:rFonts w:ascii="Arial" w:hAnsi="Arial" w:cs="Arial"/>
              <w:lang w:val="en-US"/>
            </w:rPr>
          </w:pPr>
        </w:p>
        <w:p w14:paraId="2D53AED4" w14:textId="13D219A6" w:rsidR="00F561FB" w:rsidRDefault="009C522C">
          <w:pPr>
            <w:pStyle w:val="TOC1"/>
            <w:tabs>
              <w:tab w:val="right" w:leader="dot" w:pos="9016"/>
            </w:tabs>
            <w:rPr>
              <w:rFonts w:asciiTheme="minorHAnsi" w:eastAsiaTheme="minorEastAsia" w:hAnsiTheme="minorHAnsi"/>
              <w:noProof/>
              <w:sz w:val="24"/>
              <w:szCs w:val="24"/>
              <w:lang w:eastAsia="en-CA"/>
            </w:rPr>
          </w:pPr>
          <w:r w:rsidRPr="002234F7">
            <w:rPr>
              <w:rFonts w:ascii="Arial" w:hAnsi="Arial" w:cs="Arial"/>
            </w:rPr>
            <w:fldChar w:fldCharType="begin"/>
          </w:r>
          <w:r w:rsidRPr="002234F7">
            <w:rPr>
              <w:rFonts w:ascii="Arial" w:hAnsi="Arial" w:cs="Arial"/>
            </w:rPr>
            <w:instrText xml:space="preserve"> TOC \o "1-3" \h \z \u </w:instrText>
          </w:r>
          <w:r w:rsidRPr="002234F7">
            <w:rPr>
              <w:rFonts w:ascii="Arial" w:hAnsi="Arial" w:cs="Arial"/>
            </w:rPr>
            <w:fldChar w:fldCharType="separate"/>
          </w:r>
          <w:hyperlink w:anchor="_Toc179575816" w:history="1">
            <w:r w:rsidR="00F561FB" w:rsidRPr="007F078D">
              <w:rPr>
                <w:rStyle w:val="Hyperlink"/>
                <w:rFonts w:ascii="Arial" w:eastAsia="Aptos" w:hAnsi="Arial" w:cs="Arial"/>
                <w:noProof/>
              </w:rPr>
              <w:t>Executive Summary</w:t>
            </w:r>
            <w:r w:rsidR="00F561FB">
              <w:rPr>
                <w:noProof/>
                <w:webHidden/>
              </w:rPr>
              <w:tab/>
            </w:r>
            <w:r w:rsidR="00F561FB">
              <w:rPr>
                <w:noProof/>
                <w:webHidden/>
              </w:rPr>
              <w:fldChar w:fldCharType="begin"/>
            </w:r>
            <w:r w:rsidR="00F561FB">
              <w:rPr>
                <w:noProof/>
                <w:webHidden/>
              </w:rPr>
              <w:instrText xml:space="preserve"> PAGEREF _Toc179575816 \h </w:instrText>
            </w:r>
            <w:r w:rsidR="00F561FB">
              <w:rPr>
                <w:noProof/>
                <w:webHidden/>
              </w:rPr>
            </w:r>
            <w:r w:rsidR="00F561FB">
              <w:rPr>
                <w:noProof/>
                <w:webHidden/>
              </w:rPr>
              <w:fldChar w:fldCharType="separate"/>
            </w:r>
            <w:r w:rsidR="00F561FB">
              <w:rPr>
                <w:noProof/>
                <w:webHidden/>
              </w:rPr>
              <w:t>3</w:t>
            </w:r>
            <w:r w:rsidR="00F561FB">
              <w:rPr>
                <w:noProof/>
                <w:webHidden/>
              </w:rPr>
              <w:fldChar w:fldCharType="end"/>
            </w:r>
          </w:hyperlink>
        </w:p>
        <w:p w14:paraId="7E66C019" w14:textId="1E14AF72" w:rsidR="00F561FB" w:rsidRDefault="00F561FB">
          <w:pPr>
            <w:pStyle w:val="TOC1"/>
            <w:tabs>
              <w:tab w:val="right" w:leader="dot" w:pos="9016"/>
            </w:tabs>
            <w:rPr>
              <w:rFonts w:asciiTheme="minorHAnsi" w:eastAsiaTheme="minorEastAsia" w:hAnsiTheme="minorHAnsi"/>
              <w:noProof/>
              <w:sz w:val="24"/>
              <w:szCs w:val="24"/>
              <w:lang w:eastAsia="en-CA"/>
            </w:rPr>
          </w:pPr>
          <w:hyperlink w:anchor="_Toc179575817" w:history="1">
            <w:r w:rsidRPr="007F078D">
              <w:rPr>
                <w:rStyle w:val="Hyperlink"/>
                <w:rFonts w:ascii="Arial" w:hAnsi="Arial" w:cs="Arial"/>
                <w:noProof/>
              </w:rPr>
              <w:t>As-Is Diagram</w:t>
            </w:r>
            <w:r>
              <w:rPr>
                <w:noProof/>
                <w:webHidden/>
              </w:rPr>
              <w:tab/>
            </w:r>
            <w:r>
              <w:rPr>
                <w:noProof/>
                <w:webHidden/>
              </w:rPr>
              <w:fldChar w:fldCharType="begin"/>
            </w:r>
            <w:r>
              <w:rPr>
                <w:noProof/>
                <w:webHidden/>
              </w:rPr>
              <w:instrText xml:space="preserve"> PAGEREF _Toc179575817 \h </w:instrText>
            </w:r>
            <w:r>
              <w:rPr>
                <w:noProof/>
                <w:webHidden/>
              </w:rPr>
            </w:r>
            <w:r>
              <w:rPr>
                <w:noProof/>
                <w:webHidden/>
              </w:rPr>
              <w:fldChar w:fldCharType="separate"/>
            </w:r>
            <w:r>
              <w:rPr>
                <w:noProof/>
                <w:webHidden/>
              </w:rPr>
              <w:t>4</w:t>
            </w:r>
            <w:r>
              <w:rPr>
                <w:noProof/>
                <w:webHidden/>
              </w:rPr>
              <w:fldChar w:fldCharType="end"/>
            </w:r>
          </w:hyperlink>
        </w:p>
        <w:p w14:paraId="46E46B0E" w14:textId="45FF9CF2" w:rsidR="00F561FB" w:rsidRDefault="00F561FB">
          <w:pPr>
            <w:pStyle w:val="TOC1"/>
            <w:tabs>
              <w:tab w:val="right" w:leader="dot" w:pos="9016"/>
            </w:tabs>
            <w:rPr>
              <w:rFonts w:asciiTheme="minorHAnsi" w:eastAsiaTheme="minorEastAsia" w:hAnsiTheme="minorHAnsi"/>
              <w:noProof/>
              <w:sz w:val="24"/>
              <w:szCs w:val="24"/>
              <w:lang w:eastAsia="en-CA"/>
            </w:rPr>
          </w:pPr>
          <w:hyperlink w:anchor="_Toc179575818" w:history="1">
            <w:r w:rsidRPr="007F078D">
              <w:rPr>
                <w:rStyle w:val="Hyperlink"/>
                <w:rFonts w:ascii="Arial" w:hAnsi="Arial" w:cs="Arial"/>
                <w:noProof/>
              </w:rPr>
              <w:t>Description of As-Is Flow</w:t>
            </w:r>
            <w:r>
              <w:rPr>
                <w:noProof/>
                <w:webHidden/>
              </w:rPr>
              <w:tab/>
            </w:r>
            <w:r>
              <w:rPr>
                <w:noProof/>
                <w:webHidden/>
              </w:rPr>
              <w:fldChar w:fldCharType="begin"/>
            </w:r>
            <w:r>
              <w:rPr>
                <w:noProof/>
                <w:webHidden/>
              </w:rPr>
              <w:instrText xml:space="preserve"> PAGEREF _Toc179575818 \h </w:instrText>
            </w:r>
            <w:r>
              <w:rPr>
                <w:noProof/>
                <w:webHidden/>
              </w:rPr>
            </w:r>
            <w:r>
              <w:rPr>
                <w:noProof/>
                <w:webHidden/>
              </w:rPr>
              <w:fldChar w:fldCharType="separate"/>
            </w:r>
            <w:r>
              <w:rPr>
                <w:noProof/>
                <w:webHidden/>
              </w:rPr>
              <w:t>5</w:t>
            </w:r>
            <w:r>
              <w:rPr>
                <w:noProof/>
                <w:webHidden/>
              </w:rPr>
              <w:fldChar w:fldCharType="end"/>
            </w:r>
          </w:hyperlink>
        </w:p>
        <w:p w14:paraId="43EBC82F" w14:textId="5F1EB3BE" w:rsidR="00F561FB" w:rsidRDefault="00F561FB">
          <w:pPr>
            <w:pStyle w:val="TOC1"/>
            <w:tabs>
              <w:tab w:val="right" w:leader="dot" w:pos="9016"/>
            </w:tabs>
            <w:rPr>
              <w:rFonts w:asciiTheme="minorHAnsi" w:eastAsiaTheme="minorEastAsia" w:hAnsiTheme="minorHAnsi"/>
              <w:noProof/>
              <w:sz w:val="24"/>
              <w:szCs w:val="24"/>
              <w:lang w:eastAsia="en-CA"/>
            </w:rPr>
          </w:pPr>
          <w:hyperlink w:anchor="_Toc179575819" w:history="1">
            <w:r w:rsidRPr="007F078D">
              <w:rPr>
                <w:rStyle w:val="Hyperlink"/>
                <w:rFonts w:ascii="Arial" w:hAnsi="Arial" w:cs="Arial"/>
                <w:noProof/>
              </w:rPr>
              <w:t>RACI Matrix</w:t>
            </w:r>
            <w:r>
              <w:rPr>
                <w:noProof/>
                <w:webHidden/>
              </w:rPr>
              <w:tab/>
            </w:r>
            <w:r>
              <w:rPr>
                <w:noProof/>
                <w:webHidden/>
              </w:rPr>
              <w:fldChar w:fldCharType="begin"/>
            </w:r>
            <w:r>
              <w:rPr>
                <w:noProof/>
                <w:webHidden/>
              </w:rPr>
              <w:instrText xml:space="preserve"> PAGEREF _Toc179575819 \h </w:instrText>
            </w:r>
            <w:r>
              <w:rPr>
                <w:noProof/>
                <w:webHidden/>
              </w:rPr>
            </w:r>
            <w:r>
              <w:rPr>
                <w:noProof/>
                <w:webHidden/>
              </w:rPr>
              <w:fldChar w:fldCharType="separate"/>
            </w:r>
            <w:r>
              <w:rPr>
                <w:noProof/>
                <w:webHidden/>
              </w:rPr>
              <w:t>8</w:t>
            </w:r>
            <w:r>
              <w:rPr>
                <w:noProof/>
                <w:webHidden/>
              </w:rPr>
              <w:fldChar w:fldCharType="end"/>
            </w:r>
          </w:hyperlink>
        </w:p>
        <w:p w14:paraId="476B9395" w14:textId="2B9D24F2" w:rsidR="00F561FB" w:rsidRDefault="00F561FB">
          <w:pPr>
            <w:pStyle w:val="TOC1"/>
            <w:tabs>
              <w:tab w:val="right" w:leader="dot" w:pos="9016"/>
            </w:tabs>
            <w:rPr>
              <w:rFonts w:asciiTheme="minorHAnsi" w:eastAsiaTheme="minorEastAsia" w:hAnsiTheme="minorHAnsi"/>
              <w:noProof/>
              <w:sz w:val="24"/>
              <w:szCs w:val="24"/>
              <w:lang w:eastAsia="en-CA"/>
            </w:rPr>
          </w:pPr>
          <w:hyperlink w:anchor="_Toc179575820" w:history="1">
            <w:r w:rsidRPr="007F078D">
              <w:rPr>
                <w:rStyle w:val="Hyperlink"/>
                <w:rFonts w:ascii="Arial" w:hAnsi="Arial" w:cs="Arial"/>
                <w:noProof/>
              </w:rPr>
              <w:t>News Board</w:t>
            </w:r>
            <w:r>
              <w:rPr>
                <w:noProof/>
                <w:webHidden/>
              </w:rPr>
              <w:tab/>
            </w:r>
            <w:r>
              <w:rPr>
                <w:noProof/>
                <w:webHidden/>
              </w:rPr>
              <w:fldChar w:fldCharType="begin"/>
            </w:r>
            <w:r>
              <w:rPr>
                <w:noProof/>
                <w:webHidden/>
              </w:rPr>
              <w:instrText xml:space="preserve"> PAGEREF _Toc179575820 \h </w:instrText>
            </w:r>
            <w:r>
              <w:rPr>
                <w:noProof/>
                <w:webHidden/>
              </w:rPr>
            </w:r>
            <w:r>
              <w:rPr>
                <w:noProof/>
                <w:webHidden/>
              </w:rPr>
              <w:fldChar w:fldCharType="separate"/>
            </w:r>
            <w:r>
              <w:rPr>
                <w:noProof/>
                <w:webHidden/>
              </w:rPr>
              <w:t>9</w:t>
            </w:r>
            <w:r>
              <w:rPr>
                <w:noProof/>
                <w:webHidden/>
              </w:rPr>
              <w:fldChar w:fldCharType="end"/>
            </w:r>
          </w:hyperlink>
        </w:p>
        <w:p w14:paraId="0509932C" w14:textId="51B21064" w:rsidR="00F561FB" w:rsidRDefault="00F561FB">
          <w:pPr>
            <w:pStyle w:val="TOC1"/>
            <w:tabs>
              <w:tab w:val="right" w:leader="dot" w:pos="9016"/>
            </w:tabs>
            <w:rPr>
              <w:rFonts w:asciiTheme="minorHAnsi" w:eastAsiaTheme="minorEastAsia" w:hAnsiTheme="minorHAnsi"/>
              <w:noProof/>
              <w:sz w:val="24"/>
              <w:szCs w:val="24"/>
              <w:lang w:eastAsia="en-CA"/>
            </w:rPr>
          </w:pPr>
          <w:hyperlink w:anchor="_Toc179575821" w:history="1">
            <w:r w:rsidRPr="007F078D">
              <w:rPr>
                <w:rStyle w:val="Hyperlink"/>
                <w:rFonts w:ascii="Arial" w:hAnsi="Arial" w:cs="Arial"/>
                <w:noProof/>
              </w:rPr>
              <w:t>Conclusion</w:t>
            </w:r>
            <w:r>
              <w:rPr>
                <w:noProof/>
                <w:webHidden/>
              </w:rPr>
              <w:tab/>
            </w:r>
            <w:r>
              <w:rPr>
                <w:noProof/>
                <w:webHidden/>
              </w:rPr>
              <w:fldChar w:fldCharType="begin"/>
            </w:r>
            <w:r>
              <w:rPr>
                <w:noProof/>
                <w:webHidden/>
              </w:rPr>
              <w:instrText xml:space="preserve"> PAGEREF _Toc179575821 \h </w:instrText>
            </w:r>
            <w:r>
              <w:rPr>
                <w:noProof/>
                <w:webHidden/>
              </w:rPr>
            </w:r>
            <w:r>
              <w:rPr>
                <w:noProof/>
                <w:webHidden/>
              </w:rPr>
              <w:fldChar w:fldCharType="separate"/>
            </w:r>
            <w:r>
              <w:rPr>
                <w:noProof/>
                <w:webHidden/>
              </w:rPr>
              <w:t>11</w:t>
            </w:r>
            <w:r>
              <w:rPr>
                <w:noProof/>
                <w:webHidden/>
              </w:rPr>
              <w:fldChar w:fldCharType="end"/>
            </w:r>
          </w:hyperlink>
        </w:p>
        <w:p w14:paraId="5B5FC2DE" w14:textId="37916FD4" w:rsidR="00F561FB" w:rsidRDefault="00F561FB">
          <w:pPr>
            <w:pStyle w:val="TOC1"/>
            <w:tabs>
              <w:tab w:val="right" w:leader="dot" w:pos="9016"/>
            </w:tabs>
            <w:rPr>
              <w:rFonts w:asciiTheme="minorHAnsi" w:eastAsiaTheme="minorEastAsia" w:hAnsiTheme="minorHAnsi"/>
              <w:noProof/>
              <w:sz w:val="24"/>
              <w:szCs w:val="24"/>
              <w:lang w:eastAsia="en-CA"/>
            </w:rPr>
          </w:pPr>
          <w:hyperlink w:anchor="_Toc179575822" w:history="1">
            <w:r w:rsidRPr="007F078D">
              <w:rPr>
                <w:rStyle w:val="Hyperlink"/>
                <w:rFonts w:ascii="Arial" w:hAnsi="Arial" w:cs="Arial"/>
                <w:noProof/>
              </w:rPr>
              <w:t>Call Of Action</w:t>
            </w:r>
            <w:r>
              <w:rPr>
                <w:noProof/>
                <w:webHidden/>
              </w:rPr>
              <w:tab/>
            </w:r>
            <w:r>
              <w:rPr>
                <w:noProof/>
                <w:webHidden/>
              </w:rPr>
              <w:fldChar w:fldCharType="begin"/>
            </w:r>
            <w:r>
              <w:rPr>
                <w:noProof/>
                <w:webHidden/>
              </w:rPr>
              <w:instrText xml:space="preserve"> PAGEREF _Toc179575822 \h </w:instrText>
            </w:r>
            <w:r>
              <w:rPr>
                <w:noProof/>
                <w:webHidden/>
              </w:rPr>
            </w:r>
            <w:r>
              <w:rPr>
                <w:noProof/>
                <w:webHidden/>
              </w:rPr>
              <w:fldChar w:fldCharType="separate"/>
            </w:r>
            <w:r>
              <w:rPr>
                <w:noProof/>
                <w:webHidden/>
              </w:rPr>
              <w:t>12</w:t>
            </w:r>
            <w:r>
              <w:rPr>
                <w:noProof/>
                <w:webHidden/>
              </w:rPr>
              <w:fldChar w:fldCharType="end"/>
            </w:r>
          </w:hyperlink>
        </w:p>
        <w:p w14:paraId="03C3AE38" w14:textId="662A98B5" w:rsidR="00F561FB" w:rsidRDefault="00F561FB">
          <w:pPr>
            <w:pStyle w:val="TOC1"/>
            <w:tabs>
              <w:tab w:val="right" w:leader="dot" w:pos="9016"/>
            </w:tabs>
            <w:rPr>
              <w:rFonts w:asciiTheme="minorHAnsi" w:eastAsiaTheme="minorEastAsia" w:hAnsiTheme="minorHAnsi"/>
              <w:noProof/>
              <w:sz w:val="24"/>
              <w:szCs w:val="24"/>
              <w:lang w:eastAsia="en-CA"/>
            </w:rPr>
          </w:pPr>
          <w:hyperlink w:anchor="_Toc179575823" w:history="1">
            <w:r w:rsidRPr="007F078D">
              <w:rPr>
                <w:rStyle w:val="Hyperlink"/>
                <w:rFonts w:ascii="Arial" w:hAnsi="Arial" w:cs="Arial"/>
                <w:noProof/>
              </w:rPr>
              <w:t>References</w:t>
            </w:r>
            <w:r>
              <w:rPr>
                <w:noProof/>
                <w:webHidden/>
              </w:rPr>
              <w:tab/>
            </w:r>
            <w:r>
              <w:rPr>
                <w:noProof/>
                <w:webHidden/>
              </w:rPr>
              <w:fldChar w:fldCharType="begin"/>
            </w:r>
            <w:r>
              <w:rPr>
                <w:noProof/>
                <w:webHidden/>
              </w:rPr>
              <w:instrText xml:space="preserve"> PAGEREF _Toc179575823 \h </w:instrText>
            </w:r>
            <w:r>
              <w:rPr>
                <w:noProof/>
                <w:webHidden/>
              </w:rPr>
            </w:r>
            <w:r>
              <w:rPr>
                <w:noProof/>
                <w:webHidden/>
              </w:rPr>
              <w:fldChar w:fldCharType="separate"/>
            </w:r>
            <w:r>
              <w:rPr>
                <w:noProof/>
                <w:webHidden/>
              </w:rPr>
              <w:t>13</w:t>
            </w:r>
            <w:r>
              <w:rPr>
                <w:noProof/>
                <w:webHidden/>
              </w:rPr>
              <w:fldChar w:fldCharType="end"/>
            </w:r>
          </w:hyperlink>
        </w:p>
        <w:p w14:paraId="54DCD026" w14:textId="04FF5F95" w:rsidR="009C522C" w:rsidRPr="002234F7" w:rsidRDefault="009C522C" w:rsidP="004C485B">
          <w:pPr>
            <w:rPr>
              <w:rFonts w:ascii="Arial" w:hAnsi="Arial" w:cs="Arial"/>
            </w:rPr>
          </w:pPr>
          <w:r w:rsidRPr="002234F7">
            <w:rPr>
              <w:rFonts w:ascii="Arial" w:hAnsi="Arial" w:cs="Arial"/>
              <w:b/>
              <w:bCs/>
              <w:noProof/>
            </w:rPr>
            <w:fldChar w:fldCharType="end"/>
          </w:r>
        </w:p>
      </w:sdtContent>
    </w:sdt>
    <w:bookmarkEnd w:id="1" w:displacedByCustomXml="prev"/>
    <w:p w14:paraId="5E0978C9" w14:textId="6FC58D7E" w:rsidR="009C522C" w:rsidRPr="002234F7" w:rsidRDefault="009C522C" w:rsidP="004C485B">
      <w:pPr>
        <w:spacing w:line="256" w:lineRule="auto"/>
        <w:rPr>
          <w:rFonts w:ascii="Arial" w:eastAsia="Aptos" w:hAnsi="Arial" w:cs="Arial"/>
          <w:b/>
          <w:color w:val="000000" w:themeColor="dark1"/>
          <w:sz w:val="28"/>
          <w:szCs w:val="28"/>
        </w:rPr>
      </w:pPr>
    </w:p>
    <w:p w14:paraId="2AF6423F" w14:textId="5A8EA98C" w:rsidR="009C522C" w:rsidRPr="002234F7" w:rsidRDefault="009C522C" w:rsidP="004C485B">
      <w:pPr>
        <w:spacing w:line="256" w:lineRule="auto"/>
        <w:rPr>
          <w:rFonts w:ascii="Arial" w:eastAsia="Aptos" w:hAnsi="Arial" w:cs="Arial"/>
          <w:b/>
          <w:color w:val="000000" w:themeColor="dark1"/>
          <w:sz w:val="28"/>
          <w:szCs w:val="28"/>
        </w:rPr>
      </w:pPr>
      <w:r w:rsidRPr="002234F7">
        <w:rPr>
          <w:rFonts w:ascii="Arial" w:eastAsia="Aptos" w:hAnsi="Arial" w:cs="Arial"/>
          <w:b/>
          <w:color w:val="000000" w:themeColor="dark1"/>
          <w:sz w:val="28"/>
          <w:szCs w:val="28"/>
        </w:rPr>
        <w:br w:type="page"/>
      </w:r>
    </w:p>
    <w:p w14:paraId="0CB21C03" w14:textId="18510B9D" w:rsidR="009C522C" w:rsidRPr="00007BE0" w:rsidRDefault="00BD4D93" w:rsidP="004D27C8">
      <w:pPr>
        <w:pStyle w:val="Heading1"/>
        <w:jc w:val="left"/>
        <w:rPr>
          <w:rFonts w:ascii="Arial" w:eastAsia="Aptos" w:hAnsi="Arial" w:cs="Arial"/>
          <w:sz w:val="36"/>
          <w:szCs w:val="36"/>
        </w:rPr>
      </w:pPr>
      <w:bookmarkStart w:id="4" w:name="_Hlk179562339"/>
      <w:bookmarkStart w:id="5" w:name="_Toc179575816"/>
      <w:r w:rsidRPr="00007BE0">
        <w:rPr>
          <w:rFonts w:ascii="Arial" w:eastAsia="Aptos" w:hAnsi="Arial" w:cs="Arial"/>
          <w:sz w:val="36"/>
          <w:szCs w:val="36"/>
        </w:rPr>
        <w:lastRenderedPageBreak/>
        <w:t>Executive Summary</w:t>
      </w:r>
      <w:bookmarkEnd w:id="5"/>
    </w:p>
    <w:p w14:paraId="558E9137" w14:textId="77777777" w:rsidR="004C485B" w:rsidRPr="002234F7" w:rsidRDefault="004C485B" w:rsidP="004C485B">
      <w:pPr>
        <w:rPr>
          <w:rFonts w:ascii="Arial" w:hAnsi="Arial" w:cs="Arial"/>
        </w:rPr>
      </w:pPr>
    </w:p>
    <w:p w14:paraId="6495EFCE" w14:textId="77777777" w:rsidR="004C485B" w:rsidRPr="008F7DC7" w:rsidRDefault="004C485B" w:rsidP="002234F7">
      <w:pPr>
        <w:spacing w:line="276" w:lineRule="auto"/>
        <w:rPr>
          <w:rFonts w:ascii="Arial" w:hAnsi="Arial" w:cs="Arial"/>
        </w:rPr>
      </w:pPr>
      <w:r w:rsidRPr="008F7DC7">
        <w:rPr>
          <w:rFonts w:ascii="Arial" w:hAnsi="Arial" w:cs="Arial"/>
        </w:rPr>
        <w:t xml:space="preserve">TD Bank is a leading financial institution in North America. It is dedicated to driving innovation and sustainable growth. The bank has set targets to reduce its greenhouse gas emissions, increase its use of renewable energy and promote sustainable practices. By entering the rapidly expanding electric vehicle (EV) market TD Bank can make a positive impact on the environment while also benefiting from a high-growth sector. </w:t>
      </w:r>
    </w:p>
    <w:p w14:paraId="671DAC6B" w14:textId="77777777" w:rsidR="004C485B" w:rsidRPr="008F7DC7" w:rsidRDefault="004C485B" w:rsidP="002234F7">
      <w:pPr>
        <w:spacing w:line="276" w:lineRule="auto"/>
        <w:rPr>
          <w:rFonts w:ascii="Arial" w:hAnsi="Arial" w:cs="Arial"/>
        </w:rPr>
      </w:pPr>
      <w:r w:rsidRPr="008F7DC7">
        <w:rPr>
          <w:rFonts w:ascii="Arial" w:hAnsi="Arial" w:cs="Arial"/>
        </w:rPr>
        <w:t>The acquisition of WiTricity offers multiple strategic benefits for TD Bank. WiTricity is an innovative company specializing in wireless charging technology for electric vehicles. WiTricity's innovative solutions enable efficient, contactless energy transfer allowing EVs to charge wirelessly and simplifying the charging process. This technology has the potential to support the wider adoption of electric mobility and position TD Bank at the forefront of the EV revolution. Entering the EV charging space provides an opportunity that can lead to increased revenue streams and enhanced reputation for TD Bank.</w:t>
      </w:r>
    </w:p>
    <w:p w14:paraId="7AA4DB20" w14:textId="14259546" w:rsidR="00CE0A7D" w:rsidRPr="008F7DC7" w:rsidRDefault="004C485B" w:rsidP="00CE0A7D">
      <w:pPr>
        <w:rPr>
          <w:rFonts w:ascii="Arial" w:hAnsi="Arial" w:cs="Arial"/>
        </w:rPr>
      </w:pPr>
      <w:r w:rsidRPr="008F7DC7">
        <w:rPr>
          <w:rFonts w:ascii="Arial" w:hAnsi="Arial" w:cs="Arial"/>
        </w:rPr>
        <w:t xml:space="preserve">This document includes an </w:t>
      </w:r>
      <w:r w:rsidR="006A29F4" w:rsidRPr="008F7DC7">
        <w:rPr>
          <w:rFonts w:ascii="Arial" w:hAnsi="Arial" w:cs="Arial"/>
        </w:rPr>
        <w:t>As-Is</w:t>
      </w:r>
      <w:r w:rsidRPr="008F7DC7">
        <w:rPr>
          <w:rFonts w:ascii="Arial" w:hAnsi="Arial" w:cs="Arial"/>
        </w:rPr>
        <w:t xml:space="preserve"> diagram that outlines various steps involved in the acquisition process of WiTricity. The diagram outlines the key stages in the acquisition process including identifying market opportunities, decision to invest in the electric vehicle (EV) sector, in-depth market research on wireless charging technology, assessing potential risks and selection of WiTricity as the ideal company for acquisition. A detailed executive level explanation is provided for each step and its significance within the process. An updated RACI diagram is also provided that specifies the roles and responsibilities of each team member. The acquisition of WiTricity will mark a significant milestone in TD Bank's commitment to innovation and environmental responsibility.</w:t>
      </w:r>
      <w:bookmarkStart w:id="6" w:name="_Hlk179562362"/>
      <w:bookmarkEnd w:id="4"/>
      <w:r w:rsidR="00CE0A7D" w:rsidRPr="008F7DC7">
        <w:rPr>
          <w:rFonts w:ascii="Arial" w:hAnsi="Arial" w:cs="Arial"/>
        </w:rPr>
        <w:br w:type="page"/>
      </w:r>
    </w:p>
    <w:p w14:paraId="439C2BB0" w14:textId="0142C162" w:rsidR="009C522C" w:rsidRPr="00007BE0" w:rsidRDefault="00BD4D93" w:rsidP="004D27C8">
      <w:pPr>
        <w:pStyle w:val="Heading1"/>
        <w:jc w:val="left"/>
        <w:rPr>
          <w:rFonts w:ascii="Arial" w:hAnsi="Arial" w:cs="Arial"/>
          <w:sz w:val="36"/>
          <w:szCs w:val="36"/>
        </w:rPr>
      </w:pPr>
      <w:bookmarkStart w:id="7" w:name="_Toc179575817"/>
      <w:r w:rsidRPr="00007BE0">
        <w:rPr>
          <w:rFonts w:ascii="Arial" w:hAnsi="Arial" w:cs="Arial"/>
          <w:sz w:val="36"/>
          <w:szCs w:val="36"/>
        </w:rPr>
        <w:lastRenderedPageBreak/>
        <w:t>As-</w:t>
      </w:r>
      <w:r w:rsidR="00C67795" w:rsidRPr="00007BE0">
        <w:rPr>
          <w:rFonts w:ascii="Arial" w:hAnsi="Arial" w:cs="Arial"/>
          <w:sz w:val="36"/>
          <w:szCs w:val="36"/>
        </w:rPr>
        <w:t>I</w:t>
      </w:r>
      <w:r w:rsidRPr="00007BE0">
        <w:rPr>
          <w:rFonts w:ascii="Arial" w:hAnsi="Arial" w:cs="Arial"/>
          <w:sz w:val="36"/>
          <w:szCs w:val="36"/>
        </w:rPr>
        <w:t xml:space="preserve">s </w:t>
      </w:r>
      <w:r w:rsidR="00C67795" w:rsidRPr="00007BE0">
        <w:rPr>
          <w:rFonts w:ascii="Arial" w:hAnsi="Arial" w:cs="Arial"/>
          <w:sz w:val="36"/>
          <w:szCs w:val="36"/>
        </w:rPr>
        <w:t>D</w:t>
      </w:r>
      <w:r w:rsidRPr="00007BE0">
        <w:rPr>
          <w:rFonts w:ascii="Arial" w:hAnsi="Arial" w:cs="Arial"/>
          <w:sz w:val="36"/>
          <w:szCs w:val="36"/>
        </w:rPr>
        <w:t>iagram</w:t>
      </w:r>
      <w:bookmarkEnd w:id="7"/>
    </w:p>
    <w:bookmarkEnd w:id="6"/>
    <w:p w14:paraId="51FEAE94" w14:textId="7D332859" w:rsidR="0075413E" w:rsidRPr="002234F7" w:rsidRDefault="00176990" w:rsidP="00CE0C1B">
      <w:pPr>
        <w:jc w:val="center"/>
        <w:rPr>
          <w:rFonts w:ascii="Arial" w:hAnsi="Arial" w:cs="Arial"/>
        </w:rPr>
      </w:pPr>
      <w:r w:rsidRPr="002234F7">
        <w:rPr>
          <w:rFonts w:ascii="Arial" w:hAnsi="Arial" w:cs="Arial"/>
          <w:noProof/>
        </w:rPr>
        <w:drawing>
          <wp:inline distT="0" distB="0" distL="0" distR="0" wp14:anchorId="2E9FD4F2" wp14:editId="3BFEBD38">
            <wp:extent cx="3342806" cy="8016454"/>
            <wp:effectExtent l="0" t="0" r="0" b="3810"/>
            <wp:docPr id="1657400379"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0379" name="Picture 10"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4219" cy="8043823"/>
                    </a:xfrm>
                    <a:prstGeom prst="rect">
                      <a:avLst/>
                    </a:prstGeom>
                  </pic:spPr>
                </pic:pic>
              </a:graphicData>
            </a:graphic>
          </wp:inline>
        </w:drawing>
      </w:r>
    </w:p>
    <w:p w14:paraId="65C6D8C9" w14:textId="77777777" w:rsidR="0075413E" w:rsidRPr="002234F7" w:rsidRDefault="0075413E" w:rsidP="004C485B">
      <w:pPr>
        <w:rPr>
          <w:rFonts w:ascii="Arial" w:hAnsi="Arial" w:cs="Arial"/>
        </w:rPr>
      </w:pPr>
    </w:p>
    <w:p w14:paraId="527E8F01" w14:textId="673B57CA" w:rsidR="004C485B" w:rsidRPr="00007BE0" w:rsidRDefault="00BD4D93" w:rsidP="004D27C8">
      <w:pPr>
        <w:pStyle w:val="Heading1"/>
        <w:jc w:val="left"/>
        <w:rPr>
          <w:rFonts w:ascii="Arial" w:hAnsi="Arial" w:cs="Arial"/>
          <w:sz w:val="36"/>
          <w:szCs w:val="36"/>
        </w:rPr>
      </w:pPr>
      <w:bookmarkStart w:id="8" w:name="_Hlk179562430"/>
      <w:bookmarkStart w:id="9" w:name="_Hlk179562404"/>
      <w:bookmarkStart w:id="10" w:name="_Toc179575818"/>
      <w:r w:rsidRPr="00007BE0">
        <w:rPr>
          <w:rFonts w:ascii="Arial" w:hAnsi="Arial" w:cs="Arial"/>
          <w:sz w:val="36"/>
          <w:szCs w:val="36"/>
        </w:rPr>
        <w:lastRenderedPageBreak/>
        <w:t xml:space="preserve">Description of </w:t>
      </w:r>
      <w:r w:rsidR="00C67795" w:rsidRPr="00007BE0">
        <w:rPr>
          <w:rFonts w:ascii="Arial" w:hAnsi="Arial" w:cs="Arial"/>
          <w:sz w:val="36"/>
          <w:szCs w:val="36"/>
        </w:rPr>
        <w:t>A</w:t>
      </w:r>
      <w:r w:rsidRPr="00007BE0">
        <w:rPr>
          <w:rFonts w:ascii="Arial" w:hAnsi="Arial" w:cs="Arial"/>
          <w:sz w:val="36"/>
          <w:szCs w:val="36"/>
        </w:rPr>
        <w:t>s-</w:t>
      </w:r>
      <w:r w:rsidR="00C67795" w:rsidRPr="00007BE0">
        <w:rPr>
          <w:rFonts w:ascii="Arial" w:hAnsi="Arial" w:cs="Arial"/>
          <w:sz w:val="36"/>
          <w:szCs w:val="36"/>
        </w:rPr>
        <w:t>I</w:t>
      </w:r>
      <w:r w:rsidRPr="00007BE0">
        <w:rPr>
          <w:rFonts w:ascii="Arial" w:hAnsi="Arial" w:cs="Arial"/>
          <w:sz w:val="36"/>
          <w:szCs w:val="36"/>
        </w:rPr>
        <w:t xml:space="preserve">s </w:t>
      </w:r>
      <w:r w:rsidR="00007BE0">
        <w:rPr>
          <w:rFonts w:ascii="Arial" w:hAnsi="Arial" w:cs="Arial"/>
          <w:sz w:val="36"/>
          <w:szCs w:val="36"/>
        </w:rPr>
        <w:t>F</w:t>
      </w:r>
      <w:r w:rsidRPr="00007BE0">
        <w:rPr>
          <w:rFonts w:ascii="Arial" w:hAnsi="Arial" w:cs="Arial"/>
          <w:sz w:val="36"/>
          <w:szCs w:val="36"/>
        </w:rPr>
        <w:t>low</w:t>
      </w:r>
      <w:bookmarkEnd w:id="10"/>
    </w:p>
    <w:p w14:paraId="4C43EC29" w14:textId="77777777" w:rsidR="005D7979" w:rsidRPr="008F7DC7" w:rsidRDefault="005D7979" w:rsidP="00007BE0"/>
    <w:p w14:paraId="705414CC" w14:textId="1453BF28" w:rsidR="00007BE0" w:rsidRPr="00007BE0" w:rsidRDefault="004C485B" w:rsidP="00007BE0">
      <w:pPr>
        <w:pStyle w:val="ListParagraph"/>
        <w:numPr>
          <w:ilvl w:val="0"/>
          <w:numId w:val="8"/>
        </w:numPr>
        <w:spacing w:line="276" w:lineRule="auto"/>
        <w:rPr>
          <w:rFonts w:ascii="Arial" w:hAnsi="Arial" w:cs="Arial"/>
        </w:rPr>
      </w:pPr>
      <w:r w:rsidRPr="00737DFD">
        <w:rPr>
          <w:rFonts w:ascii="Arial" w:hAnsi="Arial" w:cs="Arial"/>
          <w:b/>
          <w:bCs/>
        </w:rPr>
        <w:t>Market Opportunity Analysis:</w:t>
      </w:r>
      <w:r w:rsidR="005D7979" w:rsidRPr="00737DFD">
        <w:rPr>
          <w:rFonts w:ascii="Arial" w:hAnsi="Arial" w:cs="Arial"/>
          <w:b/>
          <w:bCs/>
        </w:rPr>
        <w:t xml:space="preserve"> </w:t>
      </w:r>
      <w:r w:rsidRPr="00737DFD">
        <w:rPr>
          <w:rFonts w:ascii="Arial" w:hAnsi="Arial" w:cs="Arial"/>
        </w:rPr>
        <w:t>The first stage in the acquisition process focuses on understanding the broader electric vehicle (EV) market especially the wireless charging segment. ProcessPro partners conducts an extensive analysis of global trends in EV adoption by assessing whether the market presents a profitable opportunity for investment. This involves studying consumer behavior, future growth forecasts and the increasing demand for sustainable transportation solutions. The consultancy also evaluates competitors and their presence in the wireless charging market as well as government regulations that promote the use of EVs. This step aims to provide TD Bank with a comprehensive overview of the current state of the EV market by enabling them to determine whether it aligns with their strategic objectives and is financially viable for entry.</w:t>
      </w:r>
      <w:r w:rsidR="00007BE0">
        <w:rPr>
          <w:rFonts w:ascii="Arial" w:hAnsi="Arial" w:cs="Arial"/>
        </w:rPr>
        <w:br/>
      </w:r>
    </w:p>
    <w:p w14:paraId="203A7748" w14:textId="77777777" w:rsidR="00007BE0" w:rsidRPr="00007BE0" w:rsidRDefault="004C485B" w:rsidP="00007BE0">
      <w:pPr>
        <w:pStyle w:val="ListParagraph"/>
        <w:numPr>
          <w:ilvl w:val="0"/>
          <w:numId w:val="8"/>
        </w:numPr>
        <w:spacing w:line="276" w:lineRule="auto"/>
        <w:rPr>
          <w:rFonts w:ascii="Arial" w:hAnsi="Arial" w:cs="Arial"/>
        </w:rPr>
      </w:pPr>
      <w:r w:rsidRPr="00737DFD">
        <w:rPr>
          <w:rFonts w:ascii="Arial" w:hAnsi="Arial" w:cs="Arial"/>
          <w:b/>
          <w:bCs/>
        </w:rPr>
        <w:t>Is EV Worth Investing?</w:t>
      </w:r>
    </w:p>
    <w:p w14:paraId="6AB605A0" w14:textId="717DF7FC" w:rsidR="004C485B" w:rsidRPr="00737DFD" w:rsidRDefault="004C485B" w:rsidP="00007BE0">
      <w:pPr>
        <w:pStyle w:val="ListParagraph"/>
        <w:spacing w:line="276" w:lineRule="auto"/>
        <w:ind w:left="360"/>
        <w:rPr>
          <w:rFonts w:ascii="Arial" w:hAnsi="Arial" w:cs="Arial"/>
        </w:rPr>
      </w:pPr>
      <w:r w:rsidRPr="00737DFD">
        <w:rPr>
          <w:rFonts w:ascii="Arial" w:hAnsi="Arial" w:cs="Arial"/>
        </w:rPr>
        <w:t>Based on the market analysis findings, TD Bank decides whether to move forward with an investment in the EV sector. This is a critical decision point where the bank evaluates the overall profitability and potential of the EV market. The decision checks on several factors such as sufficient market demand for EVs, the technology is scalable as well as sustainable and the investment aligns with TD Bank’s broader strategic goals. If the market outlook is not promising, the process ends here. If the EV market is considered a worthwhile investment opportunity, the bank will explore this sector more deeply particularly in wireless charging technology.</w:t>
      </w:r>
      <w:r w:rsidR="00007BE0">
        <w:rPr>
          <w:rFonts w:ascii="Arial" w:hAnsi="Arial" w:cs="Arial"/>
        </w:rPr>
        <w:br/>
      </w:r>
    </w:p>
    <w:p w14:paraId="57AFF1B4" w14:textId="089F6E58"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Finalize EV as the Field of Investment:</w:t>
      </w:r>
      <w:r w:rsidR="005D7979" w:rsidRPr="00737DFD">
        <w:rPr>
          <w:rFonts w:ascii="Arial" w:hAnsi="Arial" w:cs="Arial"/>
          <w:b/>
          <w:bCs/>
        </w:rPr>
        <w:t xml:space="preserve"> </w:t>
      </w:r>
      <w:r w:rsidRPr="00737DFD">
        <w:rPr>
          <w:rFonts w:ascii="Arial" w:hAnsi="Arial" w:cs="Arial"/>
        </w:rPr>
        <w:t xml:space="preserve">Once TD Bank concludes that the EV market is a promising area for investment, the focus </w:t>
      </w:r>
      <w:r w:rsidR="002234F7" w:rsidRPr="00737DFD">
        <w:rPr>
          <w:rFonts w:ascii="Arial" w:hAnsi="Arial" w:cs="Arial"/>
        </w:rPr>
        <w:t>shifts to</w:t>
      </w:r>
      <w:r w:rsidRPr="00737DFD">
        <w:rPr>
          <w:rFonts w:ascii="Arial" w:hAnsi="Arial" w:cs="Arial"/>
        </w:rPr>
        <w:t xml:space="preserve"> the wireless charging segment. In this phase, the bank deepens its research into EV charging technologies exploring the current innovations that make this technology more appealing than traditional charging methods. Wireless charging is seen as a potential game changer for the EV industry. TD Bank identifies this as a niche area within the broader EV sector where it can leverage early-mover advantages, gain competitive positioning and align its investment with future technological advancements.</w:t>
      </w:r>
      <w:r w:rsidR="00007BE0">
        <w:rPr>
          <w:rFonts w:ascii="Arial" w:hAnsi="Arial" w:cs="Arial"/>
        </w:rPr>
        <w:br/>
      </w:r>
    </w:p>
    <w:p w14:paraId="1AA38BEC" w14:textId="6758D9BE"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Research on EV Products and Loans:</w:t>
      </w:r>
      <w:r w:rsidR="005D7979" w:rsidRPr="00737DFD">
        <w:rPr>
          <w:rFonts w:ascii="Arial" w:hAnsi="Arial" w:cs="Arial"/>
          <w:b/>
          <w:bCs/>
        </w:rPr>
        <w:t xml:space="preserve"> </w:t>
      </w:r>
      <w:r w:rsidRPr="00737DFD">
        <w:rPr>
          <w:rFonts w:ascii="Arial" w:hAnsi="Arial" w:cs="Arial"/>
        </w:rPr>
        <w:t>At this point, detailed research is conducted into the existing EV products on the market such as electric vehicles and related charging infrastructure. The bank examines how its current financial services particularly vehicle loans and green financing products could be adapted or expanded to support the growing EV market. TD Bank evaluates how well these financial offerings align with the needs of EV consumers and how the bank can play a role in promoting EV adoption through innovative lending products. This stage also explores the potential for bundling financial services with EV purchases, offering customers favorable terms and incentives to make sustainable investments in electric vehicles. ProcessPro Partners might play a supporting role by providing external insights and helping guide the research process with specialized industry knowledge.</w:t>
      </w:r>
      <w:r w:rsidR="00007BE0">
        <w:rPr>
          <w:rFonts w:ascii="Arial" w:hAnsi="Arial" w:cs="Arial"/>
        </w:rPr>
        <w:br/>
      </w:r>
    </w:p>
    <w:p w14:paraId="0A455ABA" w14:textId="56A63B91"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Strategic Fit with TD Bank's Goals:</w:t>
      </w:r>
      <w:r w:rsidR="005D7979" w:rsidRPr="00737DFD">
        <w:rPr>
          <w:rFonts w:ascii="Arial" w:hAnsi="Arial" w:cs="Arial"/>
          <w:b/>
          <w:bCs/>
        </w:rPr>
        <w:t xml:space="preserve"> </w:t>
      </w:r>
      <w:r w:rsidRPr="00737DFD">
        <w:rPr>
          <w:rFonts w:ascii="Arial" w:hAnsi="Arial" w:cs="Arial"/>
        </w:rPr>
        <w:t xml:space="preserve">The ProcessPro teams takes a step back to assess whether an investment in wireless EV charging aligns with its long-term strategic goals of </w:t>
      </w:r>
      <w:r w:rsidRPr="00737DFD">
        <w:rPr>
          <w:rFonts w:ascii="Arial" w:hAnsi="Arial" w:cs="Arial"/>
        </w:rPr>
        <w:lastRenderedPageBreak/>
        <w:t>TD. This involves a thorough review of the bank’s primary objectives particularly in areas like sustainability, digital innovation and customer service. The team also evaluates whether this investment supports banks commitment to environmental responsibility and whether it enhances the bank’s ability to offer innovative financial products. The alignment between the bank’s core values such as reducing its carbon footprint and its business goals is essential for ensuring that the acquisition strengthens the bank’s strategic positioning in the financial market. ProcessPro Partners supports this process by offering consulting and market research to help TD Bank make a well-informed decision.</w:t>
      </w:r>
      <w:r w:rsidR="00007BE0">
        <w:rPr>
          <w:rFonts w:ascii="Arial" w:hAnsi="Arial" w:cs="Arial"/>
        </w:rPr>
        <w:br/>
      </w:r>
    </w:p>
    <w:p w14:paraId="3C9D1F53" w14:textId="424818F2"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Market Research Report:</w:t>
      </w:r>
      <w:r w:rsidR="005D7979" w:rsidRPr="00737DFD">
        <w:rPr>
          <w:rFonts w:ascii="Arial" w:hAnsi="Arial" w:cs="Arial"/>
          <w:b/>
          <w:bCs/>
        </w:rPr>
        <w:t xml:space="preserve"> </w:t>
      </w:r>
      <w:r w:rsidRPr="00737DFD">
        <w:rPr>
          <w:rFonts w:ascii="Arial" w:hAnsi="Arial" w:cs="Arial"/>
        </w:rPr>
        <w:t>A comprehensive market research report is developed by ProcessPro Partners to give TD Bank a detailed understanding of the wireless EV charging sector. This report includes an in-depth analysis of the market’s growth potential, competitor activity and emerging trends. It also highlights key players in the wireless charging industry, market risks and technological advancements that could impact the future of the sector. The report serves as a critical resource for the bank’s leadership providing data-driven insights to help them make informed decisions about the viability of the investment. It also outlines potential challenges such as regulatory hurdles and barriers to consumer adoption which need to be addressed before proceeding.</w:t>
      </w:r>
      <w:r w:rsidR="00007BE0">
        <w:rPr>
          <w:rFonts w:ascii="Arial" w:hAnsi="Arial" w:cs="Arial"/>
        </w:rPr>
        <w:br/>
      </w:r>
    </w:p>
    <w:p w14:paraId="4C05F17B" w14:textId="62F1CBA3"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To Invest in Wireless EV Charging?</w:t>
      </w:r>
      <w:r w:rsidR="005D7979" w:rsidRPr="00737DFD">
        <w:rPr>
          <w:rFonts w:ascii="Arial" w:hAnsi="Arial" w:cs="Arial"/>
          <w:b/>
          <w:bCs/>
        </w:rPr>
        <w:t xml:space="preserve"> </w:t>
      </w:r>
      <w:r w:rsidRPr="00737DFD">
        <w:rPr>
          <w:rFonts w:ascii="Arial" w:hAnsi="Arial" w:cs="Arial"/>
        </w:rPr>
        <w:t>After reviewing the market research report, TD Bank decides whether investing in EV market is worth. This is another key decision point where the bank evaluates whether there is enough consumer demand and market potential to justify the investment. If demand is insufficient or if the risks outweigh the potential returns, the bank will terminate the process here. However, the acquisition process will proceed if the market shows strong growth prospects and aligns with the bank’s strategy. This decision is crucial because it determines whether TD Bank will commit resources to pursue a leading position in this innovative technology space.</w:t>
      </w:r>
      <w:r w:rsidR="00007BE0">
        <w:rPr>
          <w:rFonts w:ascii="Arial" w:hAnsi="Arial" w:cs="Arial"/>
        </w:rPr>
        <w:br/>
      </w:r>
    </w:p>
    <w:p w14:paraId="220DECD5" w14:textId="711E103E"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Risk Analysis and Mitigation Strategies:</w:t>
      </w:r>
      <w:r w:rsidR="005D7979" w:rsidRPr="00737DFD">
        <w:rPr>
          <w:rFonts w:ascii="Arial" w:hAnsi="Arial" w:cs="Arial"/>
          <w:b/>
          <w:bCs/>
        </w:rPr>
        <w:t xml:space="preserve"> </w:t>
      </w:r>
      <w:r w:rsidRPr="00737DFD">
        <w:rPr>
          <w:rFonts w:ascii="Arial" w:hAnsi="Arial" w:cs="Arial"/>
        </w:rPr>
        <w:t>Before moving forward, ProcessPro Partners performs a detailed risk analysis to identify potential challenges and vulnerabilities associated with the investment. They assess financial risks such as over-investment or delayed returns and technological risks. Regulatory risks are also considered mainly how changes in government policies might affect the market. Once these risks are identified, consultancy develops mitigation strategies to minimize exposure. This includes setting aside risk reserves, preparing contingency plans and ensuring that the investment is structured to limit potential losses. This step is vital to safeguard the bank’s capital and ensure that it is prepared for any unforeseen challenges.</w:t>
      </w:r>
      <w:r w:rsidR="00007BE0">
        <w:rPr>
          <w:rFonts w:ascii="Arial" w:hAnsi="Arial" w:cs="Arial"/>
        </w:rPr>
        <w:br/>
      </w:r>
    </w:p>
    <w:p w14:paraId="34A4D6D7" w14:textId="2962072C"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Company Research on Wireless EV Charging:</w:t>
      </w:r>
      <w:r w:rsidR="005D7979" w:rsidRPr="00737DFD">
        <w:rPr>
          <w:rFonts w:ascii="Arial" w:hAnsi="Arial" w:cs="Arial"/>
          <w:b/>
          <w:bCs/>
        </w:rPr>
        <w:t xml:space="preserve"> </w:t>
      </w:r>
      <w:r w:rsidRPr="00737DFD">
        <w:rPr>
          <w:rFonts w:ascii="Arial" w:hAnsi="Arial" w:cs="Arial"/>
        </w:rPr>
        <w:t xml:space="preserve">ProcessPro Partners conducts thorough research on specific companies operating in this sector. This step involves evaluating various companies' financial health, technological capabilities and market positioning. The goal is to identify a company with strong financial fundamentals and a proven track record in innovation and leadership in wireless EV charging technology. </w:t>
      </w:r>
      <w:r w:rsidR="00007BE0">
        <w:rPr>
          <w:rFonts w:ascii="Arial" w:hAnsi="Arial" w:cs="Arial"/>
        </w:rPr>
        <w:br/>
      </w:r>
    </w:p>
    <w:p w14:paraId="47E88C2A" w14:textId="30B9E526"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Selecting WiTricity for Investment:</w:t>
      </w:r>
      <w:r w:rsidR="005D7979" w:rsidRPr="00737DFD">
        <w:rPr>
          <w:rFonts w:ascii="Arial" w:hAnsi="Arial" w:cs="Arial"/>
          <w:b/>
          <w:bCs/>
        </w:rPr>
        <w:t xml:space="preserve"> </w:t>
      </w:r>
      <w:r w:rsidRPr="00737DFD">
        <w:rPr>
          <w:rFonts w:ascii="Arial" w:hAnsi="Arial" w:cs="Arial"/>
        </w:rPr>
        <w:t xml:space="preserve">After a detailed evaluation of several companies, ProcessPro Partner suggests WiTricity as the ideal candidate for investment. WiTricity stands out due to its strong position in the market, technological edge and ability to provide </w:t>
      </w:r>
      <w:r w:rsidRPr="00737DFD">
        <w:rPr>
          <w:rFonts w:ascii="Arial" w:hAnsi="Arial" w:cs="Arial"/>
        </w:rPr>
        <w:lastRenderedPageBreak/>
        <w:t>TD Bank with a first-mover advantage in wireless EV charging. The company’s leadership in intellectual property makes it an attractive acquisition target.</w:t>
      </w:r>
      <w:r w:rsidR="00007BE0">
        <w:rPr>
          <w:rFonts w:ascii="Arial" w:hAnsi="Arial" w:cs="Arial"/>
        </w:rPr>
        <w:br/>
      </w:r>
    </w:p>
    <w:p w14:paraId="61D3C97C" w14:textId="6698A530"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Integration and Operational Plan:</w:t>
      </w:r>
      <w:r w:rsidR="005D7979" w:rsidRPr="00737DFD">
        <w:rPr>
          <w:rFonts w:ascii="Arial" w:hAnsi="Arial" w:cs="Arial"/>
          <w:b/>
          <w:bCs/>
        </w:rPr>
        <w:t xml:space="preserve"> </w:t>
      </w:r>
      <w:r w:rsidRPr="00737DFD">
        <w:rPr>
          <w:rFonts w:ascii="Arial" w:hAnsi="Arial" w:cs="Arial"/>
        </w:rPr>
        <w:t>In this step, ProcessPro Partners research on the TD’s existing operations, requirements and strategic goals. They would also be responsible for ensuring that the integration aligns with their business objectives and regulatory compliance. As a consulting partner, ProcessPro Partners would likely lead the development of the operational plan. They would analyze TD Bank's processes, identify areas for improvement, design the integration strategy and outline how the two organizations will work together to implement the plan effectively.</w:t>
      </w:r>
      <w:r w:rsidR="00007BE0">
        <w:rPr>
          <w:rFonts w:ascii="Arial" w:hAnsi="Arial" w:cs="Arial"/>
        </w:rPr>
        <w:br/>
      </w:r>
    </w:p>
    <w:p w14:paraId="52580649" w14:textId="09062019"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Presenting Synergies and Future Growth Prospects:</w:t>
      </w:r>
      <w:r w:rsidR="005D7979" w:rsidRPr="00737DFD">
        <w:rPr>
          <w:rFonts w:ascii="Arial" w:hAnsi="Arial" w:cs="Arial"/>
          <w:b/>
          <w:bCs/>
        </w:rPr>
        <w:t xml:space="preserve"> </w:t>
      </w:r>
      <w:r w:rsidRPr="00737DFD">
        <w:rPr>
          <w:rFonts w:ascii="Arial" w:hAnsi="Arial" w:cs="Arial"/>
        </w:rPr>
        <w:t>ProcessPro Partners prepares to present the potential synergies and growth prospects that WiTricity brings to the table. This involves demonstrating how the acquisition will unlock new revenue streams through cross-selling opportunities, enhanced financial products, and expansion into new markets. The team also outlines how the acquisition aligns with its future growth strategy particularly regarding innovation and sustainability. It also highlights the strategic benefits of integrating wireless EV charging into its portfolio by positioning itself as a leader in green technology and enhancing TD’s brand image as a forward-thinking institution.</w:t>
      </w:r>
      <w:r w:rsidR="00007BE0">
        <w:rPr>
          <w:rFonts w:ascii="Arial" w:hAnsi="Arial" w:cs="Arial"/>
        </w:rPr>
        <w:br/>
      </w:r>
    </w:p>
    <w:p w14:paraId="50DA45EB" w14:textId="4B0A03A6"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Assess Financial, Operational and Regulatory Feasibility:</w:t>
      </w:r>
      <w:r w:rsidR="005D7979" w:rsidRPr="00737DFD">
        <w:rPr>
          <w:rFonts w:ascii="Arial" w:hAnsi="Arial" w:cs="Arial"/>
          <w:b/>
          <w:bCs/>
        </w:rPr>
        <w:t xml:space="preserve"> </w:t>
      </w:r>
      <w:r w:rsidRPr="00737DFD">
        <w:rPr>
          <w:rFonts w:ascii="Arial" w:hAnsi="Arial" w:cs="Arial"/>
        </w:rPr>
        <w:t>A detailed feasibility study is conducted to ensure the acquisition is practical from financial, operational and regulatory standpoints. This involves assessing the acquisition cost against the expected return on investment and evaluating whether WiTricity’s operations can be smoothly integrated into TD Bank’s existing systems. The study also considers compliance with regulatory requirements in the relevant markets. This step is crucial to ensure that the acquisition is financially sound and feasible in terms of day-to-day operations and regulatory obligations.</w:t>
      </w:r>
      <w:r w:rsidR="00007BE0">
        <w:rPr>
          <w:rFonts w:ascii="Arial" w:hAnsi="Arial" w:cs="Arial"/>
        </w:rPr>
        <w:br/>
      </w:r>
    </w:p>
    <w:p w14:paraId="0D6AF24C" w14:textId="5A3AC35B"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Feasibility Analysis Report:</w:t>
      </w:r>
      <w:r w:rsidR="005D7979" w:rsidRPr="00737DFD">
        <w:rPr>
          <w:rFonts w:ascii="Arial" w:hAnsi="Arial" w:cs="Arial"/>
          <w:b/>
          <w:bCs/>
        </w:rPr>
        <w:t xml:space="preserve"> </w:t>
      </w:r>
      <w:r w:rsidRPr="00737DFD">
        <w:rPr>
          <w:rFonts w:ascii="Arial" w:hAnsi="Arial" w:cs="Arial"/>
        </w:rPr>
        <w:t>The findings from the feasibility study conducted by Process</w:t>
      </w:r>
      <w:r w:rsidR="002234F7" w:rsidRPr="00737DFD">
        <w:rPr>
          <w:rFonts w:ascii="Arial" w:hAnsi="Arial" w:cs="Arial"/>
        </w:rPr>
        <w:t>P</w:t>
      </w:r>
      <w:r w:rsidRPr="00737DFD">
        <w:rPr>
          <w:rFonts w:ascii="Arial" w:hAnsi="Arial" w:cs="Arial"/>
        </w:rPr>
        <w:t>ro partners are compiled into a formal report which presents the pros and cons of the acquisition. This report provides TD Bank’s leadership with a clear understanding of the WiTricity acquisition's financial, operational and regulatory aspects. It outlines the potential risks and benefits. It also includes recommendations for moving forward. The report serves as the foundation for the final decision by ensuring that all aspects of the acquisition have been thoroughly considered and documented.</w:t>
      </w:r>
      <w:r w:rsidR="00007BE0">
        <w:rPr>
          <w:rFonts w:ascii="Arial" w:hAnsi="Arial" w:cs="Arial"/>
        </w:rPr>
        <w:br/>
      </w:r>
    </w:p>
    <w:p w14:paraId="12103857" w14:textId="461A37D6" w:rsidR="004C485B" w:rsidRPr="00737DFD" w:rsidRDefault="004C485B" w:rsidP="00007BE0">
      <w:pPr>
        <w:pStyle w:val="ListParagraph"/>
        <w:numPr>
          <w:ilvl w:val="0"/>
          <w:numId w:val="8"/>
        </w:numPr>
        <w:spacing w:line="276" w:lineRule="auto"/>
        <w:rPr>
          <w:rFonts w:ascii="Arial" w:hAnsi="Arial" w:cs="Arial"/>
        </w:rPr>
      </w:pPr>
      <w:r w:rsidRPr="00737DFD">
        <w:rPr>
          <w:rFonts w:ascii="Arial" w:hAnsi="Arial" w:cs="Arial"/>
          <w:b/>
          <w:bCs/>
        </w:rPr>
        <w:t>Internal Review and Approval:</w:t>
      </w:r>
      <w:r w:rsidR="005D7979" w:rsidRPr="00737DFD">
        <w:rPr>
          <w:rFonts w:ascii="Arial" w:hAnsi="Arial" w:cs="Arial"/>
          <w:b/>
          <w:bCs/>
        </w:rPr>
        <w:t xml:space="preserve"> </w:t>
      </w:r>
      <w:r w:rsidRPr="00737DFD">
        <w:rPr>
          <w:rFonts w:ascii="Arial" w:hAnsi="Arial" w:cs="Arial"/>
        </w:rPr>
        <w:t>The final step in the process involves presenting the acquisition plan to TD Bank’s senior leadership, board of directors for internal review and approval. This step ensures that all key stakeholders are aligned with the acquisition strategy. The decision meets the bank’s governance and investment criteria. Once approval is obtained, TD Bank can officially proceed with the acquisition by marking the culmination of the pre-acquisition process and the beginning of the integration phase.</w:t>
      </w:r>
    </w:p>
    <w:p w14:paraId="184E1736" w14:textId="3F25CE8E" w:rsidR="009B1210" w:rsidRPr="00007BE0" w:rsidRDefault="00C67795" w:rsidP="004D27C8">
      <w:pPr>
        <w:pStyle w:val="Heading1"/>
        <w:jc w:val="left"/>
        <w:rPr>
          <w:rFonts w:ascii="Arial" w:hAnsi="Arial" w:cs="Arial"/>
        </w:rPr>
      </w:pPr>
      <w:bookmarkStart w:id="11" w:name="_Toc179575819"/>
      <w:r w:rsidRPr="00007BE0">
        <w:rPr>
          <w:rFonts w:ascii="Arial" w:hAnsi="Arial" w:cs="Arial"/>
          <w:sz w:val="36"/>
          <w:szCs w:val="36"/>
        </w:rPr>
        <w:lastRenderedPageBreak/>
        <w:t>R</w:t>
      </w:r>
      <w:r w:rsidR="00007BE0" w:rsidRPr="00007BE0">
        <w:rPr>
          <w:rFonts w:ascii="Arial" w:hAnsi="Arial" w:cs="Arial"/>
          <w:sz w:val="36"/>
          <w:szCs w:val="36"/>
        </w:rPr>
        <w:t xml:space="preserve">ACI </w:t>
      </w:r>
      <w:r w:rsidRPr="00007BE0">
        <w:rPr>
          <w:rFonts w:ascii="Arial" w:hAnsi="Arial" w:cs="Arial"/>
          <w:sz w:val="36"/>
          <w:szCs w:val="36"/>
        </w:rPr>
        <w:t>M</w:t>
      </w:r>
      <w:r w:rsidR="00BD4D93" w:rsidRPr="00007BE0">
        <w:rPr>
          <w:rFonts w:ascii="Arial" w:hAnsi="Arial" w:cs="Arial"/>
          <w:sz w:val="36"/>
          <w:szCs w:val="36"/>
        </w:rPr>
        <w:t>atrix</w:t>
      </w:r>
      <w:bookmarkEnd w:id="11"/>
    </w:p>
    <w:tbl>
      <w:tblPr>
        <w:tblStyle w:val="ListTable41"/>
        <w:tblpPr w:leftFromText="180" w:rightFromText="180" w:vertAnchor="page" w:horzAnchor="margin" w:tblpXSpec="center" w:tblpY="3143"/>
        <w:tblW w:w="8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1113"/>
        <w:gridCol w:w="1246"/>
        <w:gridCol w:w="1389"/>
        <w:gridCol w:w="1347"/>
        <w:gridCol w:w="1266"/>
      </w:tblGrid>
      <w:tr w:rsidR="00CE0C1B" w:rsidRPr="002234F7" w14:paraId="7B97BD1C" w14:textId="77777777" w:rsidTr="005B22A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85" w:type="dxa"/>
            <w:shd w:val="clear" w:color="auto" w:fill="ACB9CA"/>
            <w:vAlign w:val="center"/>
          </w:tcPr>
          <w:p w14:paraId="3538011A" w14:textId="230974EE" w:rsidR="00CE0C1B" w:rsidRPr="002234F7" w:rsidRDefault="00CE0C1B" w:rsidP="00CE0C1B">
            <w:pPr>
              <w:spacing w:line="240" w:lineRule="auto"/>
              <w:jc w:val="left"/>
              <w:rPr>
                <w:rFonts w:ascii="Arial" w:eastAsia="Calibri" w:hAnsi="Arial" w:cs="Arial"/>
                <w:color w:val="auto"/>
                <w:sz w:val="24"/>
                <w:szCs w:val="24"/>
              </w:rPr>
            </w:pPr>
            <w:r w:rsidRPr="002234F7">
              <w:rPr>
                <w:rFonts w:ascii="Arial" w:eastAsia="Calibri" w:hAnsi="Arial" w:cs="Arial"/>
                <w:color w:val="auto"/>
                <w:sz w:val="24"/>
                <w:szCs w:val="24"/>
              </w:rPr>
              <w:t>Tasks\Names</w:t>
            </w:r>
          </w:p>
        </w:tc>
        <w:tc>
          <w:tcPr>
            <w:tcW w:w="1113" w:type="dxa"/>
            <w:shd w:val="clear" w:color="auto" w:fill="ACB9CA"/>
          </w:tcPr>
          <w:p w14:paraId="408F123F"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2234F7">
              <w:rPr>
                <w:rFonts w:ascii="Arial" w:eastAsia="Calibri" w:hAnsi="Arial" w:cs="Arial"/>
                <w:color w:val="auto"/>
                <w:sz w:val="24"/>
                <w:szCs w:val="24"/>
              </w:rPr>
              <w:t>Rama</w:t>
            </w:r>
          </w:p>
          <w:p w14:paraId="4BBBBF85"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2234F7">
              <w:rPr>
                <w:rFonts w:ascii="Arial" w:eastAsia="Calibri" w:hAnsi="Arial" w:cs="Arial"/>
                <w:color w:val="auto"/>
                <w:sz w:val="24"/>
                <w:szCs w:val="24"/>
              </w:rPr>
              <w:t>Murthy</w:t>
            </w:r>
          </w:p>
          <w:p w14:paraId="7CAF39D7"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auto"/>
                <w:sz w:val="24"/>
                <w:szCs w:val="24"/>
              </w:rPr>
            </w:pPr>
            <w:r w:rsidRPr="002234F7">
              <w:rPr>
                <w:rFonts w:ascii="Arial" w:eastAsia="Calibri" w:hAnsi="Arial" w:cs="Arial"/>
                <w:b w:val="0"/>
                <w:bCs w:val="0"/>
                <w:color w:val="auto"/>
                <w:sz w:val="16"/>
                <w:szCs w:val="16"/>
              </w:rPr>
              <w:t>(Project Manager)</w:t>
            </w:r>
          </w:p>
        </w:tc>
        <w:tc>
          <w:tcPr>
            <w:tcW w:w="1246" w:type="dxa"/>
            <w:shd w:val="clear" w:color="auto" w:fill="ACB9CA"/>
          </w:tcPr>
          <w:p w14:paraId="694AD5DA"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2234F7">
              <w:rPr>
                <w:rFonts w:ascii="Arial" w:eastAsia="Calibri" w:hAnsi="Arial" w:cs="Arial"/>
                <w:color w:val="auto"/>
                <w:sz w:val="24"/>
                <w:szCs w:val="24"/>
              </w:rPr>
              <w:t>Sandra Marya</w:t>
            </w:r>
          </w:p>
          <w:p w14:paraId="76FB09FF"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auto"/>
                <w:sz w:val="24"/>
                <w:szCs w:val="24"/>
              </w:rPr>
            </w:pPr>
            <w:r w:rsidRPr="002234F7">
              <w:rPr>
                <w:rFonts w:ascii="Arial" w:eastAsia="Calibri" w:hAnsi="Arial" w:cs="Arial"/>
                <w:b w:val="0"/>
                <w:bCs w:val="0"/>
                <w:color w:val="auto"/>
                <w:sz w:val="16"/>
                <w:szCs w:val="16"/>
              </w:rPr>
              <w:t>(Team Lead)</w:t>
            </w:r>
          </w:p>
        </w:tc>
        <w:tc>
          <w:tcPr>
            <w:tcW w:w="1389" w:type="dxa"/>
            <w:shd w:val="clear" w:color="auto" w:fill="ACB9CA"/>
          </w:tcPr>
          <w:p w14:paraId="17BB7ADE"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2234F7">
              <w:rPr>
                <w:rFonts w:ascii="Arial" w:eastAsia="Calibri" w:hAnsi="Arial" w:cs="Arial"/>
                <w:color w:val="auto"/>
                <w:sz w:val="24"/>
                <w:szCs w:val="24"/>
              </w:rPr>
              <w:t>Sruthi</w:t>
            </w:r>
          </w:p>
          <w:p w14:paraId="0E655A9D"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2234F7">
              <w:rPr>
                <w:rFonts w:ascii="Arial" w:eastAsia="Calibri" w:hAnsi="Arial" w:cs="Arial"/>
                <w:color w:val="auto"/>
                <w:sz w:val="24"/>
                <w:szCs w:val="24"/>
              </w:rPr>
              <w:t>Abraham</w:t>
            </w:r>
          </w:p>
          <w:p w14:paraId="6151E2D8"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auto"/>
                <w:sz w:val="24"/>
                <w:szCs w:val="24"/>
              </w:rPr>
            </w:pPr>
            <w:r w:rsidRPr="002234F7">
              <w:rPr>
                <w:rFonts w:ascii="Arial" w:eastAsia="Calibri" w:hAnsi="Arial" w:cs="Arial"/>
                <w:b w:val="0"/>
                <w:bCs w:val="0"/>
                <w:color w:val="auto"/>
                <w:sz w:val="16"/>
                <w:szCs w:val="16"/>
              </w:rPr>
              <w:t>(Business Analyst)</w:t>
            </w:r>
          </w:p>
        </w:tc>
        <w:tc>
          <w:tcPr>
            <w:tcW w:w="1347" w:type="dxa"/>
            <w:shd w:val="clear" w:color="auto" w:fill="ACB9CA"/>
          </w:tcPr>
          <w:p w14:paraId="1D785FF2"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2234F7">
              <w:rPr>
                <w:rFonts w:ascii="Arial" w:eastAsia="Calibri" w:hAnsi="Arial" w:cs="Arial"/>
                <w:color w:val="auto"/>
                <w:sz w:val="24"/>
                <w:szCs w:val="24"/>
              </w:rPr>
              <w:t>Prachi</w:t>
            </w:r>
          </w:p>
          <w:p w14:paraId="2E059AD6"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2234F7">
              <w:rPr>
                <w:rFonts w:ascii="Arial" w:eastAsia="Calibri" w:hAnsi="Arial" w:cs="Arial"/>
                <w:color w:val="auto"/>
                <w:sz w:val="24"/>
                <w:szCs w:val="24"/>
              </w:rPr>
              <w:t xml:space="preserve">Arora </w:t>
            </w:r>
            <w:r w:rsidRPr="002234F7">
              <w:rPr>
                <w:rFonts w:ascii="Arial" w:eastAsia="Calibri" w:hAnsi="Arial" w:cs="Arial"/>
                <w:color w:val="auto"/>
                <w:sz w:val="24"/>
                <w:szCs w:val="24"/>
              </w:rPr>
              <w:br/>
            </w:r>
            <w:r w:rsidRPr="002234F7">
              <w:rPr>
                <w:rFonts w:ascii="Arial" w:eastAsia="Calibri" w:hAnsi="Arial" w:cs="Arial"/>
                <w:b w:val="0"/>
                <w:bCs w:val="0"/>
                <w:color w:val="auto"/>
                <w:sz w:val="16"/>
                <w:szCs w:val="16"/>
              </w:rPr>
              <w:t>(Business Analyst)</w:t>
            </w:r>
          </w:p>
        </w:tc>
        <w:tc>
          <w:tcPr>
            <w:tcW w:w="1266" w:type="dxa"/>
            <w:shd w:val="clear" w:color="auto" w:fill="ACB9CA"/>
          </w:tcPr>
          <w:p w14:paraId="2811C801"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24"/>
                <w:szCs w:val="24"/>
              </w:rPr>
            </w:pPr>
            <w:r w:rsidRPr="002234F7">
              <w:rPr>
                <w:rFonts w:ascii="Arial" w:eastAsia="Calibri" w:hAnsi="Arial" w:cs="Arial"/>
                <w:color w:val="auto"/>
                <w:sz w:val="24"/>
                <w:szCs w:val="24"/>
              </w:rPr>
              <w:t>Rutvi</w:t>
            </w:r>
          </w:p>
          <w:p w14:paraId="4D32940C"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2234F7">
              <w:rPr>
                <w:rFonts w:ascii="Arial" w:eastAsia="Calibri" w:hAnsi="Arial" w:cs="Arial"/>
                <w:color w:val="auto"/>
                <w:sz w:val="24"/>
                <w:szCs w:val="24"/>
              </w:rPr>
              <w:t>Patel</w:t>
            </w:r>
          </w:p>
          <w:p w14:paraId="2866675A" w14:textId="77777777" w:rsidR="00CE0C1B" w:rsidRPr="002234F7" w:rsidRDefault="00CE0C1B" w:rsidP="00B27CA8">
            <w:pPr>
              <w:spacing w:line="24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auto"/>
                <w:sz w:val="24"/>
                <w:szCs w:val="24"/>
              </w:rPr>
            </w:pPr>
            <w:r w:rsidRPr="002234F7">
              <w:rPr>
                <w:rFonts w:ascii="Arial" w:eastAsia="Calibri" w:hAnsi="Arial" w:cs="Arial"/>
                <w:b w:val="0"/>
                <w:bCs w:val="0"/>
                <w:color w:val="auto"/>
                <w:sz w:val="16"/>
                <w:szCs w:val="16"/>
              </w:rPr>
              <w:t>(Business Analyst)</w:t>
            </w:r>
          </w:p>
        </w:tc>
      </w:tr>
      <w:tr w:rsidR="00CE0C1B" w:rsidRPr="002234F7" w14:paraId="71AC26FA" w14:textId="77777777" w:rsidTr="005B22AE">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485" w:type="dxa"/>
          </w:tcPr>
          <w:p w14:paraId="073EDE13"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Listing roles and responsibilities</w:t>
            </w:r>
          </w:p>
        </w:tc>
        <w:tc>
          <w:tcPr>
            <w:tcW w:w="1113" w:type="dxa"/>
            <w:vAlign w:val="center"/>
          </w:tcPr>
          <w:p w14:paraId="11DA3EF8"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7CAE6F2E"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89" w:type="dxa"/>
            <w:vAlign w:val="center"/>
          </w:tcPr>
          <w:p w14:paraId="4AEC35AA"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62D3A1A2" w14:textId="77777777" w:rsidR="00CE0C1B" w:rsidRPr="002234F7" w:rsidRDefault="00CE0C1B" w:rsidP="00E82C5C">
            <w:pPr>
              <w:tabs>
                <w:tab w:val="left" w:pos="731"/>
              </w:tabs>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6BECACC0"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CE0C1B" w:rsidRPr="002234F7" w14:paraId="1F7F7068" w14:textId="77777777" w:rsidTr="005B22AE">
        <w:trPr>
          <w:trHeight w:val="404"/>
        </w:trPr>
        <w:tc>
          <w:tcPr>
            <w:cnfStyle w:val="001000000000" w:firstRow="0" w:lastRow="0" w:firstColumn="1" w:lastColumn="0" w:oddVBand="0" w:evenVBand="0" w:oddHBand="0" w:evenHBand="0" w:firstRowFirstColumn="0" w:firstRowLastColumn="0" w:lastRowFirstColumn="0" w:lastRowLastColumn="0"/>
            <w:tcW w:w="2485" w:type="dxa"/>
          </w:tcPr>
          <w:p w14:paraId="74602DF1"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Introduction</w:t>
            </w:r>
          </w:p>
        </w:tc>
        <w:tc>
          <w:tcPr>
            <w:tcW w:w="1113" w:type="dxa"/>
            <w:vAlign w:val="center"/>
          </w:tcPr>
          <w:p w14:paraId="28CF70C3"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46" w:type="dxa"/>
            <w:vAlign w:val="center"/>
          </w:tcPr>
          <w:p w14:paraId="3925A635"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89" w:type="dxa"/>
            <w:vAlign w:val="center"/>
          </w:tcPr>
          <w:p w14:paraId="74661006"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0A81AF0B" w14:textId="77777777" w:rsidR="00CE0C1B" w:rsidRPr="002234F7" w:rsidRDefault="00CE0C1B" w:rsidP="00E82C5C">
            <w:pPr>
              <w:tabs>
                <w:tab w:val="left" w:pos="804"/>
              </w:tabs>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2C24EC06"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CE0C1B" w:rsidRPr="002234F7" w14:paraId="32A81C96" w14:textId="77777777" w:rsidTr="005B22A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85" w:type="dxa"/>
          </w:tcPr>
          <w:p w14:paraId="77081188" w14:textId="5A6321FD"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A</w:t>
            </w:r>
            <w:r w:rsidR="00674E5F">
              <w:rPr>
                <w:rFonts w:ascii="Arial" w:eastAsia="Calibri" w:hAnsi="Arial" w:cs="Arial"/>
                <w:b w:val="0"/>
                <w:bCs w:val="0"/>
              </w:rPr>
              <w:t>s</w:t>
            </w:r>
            <w:r w:rsidRPr="002234F7">
              <w:rPr>
                <w:rFonts w:ascii="Arial" w:eastAsia="Calibri" w:hAnsi="Arial" w:cs="Arial"/>
                <w:b w:val="0"/>
                <w:bCs w:val="0"/>
              </w:rPr>
              <w:t>-I</w:t>
            </w:r>
            <w:r w:rsidR="00674E5F">
              <w:rPr>
                <w:rFonts w:ascii="Arial" w:eastAsia="Calibri" w:hAnsi="Arial" w:cs="Arial"/>
                <w:b w:val="0"/>
                <w:bCs w:val="0"/>
              </w:rPr>
              <w:t>s</w:t>
            </w:r>
            <w:r w:rsidRPr="002234F7">
              <w:rPr>
                <w:rFonts w:ascii="Arial" w:eastAsia="Calibri" w:hAnsi="Arial" w:cs="Arial"/>
                <w:b w:val="0"/>
                <w:bCs w:val="0"/>
              </w:rPr>
              <w:t xml:space="preserve"> Diagram</w:t>
            </w:r>
          </w:p>
        </w:tc>
        <w:tc>
          <w:tcPr>
            <w:tcW w:w="1113" w:type="dxa"/>
            <w:vAlign w:val="center"/>
          </w:tcPr>
          <w:p w14:paraId="0B9580C0"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46" w:type="dxa"/>
            <w:vAlign w:val="center"/>
          </w:tcPr>
          <w:p w14:paraId="0179006C"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1A11EB54"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3C7DC2EB" w14:textId="77777777" w:rsidR="00CE0C1B" w:rsidRPr="002234F7" w:rsidRDefault="00CE0C1B" w:rsidP="00E82C5C">
            <w:pPr>
              <w:tabs>
                <w:tab w:val="left" w:pos="731"/>
              </w:tabs>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66" w:type="dxa"/>
            <w:vAlign w:val="center"/>
          </w:tcPr>
          <w:p w14:paraId="3FAB88B3"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r>
      <w:tr w:rsidR="00CE0C1B" w:rsidRPr="002234F7" w14:paraId="13C548E7" w14:textId="77777777" w:rsidTr="005B22AE">
        <w:trPr>
          <w:trHeight w:val="416"/>
        </w:trPr>
        <w:tc>
          <w:tcPr>
            <w:cnfStyle w:val="001000000000" w:firstRow="0" w:lastRow="0" w:firstColumn="1" w:lastColumn="0" w:oddVBand="0" w:evenVBand="0" w:oddHBand="0" w:evenHBand="0" w:firstRowFirstColumn="0" w:firstRowLastColumn="0" w:lastRowFirstColumn="0" w:lastRowLastColumn="0"/>
            <w:tcW w:w="2485" w:type="dxa"/>
          </w:tcPr>
          <w:p w14:paraId="765D6CFF" w14:textId="1AD776EC"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A</w:t>
            </w:r>
            <w:r w:rsidR="00674E5F">
              <w:rPr>
                <w:rFonts w:ascii="Arial" w:eastAsia="Calibri" w:hAnsi="Arial" w:cs="Arial"/>
                <w:b w:val="0"/>
                <w:bCs w:val="0"/>
              </w:rPr>
              <w:t>s</w:t>
            </w:r>
            <w:r w:rsidRPr="002234F7">
              <w:rPr>
                <w:rFonts w:ascii="Arial" w:eastAsia="Calibri" w:hAnsi="Arial" w:cs="Arial"/>
                <w:b w:val="0"/>
                <w:bCs w:val="0"/>
              </w:rPr>
              <w:t>-I</w:t>
            </w:r>
            <w:r w:rsidR="00674E5F">
              <w:rPr>
                <w:rFonts w:ascii="Arial" w:eastAsia="Calibri" w:hAnsi="Arial" w:cs="Arial"/>
                <w:b w:val="0"/>
                <w:bCs w:val="0"/>
              </w:rPr>
              <w:t>s</w:t>
            </w:r>
            <w:r w:rsidRPr="002234F7">
              <w:rPr>
                <w:rFonts w:ascii="Arial" w:eastAsia="Calibri" w:hAnsi="Arial" w:cs="Arial"/>
                <w:b w:val="0"/>
                <w:bCs w:val="0"/>
              </w:rPr>
              <w:t xml:space="preserve"> Diagram Explanation</w:t>
            </w:r>
          </w:p>
        </w:tc>
        <w:tc>
          <w:tcPr>
            <w:tcW w:w="1113" w:type="dxa"/>
            <w:vAlign w:val="center"/>
          </w:tcPr>
          <w:p w14:paraId="792B6FEA"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46" w:type="dxa"/>
            <w:vAlign w:val="center"/>
          </w:tcPr>
          <w:p w14:paraId="127158D3"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89" w:type="dxa"/>
            <w:vAlign w:val="center"/>
          </w:tcPr>
          <w:p w14:paraId="21695106"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47" w:type="dxa"/>
            <w:vAlign w:val="center"/>
          </w:tcPr>
          <w:p w14:paraId="605619C3" w14:textId="77777777" w:rsidR="00CE0C1B" w:rsidRPr="002234F7" w:rsidRDefault="00CE0C1B" w:rsidP="00E82C5C">
            <w:pPr>
              <w:tabs>
                <w:tab w:val="left" w:pos="731"/>
              </w:tabs>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66" w:type="dxa"/>
            <w:vAlign w:val="center"/>
          </w:tcPr>
          <w:p w14:paraId="62272BB9"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r>
      <w:tr w:rsidR="00CE0C1B" w:rsidRPr="002234F7" w14:paraId="333C01F0" w14:textId="77777777" w:rsidTr="005B22A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485" w:type="dxa"/>
          </w:tcPr>
          <w:p w14:paraId="128A8097"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Feasibility Report – Revenue Streams</w:t>
            </w:r>
          </w:p>
        </w:tc>
        <w:tc>
          <w:tcPr>
            <w:tcW w:w="1113" w:type="dxa"/>
            <w:vAlign w:val="center"/>
          </w:tcPr>
          <w:p w14:paraId="6673DCF2"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46" w:type="dxa"/>
            <w:vAlign w:val="center"/>
          </w:tcPr>
          <w:p w14:paraId="05F023AF"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68959609"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4DA9D094" w14:textId="77777777" w:rsidR="00CE0C1B" w:rsidRPr="002234F7" w:rsidRDefault="00CE0C1B" w:rsidP="00E82C5C">
            <w:pPr>
              <w:tabs>
                <w:tab w:val="left" w:pos="731"/>
              </w:tabs>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06B39A88"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CE0C1B" w:rsidRPr="002234F7" w14:paraId="638A876C" w14:textId="77777777" w:rsidTr="005B22AE">
        <w:trPr>
          <w:trHeight w:val="714"/>
        </w:trPr>
        <w:tc>
          <w:tcPr>
            <w:cnfStyle w:val="001000000000" w:firstRow="0" w:lastRow="0" w:firstColumn="1" w:lastColumn="0" w:oddVBand="0" w:evenVBand="0" w:oddHBand="0" w:evenHBand="0" w:firstRowFirstColumn="0" w:firstRowLastColumn="0" w:lastRowFirstColumn="0" w:lastRowLastColumn="0"/>
            <w:tcW w:w="2485" w:type="dxa"/>
          </w:tcPr>
          <w:p w14:paraId="20232650"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Feasibility Report – Infrastructure Expenses</w:t>
            </w:r>
          </w:p>
        </w:tc>
        <w:tc>
          <w:tcPr>
            <w:tcW w:w="1113" w:type="dxa"/>
            <w:vAlign w:val="center"/>
          </w:tcPr>
          <w:p w14:paraId="7F818188"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265340A2"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89" w:type="dxa"/>
            <w:vAlign w:val="center"/>
          </w:tcPr>
          <w:p w14:paraId="62E35500"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4640CC26" w14:textId="77777777" w:rsidR="00CE0C1B" w:rsidRPr="002234F7" w:rsidRDefault="00CE0C1B" w:rsidP="00E82C5C">
            <w:pPr>
              <w:tabs>
                <w:tab w:val="left" w:pos="731"/>
              </w:tabs>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3EE49DE7"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CE0C1B" w:rsidRPr="002234F7" w14:paraId="50C809AE" w14:textId="77777777" w:rsidTr="005B22AE">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2485" w:type="dxa"/>
          </w:tcPr>
          <w:p w14:paraId="547A38A3"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Feasibility Report – Operational Expenses</w:t>
            </w:r>
          </w:p>
        </w:tc>
        <w:tc>
          <w:tcPr>
            <w:tcW w:w="1113" w:type="dxa"/>
            <w:vAlign w:val="center"/>
          </w:tcPr>
          <w:p w14:paraId="6FDBAF76"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59E7316F"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15605B00"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47" w:type="dxa"/>
            <w:vAlign w:val="center"/>
          </w:tcPr>
          <w:p w14:paraId="2C8FC327" w14:textId="77777777" w:rsidR="00CE0C1B" w:rsidRPr="002234F7" w:rsidRDefault="00CE0C1B" w:rsidP="00E82C5C">
            <w:pPr>
              <w:tabs>
                <w:tab w:val="left" w:pos="731"/>
              </w:tabs>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223E72D5"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CE0C1B" w:rsidRPr="002234F7" w14:paraId="6F40EA86" w14:textId="77777777" w:rsidTr="005B22AE">
        <w:trPr>
          <w:trHeight w:val="565"/>
        </w:trPr>
        <w:tc>
          <w:tcPr>
            <w:cnfStyle w:val="001000000000" w:firstRow="0" w:lastRow="0" w:firstColumn="1" w:lastColumn="0" w:oddVBand="0" w:evenVBand="0" w:oddHBand="0" w:evenHBand="0" w:firstRowFirstColumn="0" w:firstRowLastColumn="0" w:lastRowFirstColumn="0" w:lastRowLastColumn="0"/>
            <w:tcW w:w="2485" w:type="dxa"/>
          </w:tcPr>
          <w:p w14:paraId="252829CF"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Feasibility Report – R&amp;D</w:t>
            </w:r>
            <w:r w:rsidRPr="002234F7">
              <w:rPr>
                <w:rFonts w:ascii="Arial" w:eastAsia="Calibri" w:hAnsi="Arial" w:cs="Arial"/>
                <w:b w:val="0"/>
                <w:bCs w:val="0"/>
                <w:sz w:val="16"/>
                <w:szCs w:val="16"/>
              </w:rPr>
              <w:t>*</w:t>
            </w:r>
            <w:r w:rsidRPr="002234F7">
              <w:rPr>
                <w:rFonts w:ascii="Arial" w:eastAsia="Calibri" w:hAnsi="Arial" w:cs="Arial"/>
                <w:b w:val="0"/>
                <w:bCs w:val="0"/>
              </w:rPr>
              <w:t xml:space="preserve"> Expenses, IT Expenses</w:t>
            </w:r>
          </w:p>
        </w:tc>
        <w:tc>
          <w:tcPr>
            <w:tcW w:w="1113" w:type="dxa"/>
            <w:vAlign w:val="center"/>
          </w:tcPr>
          <w:p w14:paraId="10D8BCA0"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65C8F21B"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68FCE78C"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494BDBB9" w14:textId="77777777" w:rsidR="00CE0C1B" w:rsidRPr="002234F7" w:rsidRDefault="00CE0C1B" w:rsidP="00E82C5C">
            <w:pPr>
              <w:tabs>
                <w:tab w:val="left" w:pos="731"/>
              </w:tabs>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66" w:type="dxa"/>
            <w:vAlign w:val="center"/>
          </w:tcPr>
          <w:p w14:paraId="7E391754"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CE0C1B" w:rsidRPr="002234F7" w14:paraId="7675F404" w14:textId="77777777" w:rsidTr="005B22AE">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485" w:type="dxa"/>
          </w:tcPr>
          <w:p w14:paraId="2871FE02"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Feasibility Report – Acquisition Expenses</w:t>
            </w:r>
          </w:p>
        </w:tc>
        <w:tc>
          <w:tcPr>
            <w:tcW w:w="1113" w:type="dxa"/>
            <w:vAlign w:val="center"/>
          </w:tcPr>
          <w:p w14:paraId="382A58C9"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4B9CEA7D"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5DDCA496"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74A2ECE6" w14:textId="77777777" w:rsidR="00CE0C1B" w:rsidRPr="002234F7" w:rsidRDefault="00CE0C1B" w:rsidP="00E82C5C">
            <w:pPr>
              <w:tabs>
                <w:tab w:val="left" w:pos="731"/>
              </w:tabs>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29672EAA"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r>
      <w:tr w:rsidR="00CE0C1B" w:rsidRPr="002234F7" w14:paraId="6B3F29EA" w14:textId="77777777" w:rsidTr="005B22AE">
        <w:trPr>
          <w:trHeight w:val="554"/>
        </w:trPr>
        <w:tc>
          <w:tcPr>
            <w:cnfStyle w:val="001000000000" w:firstRow="0" w:lastRow="0" w:firstColumn="1" w:lastColumn="0" w:oddVBand="0" w:evenVBand="0" w:oddHBand="0" w:evenHBand="0" w:firstRowFirstColumn="0" w:firstRowLastColumn="0" w:lastRowFirstColumn="0" w:lastRowLastColumn="0"/>
            <w:tcW w:w="2485" w:type="dxa"/>
          </w:tcPr>
          <w:p w14:paraId="261F2980" w14:textId="24C07AC5"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CCA</w:t>
            </w:r>
            <w:r w:rsidR="00F16EDE">
              <w:rPr>
                <w:rFonts w:ascii="Arial" w:eastAsia="Calibri" w:hAnsi="Arial" w:cs="Arial"/>
                <w:b w:val="0"/>
                <w:bCs w:val="0"/>
              </w:rPr>
              <w:t xml:space="preserve"> (Capital Cost Allowance) </w:t>
            </w:r>
          </w:p>
        </w:tc>
        <w:tc>
          <w:tcPr>
            <w:tcW w:w="1113" w:type="dxa"/>
            <w:vAlign w:val="center"/>
          </w:tcPr>
          <w:p w14:paraId="1487EAA5"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3D4178EF"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89" w:type="dxa"/>
            <w:vAlign w:val="center"/>
          </w:tcPr>
          <w:p w14:paraId="13C93D1F"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2A3A8F00" w14:textId="77777777" w:rsidR="00CE0C1B" w:rsidRPr="002234F7" w:rsidRDefault="00CE0C1B" w:rsidP="00E82C5C">
            <w:pPr>
              <w:tabs>
                <w:tab w:val="left" w:pos="731"/>
              </w:tabs>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238CCA72"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CE0C1B" w:rsidRPr="002234F7" w14:paraId="19966063" w14:textId="77777777" w:rsidTr="005B22A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485" w:type="dxa"/>
          </w:tcPr>
          <w:p w14:paraId="7137E02E"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Interest Rate and Income Tax Rate</w:t>
            </w:r>
          </w:p>
        </w:tc>
        <w:tc>
          <w:tcPr>
            <w:tcW w:w="1113" w:type="dxa"/>
            <w:vAlign w:val="center"/>
          </w:tcPr>
          <w:p w14:paraId="07A02D64"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26F9FF5D"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5FC668CD"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47" w:type="dxa"/>
            <w:vAlign w:val="center"/>
          </w:tcPr>
          <w:p w14:paraId="59AF6E64" w14:textId="77777777" w:rsidR="00CE0C1B" w:rsidRPr="002234F7" w:rsidRDefault="00CE0C1B" w:rsidP="00E82C5C">
            <w:pPr>
              <w:tabs>
                <w:tab w:val="left" w:pos="731"/>
              </w:tabs>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3A2ADE13"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CE0C1B" w:rsidRPr="002234F7" w14:paraId="0DE6FD27" w14:textId="77777777" w:rsidTr="005B22AE">
        <w:trPr>
          <w:trHeight w:val="838"/>
        </w:trPr>
        <w:tc>
          <w:tcPr>
            <w:cnfStyle w:val="001000000000" w:firstRow="0" w:lastRow="0" w:firstColumn="1" w:lastColumn="0" w:oddVBand="0" w:evenVBand="0" w:oddHBand="0" w:evenHBand="0" w:firstRowFirstColumn="0" w:firstRowLastColumn="0" w:lastRowFirstColumn="0" w:lastRowLastColumn="0"/>
            <w:tcW w:w="2485" w:type="dxa"/>
          </w:tcPr>
          <w:p w14:paraId="38FC7581"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Calculations (Gross Profit, Net Profit, Expenses, Graphs)</w:t>
            </w:r>
          </w:p>
        </w:tc>
        <w:tc>
          <w:tcPr>
            <w:tcW w:w="1113" w:type="dxa"/>
            <w:vAlign w:val="center"/>
          </w:tcPr>
          <w:p w14:paraId="4834B0E7"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46" w:type="dxa"/>
            <w:vAlign w:val="center"/>
          </w:tcPr>
          <w:p w14:paraId="28735BFF"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6C9D0373"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5E9A4D5C" w14:textId="77777777" w:rsidR="00CE0C1B" w:rsidRPr="002234F7" w:rsidRDefault="00CE0C1B" w:rsidP="00E82C5C">
            <w:pPr>
              <w:tabs>
                <w:tab w:val="left" w:pos="731"/>
              </w:tabs>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6096A28E"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BF330C" w:rsidRPr="002234F7" w14:paraId="2F61F994" w14:textId="77777777" w:rsidTr="005B22A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85" w:type="dxa"/>
          </w:tcPr>
          <w:p w14:paraId="718A734B"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RACI Matrix</w:t>
            </w:r>
          </w:p>
        </w:tc>
        <w:tc>
          <w:tcPr>
            <w:tcW w:w="1113" w:type="dxa"/>
            <w:vAlign w:val="center"/>
          </w:tcPr>
          <w:p w14:paraId="6775F1F0"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46" w:type="dxa"/>
            <w:vAlign w:val="center"/>
          </w:tcPr>
          <w:p w14:paraId="32CF8165"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5DA3C72C"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6F1CC7C3" w14:textId="77777777" w:rsidR="00CE0C1B" w:rsidRPr="002234F7" w:rsidRDefault="00CE0C1B" w:rsidP="00E82C5C">
            <w:pPr>
              <w:tabs>
                <w:tab w:val="left" w:pos="731"/>
              </w:tabs>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3E286971"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BF330C" w:rsidRPr="002234F7" w14:paraId="28EF6D1D" w14:textId="77777777" w:rsidTr="005B22AE">
        <w:trPr>
          <w:trHeight w:val="417"/>
        </w:trPr>
        <w:tc>
          <w:tcPr>
            <w:cnfStyle w:val="001000000000" w:firstRow="0" w:lastRow="0" w:firstColumn="1" w:lastColumn="0" w:oddVBand="0" w:evenVBand="0" w:oddHBand="0" w:evenHBand="0" w:firstRowFirstColumn="0" w:firstRowLastColumn="0" w:lastRowFirstColumn="0" w:lastRowLastColumn="0"/>
            <w:tcW w:w="2485" w:type="dxa"/>
          </w:tcPr>
          <w:p w14:paraId="5CB08153"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Call of Action (COA)</w:t>
            </w:r>
          </w:p>
        </w:tc>
        <w:tc>
          <w:tcPr>
            <w:tcW w:w="1113" w:type="dxa"/>
            <w:vAlign w:val="center"/>
          </w:tcPr>
          <w:p w14:paraId="7A5E2FD4"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46" w:type="dxa"/>
            <w:vAlign w:val="center"/>
          </w:tcPr>
          <w:p w14:paraId="0A5DE0B0"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4E817F67"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5901667C"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25C59B9C"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BF330C" w:rsidRPr="002234F7" w14:paraId="3D50E04C" w14:textId="77777777" w:rsidTr="005B22A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85" w:type="dxa"/>
          </w:tcPr>
          <w:p w14:paraId="0439C948"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Latest News</w:t>
            </w:r>
          </w:p>
        </w:tc>
        <w:tc>
          <w:tcPr>
            <w:tcW w:w="1113" w:type="dxa"/>
            <w:vAlign w:val="center"/>
          </w:tcPr>
          <w:p w14:paraId="37EB772B"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46" w:type="dxa"/>
            <w:vAlign w:val="center"/>
          </w:tcPr>
          <w:p w14:paraId="5F47864F"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55F86ECC"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47" w:type="dxa"/>
            <w:vAlign w:val="center"/>
          </w:tcPr>
          <w:p w14:paraId="36BF69BE"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66" w:type="dxa"/>
            <w:vAlign w:val="center"/>
          </w:tcPr>
          <w:p w14:paraId="68486B7F"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r>
      <w:tr w:rsidR="00BF330C" w:rsidRPr="002234F7" w14:paraId="63B581C5" w14:textId="77777777" w:rsidTr="005B22AE">
        <w:trPr>
          <w:trHeight w:val="414"/>
        </w:trPr>
        <w:tc>
          <w:tcPr>
            <w:cnfStyle w:val="001000000000" w:firstRow="0" w:lastRow="0" w:firstColumn="1" w:lastColumn="0" w:oddVBand="0" w:evenVBand="0" w:oddHBand="0" w:evenHBand="0" w:firstRowFirstColumn="0" w:firstRowLastColumn="0" w:lastRowFirstColumn="0" w:lastRowLastColumn="0"/>
            <w:tcW w:w="2485" w:type="dxa"/>
          </w:tcPr>
          <w:p w14:paraId="62B9926F"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Conclusion</w:t>
            </w:r>
          </w:p>
        </w:tc>
        <w:tc>
          <w:tcPr>
            <w:tcW w:w="1113" w:type="dxa"/>
            <w:vAlign w:val="center"/>
          </w:tcPr>
          <w:p w14:paraId="04338977"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46" w:type="dxa"/>
            <w:vAlign w:val="center"/>
          </w:tcPr>
          <w:p w14:paraId="482D453D"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w:t>
            </w:r>
          </w:p>
        </w:tc>
        <w:tc>
          <w:tcPr>
            <w:tcW w:w="1389" w:type="dxa"/>
            <w:vAlign w:val="center"/>
          </w:tcPr>
          <w:p w14:paraId="0BC6190B"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49BB7358"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3744C139"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BF330C" w:rsidRPr="002234F7" w14:paraId="7A89DC70" w14:textId="77777777" w:rsidTr="005B22A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85" w:type="dxa"/>
          </w:tcPr>
          <w:p w14:paraId="45404925"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Final Report Initialization</w:t>
            </w:r>
          </w:p>
        </w:tc>
        <w:tc>
          <w:tcPr>
            <w:tcW w:w="1113" w:type="dxa"/>
            <w:vAlign w:val="center"/>
          </w:tcPr>
          <w:p w14:paraId="4E42DD78"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763713F1"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3A04EC1A"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347" w:type="dxa"/>
            <w:vAlign w:val="center"/>
          </w:tcPr>
          <w:p w14:paraId="69E27C7B"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66" w:type="dxa"/>
            <w:vAlign w:val="center"/>
          </w:tcPr>
          <w:p w14:paraId="30CE6F20"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BF330C" w:rsidRPr="002234F7" w14:paraId="3BC19528" w14:textId="77777777" w:rsidTr="005B22AE">
        <w:trPr>
          <w:trHeight w:val="696"/>
        </w:trPr>
        <w:tc>
          <w:tcPr>
            <w:cnfStyle w:val="001000000000" w:firstRow="0" w:lastRow="0" w:firstColumn="1" w:lastColumn="0" w:oddVBand="0" w:evenVBand="0" w:oddHBand="0" w:evenHBand="0" w:firstRowFirstColumn="0" w:firstRowLastColumn="0" w:lastRowFirstColumn="0" w:lastRowLastColumn="0"/>
            <w:tcW w:w="2485" w:type="dxa"/>
          </w:tcPr>
          <w:p w14:paraId="15DAAF46"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Documentation and Formatting</w:t>
            </w:r>
          </w:p>
        </w:tc>
        <w:tc>
          <w:tcPr>
            <w:tcW w:w="1113" w:type="dxa"/>
            <w:vAlign w:val="center"/>
          </w:tcPr>
          <w:p w14:paraId="0182CA34"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46" w:type="dxa"/>
            <w:vAlign w:val="center"/>
          </w:tcPr>
          <w:p w14:paraId="1193E218"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89" w:type="dxa"/>
            <w:vAlign w:val="center"/>
          </w:tcPr>
          <w:p w14:paraId="715564D8"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47" w:type="dxa"/>
            <w:vAlign w:val="center"/>
          </w:tcPr>
          <w:p w14:paraId="740AABAA"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c>
          <w:tcPr>
            <w:tcW w:w="1266" w:type="dxa"/>
            <w:vAlign w:val="center"/>
          </w:tcPr>
          <w:p w14:paraId="58687E49" w14:textId="77777777" w:rsidR="00CE0C1B" w:rsidRPr="002234F7" w:rsidRDefault="00CE0C1B" w:rsidP="00E82C5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2234F7">
              <w:rPr>
                <w:rFonts w:ascii="Arial" w:eastAsia="Calibri" w:hAnsi="Arial" w:cs="Arial"/>
              </w:rPr>
              <w:t>I</w:t>
            </w:r>
          </w:p>
        </w:tc>
      </w:tr>
      <w:tr w:rsidR="00BF330C" w:rsidRPr="002234F7" w14:paraId="2A48A408" w14:textId="77777777" w:rsidTr="005B22A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485" w:type="dxa"/>
          </w:tcPr>
          <w:p w14:paraId="0C83E2D2" w14:textId="77777777" w:rsidR="00CE0C1B" w:rsidRPr="002234F7" w:rsidRDefault="00CE0C1B" w:rsidP="00CE0C1B">
            <w:pPr>
              <w:spacing w:line="240" w:lineRule="auto"/>
              <w:jc w:val="left"/>
              <w:rPr>
                <w:rFonts w:ascii="Arial" w:eastAsia="Calibri" w:hAnsi="Arial" w:cs="Arial"/>
                <w:b w:val="0"/>
                <w:bCs w:val="0"/>
              </w:rPr>
            </w:pPr>
            <w:r w:rsidRPr="002234F7">
              <w:rPr>
                <w:rFonts w:ascii="Arial" w:eastAsia="Calibri" w:hAnsi="Arial" w:cs="Arial"/>
                <w:b w:val="0"/>
                <w:bCs w:val="0"/>
              </w:rPr>
              <w:t>Final Review and Submission</w:t>
            </w:r>
          </w:p>
        </w:tc>
        <w:tc>
          <w:tcPr>
            <w:tcW w:w="1113" w:type="dxa"/>
            <w:vAlign w:val="center"/>
          </w:tcPr>
          <w:p w14:paraId="3AA14A1C"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246" w:type="dxa"/>
            <w:vAlign w:val="center"/>
          </w:tcPr>
          <w:p w14:paraId="58A4FA5F"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R, A</w:t>
            </w:r>
          </w:p>
        </w:tc>
        <w:tc>
          <w:tcPr>
            <w:tcW w:w="1389" w:type="dxa"/>
            <w:vAlign w:val="center"/>
          </w:tcPr>
          <w:p w14:paraId="4C26056C"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347" w:type="dxa"/>
            <w:vAlign w:val="center"/>
          </w:tcPr>
          <w:p w14:paraId="69AAE430"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c>
          <w:tcPr>
            <w:tcW w:w="1266" w:type="dxa"/>
            <w:vAlign w:val="center"/>
          </w:tcPr>
          <w:p w14:paraId="5C00EB1D" w14:textId="77777777" w:rsidR="00CE0C1B" w:rsidRPr="002234F7" w:rsidRDefault="00CE0C1B" w:rsidP="00E82C5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2234F7">
              <w:rPr>
                <w:rFonts w:ascii="Arial" w:eastAsia="Calibri" w:hAnsi="Arial" w:cs="Arial"/>
              </w:rPr>
              <w:t>C, I</w:t>
            </w:r>
          </w:p>
        </w:tc>
      </w:tr>
    </w:tbl>
    <w:p w14:paraId="5F817111" w14:textId="710D1C3F" w:rsidR="0075413E" w:rsidRPr="002234F7" w:rsidRDefault="009B1210" w:rsidP="004C485B">
      <w:pPr>
        <w:rPr>
          <w:rFonts w:ascii="Arial" w:hAnsi="Arial" w:cs="Arial"/>
        </w:rPr>
      </w:pPr>
      <w:r w:rsidRPr="002234F7">
        <w:rPr>
          <w:rFonts w:ascii="Arial" w:hAnsi="Arial" w:cs="Arial"/>
        </w:rPr>
        <w:t>RACI - Responsible, Accountable, Consulted, Informed.</w:t>
      </w:r>
    </w:p>
    <w:p w14:paraId="6E1C5AE2" w14:textId="77777777" w:rsidR="00CE0C1B" w:rsidRPr="002234F7" w:rsidRDefault="00CE0C1B" w:rsidP="004C485B">
      <w:pPr>
        <w:rPr>
          <w:rFonts w:ascii="Arial" w:hAnsi="Arial" w:cs="Arial"/>
          <w:sz w:val="16"/>
          <w:szCs w:val="16"/>
        </w:rPr>
      </w:pPr>
    </w:p>
    <w:p w14:paraId="3760C6D0" w14:textId="77777777" w:rsidR="008F7DC7" w:rsidRDefault="008F7DC7" w:rsidP="004C485B">
      <w:pPr>
        <w:rPr>
          <w:rFonts w:ascii="Arial" w:hAnsi="Arial" w:cs="Arial"/>
          <w:sz w:val="16"/>
          <w:szCs w:val="16"/>
        </w:rPr>
      </w:pPr>
    </w:p>
    <w:p w14:paraId="5A52238B" w14:textId="442E1823" w:rsidR="00CE0C1B" w:rsidRPr="002234F7" w:rsidRDefault="00CE0C1B" w:rsidP="004C485B">
      <w:pPr>
        <w:rPr>
          <w:rFonts w:ascii="Arial" w:hAnsi="Arial" w:cs="Arial"/>
          <w:sz w:val="16"/>
          <w:szCs w:val="16"/>
        </w:rPr>
      </w:pPr>
      <w:r w:rsidRPr="002234F7">
        <w:rPr>
          <w:rFonts w:ascii="Arial" w:hAnsi="Arial" w:cs="Arial"/>
          <w:sz w:val="16"/>
          <w:szCs w:val="16"/>
        </w:rPr>
        <w:t>*R&amp;D- Research and Development</w:t>
      </w:r>
    </w:p>
    <w:p w14:paraId="5064E2A0" w14:textId="7C9FF5E8" w:rsidR="002234F7" w:rsidRDefault="00BD4D93" w:rsidP="00007BE0">
      <w:pPr>
        <w:pStyle w:val="Heading1"/>
        <w:jc w:val="left"/>
        <w:rPr>
          <w:rFonts w:ascii="Arial" w:hAnsi="Arial" w:cs="Arial"/>
          <w:sz w:val="36"/>
          <w:szCs w:val="36"/>
        </w:rPr>
      </w:pPr>
      <w:bookmarkStart w:id="12" w:name="_Toc179575820"/>
      <w:r w:rsidRPr="00007BE0">
        <w:rPr>
          <w:rFonts w:ascii="Arial" w:hAnsi="Arial" w:cs="Arial"/>
          <w:sz w:val="36"/>
          <w:szCs w:val="36"/>
        </w:rPr>
        <w:lastRenderedPageBreak/>
        <w:t>News</w:t>
      </w:r>
      <w:r w:rsidR="00C67795" w:rsidRPr="00007BE0">
        <w:rPr>
          <w:rFonts w:ascii="Arial" w:hAnsi="Arial" w:cs="Arial"/>
          <w:sz w:val="36"/>
          <w:szCs w:val="36"/>
        </w:rPr>
        <w:t xml:space="preserve"> B</w:t>
      </w:r>
      <w:r w:rsidRPr="00007BE0">
        <w:rPr>
          <w:rFonts w:ascii="Arial" w:hAnsi="Arial" w:cs="Arial"/>
          <w:sz w:val="36"/>
          <w:szCs w:val="36"/>
        </w:rPr>
        <w:t>oard</w:t>
      </w:r>
      <w:bookmarkEnd w:id="12"/>
    </w:p>
    <w:p w14:paraId="77094340" w14:textId="77777777" w:rsidR="00007BE0" w:rsidRPr="00007BE0" w:rsidRDefault="00007BE0" w:rsidP="00007BE0"/>
    <w:p w14:paraId="763B9583" w14:textId="0A1A5881" w:rsidR="00C812C2" w:rsidRDefault="00C812C2" w:rsidP="002234F7">
      <w:pPr>
        <w:pStyle w:val="ListParagraph"/>
        <w:numPr>
          <w:ilvl w:val="0"/>
          <w:numId w:val="3"/>
        </w:numPr>
        <w:spacing w:line="276" w:lineRule="auto"/>
        <w:rPr>
          <w:rFonts w:ascii="Arial" w:hAnsi="Arial" w:cs="Arial"/>
          <w:b/>
          <w:bCs/>
        </w:rPr>
      </w:pPr>
      <w:r w:rsidRPr="008F7DC7">
        <w:rPr>
          <w:rFonts w:ascii="Arial" w:hAnsi="Arial" w:cs="Arial"/>
          <w:b/>
          <w:bCs/>
        </w:rPr>
        <w:t>Faster move to neutral rate could help Bank of Canada fend off below-target inflation</w:t>
      </w:r>
    </w:p>
    <w:p w14:paraId="5501AF68" w14:textId="77777777" w:rsidR="00A95DB6" w:rsidRPr="00A95DB6" w:rsidRDefault="00A95DB6" w:rsidP="00A95DB6">
      <w:pPr>
        <w:spacing w:line="276" w:lineRule="auto"/>
        <w:rPr>
          <w:rFonts w:ascii="Arial" w:hAnsi="Arial" w:cs="Arial"/>
        </w:rPr>
      </w:pPr>
      <w:r w:rsidRPr="00A95DB6">
        <w:rPr>
          <w:rFonts w:ascii="Arial" w:hAnsi="Arial" w:cs="Arial"/>
        </w:rPr>
        <w:t xml:space="preserve">On October 11, 2024, the Bank of Canada suggested it is considering a faster move to a neutral interest rate to address inflation which has been falling short of its 2% target. This is due to concerns about the potential for inflation to remain below the Bank's 2% target for an extended period. The Bank raised its key interest rate by 50 basis points in September. </w:t>
      </w:r>
    </w:p>
    <w:p w14:paraId="3B4D15DD" w14:textId="408292B4" w:rsidR="00A95DB6" w:rsidRPr="0065009C" w:rsidRDefault="00A95DB6" w:rsidP="00A95DB6">
      <w:pPr>
        <w:spacing w:line="276" w:lineRule="auto"/>
        <w:rPr>
          <w:rFonts w:ascii="Arial" w:hAnsi="Arial" w:cs="Arial"/>
        </w:rPr>
      </w:pPr>
      <w:r w:rsidRPr="00A95DB6">
        <w:rPr>
          <w:rFonts w:ascii="Arial" w:hAnsi="Arial" w:cs="Arial"/>
        </w:rPr>
        <w:t>Raising interest rates quickly could have a big effect on the Canadian economy. A neutral rate that is neither too high nor too low is seen as crucial for economic balance. The shift is being considered to manage inflation expectations and safeguard economic growth. The neutral rate is estimated to be around 2.5-3.5%. Experts believe that a faster move towards a neutral rate could help to combat low inflation.</w:t>
      </w:r>
      <w:r w:rsidR="0065009C">
        <w:rPr>
          <w:rFonts w:ascii="Arial" w:hAnsi="Arial" w:cs="Arial"/>
        </w:rPr>
        <w:br/>
      </w:r>
      <w:r w:rsidR="0065009C">
        <w:rPr>
          <w:rFonts w:ascii="Arial" w:hAnsi="Arial" w:cs="Arial"/>
        </w:rPr>
        <w:br/>
      </w:r>
      <w:r w:rsidRPr="00A95DB6">
        <w:rPr>
          <w:rFonts w:ascii="Arial" w:hAnsi="Arial" w:cs="Arial"/>
          <w:b/>
          <w:bCs/>
        </w:rPr>
        <w:t>Impact on TD Bank</w:t>
      </w:r>
    </w:p>
    <w:p w14:paraId="174C9AA0" w14:textId="77777777" w:rsidR="00A95DB6" w:rsidRPr="00A95DB6" w:rsidRDefault="00A95DB6" w:rsidP="00A95DB6">
      <w:pPr>
        <w:spacing w:line="276" w:lineRule="auto"/>
        <w:rPr>
          <w:rFonts w:ascii="Arial" w:hAnsi="Arial" w:cs="Arial"/>
        </w:rPr>
      </w:pPr>
      <w:r w:rsidRPr="00A95DB6">
        <w:rPr>
          <w:rFonts w:ascii="Arial" w:hAnsi="Arial" w:cs="Arial"/>
        </w:rPr>
        <w:t>A faster move to a neutral interest rate by the Bank of Canada could have major consequences for TD Bank. It may lead to higher borrowing costs for consumers and businesses.</w:t>
      </w:r>
    </w:p>
    <w:p w14:paraId="70D4AFB5" w14:textId="77777777" w:rsidR="00A95DB6" w:rsidRPr="00A95DB6" w:rsidRDefault="00A95DB6" w:rsidP="00A95DB6">
      <w:pPr>
        <w:spacing w:line="276" w:lineRule="auto"/>
        <w:rPr>
          <w:rFonts w:ascii="Arial" w:hAnsi="Arial" w:cs="Arial"/>
        </w:rPr>
      </w:pPr>
      <w:r w:rsidRPr="00A95DB6">
        <w:rPr>
          <w:rFonts w:ascii="Arial" w:hAnsi="Arial" w:cs="Arial"/>
        </w:rPr>
        <w:t>This could potentially reduce demand for loans and other credit products. This could impact TD’s lending revenues and profitability. On the investment side rising rates could also affect the bank's portfolio returns. A more stable inflation environment could lead to stronger long-term economic growth. This could ultimately benefit TD Bank's overall performance especially in its wealth management and investment services divisions.</w:t>
      </w:r>
    </w:p>
    <w:p w14:paraId="01F3CBAF" w14:textId="77777777" w:rsidR="004A2D44" w:rsidRPr="008F7DC7" w:rsidRDefault="004A2D44" w:rsidP="004A2D44">
      <w:pPr>
        <w:spacing w:line="276" w:lineRule="auto"/>
        <w:rPr>
          <w:rFonts w:ascii="Arial" w:hAnsi="Arial" w:cs="Arial"/>
          <w:b/>
          <w:bCs/>
        </w:rPr>
      </w:pPr>
      <w:r w:rsidRPr="008F7DC7">
        <w:rPr>
          <w:rFonts w:ascii="Arial" w:hAnsi="Arial" w:cs="Arial"/>
          <w:b/>
          <w:bCs/>
        </w:rPr>
        <w:t>Impact on WiTricity Acquisition</w:t>
      </w:r>
    </w:p>
    <w:p w14:paraId="299A0685" w14:textId="1F32404A" w:rsidR="00A95DB6" w:rsidRPr="00A95DB6" w:rsidRDefault="00A95DB6" w:rsidP="00A95DB6">
      <w:pPr>
        <w:spacing w:line="276" w:lineRule="auto"/>
        <w:rPr>
          <w:rFonts w:ascii="Arial" w:hAnsi="Arial" w:cs="Arial"/>
        </w:rPr>
      </w:pPr>
      <w:r w:rsidRPr="00A95DB6">
        <w:rPr>
          <w:rFonts w:ascii="Arial" w:hAnsi="Arial" w:cs="Arial"/>
        </w:rPr>
        <w:t>The Bank of Canada's faster move toward a neutral interest rate could influence TD Bank’s potential acquisition of WiTricity by affecting both financing costs and market conditions. A higher interest rate environment will raise the cost of capital making the acquisition more expensive if it involves borrowed funds. Shifts in consumer spending and business investments due to changing economic conditions could impact the growth prospects for electric vehicle (EV) infrastructure. TD Bank would need to reassess the financial feasibility and long-term profitability under this scenario. Changing economic conditions could influence the demand for electric vehicle infrastructure critical to WiTricity's growth potential. If managed strategically, TD Bank could position itself advantageously in the EV market. This alignment would be with long-term trends in sustainability and technology. This acquisition could ultimately enhance TD's portfolio in a rapidly evolving industry.</w:t>
      </w:r>
      <w:r w:rsidR="0065009C">
        <w:rPr>
          <w:rFonts w:ascii="Arial" w:hAnsi="Arial" w:cs="Arial"/>
        </w:rPr>
        <w:br/>
      </w:r>
    </w:p>
    <w:p w14:paraId="7AAFB953" w14:textId="2E4595CE" w:rsidR="00C812C2" w:rsidRPr="008F7DC7" w:rsidRDefault="007A3B4B" w:rsidP="00007BE0">
      <w:pPr>
        <w:pStyle w:val="ListParagraph"/>
        <w:numPr>
          <w:ilvl w:val="0"/>
          <w:numId w:val="3"/>
        </w:numPr>
        <w:spacing w:line="276" w:lineRule="auto"/>
        <w:rPr>
          <w:rFonts w:ascii="Arial" w:hAnsi="Arial" w:cs="Arial"/>
          <w:b/>
          <w:bCs/>
        </w:rPr>
      </w:pPr>
      <w:r w:rsidRPr="008F7DC7">
        <w:rPr>
          <w:rFonts w:ascii="Arial" w:hAnsi="Arial" w:cs="Arial"/>
          <w:b/>
          <w:bCs/>
        </w:rPr>
        <w:t>T</w:t>
      </w:r>
      <w:r w:rsidR="00AC2189">
        <w:rPr>
          <w:rFonts w:ascii="Arial" w:hAnsi="Arial" w:cs="Arial"/>
          <w:b/>
          <w:bCs/>
        </w:rPr>
        <w:t>D</w:t>
      </w:r>
      <w:r w:rsidRPr="008F7DC7">
        <w:rPr>
          <w:rFonts w:ascii="Arial" w:hAnsi="Arial" w:cs="Arial"/>
          <w:b/>
          <w:bCs/>
        </w:rPr>
        <w:t xml:space="preserve"> bank group announces resolution of AM</w:t>
      </w:r>
      <w:r w:rsidR="002E779E" w:rsidRPr="008F7DC7">
        <w:rPr>
          <w:rFonts w:ascii="Arial" w:hAnsi="Arial" w:cs="Arial"/>
          <w:b/>
          <w:bCs/>
        </w:rPr>
        <w:t xml:space="preserve">L </w:t>
      </w:r>
      <w:r w:rsidRPr="008F7DC7">
        <w:rPr>
          <w:rFonts w:ascii="Arial" w:hAnsi="Arial" w:cs="Arial"/>
          <w:b/>
          <w:bCs/>
        </w:rPr>
        <w:t>(Anti-Money Laundering) investigations</w:t>
      </w:r>
    </w:p>
    <w:p w14:paraId="4265B1F1" w14:textId="1E7AADC1" w:rsidR="00C812C2" w:rsidRPr="008F7DC7" w:rsidRDefault="00C812C2" w:rsidP="002234F7">
      <w:pPr>
        <w:spacing w:line="276" w:lineRule="auto"/>
        <w:rPr>
          <w:rFonts w:ascii="Arial" w:hAnsi="Arial" w:cs="Arial"/>
        </w:rPr>
      </w:pPr>
      <w:r w:rsidRPr="008F7DC7">
        <w:rPr>
          <w:rFonts w:ascii="Arial" w:hAnsi="Arial" w:cs="Arial"/>
        </w:rPr>
        <w:t xml:space="preserve">TD Bank Group has announced the results of US investigations into its Anti-Money Laundering (AML) compliance breaches, admitting responsibility for deficiencies in its US AML program. This settlement concluded with US regulatory organizations involving a $3.09 billion payment with tough supervisory measures to remedy. It has restrictions which include US banking assets and an emphasis on compliance improvements. TD Bank has made major leadership </w:t>
      </w:r>
      <w:r w:rsidRPr="008F7DC7">
        <w:rPr>
          <w:rFonts w:ascii="Arial" w:hAnsi="Arial" w:cs="Arial"/>
        </w:rPr>
        <w:lastRenderedPageBreak/>
        <w:t>and structural changes to address these challenges to prevent future failures</w:t>
      </w:r>
      <w:r w:rsidR="00C95F81">
        <w:rPr>
          <w:rFonts w:ascii="Arial" w:hAnsi="Arial" w:cs="Arial"/>
        </w:rPr>
        <w:t xml:space="preserve">. </w:t>
      </w:r>
      <w:r w:rsidRPr="008F7DC7">
        <w:rPr>
          <w:rFonts w:ascii="Arial" w:hAnsi="Arial" w:cs="Arial"/>
        </w:rPr>
        <w:t>The bank is dedicated to enhancing its anti-money laundering operations and recovering stakeholder trust.</w:t>
      </w:r>
    </w:p>
    <w:p w14:paraId="52685014" w14:textId="77777777" w:rsidR="00C812C2" w:rsidRPr="008F7DC7" w:rsidRDefault="00C812C2" w:rsidP="002234F7">
      <w:pPr>
        <w:spacing w:line="276" w:lineRule="auto"/>
        <w:rPr>
          <w:rFonts w:ascii="Arial" w:hAnsi="Arial" w:cs="Arial"/>
          <w:b/>
          <w:bCs/>
        </w:rPr>
      </w:pPr>
      <w:r w:rsidRPr="008F7DC7">
        <w:rPr>
          <w:rFonts w:ascii="Arial" w:hAnsi="Arial" w:cs="Arial"/>
          <w:b/>
          <w:bCs/>
        </w:rPr>
        <w:t>Impact on TD Bank</w:t>
      </w:r>
    </w:p>
    <w:p w14:paraId="31B49A56" w14:textId="65D90A82" w:rsidR="00C812C2" w:rsidRPr="008F7DC7" w:rsidRDefault="00C812C2" w:rsidP="002234F7">
      <w:pPr>
        <w:spacing w:line="276" w:lineRule="auto"/>
        <w:rPr>
          <w:rFonts w:ascii="Arial" w:hAnsi="Arial" w:cs="Arial"/>
        </w:rPr>
      </w:pPr>
      <w:r w:rsidRPr="008F7DC7">
        <w:rPr>
          <w:rFonts w:ascii="Arial" w:hAnsi="Arial" w:cs="Arial"/>
        </w:rPr>
        <w:t>TD Bank's solution for Anti-Money Laundering (AML) investigations benefits the bank's reputation and operational stability. TD Bank is rebuilding the confidence of regulators, customers and shareholders by tackling these concerns</w:t>
      </w:r>
      <w:r w:rsidR="00C71742">
        <w:rPr>
          <w:rFonts w:ascii="Arial" w:hAnsi="Arial" w:cs="Arial"/>
        </w:rPr>
        <w:t xml:space="preserve">. </w:t>
      </w:r>
      <w:r w:rsidRPr="008F7DC7">
        <w:rPr>
          <w:rFonts w:ascii="Arial" w:hAnsi="Arial" w:cs="Arial"/>
        </w:rPr>
        <w:t>The resolution enables TD to concentrate on standardizing its U.S. activities and carrying out corrective measures to improve operational effectiveness. Restoring stability is crucial for upholding investors' trust and ensuring the bank's continued success in the finance sector.</w:t>
      </w:r>
      <w:r w:rsidR="00C71742">
        <w:rPr>
          <w:rFonts w:ascii="Arial" w:hAnsi="Arial" w:cs="Arial"/>
        </w:rPr>
        <w:t xml:space="preserve"> </w:t>
      </w:r>
      <w:r w:rsidRPr="008F7DC7">
        <w:rPr>
          <w:rFonts w:ascii="Arial" w:hAnsi="Arial" w:cs="Arial"/>
        </w:rPr>
        <w:t xml:space="preserve">This proactive communication of governance and business direction is clear. This level of openness helps </w:t>
      </w:r>
      <w:r w:rsidR="006A3E94">
        <w:rPr>
          <w:rFonts w:ascii="Arial" w:hAnsi="Arial" w:cs="Arial"/>
        </w:rPr>
        <w:t xml:space="preserve">to </w:t>
      </w:r>
      <w:r w:rsidR="006A3E94" w:rsidRPr="008F7DC7">
        <w:rPr>
          <w:rFonts w:ascii="Arial" w:hAnsi="Arial" w:cs="Arial"/>
        </w:rPr>
        <w:t>encourage</w:t>
      </w:r>
      <w:r w:rsidRPr="008F7DC7">
        <w:rPr>
          <w:rFonts w:ascii="Arial" w:hAnsi="Arial" w:cs="Arial"/>
        </w:rPr>
        <w:t xml:space="preserve"> confidence in TD's operations</w:t>
      </w:r>
      <w:r w:rsidR="00924B07">
        <w:rPr>
          <w:rFonts w:ascii="Arial" w:hAnsi="Arial" w:cs="Arial"/>
        </w:rPr>
        <w:t xml:space="preserve"> by</w:t>
      </w:r>
      <w:r w:rsidRPr="008F7DC7">
        <w:rPr>
          <w:rFonts w:ascii="Arial" w:hAnsi="Arial" w:cs="Arial"/>
        </w:rPr>
        <w:t xml:space="preserve"> reassuring investors and customers. </w:t>
      </w:r>
      <w:r w:rsidR="0065009C">
        <w:rPr>
          <w:rFonts w:ascii="Arial" w:hAnsi="Arial" w:cs="Arial"/>
        </w:rPr>
        <w:br/>
      </w:r>
    </w:p>
    <w:p w14:paraId="7891912F" w14:textId="55D7DADC" w:rsidR="00C812C2" w:rsidRPr="008F7DC7" w:rsidRDefault="00C812C2" w:rsidP="004D27C8">
      <w:pPr>
        <w:pStyle w:val="ListParagraph"/>
        <w:numPr>
          <w:ilvl w:val="0"/>
          <w:numId w:val="3"/>
        </w:numPr>
        <w:spacing w:line="276" w:lineRule="auto"/>
        <w:rPr>
          <w:rFonts w:ascii="Arial" w:hAnsi="Arial" w:cs="Arial"/>
          <w:b/>
          <w:bCs/>
        </w:rPr>
      </w:pPr>
      <w:r w:rsidRPr="008F7DC7">
        <w:rPr>
          <w:rFonts w:ascii="Arial" w:hAnsi="Arial" w:cs="Arial"/>
          <w:b/>
          <w:bCs/>
        </w:rPr>
        <w:t>TD and the Vancouver Canucks team up to offer exclusive perks at home games for eligible TD Credit Cardholders this NHL season</w:t>
      </w:r>
    </w:p>
    <w:p w14:paraId="037B9DE8" w14:textId="79DE8D3F" w:rsidR="00C812C2" w:rsidRPr="008F7DC7" w:rsidRDefault="00C812C2" w:rsidP="002234F7">
      <w:pPr>
        <w:spacing w:line="276" w:lineRule="auto"/>
        <w:rPr>
          <w:rFonts w:ascii="Arial" w:hAnsi="Arial" w:cs="Arial"/>
        </w:rPr>
      </w:pPr>
      <w:r w:rsidRPr="008F7DC7">
        <w:rPr>
          <w:rFonts w:ascii="Arial" w:hAnsi="Arial" w:cs="Arial"/>
        </w:rPr>
        <w:t>TD Bank Group has collaborated with the Vancouver Canucks for the 2024/25 NHL season to provide unique benefits to qualifying TD Credit Cardholders. This is the sixth year of TD's sponsorship, and this season will include improved spectator experiences at Rogers Arena. Cardholders have preferential entrance to the arena through a special gate and earn a 10% cashback on qualified food and beverage purchases. The project is consistent with TD's aim of giving extra value to its customers particularly at moments of enjoyment and community involvement during sporting events.</w:t>
      </w:r>
    </w:p>
    <w:p w14:paraId="38657B10" w14:textId="77777777" w:rsidR="00C812C2" w:rsidRPr="008F7DC7" w:rsidRDefault="00C812C2" w:rsidP="002234F7">
      <w:pPr>
        <w:spacing w:line="276" w:lineRule="auto"/>
        <w:rPr>
          <w:rFonts w:ascii="Arial" w:hAnsi="Arial" w:cs="Arial"/>
          <w:b/>
          <w:bCs/>
        </w:rPr>
      </w:pPr>
      <w:r w:rsidRPr="008F7DC7">
        <w:rPr>
          <w:rFonts w:ascii="Arial" w:hAnsi="Arial" w:cs="Arial"/>
          <w:b/>
          <w:bCs/>
        </w:rPr>
        <w:t>Impact on TD Bank</w:t>
      </w:r>
    </w:p>
    <w:p w14:paraId="79FE7FFA" w14:textId="04215F3F" w:rsidR="00C812C2" w:rsidRPr="008F7DC7" w:rsidRDefault="00C812C2" w:rsidP="002234F7">
      <w:pPr>
        <w:spacing w:line="276" w:lineRule="auto"/>
        <w:rPr>
          <w:rFonts w:ascii="Arial" w:hAnsi="Arial" w:cs="Arial"/>
        </w:rPr>
      </w:pPr>
      <w:r w:rsidRPr="008F7DC7">
        <w:rPr>
          <w:rFonts w:ascii="Arial" w:hAnsi="Arial" w:cs="Arial"/>
        </w:rPr>
        <w:t>The partnership between TD Bank and the Vancouver Canucks has the potential to greatly enhance TD's customer engagement. By providing exclusive perks</w:t>
      </w:r>
      <w:r w:rsidR="0013432A">
        <w:rPr>
          <w:rFonts w:ascii="Arial" w:hAnsi="Arial" w:cs="Arial"/>
        </w:rPr>
        <w:t xml:space="preserve">, TD </w:t>
      </w:r>
      <w:r w:rsidRPr="008F7DC7">
        <w:rPr>
          <w:rFonts w:ascii="Arial" w:hAnsi="Arial" w:cs="Arial"/>
        </w:rPr>
        <w:t>is enhancing the overall customer experience.</w:t>
      </w:r>
      <w:r w:rsidR="0013432A">
        <w:rPr>
          <w:rFonts w:ascii="Arial" w:hAnsi="Arial" w:cs="Arial"/>
        </w:rPr>
        <w:t xml:space="preserve"> </w:t>
      </w:r>
      <w:r w:rsidRPr="008F7DC7">
        <w:rPr>
          <w:rFonts w:ascii="Arial" w:hAnsi="Arial" w:cs="Arial"/>
        </w:rPr>
        <w:t xml:space="preserve">This not only </w:t>
      </w:r>
      <w:r w:rsidR="0013432A" w:rsidRPr="008F7DC7">
        <w:rPr>
          <w:rFonts w:ascii="Arial" w:hAnsi="Arial" w:cs="Arial"/>
        </w:rPr>
        <w:t>promotes</w:t>
      </w:r>
      <w:r w:rsidRPr="008F7DC7">
        <w:rPr>
          <w:rFonts w:ascii="Arial" w:hAnsi="Arial" w:cs="Arial"/>
        </w:rPr>
        <w:t xml:space="preserve"> customer loyalty but also attracts potential new customers. These individuals may be incentivized to sign up for TD credit cards to take advantage of these benefits.</w:t>
      </w:r>
      <w:r w:rsidR="0013432A">
        <w:rPr>
          <w:rFonts w:ascii="Arial" w:hAnsi="Arial" w:cs="Arial"/>
        </w:rPr>
        <w:t xml:space="preserve"> </w:t>
      </w:r>
      <w:r w:rsidRPr="008F7DC7">
        <w:rPr>
          <w:rFonts w:ascii="Arial" w:hAnsi="Arial" w:cs="Arial"/>
        </w:rPr>
        <w:t>Such strategic alliances help to position TD as a customer-focused bank</w:t>
      </w:r>
      <w:r w:rsidR="0013432A">
        <w:rPr>
          <w:rFonts w:ascii="Arial" w:hAnsi="Arial" w:cs="Arial"/>
        </w:rPr>
        <w:t>.</w:t>
      </w:r>
      <w:r w:rsidRPr="008F7DC7">
        <w:rPr>
          <w:rFonts w:ascii="Arial" w:hAnsi="Arial" w:cs="Arial"/>
        </w:rPr>
        <w:t xml:space="preserve"> </w:t>
      </w:r>
      <w:r w:rsidR="0013432A">
        <w:rPr>
          <w:rFonts w:ascii="Arial" w:hAnsi="Arial" w:cs="Arial"/>
        </w:rPr>
        <w:t>It also</w:t>
      </w:r>
      <w:r w:rsidRPr="008F7DC7">
        <w:rPr>
          <w:rFonts w:ascii="Arial" w:hAnsi="Arial" w:cs="Arial"/>
        </w:rPr>
        <w:t xml:space="preserve"> </w:t>
      </w:r>
      <w:r w:rsidR="00CE201D" w:rsidRPr="008F7DC7">
        <w:rPr>
          <w:rFonts w:ascii="Arial" w:hAnsi="Arial" w:cs="Arial"/>
        </w:rPr>
        <w:t>strengthens</w:t>
      </w:r>
      <w:r w:rsidRPr="008F7DC7">
        <w:rPr>
          <w:rFonts w:ascii="Arial" w:hAnsi="Arial" w:cs="Arial"/>
        </w:rPr>
        <w:t xml:space="preserve"> its retail banking and credit card segments. This initiative promotes TD's credit card products and reinforces its presence in the Vancouver market. Offering special incentives during popular NHL games enhances customer satisfaction and encourages higher credit card usage. This might increase TD's revenue through transaction fees and interest charges.</w:t>
      </w:r>
    </w:p>
    <w:p w14:paraId="33808B0A" w14:textId="77777777" w:rsidR="00C812C2" w:rsidRPr="008F7DC7" w:rsidRDefault="00C812C2" w:rsidP="002234F7">
      <w:pPr>
        <w:spacing w:line="276" w:lineRule="auto"/>
        <w:rPr>
          <w:rFonts w:ascii="Arial" w:hAnsi="Arial" w:cs="Arial"/>
          <w:b/>
          <w:bCs/>
        </w:rPr>
      </w:pPr>
      <w:r w:rsidRPr="008F7DC7">
        <w:rPr>
          <w:rFonts w:ascii="Arial" w:hAnsi="Arial" w:cs="Arial"/>
          <w:b/>
          <w:bCs/>
        </w:rPr>
        <w:t>Impact on WiTricity Acquisition</w:t>
      </w:r>
    </w:p>
    <w:p w14:paraId="18FE0F53" w14:textId="014D59D2" w:rsidR="00CE0A7D" w:rsidRPr="008F7DC7" w:rsidRDefault="00C812C2" w:rsidP="002234F7">
      <w:pPr>
        <w:spacing w:line="276" w:lineRule="auto"/>
        <w:rPr>
          <w:rFonts w:ascii="Arial" w:hAnsi="Arial" w:cs="Arial"/>
        </w:rPr>
      </w:pPr>
      <w:r w:rsidRPr="008F7DC7">
        <w:rPr>
          <w:rFonts w:ascii="Arial" w:hAnsi="Arial" w:cs="Arial"/>
        </w:rPr>
        <w:t>TD's collaboration with the Vancouver Canucks provides insights into the bank's ability to leverage strategic partnerships to promote customer-centric initiatives.</w:t>
      </w:r>
      <w:r w:rsidR="00CE201D">
        <w:rPr>
          <w:rFonts w:ascii="Arial" w:hAnsi="Arial" w:cs="Arial"/>
        </w:rPr>
        <w:t xml:space="preserve"> </w:t>
      </w:r>
      <w:r w:rsidRPr="008F7DC7">
        <w:rPr>
          <w:rFonts w:ascii="Arial" w:hAnsi="Arial" w:cs="Arial"/>
        </w:rPr>
        <w:t>WiTricity specializes in wireless electric vehicle (EV) charging technology. TD could adopt a similar approach by providing exclusive incentives or perks to customers who embrace EV-related products or services. This strategy would promote sustainability and innovative technologies. TD's current expertise in launching promotions through partnerships</w:t>
      </w:r>
      <w:r w:rsidR="00CE201D">
        <w:rPr>
          <w:rFonts w:ascii="Arial" w:hAnsi="Arial" w:cs="Arial"/>
        </w:rPr>
        <w:t xml:space="preserve"> </w:t>
      </w:r>
      <w:r w:rsidRPr="008F7DC7">
        <w:rPr>
          <w:rFonts w:ascii="Arial" w:hAnsi="Arial" w:cs="Arial"/>
        </w:rPr>
        <w:t>showcases its capability to effectively market new technologies to customers.</w:t>
      </w:r>
      <w:r w:rsidR="00CE0A7D" w:rsidRPr="008F7DC7">
        <w:rPr>
          <w:rFonts w:ascii="Arial" w:hAnsi="Arial" w:cs="Arial"/>
        </w:rPr>
        <w:br w:type="page"/>
      </w:r>
    </w:p>
    <w:p w14:paraId="75008A1A" w14:textId="7796D646" w:rsidR="00F11916" w:rsidRPr="00007BE0" w:rsidRDefault="00BD4D93" w:rsidP="004D27C8">
      <w:pPr>
        <w:pStyle w:val="Heading1"/>
        <w:jc w:val="left"/>
        <w:rPr>
          <w:rFonts w:ascii="Arial" w:hAnsi="Arial" w:cs="Arial"/>
          <w:sz w:val="36"/>
          <w:szCs w:val="36"/>
        </w:rPr>
      </w:pPr>
      <w:bookmarkStart w:id="13" w:name="_Toc179575821"/>
      <w:r w:rsidRPr="00007BE0">
        <w:rPr>
          <w:rFonts w:ascii="Arial" w:hAnsi="Arial" w:cs="Arial"/>
          <w:sz w:val="36"/>
          <w:szCs w:val="36"/>
        </w:rPr>
        <w:lastRenderedPageBreak/>
        <w:t>Conclusion</w:t>
      </w:r>
      <w:bookmarkEnd w:id="13"/>
    </w:p>
    <w:p w14:paraId="30BEF0CC" w14:textId="77777777" w:rsidR="00F11916" w:rsidRPr="00F11916" w:rsidRDefault="00F11916" w:rsidP="00F11916">
      <w:pPr>
        <w:spacing w:line="276" w:lineRule="auto"/>
        <w:rPr>
          <w:rFonts w:ascii="Arial" w:hAnsi="Arial" w:cs="Arial"/>
        </w:rPr>
      </w:pPr>
    </w:p>
    <w:p w14:paraId="28288FF6" w14:textId="77777777" w:rsidR="00F11916" w:rsidRPr="008F7DC7" w:rsidRDefault="00F11916" w:rsidP="00F11916">
      <w:pPr>
        <w:spacing w:line="276" w:lineRule="auto"/>
        <w:rPr>
          <w:rFonts w:ascii="Arial" w:hAnsi="Arial" w:cs="Arial"/>
        </w:rPr>
      </w:pPr>
      <w:r w:rsidRPr="008F7DC7">
        <w:rPr>
          <w:rFonts w:ascii="Arial" w:hAnsi="Arial" w:cs="Arial"/>
        </w:rPr>
        <w:t>The acquisition of WiTricity presents a significant opportunity for TD Bank to play a leading role in the rapidly expanding electric vehicle sector. By integrating wireless charging technology through this strategic acquisition TD Bank can support the widespread adoption of electric transportation, further its sustainability goals and position itself at the forefront of innovation in financial services.</w:t>
      </w:r>
    </w:p>
    <w:p w14:paraId="37279FA4" w14:textId="0AFF00B5" w:rsidR="00F11916" w:rsidRPr="008F7DC7" w:rsidRDefault="00F11916" w:rsidP="00F11916">
      <w:pPr>
        <w:spacing w:line="276" w:lineRule="auto"/>
        <w:rPr>
          <w:rFonts w:ascii="Arial" w:hAnsi="Arial" w:cs="Arial"/>
        </w:rPr>
      </w:pPr>
      <w:r w:rsidRPr="008F7DC7">
        <w:rPr>
          <w:rFonts w:ascii="Arial" w:hAnsi="Arial" w:cs="Arial"/>
        </w:rPr>
        <w:t xml:space="preserve">This report has outlined the </w:t>
      </w:r>
      <w:r w:rsidR="006A3E94">
        <w:rPr>
          <w:rFonts w:ascii="Arial" w:hAnsi="Arial" w:cs="Arial"/>
        </w:rPr>
        <w:t>A</w:t>
      </w:r>
      <w:r w:rsidRPr="008F7DC7">
        <w:rPr>
          <w:rFonts w:ascii="Arial" w:hAnsi="Arial" w:cs="Arial"/>
        </w:rPr>
        <w:t>s-</w:t>
      </w:r>
      <w:r w:rsidR="008F65D4">
        <w:rPr>
          <w:rFonts w:ascii="Arial" w:hAnsi="Arial" w:cs="Arial"/>
        </w:rPr>
        <w:t>I</w:t>
      </w:r>
      <w:r w:rsidRPr="008F7DC7">
        <w:rPr>
          <w:rFonts w:ascii="Arial" w:hAnsi="Arial" w:cs="Arial"/>
        </w:rPr>
        <w:t>s process flow for TD Bank’s potential acquisition of WiTricity. By documenting the acquisition process the essential stages from initial market analysis to final approval have been identified. Extensive market research provides valuable insights into customer demand trends for electric vehicles and wireless charging technologies. Competitive analysis reveals industry projections and growth opportunities within these emerging sectors. A detailed analysis will confirm that acquiring WiTricity is financially sound and operationally viable when considering integration as well as risk factors.</w:t>
      </w:r>
    </w:p>
    <w:p w14:paraId="0624372A" w14:textId="77777777" w:rsidR="00F11916" w:rsidRPr="008F7DC7" w:rsidRDefault="00F11916" w:rsidP="00F11916">
      <w:pPr>
        <w:spacing w:line="276" w:lineRule="auto"/>
        <w:rPr>
          <w:rFonts w:ascii="Arial" w:hAnsi="Arial" w:cs="Arial"/>
        </w:rPr>
      </w:pPr>
      <w:r w:rsidRPr="008F7DC7">
        <w:rPr>
          <w:rFonts w:ascii="Arial" w:hAnsi="Arial" w:cs="Arial"/>
        </w:rPr>
        <w:t>WiTricity emerges as the ideal acquisition target due to its proven technological expertise, intellectual property portfolio and strong market leadership in wireless charging solutions. The acquisition aligns well with TD Bank's strategic focus areas such as sustainability, digital transformation and customer-centric services. It also creates new synergies that can unlock revenue streams and enhance TD Bank's brand reputation. As TD Bank moves forward with this potential investment the insights gained from this process flow will help in decision-making and support the successful integration of WiTricity.</w:t>
      </w:r>
    </w:p>
    <w:p w14:paraId="7ACEE3C3" w14:textId="0E4B4E7F" w:rsidR="00CE0A7D" w:rsidRDefault="00F11916" w:rsidP="00CE0A7D">
      <w:r w:rsidRPr="008F7DC7">
        <w:rPr>
          <w:rFonts w:ascii="Arial" w:hAnsi="Arial" w:cs="Arial"/>
        </w:rPr>
        <w:t>This acquisition marks a significant milestone in TD Bank's journey towards a more sustainable future and strengthens its position as a leader in the green technology sector. By taking this opportunity TD Bank can become a leader in the electric vehicle industry meeting the changing needs of customers and the market.</w:t>
      </w:r>
      <w:r w:rsidR="00CE0A7D">
        <w:br w:type="page"/>
      </w:r>
    </w:p>
    <w:p w14:paraId="14FB2A91" w14:textId="1EEC4C6E" w:rsidR="00F11916" w:rsidRPr="00007BE0" w:rsidRDefault="00BD4D93" w:rsidP="004D27C8">
      <w:pPr>
        <w:pStyle w:val="Heading1"/>
        <w:jc w:val="left"/>
        <w:rPr>
          <w:rFonts w:ascii="Arial" w:hAnsi="Arial" w:cs="Arial"/>
          <w:sz w:val="36"/>
          <w:szCs w:val="36"/>
        </w:rPr>
      </w:pPr>
      <w:bookmarkStart w:id="14" w:name="_Toc179575822"/>
      <w:r w:rsidRPr="00007BE0">
        <w:rPr>
          <w:rFonts w:ascii="Arial" w:hAnsi="Arial" w:cs="Arial"/>
          <w:sz w:val="36"/>
          <w:szCs w:val="36"/>
        </w:rPr>
        <w:lastRenderedPageBreak/>
        <w:t xml:space="preserve">Call </w:t>
      </w:r>
      <w:r w:rsidR="00C67795" w:rsidRPr="00007BE0">
        <w:rPr>
          <w:rFonts w:ascii="Arial" w:hAnsi="Arial" w:cs="Arial"/>
          <w:sz w:val="36"/>
          <w:szCs w:val="36"/>
        </w:rPr>
        <w:t>O</w:t>
      </w:r>
      <w:r w:rsidRPr="00007BE0">
        <w:rPr>
          <w:rFonts w:ascii="Arial" w:hAnsi="Arial" w:cs="Arial"/>
          <w:sz w:val="36"/>
          <w:szCs w:val="36"/>
        </w:rPr>
        <w:t xml:space="preserve">f </w:t>
      </w:r>
      <w:r w:rsidR="00C67795" w:rsidRPr="00007BE0">
        <w:rPr>
          <w:rFonts w:ascii="Arial" w:hAnsi="Arial" w:cs="Arial"/>
          <w:sz w:val="36"/>
          <w:szCs w:val="36"/>
        </w:rPr>
        <w:t>A</w:t>
      </w:r>
      <w:r w:rsidRPr="00007BE0">
        <w:rPr>
          <w:rFonts w:ascii="Arial" w:hAnsi="Arial" w:cs="Arial"/>
          <w:sz w:val="36"/>
          <w:szCs w:val="36"/>
        </w:rPr>
        <w:t>ction</w:t>
      </w:r>
      <w:bookmarkEnd w:id="14"/>
    </w:p>
    <w:p w14:paraId="029CBAF2" w14:textId="77777777" w:rsidR="00F11916" w:rsidRPr="00F11916" w:rsidRDefault="00F11916" w:rsidP="00F11916">
      <w:pPr>
        <w:rPr>
          <w:rFonts w:ascii="Arial" w:hAnsi="Arial" w:cs="Arial"/>
        </w:rPr>
      </w:pPr>
    </w:p>
    <w:p w14:paraId="51BC8737" w14:textId="77777777" w:rsidR="00F11916" w:rsidRPr="00F11916" w:rsidRDefault="00F11916" w:rsidP="00F11916">
      <w:pPr>
        <w:rPr>
          <w:rFonts w:ascii="Arial" w:hAnsi="Arial" w:cs="Arial"/>
        </w:rPr>
      </w:pPr>
      <w:r w:rsidRPr="00F11916">
        <w:rPr>
          <w:rFonts w:ascii="Arial" w:hAnsi="Arial" w:cs="Arial"/>
        </w:rPr>
        <w:t>Lead the charge in the electric vehicle revolution with Process Pro Partners.</w:t>
      </w:r>
    </w:p>
    <w:p w14:paraId="489C36C1" w14:textId="77777777" w:rsidR="00F11916" w:rsidRPr="00F11916" w:rsidRDefault="00F11916" w:rsidP="00F11916">
      <w:pPr>
        <w:rPr>
          <w:rFonts w:ascii="Arial" w:hAnsi="Arial" w:cs="Arial"/>
        </w:rPr>
      </w:pPr>
      <w:r w:rsidRPr="00F11916">
        <w:rPr>
          <w:rFonts w:ascii="Arial" w:hAnsi="Arial" w:cs="Arial"/>
        </w:rPr>
        <w:t>Our team of experienced consultants can help you unlock the full potential of your WiTricity acquisition and maximize your impact on the EV market.</w:t>
      </w:r>
    </w:p>
    <w:p w14:paraId="2BED5891" w14:textId="77777777" w:rsidR="00F11916" w:rsidRPr="00F11916" w:rsidRDefault="00F11916" w:rsidP="00F11916">
      <w:pPr>
        <w:rPr>
          <w:rFonts w:ascii="Arial" w:hAnsi="Arial" w:cs="Arial"/>
        </w:rPr>
      </w:pPr>
      <w:r w:rsidRPr="00F11916">
        <w:rPr>
          <w:rFonts w:ascii="Arial" w:hAnsi="Arial" w:cs="Arial"/>
        </w:rPr>
        <w:t>The electric vehicle (EV) sector is experiencing an explosive growth driven by factors such as increasing environmental concerns, government incentives and technological advancements. This growth presents significant opportunities for TD Bank to capitalize on. TD Bank's acquisition of WiTricity will position the bank as a key player in the EV ecosystem. By utilizing WiTricity’s innovative technology along with TD Bank's financial expertise, the acquisition can accelerate EV adoption and enhance charging infrastructure. This will also promote sustainability and create new revenue streams.</w:t>
      </w:r>
    </w:p>
    <w:p w14:paraId="4B6B6CF8" w14:textId="77777777" w:rsidR="00F11916" w:rsidRPr="00007BE0" w:rsidRDefault="00F11916" w:rsidP="00F11916">
      <w:pPr>
        <w:rPr>
          <w:rFonts w:ascii="Arial" w:hAnsi="Arial" w:cs="Arial"/>
          <w:b/>
          <w:bCs/>
        </w:rPr>
      </w:pPr>
      <w:r w:rsidRPr="00007BE0">
        <w:rPr>
          <w:rFonts w:ascii="Arial" w:hAnsi="Arial" w:cs="Arial"/>
          <w:b/>
          <w:bCs/>
        </w:rPr>
        <w:t>By partnering with Process Pro Partners, you can:</w:t>
      </w:r>
    </w:p>
    <w:p w14:paraId="502D42CE" w14:textId="77777777" w:rsidR="00007BE0" w:rsidRDefault="00F11916" w:rsidP="00F11916">
      <w:pPr>
        <w:pStyle w:val="ListParagraph"/>
        <w:numPr>
          <w:ilvl w:val="0"/>
          <w:numId w:val="10"/>
        </w:numPr>
        <w:rPr>
          <w:rFonts w:ascii="Arial" w:hAnsi="Arial" w:cs="Arial"/>
        </w:rPr>
      </w:pPr>
      <w:r w:rsidRPr="00007BE0">
        <w:rPr>
          <w:rFonts w:ascii="Arial" w:hAnsi="Arial" w:cs="Arial"/>
          <w:b/>
          <w:bCs/>
        </w:rPr>
        <w:t>Develop a comprehensive EV strategy:</w:t>
      </w:r>
      <w:r w:rsidRPr="00007BE0">
        <w:rPr>
          <w:rFonts w:ascii="Arial" w:hAnsi="Arial" w:cs="Arial"/>
        </w:rPr>
        <w:t xml:space="preserve"> We will work closely with you to define your vision and develop a strategic plan. This plan will align with your business objectives and the evolving EV landscape.</w:t>
      </w:r>
    </w:p>
    <w:p w14:paraId="51312316" w14:textId="77777777" w:rsidR="00007BE0" w:rsidRDefault="00F11916" w:rsidP="00F11916">
      <w:pPr>
        <w:pStyle w:val="ListParagraph"/>
        <w:numPr>
          <w:ilvl w:val="0"/>
          <w:numId w:val="10"/>
        </w:numPr>
        <w:rPr>
          <w:rFonts w:ascii="Arial" w:hAnsi="Arial" w:cs="Arial"/>
        </w:rPr>
      </w:pPr>
      <w:r w:rsidRPr="00007BE0">
        <w:rPr>
          <w:rFonts w:ascii="Arial" w:hAnsi="Arial" w:cs="Arial"/>
          <w:b/>
          <w:bCs/>
        </w:rPr>
        <w:t>Promote sustainability and social impact:</w:t>
      </w:r>
      <w:r w:rsidRPr="00007BE0">
        <w:rPr>
          <w:rFonts w:ascii="Arial" w:hAnsi="Arial" w:cs="Arial"/>
        </w:rPr>
        <w:t xml:space="preserve"> We will help you develop initiatives that promote environmental sustainability and contribute to a more thriving EV future.</w:t>
      </w:r>
    </w:p>
    <w:p w14:paraId="2228D927" w14:textId="77777777" w:rsidR="00007BE0" w:rsidRDefault="00F11916" w:rsidP="00F11916">
      <w:pPr>
        <w:pStyle w:val="ListParagraph"/>
        <w:numPr>
          <w:ilvl w:val="0"/>
          <w:numId w:val="10"/>
        </w:numPr>
        <w:rPr>
          <w:rFonts w:ascii="Arial" w:hAnsi="Arial" w:cs="Arial"/>
        </w:rPr>
      </w:pPr>
      <w:r w:rsidRPr="00007BE0">
        <w:rPr>
          <w:rFonts w:ascii="Arial" w:hAnsi="Arial" w:cs="Arial"/>
          <w:b/>
          <w:bCs/>
        </w:rPr>
        <w:t>Become a leader in the EV space:</w:t>
      </w:r>
      <w:r w:rsidRPr="00007BE0">
        <w:rPr>
          <w:rFonts w:ascii="Arial" w:hAnsi="Arial" w:cs="Arial"/>
        </w:rPr>
        <w:t xml:space="preserve"> We will help you establish yourself as a trusted and innovative partner in the EV ecosystem. This will enhance your brand reputation and market share.</w:t>
      </w:r>
    </w:p>
    <w:p w14:paraId="1AA38801" w14:textId="77777777" w:rsidR="00007BE0" w:rsidRDefault="00F11916" w:rsidP="00F11916">
      <w:pPr>
        <w:pStyle w:val="ListParagraph"/>
        <w:numPr>
          <w:ilvl w:val="0"/>
          <w:numId w:val="10"/>
        </w:numPr>
        <w:rPr>
          <w:rFonts w:ascii="Arial" w:hAnsi="Arial" w:cs="Arial"/>
        </w:rPr>
      </w:pPr>
      <w:r w:rsidRPr="00007BE0">
        <w:rPr>
          <w:rFonts w:ascii="Arial" w:hAnsi="Arial" w:cs="Arial"/>
          <w:b/>
          <w:bCs/>
        </w:rPr>
        <w:t>Drive revenue growth:</w:t>
      </w:r>
      <w:r w:rsidRPr="00007BE0">
        <w:rPr>
          <w:rFonts w:ascii="Arial" w:hAnsi="Arial" w:cs="Arial"/>
        </w:rPr>
        <w:t xml:space="preserve"> We will help you identify and capitalize on new revenue opportunities in the rapidly growing EV market.</w:t>
      </w:r>
    </w:p>
    <w:p w14:paraId="7ADA2B51" w14:textId="77777777" w:rsidR="00007BE0" w:rsidRPr="00007BE0" w:rsidRDefault="00F11916" w:rsidP="00F11916">
      <w:pPr>
        <w:pStyle w:val="ListParagraph"/>
        <w:numPr>
          <w:ilvl w:val="0"/>
          <w:numId w:val="10"/>
        </w:numPr>
        <w:rPr>
          <w:rFonts w:ascii="Arial" w:hAnsi="Arial" w:cs="Arial"/>
        </w:rPr>
      </w:pPr>
      <w:r w:rsidRPr="00007BE0">
        <w:rPr>
          <w:rFonts w:ascii="Arial" w:hAnsi="Arial" w:cs="Arial"/>
          <w:b/>
          <w:bCs/>
        </w:rPr>
        <w:t>Reduce risks and mitigate challenges:</w:t>
      </w:r>
      <w:r w:rsidRPr="00007BE0">
        <w:rPr>
          <w:rFonts w:ascii="Arial" w:hAnsi="Arial" w:cs="Arial"/>
        </w:rPr>
        <w:t xml:space="preserve"> We will help you navigate the complexities of the EV market. We will guide you mitigate potential risks associated with new technologies and regulations.</w:t>
      </w:r>
    </w:p>
    <w:p w14:paraId="32F3001C" w14:textId="1CC2DE63" w:rsidR="00F11916" w:rsidRPr="00007BE0" w:rsidRDefault="00F11916" w:rsidP="00F11916">
      <w:pPr>
        <w:pStyle w:val="ListParagraph"/>
        <w:numPr>
          <w:ilvl w:val="0"/>
          <w:numId w:val="10"/>
        </w:numPr>
        <w:rPr>
          <w:rFonts w:ascii="Arial" w:hAnsi="Arial" w:cs="Arial"/>
        </w:rPr>
      </w:pPr>
      <w:r w:rsidRPr="00007BE0">
        <w:rPr>
          <w:rFonts w:ascii="Arial" w:hAnsi="Arial" w:cs="Arial"/>
          <w:b/>
          <w:bCs/>
        </w:rPr>
        <w:t>Gain access to a network of experts:</w:t>
      </w:r>
      <w:r w:rsidRPr="00007BE0">
        <w:rPr>
          <w:rFonts w:ascii="Arial" w:hAnsi="Arial" w:cs="Arial"/>
        </w:rPr>
        <w:t xml:space="preserve"> We have a network of experienced professionals in various fields including finance and technology. They can provide you with the insights and support you need.</w:t>
      </w:r>
    </w:p>
    <w:p w14:paraId="2F580F9C" w14:textId="77777777" w:rsidR="00F11916" w:rsidRPr="00F11916" w:rsidRDefault="00F11916" w:rsidP="00F11916">
      <w:pPr>
        <w:rPr>
          <w:rFonts w:ascii="Arial" w:hAnsi="Arial" w:cs="Arial"/>
        </w:rPr>
      </w:pPr>
      <w:r w:rsidRPr="00262776">
        <w:rPr>
          <w:rFonts w:ascii="Arial" w:hAnsi="Arial" w:cs="Arial"/>
        </w:rPr>
        <w:t>Don't miss out on this exciting</w:t>
      </w:r>
      <w:r w:rsidRPr="00F11916">
        <w:rPr>
          <w:rFonts w:ascii="Arial" w:hAnsi="Arial" w:cs="Arial"/>
        </w:rPr>
        <w:t xml:space="preserve"> opportunity to shape the future of wireless charging. Contact Process Pro Partners today to learn more about how we can help you lead the charge in the EV revolution.</w:t>
      </w:r>
    </w:p>
    <w:p w14:paraId="487C72B0" w14:textId="1EDBC995" w:rsidR="00F11916" w:rsidRPr="00737DFD" w:rsidRDefault="00F11916" w:rsidP="00F11916">
      <w:pPr>
        <w:rPr>
          <w:rFonts w:ascii="Arial" w:hAnsi="Arial" w:cs="Arial"/>
        </w:rPr>
      </w:pPr>
      <w:r w:rsidRPr="00737DFD">
        <w:rPr>
          <w:rFonts w:ascii="Arial" w:hAnsi="Arial" w:cs="Arial"/>
        </w:rPr>
        <w:t>Together, let's power the future of wireless charging!</w:t>
      </w:r>
      <w:bookmarkEnd w:id="8"/>
    </w:p>
    <w:p w14:paraId="5D985849" w14:textId="1CF8FF6D" w:rsidR="00CE0A7D" w:rsidRDefault="00CE0A7D" w:rsidP="00F11916">
      <w:pPr>
        <w:rPr>
          <w:rFonts w:ascii="Arial" w:hAnsi="Arial" w:cs="Arial"/>
          <w:b/>
          <w:bCs/>
        </w:rPr>
      </w:pPr>
      <w:r>
        <w:rPr>
          <w:rFonts w:ascii="Arial" w:hAnsi="Arial" w:cs="Arial"/>
          <w:b/>
          <w:bCs/>
        </w:rPr>
        <w:br w:type="page"/>
      </w:r>
    </w:p>
    <w:p w14:paraId="1E846F67" w14:textId="242A1EE5" w:rsidR="003B7EAD" w:rsidRPr="00007BE0" w:rsidRDefault="00BD4D93" w:rsidP="004D27C8">
      <w:pPr>
        <w:pStyle w:val="Heading1"/>
        <w:jc w:val="left"/>
        <w:rPr>
          <w:rFonts w:ascii="Arial" w:hAnsi="Arial" w:cs="Arial"/>
          <w:sz w:val="36"/>
          <w:szCs w:val="36"/>
        </w:rPr>
      </w:pPr>
      <w:bookmarkStart w:id="15" w:name="_Hlk179562447"/>
      <w:bookmarkStart w:id="16" w:name="_Toc179575823"/>
      <w:r w:rsidRPr="00007BE0">
        <w:rPr>
          <w:rFonts w:ascii="Arial" w:hAnsi="Arial" w:cs="Arial"/>
          <w:sz w:val="36"/>
          <w:szCs w:val="36"/>
        </w:rPr>
        <w:lastRenderedPageBreak/>
        <w:t>References</w:t>
      </w:r>
      <w:bookmarkEnd w:id="16"/>
    </w:p>
    <w:p w14:paraId="295FF9CE" w14:textId="77777777" w:rsidR="00A10754" w:rsidRPr="00A10754" w:rsidRDefault="00A10754" w:rsidP="00A10754">
      <w:pPr>
        <w:pStyle w:val="ListParagraph"/>
      </w:pPr>
    </w:p>
    <w:bookmarkEnd w:id="0"/>
    <w:bookmarkEnd w:id="9"/>
    <w:bookmarkEnd w:id="15"/>
    <w:p w14:paraId="21BA706D" w14:textId="77777777" w:rsidR="00007BE0" w:rsidRPr="00007BE0" w:rsidRDefault="00007BE0" w:rsidP="00007BE0">
      <w:pPr>
        <w:spacing w:line="276" w:lineRule="auto"/>
        <w:rPr>
          <w:rFonts w:ascii="Arial" w:hAnsi="Arial" w:cs="Arial"/>
        </w:rPr>
      </w:pPr>
      <w:r w:rsidRPr="00007BE0">
        <w:rPr>
          <w:rFonts w:ascii="Arial" w:hAnsi="Arial" w:cs="Arial"/>
        </w:rPr>
        <w:t xml:space="preserve">International Energy Agency. (2021). Global EV outlook 2021. International Energy Agency. </w:t>
      </w:r>
    </w:p>
    <w:p w14:paraId="0877C30B" w14:textId="078B46EF" w:rsidR="00007BE0" w:rsidRPr="00007BE0" w:rsidRDefault="00007BE0" w:rsidP="00007BE0">
      <w:pPr>
        <w:spacing w:line="276" w:lineRule="auto"/>
        <w:rPr>
          <w:rFonts w:ascii="Arial" w:hAnsi="Arial" w:cs="Arial"/>
        </w:rPr>
      </w:pPr>
      <w:hyperlink r:id="rId11" w:history="1">
        <w:r w:rsidRPr="00B5380D">
          <w:rPr>
            <w:rStyle w:val="Hyperlink"/>
            <w:rFonts w:ascii="Arial" w:hAnsi="Arial" w:cs="Arial"/>
          </w:rPr>
          <w:t>https://www.iea.org/reports/global-ev-outlook-2021</w:t>
        </w:r>
      </w:hyperlink>
      <w:r>
        <w:rPr>
          <w:rFonts w:ascii="Arial" w:hAnsi="Arial" w:cs="Arial"/>
        </w:rPr>
        <w:t xml:space="preserve"> </w:t>
      </w:r>
    </w:p>
    <w:p w14:paraId="75822E5F" w14:textId="77777777" w:rsidR="00007BE0" w:rsidRPr="00007BE0" w:rsidRDefault="00007BE0" w:rsidP="00007BE0">
      <w:pPr>
        <w:spacing w:line="276" w:lineRule="auto"/>
        <w:rPr>
          <w:rFonts w:ascii="Arial" w:hAnsi="Arial" w:cs="Arial"/>
        </w:rPr>
      </w:pPr>
      <w:r w:rsidRPr="00007BE0">
        <w:rPr>
          <w:rFonts w:ascii="Arial" w:hAnsi="Arial" w:cs="Arial"/>
        </w:rPr>
        <w:t>TD Bank Group. (2024, October 9). TD and the Vancouver Canucks team up to offer an exclusive perk. TD Bank Stories.</w:t>
      </w:r>
    </w:p>
    <w:p w14:paraId="1E39E741" w14:textId="654E988F" w:rsidR="00007BE0" w:rsidRPr="00007BE0" w:rsidRDefault="00007BE0" w:rsidP="00007BE0">
      <w:pPr>
        <w:spacing w:line="276" w:lineRule="auto"/>
        <w:rPr>
          <w:rFonts w:ascii="Arial" w:hAnsi="Arial" w:cs="Arial"/>
        </w:rPr>
      </w:pPr>
      <w:hyperlink r:id="rId12" w:history="1">
        <w:r w:rsidRPr="00B5380D">
          <w:rPr>
            <w:rStyle w:val="Hyperlink"/>
            <w:rFonts w:ascii="Arial" w:hAnsi="Arial" w:cs="Arial"/>
          </w:rPr>
          <w:t>https://stories.td.com/ca/en/news/2024-10-09-td-and-the-vancouver-canucks-team-up-to-offer-exclusive-perk</w:t>
        </w:r>
      </w:hyperlink>
      <w:r>
        <w:rPr>
          <w:rFonts w:ascii="Arial" w:hAnsi="Arial" w:cs="Arial"/>
        </w:rPr>
        <w:t xml:space="preserve"> </w:t>
      </w:r>
    </w:p>
    <w:p w14:paraId="2E695C17" w14:textId="09749301" w:rsidR="00007BE0" w:rsidRPr="00007BE0" w:rsidRDefault="00007BE0" w:rsidP="00007BE0">
      <w:pPr>
        <w:spacing w:line="276" w:lineRule="auto"/>
        <w:rPr>
          <w:rFonts w:ascii="Arial" w:hAnsi="Arial" w:cs="Arial"/>
        </w:rPr>
      </w:pPr>
      <w:r w:rsidRPr="00007BE0">
        <w:rPr>
          <w:rFonts w:ascii="Arial" w:hAnsi="Arial" w:cs="Arial"/>
        </w:rPr>
        <w:t>TD Bank Group. (2024, October 10). Media advisory: TD Bank Group to host a conference call today. TD Bank Stories.</w:t>
      </w:r>
    </w:p>
    <w:p w14:paraId="1AFEB008" w14:textId="7416D491" w:rsidR="00007BE0" w:rsidRPr="00007BE0" w:rsidRDefault="00007BE0" w:rsidP="00007BE0">
      <w:pPr>
        <w:spacing w:line="276" w:lineRule="auto"/>
        <w:rPr>
          <w:rFonts w:ascii="Arial" w:hAnsi="Arial" w:cs="Arial"/>
        </w:rPr>
      </w:pPr>
      <w:hyperlink r:id="rId13" w:history="1">
        <w:r w:rsidRPr="00B5380D">
          <w:rPr>
            <w:rStyle w:val="Hyperlink"/>
            <w:rFonts w:ascii="Arial" w:hAnsi="Arial" w:cs="Arial"/>
          </w:rPr>
          <w:t>https://stories.td.com/ca/en/news/2024-10-10-media-advisory---td-bank-group-to-host-a-conference-call-tod</w:t>
        </w:r>
      </w:hyperlink>
      <w:r>
        <w:rPr>
          <w:rFonts w:ascii="Arial" w:hAnsi="Arial" w:cs="Arial"/>
        </w:rPr>
        <w:t xml:space="preserve"> </w:t>
      </w:r>
    </w:p>
    <w:p w14:paraId="37B3D5EF" w14:textId="77777777" w:rsidR="00007BE0" w:rsidRPr="00007BE0" w:rsidRDefault="00007BE0" w:rsidP="00007BE0">
      <w:pPr>
        <w:spacing w:line="276" w:lineRule="auto"/>
        <w:rPr>
          <w:rFonts w:ascii="Arial" w:hAnsi="Arial" w:cs="Arial"/>
        </w:rPr>
      </w:pPr>
      <w:r w:rsidRPr="00007BE0">
        <w:rPr>
          <w:rFonts w:ascii="Arial" w:hAnsi="Arial" w:cs="Arial"/>
        </w:rPr>
        <w:t>TD Bank Group. (2024, October 10). TD Bank Group announces resolution of AML investigations. TD Bank Stories.</w:t>
      </w:r>
    </w:p>
    <w:p w14:paraId="0923000E" w14:textId="71A8790F" w:rsidR="00007BE0" w:rsidRPr="00007BE0" w:rsidRDefault="00007BE0" w:rsidP="00007BE0">
      <w:pPr>
        <w:spacing w:line="276" w:lineRule="auto"/>
        <w:rPr>
          <w:rFonts w:ascii="Arial" w:hAnsi="Arial" w:cs="Arial"/>
        </w:rPr>
      </w:pPr>
      <w:hyperlink r:id="rId14" w:history="1">
        <w:r w:rsidRPr="00B5380D">
          <w:rPr>
            <w:rStyle w:val="Hyperlink"/>
            <w:rFonts w:ascii="Arial" w:hAnsi="Arial" w:cs="Arial"/>
          </w:rPr>
          <w:t>https://stories.td.com/ca/en/news/2024-10-10-td-bank-group-announces-resolution-of-aml-investigations</w:t>
        </w:r>
      </w:hyperlink>
      <w:r>
        <w:rPr>
          <w:rFonts w:ascii="Arial" w:hAnsi="Arial" w:cs="Arial"/>
        </w:rPr>
        <w:t xml:space="preserve"> </w:t>
      </w:r>
    </w:p>
    <w:p w14:paraId="1EC5BE7A" w14:textId="77777777" w:rsidR="00007BE0" w:rsidRPr="00007BE0" w:rsidRDefault="00007BE0" w:rsidP="00007BE0">
      <w:pPr>
        <w:spacing w:line="276" w:lineRule="auto"/>
        <w:rPr>
          <w:rFonts w:ascii="Arial" w:hAnsi="Arial" w:cs="Arial"/>
        </w:rPr>
      </w:pPr>
      <w:r w:rsidRPr="00007BE0">
        <w:rPr>
          <w:rFonts w:ascii="Arial" w:hAnsi="Arial" w:cs="Arial"/>
        </w:rPr>
        <w:t>WiTricity. (n.d.). Home. WiTricity.</w:t>
      </w:r>
    </w:p>
    <w:p w14:paraId="23291A4D" w14:textId="6F8AF868" w:rsidR="00007BE0" w:rsidRPr="00007BE0" w:rsidRDefault="00007BE0" w:rsidP="00007BE0">
      <w:pPr>
        <w:spacing w:line="276" w:lineRule="auto"/>
        <w:rPr>
          <w:rFonts w:ascii="Arial" w:hAnsi="Arial" w:cs="Arial"/>
        </w:rPr>
      </w:pPr>
      <w:hyperlink r:id="rId15" w:history="1">
        <w:r w:rsidRPr="00B5380D">
          <w:rPr>
            <w:rStyle w:val="Hyperlink"/>
            <w:rFonts w:ascii="Arial" w:hAnsi="Arial" w:cs="Arial"/>
          </w:rPr>
          <w:t>https://witricity.com/</w:t>
        </w:r>
      </w:hyperlink>
      <w:r>
        <w:rPr>
          <w:rFonts w:ascii="Arial" w:hAnsi="Arial" w:cs="Arial"/>
        </w:rPr>
        <w:t xml:space="preserve"> </w:t>
      </w:r>
    </w:p>
    <w:p w14:paraId="7AE2B67D" w14:textId="77777777" w:rsidR="00007BE0" w:rsidRPr="00007BE0" w:rsidRDefault="00007BE0" w:rsidP="00007BE0">
      <w:pPr>
        <w:spacing w:line="276" w:lineRule="auto"/>
        <w:rPr>
          <w:rFonts w:ascii="Arial" w:hAnsi="Arial" w:cs="Arial"/>
        </w:rPr>
      </w:pPr>
      <w:r w:rsidRPr="00007BE0">
        <w:rPr>
          <w:rFonts w:ascii="Arial" w:hAnsi="Arial" w:cs="Arial"/>
        </w:rPr>
        <w:t xml:space="preserve">Microsoft. (2023). Copilot [Large language model]. </w:t>
      </w:r>
    </w:p>
    <w:p w14:paraId="1821C866" w14:textId="268B708B" w:rsidR="00F11916" w:rsidRDefault="00007BE0" w:rsidP="00007BE0">
      <w:pPr>
        <w:spacing w:line="276" w:lineRule="auto"/>
        <w:rPr>
          <w:rFonts w:ascii="Arial" w:hAnsi="Arial" w:cs="Arial"/>
        </w:rPr>
      </w:pPr>
      <w:hyperlink r:id="rId16" w:history="1">
        <w:r w:rsidRPr="00B5380D">
          <w:rPr>
            <w:rStyle w:val="Hyperlink"/>
            <w:rFonts w:ascii="Arial" w:hAnsi="Arial" w:cs="Arial"/>
          </w:rPr>
          <w:t>https://copilot.microsoft.com/</w:t>
        </w:r>
      </w:hyperlink>
      <w:r>
        <w:rPr>
          <w:rFonts w:ascii="Arial" w:hAnsi="Arial" w:cs="Arial"/>
        </w:rPr>
        <w:t xml:space="preserve"> </w:t>
      </w:r>
    </w:p>
    <w:p w14:paraId="7B8C42B8" w14:textId="77777777" w:rsidR="00D821D7" w:rsidRPr="00F11916" w:rsidRDefault="00D821D7" w:rsidP="00007BE0">
      <w:pPr>
        <w:spacing w:line="276" w:lineRule="auto"/>
        <w:rPr>
          <w:rFonts w:ascii="Arial" w:hAnsi="Arial" w:cs="Arial"/>
        </w:rPr>
      </w:pPr>
    </w:p>
    <w:sectPr w:rsidR="00D821D7" w:rsidRPr="00F11916" w:rsidSect="003C5261">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CE246" w14:textId="77777777" w:rsidR="00BC0BBE" w:rsidRDefault="00BC0BBE" w:rsidP="009C522C">
      <w:pPr>
        <w:spacing w:after="0" w:line="240" w:lineRule="auto"/>
      </w:pPr>
      <w:r>
        <w:separator/>
      </w:r>
    </w:p>
  </w:endnote>
  <w:endnote w:type="continuationSeparator" w:id="0">
    <w:p w14:paraId="4957E7EB" w14:textId="77777777" w:rsidR="00BC0BBE" w:rsidRDefault="00BC0BBE" w:rsidP="009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357276"/>
      <w:docPartObj>
        <w:docPartGallery w:val="Page Numbers (Bottom of Page)"/>
        <w:docPartUnique/>
      </w:docPartObj>
    </w:sdtPr>
    <w:sdtContent>
      <w:p w14:paraId="4099393E" w14:textId="4EB1990E" w:rsidR="00007BE0" w:rsidRDefault="00007BE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F1ADBA8" w14:textId="77777777" w:rsidR="009C522C" w:rsidRDefault="009C5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76FC9" w14:textId="77777777" w:rsidR="00BC0BBE" w:rsidRDefault="00BC0BBE" w:rsidP="009C522C">
      <w:pPr>
        <w:spacing w:after="0" w:line="240" w:lineRule="auto"/>
      </w:pPr>
      <w:r>
        <w:separator/>
      </w:r>
    </w:p>
  </w:footnote>
  <w:footnote w:type="continuationSeparator" w:id="0">
    <w:p w14:paraId="43F71723" w14:textId="77777777" w:rsidR="00BC0BBE" w:rsidRDefault="00BC0BBE" w:rsidP="009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B5A6C" w14:textId="78C554A9" w:rsidR="003C5261" w:rsidRDefault="003C5261">
    <w:pPr>
      <w:pStyle w:val="Header"/>
    </w:pPr>
    <w:r w:rsidRPr="003C5261">
      <w:rPr>
        <w:rFonts w:cs="Calibri"/>
        <w:noProof/>
        <w:sz w:val="18"/>
        <w:szCs w:val="18"/>
      </w:rPr>
      <w:drawing>
        <wp:anchor distT="0" distB="0" distL="114300" distR="114300" simplePos="0" relativeHeight="251659264" behindDoc="1" locked="0" layoutInCell="1" allowOverlap="1" wp14:anchorId="5C32A146" wp14:editId="65AAB8F6">
          <wp:simplePos x="0" y="0"/>
          <wp:positionH relativeFrom="margin">
            <wp:posOffset>5651500</wp:posOffset>
          </wp:positionH>
          <wp:positionV relativeFrom="page">
            <wp:posOffset>335915</wp:posOffset>
          </wp:positionV>
          <wp:extent cx="374650" cy="384810"/>
          <wp:effectExtent l="0" t="0" r="6350" b="0"/>
          <wp:wrapThrough wrapText="bothSides">
            <wp:wrapPolygon edited="0">
              <wp:start x="0" y="0"/>
              <wp:lineTo x="0" y="20317"/>
              <wp:lineTo x="20868" y="20317"/>
              <wp:lineTo x="20868" y="0"/>
              <wp:lineTo x="0" y="0"/>
            </wp:wrapPolygon>
          </wp:wrapThrough>
          <wp:docPr id="1569331431"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064" t="15948" r="16496" b="15944"/>
                  <a:stretch/>
                </pic:blipFill>
                <pic:spPr bwMode="auto">
                  <a:xfrm>
                    <a:off x="0" y="0"/>
                    <a:ext cx="374650" cy="38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5261">
      <w:rPr>
        <w:sz w:val="18"/>
        <w:szCs w:val="18"/>
      </w:rPr>
      <w:t>ProcessPro Partners</w:t>
    </w:r>
    <w:r w:rsidR="001A1A4F">
      <w:rPr>
        <w:sz w:val="18"/>
        <w:szCs w:val="18"/>
      </w:rPr>
      <w:t xml:space="preserve"> – </w:t>
    </w:r>
    <w:r w:rsidR="001A1A4F" w:rsidRPr="001A1A4F">
      <w:rPr>
        <w:i/>
        <w:iCs/>
        <w:sz w:val="18"/>
        <w:szCs w:val="18"/>
      </w:rPr>
      <w:t>Efficient Process, Efficient Solutions</w:t>
    </w:r>
    <w:r w:rsidRPr="001A1A4F">
      <w:rPr>
        <w:i/>
        <w:iCs/>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F462B"/>
    <w:multiLevelType w:val="hybridMultilevel"/>
    <w:tmpl w:val="8536F266"/>
    <w:lvl w:ilvl="0" w:tplc="C8CCDF7A">
      <w:start w:val="1"/>
      <w:numFmt w:val="decimal"/>
      <w:lvlText w:val="%1."/>
      <w:lvlJc w:val="left"/>
      <w:pPr>
        <w:ind w:left="5103" w:hanging="360"/>
      </w:pPr>
      <w:rPr>
        <w:b/>
        <w:bCs/>
        <w:sz w:val="36"/>
        <w:szCs w:val="36"/>
      </w:rPr>
    </w:lvl>
    <w:lvl w:ilvl="1" w:tplc="40090019" w:tentative="1">
      <w:start w:val="1"/>
      <w:numFmt w:val="lowerLetter"/>
      <w:lvlText w:val="%2."/>
      <w:lvlJc w:val="left"/>
      <w:pPr>
        <w:ind w:left="5823" w:hanging="360"/>
      </w:pPr>
    </w:lvl>
    <w:lvl w:ilvl="2" w:tplc="4009001B" w:tentative="1">
      <w:start w:val="1"/>
      <w:numFmt w:val="lowerRoman"/>
      <w:lvlText w:val="%3."/>
      <w:lvlJc w:val="right"/>
      <w:pPr>
        <w:ind w:left="6543" w:hanging="180"/>
      </w:pPr>
    </w:lvl>
    <w:lvl w:ilvl="3" w:tplc="4009000F" w:tentative="1">
      <w:start w:val="1"/>
      <w:numFmt w:val="decimal"/>
      <w:lvlText w:val="%4."/>
      <w:lvlJc w:val="left"/>
      <w:pPr>
        <w:ind w:left="7263" w:hanging="360"/>
      </w:pPr>
    </w:lvl>
    <w:lvl w:ilvl="4" w:tplc="40090019" w:tentative="1">
      <w:start w:val="1"/>
      <w:numFmt w:val="lowerLetter"/>
      <w:lvlText w:val="%5."/>
      <w:lvlJc w:val="left"/>
      <w:pPr>
        <w:ind w:left="7983" w:hanging="360"/>
      </w:pPr>
    </w:lvl>
    <w:lvl w:ilvl="5" w:tplc="4009001B" w:tentative="1">
      <w:start w:val="1"/>
      <w:numFmt w:val="lowerRoman"/>
      <w:lvlText w:val="%6."/>
      <w:lvlJc w:val="right"/>
      <w:pPr>
        <w:ind w:left="8703" w:hanging="180"/>
      </w:pPr>
    </w:lvl>
    <w:lvl w:ilvl="6" w:tplc="4009000F" w:tentative="1">
      <w:start w:val="1"/>
      <w:numFmt w:val="decimal"/>
      <w:lvlText w:val="%7."/>
      <w:lvlJc w:val="left"/>
      <w:pPr>
        <w:ind w:left="9423" w:hanging="360"/>
      </w:pPr>
    </w:lvl>
    <w:lvl w:ilvl="7" w:tplc="40090019" w:tentative="1">
      <w:start w:val="1"/>
      <w:numFmt w:val="lowerLetter"/>
      <w:lvlText w:val="%8."/>
      <w:lvlJc w:val="left"/>
      <w:pPr>
        <w:ind w:left="10143" w:hanging="360"/>
      </w:pPr>
    </w:lvl>
    <w:lvl w:ilvl="8" w:tplc="4009001B" w:tentative="1">
      <w:start w:val="1"/>
      <w:numFmt w:val="lowerRoman"/>
      <w:lvlText w:val="%9."/>
      <w:lvlJc w:val="right"/>
      <w:pPr>
        <w:ind w:left="10863" w:hanging="180"/>
      </w:pPr>
    </w:lvl>
  </w:abstractNum>
  <w:abstractNum w:abstractNumId="1" w15:restartNumberingAfterBreak="0">
    <w:nsid w:val="2F434CEC"/>
    <w:multiLevelType w:val="hybridMultilevel"/>
    <w:tmpl w:val="88F48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3F630EE"/>
    <w:multiLevelType w:val="hybridMultilevel"/>
    <w:tmpl w:val="8536F266"/>
    <w:lvl w:ilvl="0" w:tplc="FFFFFFFF">
      <w:start w:val="1"/>
      <w:numFmt w:val="decimal"/>
      <w:lvlText w:val="%1."/>
      <w:lvlJc w:val="left"/>
      <w:pPr>
        <w:ind w:left="720" w:hanging="360"/>
      </w:pPr>
      <w:rPr>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4978DE"/>
    <w:multiLevelType w:val="hybridMultilevel"/>
    <w:tmpl w:val="8544E98E"/>
    <w:lvl w:ilvl="0" w:tplc="AF7801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6B1116"/>
    <w:multiLevelType w:val="hybridMultilevel"/>
    <w:tmpl w:val="4A9002F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D006FF"/>
    <w:multiLevelType w:val="hybridMultilevel"/>
    <w:tmpl w:val="3A42511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CA7556"/>
    <w:multiLevelType w:val="hybridMultilevel"/>
    <w:tmpl w:val="6B2E63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925468"/>
    <w:multiLevelType w:val="hybridMultilevel"/>
    <w:tmpl w:val="E7424B58"/>
    <w:lvl w:ilvl="0" w:tplc="C29EBB30">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C33433"/>
    <w:multiLevelType w:val="hybridMultilevel"/>
    <w:tmpl w:val="9A2C32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8632F27"/>
    <w:multiLevelType w:val="hybridMultilevel"/>
    <w:tmpl w:val="71903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6488156">
    <w:abstractNumId w:val="0"/>
  </w:num>
  <w:num w:numId="2" w16cid:durableId="835651576">
    <w:abstractNumId w:val="9"/>
  </w:num>
  <w:num w:numId="3" w16cid:durableId="1787692453">
    <w:abstractNumId w:val="1"/>
  </w:num>
  <w:num w:numId="4" w16cid:durableId="1775662092">
    <w:abstractNumId w:val="2"/>
  </w:num>
  <w:num w:numId="5" w16cid:durableId="693314250">
    <w:abstractNumId w:val="7"/>
  </w:num>
  <w:num w:numId="6" w16cid:durableId="1399671573">
    <w:abstractNumId w:val="5"/>
  </w:num>
  <w:num w:numId="7" w16cid:durableId="976952228">
    <w:abstractNumId w:val="4"/>
  </w:num>
  <w:num w:numId="8" w16cid:durableId="1767455816">
    <w:abstractNumId w:val="6"/>
  </w:num>
  <w:num w:numId="9" w16cid:durableId="614754483">
    <w:abstractNumId w:val="3"/>
  </w:num>
  <w:num w:numId="10" w16cid:durableId="1887907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0MrEwNzYzMrc0NDZX0lEKTi0uzszPAymwrAUAs8grEywAAAA="/>
  </w:docVars>
  <w:rsids>
    <w:rsidRoot w:val="00B5747A"/>
    <w:rsid w:val="00007BE0"/>
    <w:rsid w:val="0002786F"/>
    <w:rsid w:val="001268E3"/>
    <w:rsid w:val="00126EFD"/>
    <w:rsid w:val="0013432A"/>
    <w:rsid w:val="00176990"/>
    <w:rsid w:val="001A1A4F"/>
    <w:rsid w:val="001A2131"/>
    <w:rsid w:val="001D0AFD"/>
    <w:rsid w:val="001D16D7"/>
    <w:rsid w:val="001E6A2D"/>
    <w:rsid w:val="00204C25"/>
    <w:rsid w:val="002234F7"/>
    <w:rsid w:val="00262776"/>
    <w:rsid w:val="002737B6"/>
    <w:rsid w:val="002D6A6B"/>
    <w:rsid w:val="002E779E"/>
    <w:rsid w:val="002F31B0"/>
    <w:rsid w:val="0034495D"/>
    <w:rsid w:val="00360C87"/>
    <w:rsid w:val="00377E5A"/>
    <w:rsid w:val="003B7EAD"/>
    <w:rsid w:val="003C5261"/>
    <w:rsid w:val="003F13CA"/>
    <w:rsid w:val="004075D4"/>
    <w:rsid w:val="0042075F"/>
    <w:rsid w:val="00483B6B"/>
    <w:rsid w:val="004A0869"/>
    <w:rsid w:val="004A2D44"/>
    <w:rsid w:val="004C485B"/>
    <w:rsid w:val="004D27C8"/>
    <w:rsid w:val="004D4710"/>
    <w:rsid w:val="0050334A"/>
    <w:rsid w:val="005058CC"/>
    <w:rsid w:val="005101B0"/>
    <w:rsid w:val="005532AD"/>
    <w:rsid w:val="005558C6"/>
    <w:rsid w:val="00563EED"/>
    <w:rsid w:val="00572B02"/>
    <w:rsid w:val="005B22AE"/>
    <w:rsid w:val="005D7979"/>
    <w:rsid w:val="006308AF"/>
    <w:rsid w:val="006353C5"/>
    <w:rsid w:val="0065009C"/>
    <w:rsid w:val="00674440"/>
    <w:rsid w:val="00674E5F"/>
    <w:rsid w:val="006A257F"/>
    <w:rsid w:val="006A29F4"/>
    <w:rsid w:val="006A3E94"/>
    <w:rsid w:val="006C2949"/>
    <w:rsid w:val="006C48E9"/>
    <w:rsid w:val="006E676E"/>
    <w:rsid w:val="006F706A"/>
    <w:rsid w:val="006F7703"/>
    <w:rsid w:val="0073651B"/>
    <w:rsid w:val="00737348"/>
    <w:rsid w:val="00737DFD"/>
    <w:rsid w:val="0075413E"/>
    <w:rsid w:val="00766DE8"/>
    <w:rsid w:val="00782FE9"/>
    <w:rsid w:val="007A3B4B"/>
    <w:rsid w:val="007E0D5E"/>
    <w:rsid w:val="00881442"/>
    <w:rsid w:val="008B2DAD"/>
    <w:rsid w:val="008B4AA4"/>
    <w:rsid w:val="008D2F91"/>
    <w:rsid w:val="008E2212"/>
    <w:rsid w:val="008E6F17"/>
    <w:rsid w:val="008F65D4"/>
    <w:rsid w:val="008F7DC7"/>
    <w:rsid w:val="00924B07"/>
    <w:rsid w:val="009532D3"/>
    <w:rsid w:val="009679B8"/>
    <w:rsid w:val="009B1210"/>
    <w:rsid w:val="009C522C"/>
    <w:rsid w:val="009D3A1B"/>
    <w:rsid w:val="00A049C6"/>
    <w:rsid w:val="00A10754"/>
    <w:rsid w:val="00A95DB6"/>
    <w:rsid w:val="00AA4016"/>
    <w:rsid w:val="00AC2189"/>
    <w:rsid w:val="00AD2CEB"/>
    <w:rsid w:val="00B37125"/>
    <w:rsid w:val="00B376A3"/>
    <w:rsid w:val="00B41F8C"/>
    <w:rsid w:val="00B5747A"/>
    <w:rsid w:val="00B87250"/>
    <w:rsid w:val="00BC0BBE"/>
    <w:rsid w:val="00BD4D93"/>
    <w:rsid w:val="00BF330C"/>
    <w:rsid w:val="00C002FA"/>
    <w:rsid w:val="00C67795"/>
    <w:rsid w:val="00C71742"/>
    <w:rsid w:val="00C7336A"/>
    <w:rsid w:val="00C812C2"/>
    <w:rsid w:val="00C95F81"/>
    <w:rsid w:val="00CD20AD"/>
    <w:rsid w:val="00CE0A7D"/>
    <w:rsid w:val="00CE0C1B"/>
    <w:rsid w:val="00CE201D"/>
    <w:rsid w:val="00D0024F"/>
    <w:rsid w:val="00D35DB9"/>
    <w:rsid w:val="00D757A0"/>
    <w:rsid w:val="00D821D7"/>
    <w:rsid w:val="00D96783"/>
    <w:rsid w:val="00DE070C"/>
    <w:rsid w:val="00DF3D98"/>
    <w:rsid w:val="00E75A55"/>
    <w:rsid w:val="00E82C5C"/>
    <w:rsid w:val="00EF7E10"/>
    <w:rsid w:val="00F11916"/>
    <w:rsid w:val="00F16EDE"/>
    <w:rsid w:val="00F561FB"/>
    <w:rsid w:val="00F630A3"/>
    <w:rsid w:val="00F9247E"/>
    <w:rsid w:val="00FD2243"/>
    <w:rsid w:val="00FF6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C211D"/>
  <w15:chartTrackingRefBased/>
  <w15:docId w15:val="{409DE145-E8EE-424D-953F-C4D4D2E7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D44"/>
    <w:pPr>
      <w:spacing w:line="259" w:lineRule="auto"/>
      <w:jc w:val="both"/>
    </w:pPr>
    <w:rPr>
      <w:rFonts w:ascii="Calibri" w:hAnsi="Calibri"/>
      <w:sz w:val="22"/>
      <w:szCs w:val="22"/>
      <w:lang w:val="en-CA"/>
    </w:rPr>
  </w:style>
  <w:style w:type="paragraph" w:styleId="Heading1">
    <w:name w:val="heading 1"/>
    <w:basedOn w:val="Normal"/>
    <w:next w:val="Normal"/>
    <w:link w:val="Heading1Char"/>
    <w:uiPriority w:val="9"/>
    <w:qFormat/>
    <w:rsid w:val="00B57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47A"/>
    <w:rPr>
      <w:rFonts w:eastAsiaTheme="majorEastAsia" w:cstheme="majorBidi"/>
      <w:color w:val="272727" w:themeColor="text1" w:themeTint="D8"/>
    </w:rPr>
  </w:style>
  <w:style w:type="paragraph" w:styleId="Title">
    <w:name w:val="Title"/>
    <w:basedOn w:val="Normal"/>
    <w:next w:val="Normal"/>
    <w:link w:val="TitleChar"/>
    <w:uiPriority w:val="10"/>
    <w:qFormat/>
    <w:rsid w:val="00B57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47A"/>
    <w:pPr>
      <w:spacing w:before="160"/>
      <w:jc w:val="center"/>
    </w:pPr>
    <w:rPr>
      <w:i/>
      <w:iCs/>
      <w:color w:val="404040" w:themeColor="text1" w:themeTint="BF"/>
    </w:rPr>
  </w:style>
  <w:style w:type="character" w:customStyle="1" w:styleId="QuoteChar">
    <w:name w:val="Quote Char"/>
    <w:basedOn w:val="DefaultParagraphFont"/>
    <w:link w:val="Quote"/>
    <w:uiPriority w:val="29"/>
    <w:rsid w:val="00B5747A"/>
    <w:rPr>
      <w:i/>
      <w:iCs/>
      <w:color w:val="404040" w:themeColor="text1" w:themeTint="BF"/>
    </w:rPr>
  </w:style>
  <w:style w:type="paragraph" w:styleId="ListParagraph">
    <w:name w:val="List Paragraph"/>
    <w:basedOn w:val="Normal"/>
    <w:uiPriority w:val="34"/>
    <w:qFormat/>
    <w:rsid w:val="00B5747A"/>
    <w:pPr>
      <w:ind w:left="720"/>
      <w:contextualSpacing/>
    </w:pPr>
  </w:style>
  <w:style w:type="character" w:styleId="IntenseEmphasis">
    <w:name w:val="Intense Emphasis"/>
    <w:basedOn w:val="DefaultParagraphFont"/>
    <w:uiPriority w:val="21"/>
    <w:qFormat/>
    <w:rsid w:val="00B5747A"/>
    <w:rPr>
      <w:i/>
      <w:iCs/>
      <w:color w:val="0F4761" w:themeColor="accent1" w:themeShade="BF"/>
    </w:rPr>
  </w:style>
  <w:style w:type="paragraph" w:styleId="IntenseQuote">
    <w:name w:val="Intense Quote"/>
    <w:basedOn w:val="Normal"/>
    <w:next w:val="Normal"/>
    <w:link w:val="IntenseQuoteChar"/>
    <w:uiPriority w:val="30"/>
    <w:qFormat/>
    <w:rsid w:val="00B57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47A"/>
    <w:rPr>
      <w:i/>
      <w:iCs/>
      <w:color w:val="0F4761" w:themeColor="accent1" w:themeShade="BF"/>
    </w:rPr>
  </w:style>
  <w:style w:type="character" w:styleId="IntenseReference">
    <w:name w:val="Intense Reference"/>
    <w:basedOn w:val="DefaultParagraphFont"/>
    <w:uiPriority w:val="32"/>
    <w:qFormat/>
    <w:rsid w:val="00B5747A"/>
    <w:rPr>
      <w:b/>
      <w:bCs/>
      <w:smallCaps/>
      <w:color w:val="0F4761" w:themeColor="accent1" w:themeShade="BF"/>
      <w:spacing w:val="5"/>
    </w:rPr>
  </w:style>
  <w:style w:type="paragraph" w:styleId="TOCHeading">
    <w:name w:val="TOC Heading"/>
    <w:basedOn w:val="Heading1"/>
    <w:next w:val="Normal"/>
    <w:uiPriority w:val="39"/>
    <w:unhideWhenUsed/>
    <w:qFormat/>
    <w:rsid w:val="009C522C"/>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9C5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22C"/>
    <w:rPr>
      <w:rFonts w:ascii="Calibri" w:hAnsi="Calibri"/>
      <w:sz w:val="22"/>
      <w:szCs w:val="22"/>
      <w:lang w:val="en-CA"/>
    </w:rPr>
  </w:style>
  <w:style w:type="paragraph" w:styleId="Footer">
    <w:name w:val="footer"/>
    <w:basedOn w:val="Normal"/>
    <w:link w:val="FooterChar"/>
    <w:uiPriority w:val="99"/>
    <w:unhideWhenUsed/>
    <w:rsid w:val="009C5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22C"/>
    <w:rPr>
      <w:rFonts w:ascii="Calibri" w:hAnsi="Calibri"/>
      <w:sz w:val="22"/>
      <w:szCs w:val="22"/>
      <w:lang w:val="en-CA"/>
    </w:rPr>
  </w:style>
  <w:style w:type="paragraph" w:styleId="TOC1">
    <w:name w:val="toc 1"/>
    <w:basedOn w:val="Normal"/>
    <w:next w:val="Normal"/>
    <w:autoRedefine/>
    <w:uiPriority w:val="39"/>
    <w:unhideWhenUsed/>
    <w:rsid w:val="009C522C"/>
    <w:pPr>
      <w:spacing w:after="100"/>
    </w:pPr>
  </w:style>
  <w:style w:type="character" w:styleId="Hyperlink">
    <w:name w:val="Hyperlink"/>
    <w:basedOn w:val="DefaultParagraphFont"/>
    <w:uiPriority w:val="99"/>
    <w:unhideWhenUsed/>
    <w:rsid w:val="009C522C"/>
    <w:rPr>
      <w:color w:val="467886" w:themeColor="hyperlink"/>
      <w:u w:val="single"/>
    </w:rPr>
  </w:style>
  <w:style w:type="table" w:customStyle="1" w:styleId="ListTable41">
    <w:name w:val="List Table 41"/>
    <w:basedOn w:val="TableNormal"/>
    <w:next w:val="ListTable4"/>
    <w:uiPriority w:val="49"/>
    <w:rsid w:val="004C485B"/>
    <w:pPr>
      <w:spacing w:after="0" w:line="240" w:lineRule="auto"/>
    </w:pPr>
    <w:rPr>
      <w:kern w:val="0"/>
      <w:sz w:val="22"/>
      <w:szCs w:val="22"/>
      <w:lang w:val="en-CA"/>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
    <w:name w:val="List Table 4"/>
    <w:basedOn w:val="TableNormal"/>
    <w:uiPriority w:val="49"/>
    <w:rsid w:val="004C48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812C2"/>
    <w:rPr>
      <w:color w:val="605E5C"/>
      <w:shd w:val="clear" w:color="auto" w:fill="E1DFDD"/>
    </w:rPr>
  </w:style>
  <w:style w:type="paragraph" w:styleId="NoSpacing">
    <w:name w:val="No Spacing"/>
    <w:uiPriority w:val="1"/>
    <w:qFormat/>
    <w:rsid w:val="003C5261"/>
    <w:pPr>
      <w:spacing w:after="0" w:line="240" w:lineRule="auto"/>
      <w:jc w:val="both"/>
    </w:pPr>
    <w:rPr>
      <w:rFonts w:ascii="Calibri" w:hAnsi="Calibri"/>
      <w:sz w:val="22"/>
      <w:szCs w:val="22"/>
      <w:lang w:val="en-CA"/>
    </w:rPr>
  </w:style>
  <w:style w:type="table" w:styleId="TableGrid">
    <w:name w:val="Table Grid"/>
    <w:basedOn w:val="TableNormal"/>
    <w:uiPriority w:val="39"/>
    <w:rsid w:val="00630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08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ories.td.com/ca/en/news/2024-10-10-media-advisory---td-bank-group-to-host-a-conference-call-to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ies.td.com/ca/en/news/2024-10-09-td-and-the-vancouver-canucks-team-up-to-offer-exclusive-per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pilot.microsof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a.org/reports/global-ev-outlook-2021" TargetMode="External"/><Relationship Id="rId5" Type="http://schemas.openxmlformats.org/officeDocument/2006/relationships/webSettings" Target="webSettings.xml"/><Relationship Id="rId15" Type="http://schemas.openxmlformats.org/officeDocument/2006/relationships/hyperlink" Target="https://witricity.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ories.td.com/ca/en/news/2024-10-10-td-bank-group-announces-resolution-of-aml-investig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A3EC9-C901-4E80-9944-B4D16173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3851</Words>
  <Characters>21956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Abraham</dc:creator>
  <cp:keywords/>
  <dc:description/>
  <cp:lastModifiedBy>Rama Murthy Varahabhatla Karthik Venkata</cp:lastModifiedBy>
  <cp:revision>3</cp:revision>
  <dcterms:created xsi:type="dcterms:W3CDTF">2024-10-12T02:10:00Z</dcterms:created>
  <dcterms:modified xsi:type="dcterms:W3CDTF">2024-10-12T02:10:00Z</dcterms:modified>
</cp:coreProperties>
</file>