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1F56B" w14:textId="77777777" w:rsidR="005B4DB2" w:rsidRPr="00C912C2" w:rsidRDefault="005B4DB2" w:rsidP="00947AC0">
      <w:pPr>
        <w:spacing w:line="278" w:lineRule="auto"/>
        <w:rPr>
          <w:rFonts w:asciiTheme="minorHAnsi" w:hAnsiTheme="minorHAnsi" w:cstheme="minorHAnsi"/>
        </w:rPr>
      </w:pPr>
    </w:p>
    <w:p w14:paraId="6B610068" w14:textId="01F3EC05" w:rsidR="005B4DB2" w:rsidRPr="00C912C2" w:rsidRDefault="005B4DB2" w:rsidP="00947AC0">
      <w:pPr>
        <w:spacing w:line="278" w:lineRule="auto"/>
        <w:rPr>
          <w:rFonts w:asciiTheme="minorHAnsi" w:hAnsiTheme="minorHAnsi" w:cstheme="minorHAnsi"/>
        </w:rPr>
      </w:pPr>
      <w:r w:rsidRPr="00C912C2">
        <w:rPr>
          <w:rFonts w:asciiTheme="minorHAnsi" w:hAnsiTheme="minorHAnsi" w:cstheme="minorHAnsi"/>
          <w:noProof/>
        </w:rPr>
        <w:drawing>
          <wp:anchor distT="0" distB="0" distL="114300" distR="114300" simplePos="0" relativeHeight="251659264" behindDoc="1" locked="0" layoutInCell="1" allowOverlap="1" wp14:anchorId="6E3C73AF" wp14:editId="4E6B5453">
            <wp:simplePos x="0" y="0"/>
            <wp:positionH relativeFrom="margin">
              <wp:posOffset>738505</wp:posOffset>
            </wp:positionH>
            <wp:positionV relativeFrom="page">
              <wp:posOffset>1509576</wp:posOffset>
            </wp:positionV>
            <wp:extent cx="1049655" cy="1076325"/>
            <wp:effectExtent l="0" t="0" r="0" b="9525"/>
            <wp:wrapThrough wrapText="bothSides">
              <wp:wrapPolygon edited="0">
                <wp:start x="0" y="0"/>
                <wp:lineTo x="0" y="21409"/>
                <wp:lineTo x="21169" y="21409"/>
                <wp:lineTo x="21169" y="0"/>
                <wp:lineTo x="0" y="0"/>
              </wp:wrapPolygon>
            </wp:wrapThrough>
            <wp:docPr id="810524092"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24092" name="Picture 2" descr="A logo for a company&#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064" t="15948" r="16496" b="15944"/>
                    <a:stretch/>
                  </pic:blipFill>
                  <pic:spPr bwMode="auto">
                    <a:xfrm>
                      <a:off x="0" y="0"/>
                      <a:ext cx="1049655" cy="1076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912C2">
        <w:rPr>
          <w:rFonts w:asciiTheme="minorHAnsi" w:hAnsiTheme="minorHAnsi" w:cstheme="minorHAnsi"/>
          <w:noProof/>
        </w:rPr>
        <mc:AlternateContent>
          <mc:Choice Requires="wps">
            <w:drawing>
              <wp:anchor distT="45720" distB="45720" distL="114300" distR="114300" simplePos="0" relativeHeight="251662336" behindDoc="0" locked="0" layoutInCell="1" allowOverlap="1" wp14:anchorId="454C2EE7" wp14:editId="16B0352E">
                <wp:simplePos x="0" y="0"/>
                <wp:positionH relativeFrom="margin">
                  <wp:align>right</wp:align>
                </wp:positionH>
                <wp:positionV relativeFrom="paragraph">
                  <wp:posOffset>542925</wp:posOffset>
                </wp:positionV>
                <wp:extent cx="4133850" cy="1404620"/>
                <wp:effectExtent l="0" t="0" r="0" b="0"/>
                <wp:wrapSquare wrapText="bothSides"/>
                <wp:docPr id="1693928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404620"/>
                        </a:xfrm>
                        <a:prstGeom prst="rect">
                          <a:avLst/>
                        </a:prstGeom>
                        <a:solidFill>
                          <a:srgbClr val="FFFFFF"/>
                        </a:solidFill>
                        <a:ln w="9525">
                          <a:noFill/>
                          <a:miter lim="800000"/>
                          <a:headEnd/>
                          <a:tailEnd/>
                        </a:ln>
                      </wps:spPr>
                      <wps:txbx>
                        <w:txbxContent>
                          <w:p w14:paraId="38E320F2" w14:textId="77777777" w:rsidR="005B4DB2" w:rsidRPr="00F44A63" w:rsidRDefault="005B4DB2" w:rsidP="005B4DB2">
                            <w:pPr>
                              <w:rPr>
                                <w:b/>
                                <w:bCs/>
                                <w:sz w:val="56"/>
                                <w:szCs w:val="56"/>
                                <w:lang w:val="en-US"/>
                              </w:rPr>
                            </w:pPr>
                            <w:r w:rsidRPr="00F44A63">
                              <w:rPr>
                                <w:b/>
                                <w:bCs/>
                                <w:sz w:val="56"/>
                                <w:szCs w:val="56"/>
                                <w:lang w:val="en-US"/>
                              </w:rPr>
                              <w:t>ProcessPro Partners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4C2EE7" id="_x0000_t202" coordsize="21600,21600" o:spt="202" path="m,l,21600r21600,l21600,xe">
                <v:stroke joinstyle="miter"/>
                <v:path gradientshapeok="t" o:connecttype="rect"/>
              </v:shapetype>
              <v:shape id="Text Box 2" o:spid="_x0000_s1026" type="#_x0000_t202" style="position:absolute;left:0;text-align:left;margin-left:274.3pt;margin-top:42.75pt;width:325.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" stroked="f">
                <v:textbox style="mso-fit-shape-to-text:t">
                  <w:txbxContent>
                    <w:p w14:paraId="38E320F2" w14:textId="77777777" w:rsidR="005B4DB2" w:rsidRPr="00F44A63" w:rsidRDefault="005B4DB2" w:rsidP="005B4DB2">
                      <w:pPr>
                        <w:rPr>
                          <w:b/>
                          <w:bCs/>
                          <w:sz w:val="56"/>
                          <w:szCs w:val="56"/>
                          <w:lang w:val="en-US"/>
                        </w:rPr>
                      </w:pPr>
                      <w:r w:rsidRPr="00F44A63">
                        <w:rPr>
                          <w:b/>
                          <w:bCs/>
                          <w:sz w:val="56"/>
                          <w:szCs w:val="56"/>
                          <w:lang w:val="en-US"/>
                        </w:rPr>
                        <w:t>ProcessPro Partners</w:t>
                      </w:r>
                    </w:p>
                  </w:txbxContent>
                </v:textbox>
                <w10:wrap type="square" anchorx="margin"/>
              </v:shape>
            </w:pict>
          </mc:Fallback>
        </mc:AlternateContent>
      </w:r>
    </w:p>
    <w:p w14:paraId="03597D43" w14:textId="77777777" w:rsidR="005B4DB2" w:rsidRPr="00C912C2" w:rsidRDefault="005B4DB2" w:rsidP="00947AC0">
      <w:pPr>
        <w:rPr>
          <w:rFonts w:asciiTheme="minorHAnsi" w:hAnsiTheme="minorHAnsi" w:cstheme="minorHAnsi"/>
          <w:lang w:val="en-US"/>
        </w:rPr>
      </w:pPr>
    </w:p>
    <w:p w14:paraId="1B2720F9" w14:textId="77777777" w:rsidR="005B4DB2" w:rsidRPr="00C912C2" w:rsidRDefault="005B4DB2" w:rsidP="00947AC0">
      <w:pPr>
        <w:rPr>
          <w:rFonts w:asciiTheme="minorHAnsi" w:hAnsiTheme="minorHAnsi" w:cstheme="minorHAnsi"/>
          <w:lang w:val="en-US"/>
        </w:rPr>
      </w:pPr>
    </w:p>
    <w:p w14:paraId="4728BBAF" w14:textId="77777777" w:rsidR="005B4DB2" w:rsidRPr="00C912C2" w:rsidRDefault="005B4DB2" w:rsidP="00947AC0">
      <w:pPr>
        <w:rPr>
          <w:rFonts w:asciiTheme="minorHAnsi" w:hAnsiTheme="minorHAnsi" w:cstheme="minorHAnsi"/>
          <w:lang w:val="en-US"/>
        </w:rPr>
      </w:pPr>
    </w:p>
    <w:p w14:paraId="00B51081" w14:textId="77777777" w:rsidR="005B4DB2" w:rsidRPr="00C912C2" w:rsidRDefault="005B4DB2" w:rsidP="00947AC0">
      <w:pPr>
        <w:rPr>
          <w:rFonts w:asciiTheme="minorHAnsi" w:hAnsiTheme="minorHAnsi" w:cstheme="minorHAnsi"/>
          <w:lang w:val="en-US"/>
        </w:rPr>
      </w:pPr>
    </w:p>
    <w:p w14:paraId="3D46D5DE" w14:textId="77777777" w:rsidR="005B4DB2" w:rsidRPr="00C912C2" w:rsidRDefault="005B4DB2" w:rsidP="00947AC0">
      <w:pPr>
        <w:rPr>
          <w:rFonts w:asciiTheme="minorHAnsi" w:hAnsiTheme="minorHAnsi" w:cstheme="minorHAnsi"/>
          <w:lang w:val="en-US"/>
        </w:rPr>
      </w:pPr>
    </w:p>
    <w:p w14:paraId="6187778B" w14:textId="77777777" w:rsidR="005B4DB2" w:rsidRPr="00C912C2" w:rsidRDefault="005B4DB2" w:rsidP="00947AC0">
      <w:pPr>
        <w:rPr>
          <w:rFonts w:asciiTheme="minorHAnsi" w:hAnsiTheme="minorHAnsi" w:cstheme="minorHAnsi"/>
          <w:lang w:val="en-US"/>
        </w:rPr>
      </w:pPr>
    </w:p>
    <w:p w14:paraId="25020942" w14:textId="77777777" w:rsidR="005B4DB2" w:rsidRPr="00C912C2" w:rsidRDefault="005B4DB2" w:rsidP="00947AC0">
      <w:pPr>
        <w:rPr>
          <w:rFonts w:asciiTheme="minorHAnsi" w:hAnsiTheme="minorHAnsi" w:cstheme="minorHAnsi"/>
          <w:lang w:val="en-US"/>
        </w:rPr>
      </w:pPr>
      <w:r w:rsidRPr="00C912C2">
        <w:rPr>
          <w:rFonts w:asciiTheme="minorHAnsi" w:hAnsiTheme="minorHAnsi" w:cstheme="minorHAnsi"/>
          <w:noProof/>
        </w:rPr>
        <mc:AlternateContent>
          <mc:Choice Requires="wps">
            <w:drawing>
              <wp:anchor distT="45720" distB="45720" distL="114300" distR="114300" simplePos="0" relativeHeight="251664384" behindDoc="0" locked="0" layoutInCell="1" allowOverlap="1" wp14:anchorId="00F4D059" wp14:editId="08929E0B">
                <wp:simplePos x="0" y="0"/>
                <wp:positionH relativeFrom="margin">
                  <wp:posOffset>1600200</wp:posOffset>
                </wp:positionH>
                <wp:positionV relativeFrom="paragraph">
                  <wp:posOffset>111125</wp:posOffset>
                </wp:positionV>
                <wp:extent cx="3520440" cy="1404620"/>
                <wp:effectExtent l="0" t="0" r="3810" b="0"/>
                <wp:wrapSquare wrapText="bothSides"/>
                <wp:docPr id="460713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0440" cy="1404620"/>
                        </a:xfrm>
                        <a:prstGeom prst="rect">
                          <a:avLst/>
                        </a:prstGeom>
                        <a:solidFill>
                          <a:srgbClr val="FFFFFF"/>
                        </a:solidFill>
                        <a:ln w="9525">
                          <a:noFill/>
                          <a:miter lim="800000"/>
                          <a:headEnd/>
                          <a:tailEnd/>
                        </a:ln>
                      </wps:spPr>
                      <wps:txbx>
                        <w:txbxContent>
                          <w:p w14:paraId="7C71E73E" w14:textId="54EB7520" w:rsidR="005B4DB2" w:rsidRPr="00FE108E" w:rsidRDefault="00121DB8" w:rsidP="00121DB8">
                            <w:pPr>
                              <w:ind w:left="1440"/>
                              <w:jc w:val="center"/>
                              <w:rPr>
                                <w:b/>
                                <w:bCs/>
                                <w:sz w:val="48"/>
                                <w:szCs w:val="48"/>
                                <w:lang w:val="en-US"/>
                              </w:rPr>
                            </w:pPr>
                            <w:r w:rsidRPr="00121DB8">
                              <w:rPr>
                                <w:b/>
                                <w:bCs/>
                                <w:noProof/>
                                <w:sz w:val="48"/>
                                <w:szCs w:val="48"/>
                                <w:lang w:val="en-US"/>
                              </w:rPr>
                              <w:drawing>
                                <wp:inline distT="0" distB="0" distL="0" distR="0" wp14:anchorId="66399B72" wp14:editId="759581B6">
                                  <wp:extent cx="3229610" cy="495935"/>
                                  <wp:effectExtent l="0" t="0" r="8890" b="0"/>
                                  <wp:docPr id="779032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9610" cy="49593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4D059" id="_x0000_s1027" type="#_x0000_t202" style="position:absolute;left:0;text-align:left;margin-left:126pt;margin-top:8.75pt;width:277.2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" stroked="f">
                <v:textbox style="mso-fit-shape-to-text:t">
                  <w:txbxContent>
                    <w:p w14:paraId="7C71E73E" w14:textId="54EB7520" w:rsidR="005B4DB2" w:rsidRPr="00FE108E" w:rsidRDefault="00121DB8" w:rsidP="00121DB8">
                      <w:pPr>
                        <w:ind w:left="1440"/>
                        <w:jc w:val="center"/>
                        <w:rPr>
                          <w:b/>
                          <w:bCs/>
                          <w:sz w:val="48"/>
                          <w:szCs w:val="48"/>
                          <w:lang w:val="en-US"/>
                        </w:rPr>
                      </w:pPr>
                      <w:r w:rsidRPr="00121DB8">
                        <w:rPr>
                          <w:b/>
                          <w:bCs/>
                          <w:noProof/>
                          <w:sz w:val="48"/>
                          <w:szCs w:val="48"/>
                          <w:lang w:val="en-US"/>
                        </w:rPr>
                        <w:drawing>
                          <wp:inline distT="0" distB="0" distL="0" distR="0" wp14:anchorId="66399B72" wp14:editId="759581B6">
                            <wp:extent cx="3229610" cy="495935"/>
                            <wp:effectExtent l="0" t="0" r="8890" b="0"/>
                            <wp:docPr id="779032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9610" cy="495935"/>
                                    </a:xfrm>
                                    <a:prstGeom prst="rect">
                                      <a:avLst/>
                                    </a:prstGeom>
                                    <a:noFill/>
                                    <a:ln>
                                      <a:noFill/>
                                    </a:ln>
                                  </pic:spPr>
                                </pic:pic>
                              </a:graphicData>
                            </a:graphic>
                          </wp:inline>
                        </w:drawing>
                      </w:r>
                    </w:p>
                  </w:txbxContent>
                </v:textbox>
                <w10:wrap type="square" anchorx="margin"/>
              </v:shape>
            </w:pict>
          </mc:Fallback>
        </mc:AlternateContent>
      </w:r>
    </w:p>
    <w:p w14:paraId="5A29E2D2" w14:textId="05A0553B" w:rsidR="005B4DB2" w:rsidRPr="00C912C2" w:rsidRDefault="005B4DB2" w:rsidP="00947AC0">
      <w:pPr>
        <w:rPr>
          <w:rFonts w:asciiTheme="minorHAnsi" w:hAnsiTheme="minorHAnsi" w:cstheme="minorHAnsi"/>
          <w:lang w:val="en-US"/>
        </w:rPr>
      </w:pPr>
    </w:p>
    <w:p w14:paraId="13EF74D3" w14:textId="77777777" w:rsidR="005B4DB2" w:rsidRPr="00C912C2" w:rsidRDefault="005B4DB2" w:rsidP="00947AC0">
      <w:pPr>
        <w:rPr>
          <w:rFonts w:asciiTheme="minorHAnsi" w:hAnsiTheme="minorHAnsi" w:cstheme="minorHAnsi"/>
          <w:lang w:val="en-US"/>
        </w:rPr>
      </w:pPr>
    </w:p>
    <w:p w14:paraId="646170A8" w14:textId="77777777" w:rsidR="005B4DB2" w:rsidRPr="00C912C2" w:rsidRDefault="005B4DB2" w:rsidP="00947AC0">
      <w:pPr>
        <w:rPr>
          <w:rFonts w:asciiTheme="minorHAnsi" w:hAnsiTheme="minorHAnsi" w:cstheme="minorHAnsi"/>
          <w:lang w:val="en-US"/>
        </w:rPr>
      </w:pPr>
    </w:p>
    <w:p w14:paraId="092BCB1B" w14:textId="77777777" w:rsidR="005B4DB2" w:rsidRPr="00C912C2" w:rsidRDefault="005B4DB2" w:rsidP="00947AC0">
      <w:pPr>
        <w:rPr>
          <w:rFonts w:asciiTheme="minorHAnsi" w:hAnsiTheme="minorHAnsi" w:cstheme="minorHAnsi"/>
          <w:lang w:val="en-US"/>
        </w:rPr>
      </w:pPr>
    </w:p>
    <w:p w14:paraId="701B77C3" w14:textId="17355F74" w:rsidR="005B4DB2" w:rsidRPr="00C912C2" w:rsidRDefault="00121DB8" w:rsidP="00947AC0">
      <w:pPr>
        <w:rPr>
          <w:rFonts w:asciiTheme="minorHAnsi" w:hAnsiTheme="minorHAnsi" w:cstheme="minorHAnsi"/>
          <w:lang w:val="en-US"/>
        </w:rPr>
      </w:pPr>
      <w:r w:rsidRPr="00C912C2">
        <w:rPr>
          <w:rFonts w:asciiTheme="minorHAnsi" w:hAnsiTheme="minorHAnsi" w:cstheme="minorHAnsi"/>
          <w:noProof/>
        </w:rPr>
        <w:drawing>
          <wp:anchor distT="0" distB="0" distL="114300" distR="114300" simplePos="0" relativeHeight="251660288" behindDoc="0" locked="0" layoutInCell="1" allowOverlap="1" wp14:anchorId="05D8F92F" wp14:editId="11075FE0">
            <wp:simplePos x="0" y="0"/>
            <wp:positionH relativeFrom="column">
              <wp:posOffset>1339215</wp:posOffset>
            </wp:positionH>
            <wp:positionV relativeFrom="page">
              <wp:posOffset>4754880</wp:posOffset>
            </wp:positionV>
            <wp:extent cx="485775" cy="434340"/>
            <wp:effectExtent l="0" t="0" r="9525" b="3810"/>
            <wp:wrapSquare wrapText="bothSides"/>
            <wp:docPr id="1942646568" name="Picture 4"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46568" name="Picture 4" descr="A green and white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775" cy="434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12C2">
        <w:rPr>
          <w:rFonts w:asciiTheme="minorHAnsi" w:hAnsiTheme="minorHAnsi" w:cstheme="minorHAnsi"/>
          <w:noProof/>
        </w:rPr>
        <mc:AlternateContent>
          <mc:Choice Requires="wps">
            <w:drawing>
              <wp:anchor distT="45720" distB="45720" distL="114300" distR="114300" simplePos="0" relativeHeight="251661312" behindDoc="0" locked="0" layoutInCell="1" allowOverlap="1" wp14:anchorId="3ECC45A0" wp14:editId="43EEE85C">
                <wp:simplePos x="0" y="0"/>
                <wp:positionH relativeFrom="margin">
                  <wp:posOffset>1848485</wp:posOffset>
                </wp:positionH>
                <wp:positionV relativeFrom="paragraph">
                  <wp:posOffset>51435</wp:posOffset>
                </wp:positionV>
                <wp:extent cx="374142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404620"/>
                        </a:xfrm>
                        <a:prstGeom prst="rect">
                          <a:avLst/>
                        </a:prstGeom>
                        <a:solidFill>
                          <a:srgbClr val="FFFFFF"/>
                        </a:solidFill>
                        <a:ln w="9525">
                          <a:noFill/>
                          <a:miter lim="800000"/>
                          <a:headEnd/>
                          <a:tailEnd/>
                        </a:ln>
                      </wps:spPr>
                      <wps:txbx>
                        <w:txbxContent>
                          <w:p w14:paraId="24E3882C" w14:textId="77777777" w:rsidR="005B4DB2" w:rsidRPr="00885742" w:rsidRDefault="005B4DB2" w:rsidP="005B4DB2">
                            <w:pPr>
                              <w:rPr>
                                <w:rFonts w:cs="Calibri"/>
                                <w:b/>
                                <w:sz w:val="44"/>
                                <w:szCs w:val="44"/>
                              </w:rPr>
                            </w:pPr>
                            <w:r w:rsidRPr="00885742">
                              <w:rPr>
                                <w:rFonts w:cs="Calibri"/>
                                <w:b/>
                                <w:sz w:val="44"/>
                                <w:szCs w:val="44"/>
                              </w:rPr>
                              <w:t>Toronto Dominion Bank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C45A0" id="_x0000_s1028" type="#_x0000_t202" style="position:absolute;left:0;text-align:left;margin-left:145.55pt;margin-top:4.05pt;width:294.6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" stroked="f">
                <v:textbox style="mso-fit-shape-to-text:t">
                  <w:txbxContent>
                    <w:p w14:paraId="24E3882C" w14:textId="77777777" w:rsidR="005B4DB2" w:rsidRPr="00885742" w:rsidRDefault="005B4DB2" w:rsidP="005B4DB2">
                      <w:pPr>
                        <w:rPr>
                          <w:rFonts w:cs="Calibri"/>
                          <w:b/>
                          <w:sz w:val="44"/>
                          <w:szCs w:val="44"/>
                        </w:rPr>
                      </w:pPr>
                      <w:r w:rsidRPr="00885742">
                        <w:rPr>
                          <w:rFonts w:cs="Calibri"/>
                          <w:b/>
                          <w:sz w:val="44"/>
                          <w:szCs w:val="44"/>
                        </w:rPr>
                        <w:t>Toronto Dominion Bank</w:t>
                      </w:r>
                    </w:p>
                  </w:txbxContent>
                </v:textbox>
                <w10:wrap type="square" anchorx="margin"/>
              </v:shape>
            </w:pict>
          </mc:Fallback>
        </mc:AlternateContent>
      </w:r>
    </w:p>
    <w:p w14:paraId="68CE7371" w14:textId="77777777" w:rsidR="005B4DB2" w:rsidRPr="00C912C2" w:rsidRDefault="005B4DB2" w:rsidP="00947AC0">
      <w:pPr>
        <w:rPr>
          <w:rFonts w:asciiTheme="minorHAnsi" w:hAnsiTheme="minorHAnsi" w:cstheme="minorHAnsi"/>
          <w:lang w:val="en-US"/>
        </w:rPr>
      </w:pPr>
    </w:p>
    <w:p w14:paraId="532F9CC7" w14:textId="77777777" w:rsidR="005B4DB2" w:rsidRPr="00C912C2" w:rsidRDefault="005B4DB2" w:rsidP="00947AC0">
      <w:pPr>
        <w:rPr>
          <w:rFonts w:asciiTheme="minorHAnsi" w:hAnsiTheme="minorHAnsi" w:cstheme="minorHAnsi"/>
          <w:lang w:val="en-US"/>
        </w:rPr>
      </w:pPr>
    </w:p>
    <w:p w14:paraId="649E5941" w14:textId="5314D04C" w:rsidR="005B4DB2" w:rsidRPr="00C912C2" w:rsidRDefault="005B4DB2" w:rsidP="00947AC0">
      <w:pPr>
        <w:rPr>
          <w:rFonts w:asciiTheme="minorHAnsi" w:hAnsiTheme="minorHAnsi" w:cstheme="minorHAnsi"/>
          <w:lang w:val="en-US"/>
        </w:rPr>
      </w:pPr>
    </w:p>
    <w:p w14:paraId="29D30016" w14:textId="0F29E7D5" w:rsidR="005B4DB2" w:rsidRPr="00C912C2" w:rsidRDefault="00121DB8" w:rsidP="00947AC0">
      <w:pPr>
        <w:rPr>
          <w:rFonts w:asciiTheme="minorHAnsi" w:hAnsiTheme="minorHAnsi" w:cstheme="minorHAnsi"/>
          <w:lang w:val="en-US"/>
        </w:rPr>
      </w:pPr>
      <w:r w:rsidRPr="00C912C2">
        <w:rPr>
          <w:rFonts w:asciiTheme="minorHAnsi" w:hAnsiTheme="minorHAnsi" w:cstheme="minorHAnsi"/>
          <w:noProof/>
        </w:rPr>
        <mc:AlternateContent>
          <mc:Choice Requires="wps">
            <w:drawing>
              <wp:anchor distT="45720" distB="45720" distL="114300" distR="114300" simplePos="0" relativeHeight="251663360" behindDoc="0" locked="0" layoutInCell="1" allowOverlap="1" wp14:anchorId="23BC8EFE" wp14:editId="395803D2">
                <wp:simplePos x="0" y="0"/>
                <wp:positionH relativeFrom="margin">
                  <wp:posOffset>1424940</wp:posOffset>
                </wp:positionH>
                <wp:positionV relativeFrom="paragraph">
                  <wp:posOffset>12700</wp:posOffset>
                </wp:positionV>
                <wp:extent cx="3421380" cy="1404620"/>
                <wp:effectExtent l="0" t="0" r="7620" b="0"/>
                <wp:wrapSquare wrapText="bothSides"/>
                <wp:docPr id="1982777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1404620"/>
                        </a:xfrm>
                        <a:prstGeom prst="rect">
                          <a:avLst/>
                        </a:prstGeom>
                        <a:solidFill>
                          <a:srgbClr val="FFFFFF"/>
                        </a:solidFill>
                        <a:ln w="9525">
                          <a:noFill/>
                          <a:miter lim="800000"/>
                          <a:headEnd/>
                          <a:tailEnd/>
                        </a:ln>
                      </wps:spPr>
                      <wps:txbx>
                        <w:txbxContent>
                          <w:p w14:paraId="7D4DCEA8" w14:textId="4E6064B6" w:rsidR="005B4DB2" w:rsidRPr="00CF726C" w:rsidRDefault="005B4DB2" w:rsidP="005B4DB2">
                            <w:pPr>
                              <w:jc w:val="center"/>
                              <w:rPr>
                                <w:b/>
                                <w:bCs/>
                                <w:sz w:val="32"/>
                                <w:szCs w:val="32"/>
                                <w:lang w:val="en-US"/>
                              </w:rPr>
                            </w:pPr>
                            <w:r w:rsidRPr="00CF726C">
                              <w:rPr>
                                <w:b/>
                                <w:bCs/>
                                <w:sz w:val="32"/>
                                <w:szCs w:val="32"/>
                                <w:lang w:val="en-US"/>
                              </w:rPr>
                              <w:t>4</w:t>
                            </w:r>
                            <w:r w:rsidRPr="00CF726C">
                              <w:rPr>
                                <w:b/>
                                <w:bCs/>
                                <w:sz w:val="32"/>
                                <w:szCs w:val="32"/>
                                <w:vertAlign w:val="superscript"/>
                                <w:lang w:val="en-US"/>
                              </w:rPr>
                              <w:t xml:space="preserve">th </w:t>
                            </w:r>
                            <w:r w:rsidRPr="00CF726C">
                              <w:rPr>
                                <w:b/>
                                <w:bCs/>
                                <w:sz w:val="32"/>
                                <w:szCs w:val="32"/>
                                <w:lang w:val="en-US"/>
                              </w:rPr>
                              <w:t>October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C8EFE" id="_x0000_s1029" type="#_x0000_t202" style="position:absolute;left:0;text-align:left;margin-left:112.2pt;margin-top:1pt;width:269.4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" stroked="f">
                <v:textbox style="mso-fit-shape-to-text:t">
                  <w:txbxContent>
                    <w:p w14:paraId="7D4DCEA8" w14:textId="4E6064B6" w:rsidR="005B4DB2" w:rsidRPr="00CF726C" w:rsidRDefault="005B4DB2" w:rsidP="005B4DB2">
                      <w:pPr>
                        <w:jc w:val="center"/>
                        <w:rPr>
                          <w:b/>
                          <w:bCs/>
                          <w:sz w:val="32"/>
                          <w:szCs w:val="32"/>
                          <w:lang w:val="en-US"/>
                        </w:rPr>
                      </w:pPr>
                      <w:r w:rsidRPr="00CF726C">
                        <w:rPr>
                          <w:b/>
                          <w:bCs/>
                          <w:sz w:val="32"/>
                          <w:szCs w:val="32"/>
                          <w:lang w:val="en-US"/>
                        </w:rPr>
                        <w:t>4</w:t>
                      </w:r>
                      <w:r w:rsidRPr="00CF726C">
                        <w:rPr>
                          <w:b/>
                          <w:bCs/>
                          <w:sz w:val="32"/>
                          <w:szCs w:val="32"/>
                          <w:vertAlign w:val="superscript"/>
                          <w:lang w:val="en-US"/>
                        </w:rPr>
                        <w:t xml:space="preserve">th </w:t>
                      </w:r>
                      <w:r w:rsidRPr="00CF726C">
                        <w:rPr>
                          <w:b/>
                          <w:bCs/>
                          <w:sz w:val="32"/>
                          <w:szCs w:val="32"/>
                          <w:lang w:val="en-US"/>
                        </w:rPr>
                        <w:t>October 2024</w:t>
                      </w:r>
                    </w:p>
                  </w:txbxContent>
                </v:textbox>
                <w10:wrap type="square" anchorx="margin"/>
              </v:shape>
            </w:pict>
          </mc:Fallback>
        </mc:AlternateContent>
      </w:r>
    </w:p>
    <w:p w14:paraId="1EB70DEE" w14:textId="323B114E" w:rsidR="005B4DB2" w:rsidRPr="00C912C2" w:rsidRDefault="005B4DB2" w:rsidP="00947AC0">
      <w:pPr>
        <w:rPr>
          <w:rFonts w:asciiTheme="minorHAnsi" w:hAnsiTheme="minorHAnsi" w:cstheme="minorHAnsi"/>
          <w:lang w:val="en-US"/>
        </w:rPr>
      </w:pPr>
    </w:p>
    <w:p w14:paraId="6F9E374E" w14:textId="022F5425" w:rsidR="005B4DB2" w:rsidRPr="00C912C2" w:rsidRDefault="005B4DB2" w:rsidP="00947AC0">
      <w:pPr>
        <w:rPr>
          <w:rFonts w:asciiTheme="minorHAnsi" w:hAnsiTheme="minorHAnsi" w:cstheme="minorHAnsi"/>
          <w:lang w:val="en-US"/>
        </w:rPr>
      </w:pPr>
    </w:p>
    <w:p w14:paraId="119A70CA" w14:textId="6CBBBBB9" w:rsidR="005B4DB2" w:rsidRPr="00C912C2" w:rsidRDefault="00121DB8" w:rsidP="00947AC0">
      <w:pPr>
        <w:spacing w:line="256" w:lineRule="auto"/>
        <w:ind w:left="2880"/>
        <w:rPr>
          <w:rFonts w:asciiTheme="minorHAnsi" w:eastAsia="Aptos" w:hAnsiTheme="minorHAnsi" w:cstheme="minorHAnsi"/>
          <w:b/>
          <w:color w:val="000000" w:themeColor="dark1"/>
          <w:sz w:val="28"/>
          <w:szCs w:val="28"/>
        </w:rPr>
      </w:pPr>
      <w:r w:rsidRPr="00C912C2">
        <w:rPr>
          <w:rFonts w:asciiTheme="minorHAnsi" w:hAnsiTheme="minorHAnsi" w:cstheme="minorHAnsi"/>
          <w:noProof/>
        </w:rPr>
        <mc:AlternateContent>
          <mc:Choice Requires="wps">
            <w:drawing>
              <wp:anchor distT="45720" distB="45720" distL="114300" distR="114300" simplePos="0" relativeHeight="251666432" behindDoc="0" locked="0" layoutInCell="1" allowOverlap="1" wp14:anchorId="06B99264" wp14:editId="5E93D666">
                <wp:simplePos x="0" y="0"/>
                <wp:positionH relativeFrom="margin">
                  <wp:posOffset>1066800</wp:posOffset>
                </wp:positionH>
                <wp:positionV relativeFrom="paragraph">
                  <wp:posOffset>26035</wp:posOffset>
                </wp:positionV>
                <wp:extent cx="4394200" cy="2336800"/>
                <wp:effectExtent l="0" t="0" r="6350" b="6350"/>
                <wp:wrapSquare wrapText="bothSides"/>
                <wp:docPr id="473927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0" cy="2336800"/>
                        </a:xfrm>
                        <a:prstGeom prst="rect">
                          <a:avLst/>
                        </a:prstGeom>
                        <a:solidFill>
                          <a:srgbClr val="FFFFFF"/>
                        </a:solidFill>
                        <a:ln w="9525">
                          <a:noFill/>
                          <a:miter lim="800000"/>
                          <a:headEnd/>
                          <a:tailEnd/>
                        </a:ln>
                      </wps:spPr>
                      <wps:txbx>
                        <w:txbxContent>
                          <w:p w14:paraId="00E5B5ED" w14:textId="77777777" w:rsidR="00121DB8" w:rsidRPr="002A2FA8" w:rsidRDefault="00121DB8" w:rsidP="00121DB8">
                            <w:pPr>
                              <w:spacing w:line="256" w:lineRule="auto"/>
                              <w:ind w:left="720"/>
                              <w:rPr>
                                <w:rFonts w:eastAsia="Aptos" w:cs="Calibri"/>
                                <w:b/>
                                <w:color w:val="000000" w:themeColor="dark1"/>
                                <w:kern w:val="0"/>
                                <w:sz w:val="28"/>
                                <w:szCs w:val="28"/>
                                <w14:ligatures w14:val="none"/>
                              </w:rPr>
                            </w:pPr>
                            <w:r w:rsidRPr="002A2FA8">
                              <w:rPr>
                                <w:rFonts w:eastAsia="Aptos" w:cs="Calibri"/>
                                <w:b/>
                                <w:color w:val="000000" w:themeColor="dark1"/>
                                <w:sz w:val="28"/>
                                <w:szCs w:val="28"/>
                              </w:rPr>
                              <w:t xml:space="preserve">Arora, Prachi – Project </w:t>
                            </w:r>
                            <w:r w:rsidRPr="002A2FA8">
                              <w:rPr>
                                <w:rFonts w:cs="Calibri"/>
                                <w:b/>
                                <w:color w:val="000000" w:themeColor="dark1"/>
                                <w:sz w:val="28"/>
                                <w:szCs w:val="28"/>
                              </w:rPr>
                              <w:t>M</w:t>
                            </w:r>
                            <w:r w:rsidRPr="002A2FA8">
                              <w:rPr>
                                <w:rFonts w:eastAsia="Aptos" w:cs="Calibri"/>
                                <w:b/>
                                <w:color w:val="000000" w:themeColor="dark1"/>
                                <w:sz w:val="28"/>
                                <w:szCs w:val="28"/>
                              </w:rPr>
                              <w:t>anager</w:t>
                            </w:r>
                          </w:p>
                          <w:p w14:paraId="0780E4CC" w14:textId="77777777" w:rsidR="00121DB8" w:rsidRPr="002A2FA8" w:rsidRDefault="00121DB8" w:rsidP="00121DB8">
                            <w:pPr>
                              <w:spacing w:line="256" w:lineRule="auto"/>
                              <w:ind w:left="720"/>
                              <w:rPr>
                                <w:rFonts w:eastAsia="Aptos" w:cs="Calibri"/>
                                <w:b/>
                                <w:color w:val="000000" w:themeColor="dark1"/>
                                <w:sz w:val="28"/>
                                <w:szCs w:val="28"/>
                              </w:rPr>
                            </w:pPr>
                            <w:r w:rsidRPr="002A2FA8">
                              <w:rPr>
                                <w:rFonts w:eastAsia="Aptos" w:cs="Calibri"/>
                                <w:b/>
                                <w:color w:val="000000" w:themeColor="dark1"/>
                                <w:sz w:val="28"/>
                                <w:szCs w:val="28"/>
                              </w:rPr>
                              <w:t>Abraham, Sruthi – Team Lead</w:t>
                            </w:r>
                          </w:p>
                          <w:p w14:paraId="76D61337" w14:textId="77777777" w:rsidR="00121DB8" w:rsidRPr="002A2FA8" w:rsidRDefault="00121DB8" w:rsidP="00121DB8">
                            <w:pPr>
                              <w:spacing w:line="256" w:lineRule="auto"/>
                              <w:ind w:left="720"/>
                              <w:rPr>
                                <w:rFonts w:eastAsia="Aptos" w:cs="Calibri"/>
                                <w:b/>
                                <w:color w:val="000000" w:themeColor="dark1"/>
                                <w:sz w:val="28"/>
                                <w:szCs w:val="28"/>
                              </w:rPr>
                            </w:pPr>
                            <w:r w:rsidRPr="002A2FA8">
                              <w:rPr>
                                <w:rFonts w:eastAsia="Aptos" w:cs="Calibri"/>
                                <w:b/>
                                <w:color w:val="000000" w:themeColor="dark1"/>
                                <w:sz w:val="28"/>
                                <w:szCs w:val="28"/>
                              </w:rPr>
                              <w:t>Patel, Rutvi Manishbhai – Business Analyst</w:t>
                            </w:r>
                          </w:p>
                          <w:p w14:paraId="0DAC17A9" w14:textId="77777777" w:rsidR="00121DB8" w:rsidRPr="002A2FA8" w:rsidRDefault="00121DB8" w:rsidP="00121DB8">
                            <w:pPr>
                              <w:spacing w:line="256" w:lineRule="auto"/>
                              <w:ind w:left="720"/>
                              <w:rPr>
                                <w:rFonts w:eastAsia="Aptos" w:cs="Calibri"/>
                                <w:b/>
                                <w:color w:val="000000" w:themeColor="dark1"/>
                                <w:sz w:val="28"/>
                                <w:szCs w:val="28"/>
                              </w:rPr>
                            </w:pPr>
                            <w:r w:rsidRPr="002A2FA8">
                              <w:rPr>
                                <w:rFonts w:eastAsia="Aptos" w:cs="Calibri"/>
                                <w:b/>
                                <w:color w:val="000000" w:themeColor="dark1"/>
                                <w:sz w:val="28"/>
                                <w:szCs w:val="28"/>
                              </w:rPr>
                              <w:t>Sandra Marya, Sandra Marya – Business Analyst</w:t>
                            </w:r>
                          </w:p>
                          <w:p w14:paraId="1E147534" w14:textId="77777777" w:rsidR="00121DB8" w:rsidRDefault="00121DB8" w:rsidP="00121DB8">
                            <w:pPr>
                              <w:spacing w:line="256" w:lineRule="auto"/>
                              <w:ind w:left="720"/>
                              <w:rPr>
                                <w:rFonts w:eastAsia="Aptos" w:cs="Calibri"/>
                                <w:b/>
                                <w:color w:val="000000" w:themeColor="dark1"/>
                                <w:sz w:val="28"/>
                                <w:szCs w:val="28"/>
                              </w:rPr>
                            </w:pPr>
                            <w:r w:rsidRPr="002A2FA8">
                              <w:rPr>
                                <w:rFonts w:eastAsia="Aptos" w:cs="Calibri"/>
                                <w:b/>
                                <w:color w:val="000000" w:themeColor="dark1"/>
                                <w:sz w:val="28"/>
                                <w:szCs w:val="28"/>
                              </w:rPr>
                              <w:t>Varahabhatla Karthik Venkata, Rama Murthy – Business Analyst</w:t>
                            </w:r>
                          </w:p>
                          <w:p w14:paraId="239F8B51" w14:textId="2198E068" w:rsidR="00121DB8" w:rsidRPr="00885742" w:rsidRDefault="00121DB8" w:rsidP="00121DB8">
                            <w:pPr>
                              <w:rPr>
                                <w:rFonts w:cs="Calibri"/>
                                <w:b/>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99264" id="_x0000_s1030" type="#_x0000_t202" style="position:absolute;left:0;text-align:left;margin-left:84pt;margin-top:2.05pt;width:346pt;height:18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" stroked="f">
                <v:textbox>
                  <w:txbxContent>
                    <w:p w14:paraId="00E5B5ED" w14:textId="77777777" w:rsidR="00121DB8" w:rsidRPr="002A2FA8" w:rsidRDefault="00121DB8" w:rsidP="00121DB8">
                      <w:pPr>
                        <w:spacing w:line="256" w:lineRule="auto"/>
                        <w:ind w:left="720"/>
                        <w:rPr>
                          <w:rFonts w:eastAsia="Aptos" w:cs="Calibri"/>
                          <w:b/>
                          <w:color w:val="000000" w:themeColor="dark1"/>
                          <w:kern w:val="0"/>
                          <w:sz w:val="28"/>
                          <w:szCs w:val="28"/>
                          <w14:ligatures w14:val="none"/>
                        </w:rPr>
                      </w:pPr>
                      <w:r w:rsidRPr="002A2FA8">
                        <w:rPr>
                          <w:rFonts w:eastAsia="Aptos" w:cs="Calibri"/>
                          <w:b/>
                          <w:color w:val="000000" w:themeColor="dark1"/>
                          <w:sz w:val="28"/>
                          <w:szCs w:val="28"/>
                        </w:rPr>
                        <w:t xml:space="preserve">Arora, Prachi – Project </w:t>
                      </w:r>
                      <w:r w:rsidRPr="002A2FA8">
                        <w:rPr>
                          <w:rFonts w:cs="Calibri"/>
                          <w:b/>
                          <w:color w:val="000000" w:themeColor="dark1"/>
                          <w:sz w:val="28"/>
                          <w:szCs w:val="28"/>
                        </w:rPr>
                        <w:t>M</w:t>
                      </w:r>
                      <w:r w:rsidRPr="002A2FA8">
                        <w:rPr>
                          <w:rFonts w:eastAsia="Aptos" w:cs="Calibri"/>
                          <w:b/>
                          <w:color w:val="000000" w:themeColor="dark1"/>
                          <w:sz w:val="28"/>
                          <w:szCs w:val="28"/>
                        </w:rPr>
                        <w:t>anager</w:t>
                      </w:r>
                    </w:p>
                    <w:p w14:paraId="0780E4CC" w14:textId="77777777" w:rsidR="00121DB8" w:rsidRPr="002A2FA8" w:rsidRDefault="00121DB8" w:rsidP="00121DB8">
                      <w:pPr>
                        <w:spacing w:line="256" w:lineRule="auto"/>
                        <w:ind w:left="720"/>
                        <w:rPr>
                          <w:rFonts w:eastAsia="Aptos" w:cs="Calibri"/>
                          <w:b/>
                          <w:color w:val="000000" w:themeColor="dark1"/>
                          <w:sz w:val="28"/>
                          <w:szCs w:val="28"/>
                        </w:rPr>
                      </w:pPr>
                      <w:r w:rsidRPr="002A2FA8">
                        <w:rPr>
                          <w:rFonts w:eastAsia="Aptos" w:cs="Calibri"/>
                          <w:b/>
                          <w:color w:val="000000" w:themeColor="dark1"/>
                          <w:sz w:val="28"/>
                          <w:szCs w:val="28"/>
                        </w:rPr>
                        <w:t>Abraham, Sruthi – Team Lead</w:t>
                      </w:r>
                    </w:p>
                    <w:p w14:paraId="76D61337" w14:textId="77777777" w:rsidR="00121DB8" w:rsidRPr="002A2FA8" w:rsidRDefault="00121DB8" w:rsidP="00121DB8">
                      <w:pPr>
                        <w:spacing w:line="256" w:lineRule="auto"/>
                        <w:ind w:left="720"/>
                        <w:rPr>
                          <w:rFonts w:eastAsia="Aptos" w:cs="Calibri"/>
                          <w:b/>
                          <w:color w:val="000000" w:themeColor="dark1"/>
                          <w:sz w:val="28"/>
                          <w:szCs w:val="28"/>
                        </w:rPr>
                      </w:pPr>
                      <w:r w:rsidRPr="002A2FA8">
                        <w:rPr>
                          <w:rFonts w:eastAsia="Aptos" w:cs="Calibri"/>
                          <w:b/>
                          <w:color w:val="000000" w:themeColor="dark1"/>
                          <w:sz w:val="28"/>
                          <w:szCs w:val="28"/>
                        </w:rPr>
                        <w:t>Patel, Rutvi Manishbhai – Business Analyst</w:t>
                      </w:r>
                    </w:p>
                    <w:p w14:paraId="0DAC17A9" w14:textId="77777777" w:rsidR="00121DB8" w:rsidRPr="002A2FA8" w:rsidRDefault="00121DB8" w:rsidP="00121DB8">
                      <w:pPr>
                        <w:spacing w:line="256" w:lineRule="auto"/>
                        <w:ind w:left="720"/>
                        <w:rPr>
                          <w:rFonts w:eastAsia="Aptos" w:cs="Calibri"/>
                          <w:b/>
                          <w:color w:val="000000" w:themeColor="dark1"/>
                          <w:sz w:val="28"/>
                          <w:szCs w:val="28"/>
                        </w:rPr>
                      </w:pPr>
                      <w:r w:rsidRPr="002A2FA8">
                        <w:rPr>
                          <w:rFonts w:eastAsia="Aptos" w:cs="Calibri"/>
                          <w:b/>
                          <w:color w:val="000000" w:themeColor="dark1"/>
                          <w:sz w:val="28"/>
                          <w:szCs w:val="28"/>
                        </w:rPr>
                        <w:t>Sandra Marya, Sandra Marya – Business Analyst</w:t>
                      </w:r>
                    </w:p>
                    <w:p w14:paraId="1E147534" w14:textId="77777777" w:rsidR="00121DB8" w:rsidRDefault="00121DB8" w:rsidP="00121DB8">
                      <w:pPr>
                        <w:spacing w:line="256" w:lineRule="auto"/>
                        <w:ind w:left="720"/>
                        <w:rPr>
                          <w:rFonts w:eastAsia="Aptos" w:cs="Calibri"/>
                          <w:b/>
                          <w:color w:val="000000" w:themeColor="dark1"/>
                          <w:sz w:val="28"/>
                          <w:szCs w:val="28"/>
                        </w:rPr>
                      </w:pPr>
                      <w:r w:rsidRPr="002A2FA8">
                        <w:rPr>
                          <w:rFonts w:eastAsia="Aptos" w:cs="Calibri"/>
                          <w:b/>
                          <w:color w:val="000000" w:themeColor="dark1"/>
                          <w:sz w:val="28"/>
                          <w:szCs w:val="28"/>
                        </w:rPr>
                        <w:t>Varahabhatla Karthik Venkata, Rama Murthy – Business Analyst</w:t>
                      </w:r>
                    </w:p>
                    <w:p w14:paraId="239F8B51" w14:textId="2198E068" w:rsidR="00121DB8" w:rsidRPr="00885742" w:rsidRDefault="00121DB8" w:rsidP="00121DB8">
                      <w:pPr>
                        <w:rPr>
                          <w:rFonts w:cs="Calibri"/>
                          <w:b/>
                          <w:sz w:val="44"/>
                          <w:szCs w:val="44"/>
                        </w:rPr>
                      </w:pPr>
                    </w:p>
                  </w:txbxContent>
                </v:textbox>
                <w10:wrap type="square" anchorx="margin"/>
              </v:shape>
            </w:pict>
          </mc:Fallback>
        </mc:AlternateContent>
      </w:r>
    </w:p>
    <w:p w14:paraId="7D7249A4" w14:textId="12934D18" w:rsidR="00121DB8" w:rsidRPr="00C912C2" w:rsidRDefault="00121DB8" w:rsidP="00947AC0">
      <w:pPr>
        <w:spacing w:line="256" w:lineRule="auto"/>
        <w:ind w:left="2880"/>
        <w:rPr>
          <w:rFonts w:asciiTheme="minorHAnsi" w:eastAsia="Aptos" w:hAnsiTheme="minorHAnsi" w:cstheme="minorHAnsi"/>
          <w:b/>
          <w:color w:val="000000" w:themeColor="dark1"/>
          <w:sz w:val="28"/>
          <w:szCs w:val="28"/>
        </w:rPr>
      </w:pPr>
    </w:p>
    <w:p w14:paraId="61438267" w14:textId="3A37655A" w:rsidR="00121DB8" w:rsidRPr="00C912C2" w:rsidRDefault="00121DB8" w:rsidP="00947AC0">
      <w:pPr>
        <w:spacing w:line="256" w:lineRule="auto"/>
        <w:ind w:left="2880"/>
        <w:rPr>
          <w:rFonts w:asciiTheme="minorHAnsi" w:eastAsia="Aptos" w:hAnsiTheme="minorHAnsi" w:cstheme="minorHAnsi"/>
          <w:b/>
          <w:color w:val="000000" w:themeColor="dark1"/>
          <w:sz w:val="28"/>
          <w:szCs w:val="28"/>
        </w:rPr>
      </w:pPr>
    </w:p>
    <w:p w14:paraId="5B286165" w14:textId="3B277056" w:rsidR="00121DB8" w:rsidRPr="00C912C2" w:rsidRDefault="00121DB8" w:rsidP="00947AC0">
      <w:pPr>
        <w:spacing w:line="256" w:lineRule="auto"/>
        <w:ind w:left="2880"/>
        <w:rPr>
          <w:rFonts w:asciiTheme="minorHAnsi" w:eastAsia="Aptos" w:hAnsiTheme="minorHAnsi" w:cstheme="minorHAnsi"/>
          <w:b/>
          <w:color w:val="000000" w:themeColor="dark1"/>
          <w:sz w:val="28"/>
          <w:szCs w:val="28"/>
        </w:rPr>
      </w:pPr>
    </w:p>
    <w:p w14:paraId="60B97D66" w14:textId="77777777" w:rsidR="00121DB8" w:rsidRPr="00C912C2" w:rsidRDefault="00121DB8" w:rsidP="00947AC0">
      <w:pPr>
        <w:spacing w:line="256" w:lineRule="auto"/>
        <w:ind w:left="2880"/>
        <w:rPr>
          <w:rFonts w:asciiTheme="minorHAnsi" w:eastAsia="Aptos" w:hAnsiTheme="minorHAnsi" w:cstheme="minorHAnsi"/>
          <w:b/>
          <w:color w:val="000000" w:themeColor="dark1"/>
          <w:sz w:val="28"/>
          <w:szCs w:val="28"/>
        </w:rPr>
      </w:pPr>
    </w:p>
    <w:p w14:paraId="0882D2B7" w14:textId="5D3AB016" w:rsidR="00121DB8" w:rsidRPr="00C912C2" w:rsidRDefault="00121DB8" w:rsidP="00947AC0">
      <w:pPr>
        <w:spacing w:line="256" w:lineRule="auto"/>
        <w:ind w:left="2880"/>
        <w:rPr>
          <w:rFonts w:asciiTheme="minorHAnsi" w:eastAsia="Aptos" w:hAnsiTheme="minorHAnsi" w:cstheme="minorHAnsi"/>
          <w:b/>
          <w:color w:val="000000" w:themeColor="dark1"/>
          <w:sz w:val="28"/>
          <w:szCs w:val="28"/>
        </w:rPr>
      </w:pPr>
    </w:p>
    <w:p w14:paraId="6602843D" w14:textId="77777777" w:rsidR="005B4DB2" w:rsidRPr="00C912C2" w:rsidRDefault="005B4DB2" w:rsidP="00947AC0">
      <w:pPr>
        <w:spacing w:line="256" w:lineRule="auto"/>
        <w:rPr>
          <w:rFonts w:asciiTheme="minorHAnsi" w:eastAsia="Aptos" w:hAnsiTheme="minorHAnsi" w:cstheme="minorHAnsi"/>
          <w:b/>
          <w:color w:val="000000" w:themeColor="dark1"/>
          <w:sz w:val="28"/>
          <w:szCs w:val="28"/>
        </w:rPr>
      </w:pPr>
    </w:p>
    <w:sdt>
      <w:sdtPr>
        <w:rPr>
          <w:rFonts w:asciiTheme="minorHAnsi" w:eastAsiaTheme="minorHAnsi" w:hAnsiTheme="minorHAnsi" w:cstheme="minorHAnsi"/>
          <w:color w:val="auto"/>
          <w:kern w:val="2"/>
          <w:sz w:val="22"/>
          <w:szCs w:val="22"/>
          <w:lang w:val="en-CA"/>
          <w14:ligatures w14:val="standardContextual"/>
        </w:rPr>
        <w:id w:val="925774313"/>
        <w:docPartObj>
          <w:docPartGallery w:val="Table of Contents"/>
          <w:docPartUnique/>
        </w:docPartObj>
      </w:sdtPr>
      <w:sdtEndPr>
        <w:rPr>
          <w:b/>
          <w:bCs/>
          <w:noProof/>
        </w:rPr>
      </w:sdtEndPr>
      <w:sdtContent>
        <w:p w14:paraId="23EB968A" w14:textId="7D2E7AA1" w:rsidR="005B4DB2" w:rsidRPr="00C912C2" w:rsidRDefault="005B4DB2" w:rsidP="00947AC0">
          <w:pPr>
            <w:pStyle w:val="TOCHeading"/>
            <w:jc w:val="both"/>
            <w:rPr>
              <w:rFonts w:asciiTheme="minorHAnsi" w:hAnsiTheme="minorHAnsi" w:cstheme="minorHAnsi"/>
            </w:rPr>
          </w:pPr>
          <w:r w:rsidRPr="00C912C2">
            <w:rPr>
              <w:rFonts w:asciiTheme="minorHAnsi" w:hAnsiTheme="minorHAnsi" w:cstheme="minorHAnsi"/>
            </w:rPr>
            <w:t>Contents</w:t>
          </w:r>
        </w:p>
        <w:p w14:paraId="4F3AEA06" w14:textId="4FE5410C" w:rsidR="00AD59D2" w:rsidRDefault="005B4DB2">
          <w:pPr>
            <w:pStyle w:val="TOC1"/>
            <w:tabs>
              <w:tab w:val="right" w:leader="dot" w:pos="9350"/>
            </w:tabs>
            <w:rPr>
              <w:rFonts w:asciiTheme="minorHAnsi" w:eastAsiaTheme="minorEastAsia" w:hAnsiTheme="minorHAnsi"/>
              <w:noProof/>
              <w:sz w:val="24"/>
              <w:szCs w:val="24"/>
              <w:lang w:eastAsia="en-CA"/>
            </w:rPr>
          </w:pPr>
          <w:r w:rsidRPr="00C912C2">
            <w:rPr>
              <w:rFonts w:asciiTheme="minorHAnsi" w:hAnsiTheme="minorHAnsi" w:cstheme="minorHAnsi"/>
            </w:rPr>
            <w:fldChar w:fldCharType="begin"/>
          </w:r>
          <w:r w:rsidRPr="00C912C2">
            <w:rPr>
              <w:rFonts w:asciiTheme="minorHAnsi" w:hAnsiTheme="minorHAnsi" w:cstheme="minorHAnsi"/>
            </w:rPr>
            <w:instrText xml:space="preserve"> TOC \o "1-3" \h \z \u </w:instrText>
          </w:r>
          <w:r w:rsidRPr="00C912C2">
            <w:rPr>
              <w:rFonts w:asciiTheme="minorHAnsi" w:hAnsiTheme="minorHAnsi" w:cstheme="minorHAnsi"/>
            </w:rPr>
            <w:fldChar w:fldCharType="separate"/>
          </w:r>
          <w:hyperlink w:anchor="_Toc178976940" w:history="1">
            <w:r w:rsidR="00AD59D2" w:rsidRPr="00394F62">
              <w:rPr>
                <w:rStyle w:val="Hyperlink"/>
                <w:noProof/>
              </w:rPr>
              <w:t>Introduction</w:t>
            </w:r>
            <w:r w:rsidR="00AD59D2">
              <w:rPr>
                <w:noProof/>
                <w:webHidden/>
              </w:rPr>
              <w:tab/>
            </w:r>
            <w:r w:rsidR="00AD59D2">
              <w:rPr>
                <w:noProof/>
                <w:webHidden/>
              </w:rPr>
              <w:fldChar w:fldCharType="begin"/>
            </w:r>
            <w:r w:rsidR="00AD59D2">
              <w:rPr>
                <w:noProof/>
                <w:webHidden/>
              </w:rPr>
              <w:instrText xml:space="preserve"> PAGEREF _Toc178976940 \h </w:instrText>
            </w:r>
            <w:r w:rsidR="00AD59D2">
              <w:rPr>
                <w:noProof/>
                <w:webHidden/>
              </w:rPr>
            </w:r>
            <w:r w:rsidR="00AD59D2">
              <w:rPr>
                <w:noProof/>
                <w:webHidden/>
              </w:rPr>
              <w:fldChar w:fldCharType="separate"/>
            </w:r>
            <w:r w:rsidR="00AD59D2">
              <w:rPr>
                <w:noProof/>
                <w:webHidden/>
              </w:rPr>
              <w:t>3</w:t>
            </w:r>
            <w:r w:rsidR="00AD59D2">
              <w:rPr>
                <w:noProof/>
                <w:webHidden/>
              </w:rPr>
              <w:fldChar w:fldCharType="end"/>
            </w:r>
          </w:hyperlink>
        </w:p>
        <w:p w14:paraId="2230CE02" w14:textId="7BFDE6A2" w:rsidR="00AD59D2" w:rsidRDefault="00AD59D2">
          <w:pPr>
            <w:pStyle w:val="TOC1"/>
            <w:tabs>
              <w:tab w:val="right" w:leader="dot" w:pos="9350"/>
            </w:tabs>
            <w:rPr>
              <w:rFonts w:asciiTheme="minorHAnsi" w:eastAsiaTheme="minorEastAsia" w:hAnsiTheme="minorHAnsi"/>
              <w:noProof/>
              <w:sz w:val="24"/>
              <w:szCs w:val="24"/>
              <w:lang w:eastAsia="en-CA"/>
            </w:rPr>
          </w:pPr>
          <w:hyperlink w:anchor="_Toc178976941" w:history="1">
            <w:r w:rsidRPr="00394F62">
              <w:rPr>
                <w:rStyle w:val="Hyperlink"/>
                <w:rFonts w:eastAsia="Aptos" w:cstheme="minorHAnsi"/>
                <w:noProof/>
              </w:rPr>
              <w:t>Executive Summary</w:t>
            </w:r>
            <w:r>
              <w:rPr>
                <w:noProof/>
                <w:webHidden/>
              </w:rPr>
              <w:tab/>
            </w:r>
            <w:r>
              <w:rPr>
                <w:noProof/>
                <w:webHidden/>
              </w:rPr>
              <w:fldChar w:fldCharType="begin"/>
            </w:r>
            <w:r>
              <w:rPr>
                <w:noProof/>
                <w:webHidden/>
              </w:rPr>
              <w:instrText xml:space="preserve"> PAGEREF _Toc178976941 \h </w:instrText>
            </w:r>
            <w:r>
              <w:rPr>
                <w:noProof/>
                <w:webHidden/>
              </w:rPr>
            </w:r>
            <w:r>
              <w:rPr>
                <w:noProof/>
                <w:webHidden/>
              </w:rPr>
              <w:fldChar w:fldCharType="separate"/>
            </w:r>
            <w:r>
              <w:rPr>
                <w:noProof/>
                <w:webHidden/>
              </w:rPr>
              <w:t>4</w:t>
            </w:r>
            <w:r>
              <w:rPr>
                <w:noProof/>
                <w:webHidden/>
              </w:rPr>
              <w:fldChar w:fldCharType="end"/>
            </w:r>
          </w:hyperlink>
        </w:p>
        <w:p w14:paraId="455BF6CC" w14:textId="4F477C24" w:rsidR="00AD59D2" w:rsidRDefault="00AD59D2">
          <w:pPr>
            <w:pStyle w:val="TOC1"/>
            <w:tabs>
              <w:tab w:val="right" w:leader="dot" w:pos="9350"/>
            </w:tabs>
            <w:rPr>
              <w:rFonts w:asciiTheme="minorHAnsi" w:eastAsiaTheme="minorEastAsia" w:hAnsiTheme="minorHAnsi"/>
              <w:noProof/>
              <w:sz w:val="24"/>
              <w:szCs w:val="24"/>
              <w:lang w:eastAsia="en-CA"/>
            </w:rPr>
          </w:pPr>
          <w:hyperlink w:anchor="_Toc178976942" w:history="1">
            <w:r w:rsidRPr="00394F62">
              <w:rPr>
                <w:rStyle w:val="Hyperlink"/>
                <w:rFonts w:eastAsia="Aptos" w:cstheme="minorHAnsi"/>
                <w:noProof/>
              </w:rPr>
              <w:t>Ministry /Agency Overview</w:t>
            </w:r>
            <w:r>
              <w:rPr>
                <w:noProof/>
                <w:webHidden/>
              </w:rPr>
              <w:tab/>
            </w:r>
            <w:r>
              <w:rPr>
                <w:noProof/>
                <w:webHidden/>
              </w:rPr>
              <w:fldChar w:fldCharType="begin"/>
            </w:r>
            <w:r>
              <w:rPr>
                <w:noProof/>
                <w:webHidden/>
              </w:rPr>
              <w:instrText xml:space="preserve"> PAGEREF _Toc178976942 \h </w:instrText>
            </w:r>
            <w:r>
              <w:rPr>
                <w:noProof/>
                <w:webHidden/>
              </w:rPr>
            </w:r>
            <w:r>
              <w:rPr>
                <w:noProof/>
                <w:webHidden/>
              </w:rPr>
              <w:fldChar w:fldCharType="separate"/>
            </w:r>
            <w:r>
              <w:rPr>
                <w:noProof/>
                <w:webHidden/>
              </w:rPr>
              <w:t>5</w:t>
            </w:r>
            <w:r>
              <w:rPr>
                <w:noProof/>
                <w:webHidden/>
              </w:rPr>
              <w:fldChar w:fldCharType="end"/>
            </w:r>
          </w:hyperlink>
        </w:p>
        <w:p w14:paraId="7417C24E" w14:textId="40AB391C" w:rsidR="00AD59D2" w:rsidRDefault="00AD59D2">
          <w:pPr>
            <w:pStyle w:val="TOC2"/>
            <w:tabs>
              <w:tab w:val="right" w:leader="dot" w:pos="9350"/>
            </w:tabs>
            <w:rPr>
              <w:rFonts w:asciiTheme="minorHAnsi" w:eastAsiaTheme="minorEastAsia" w:hAnsiTheme="minorHAnsi"/>
              <w:noProof/>
              <w:sz w:val="24"/>
              <w:szCs w:val="24"/>
              <w:lang w:eastAsia="en-CA"/>
            </w:rPr>
          </w:pPr>
          <w:hyperlink w:anchor="_Toc178976943" w:history="1">
            <w:r w:rsidRPr="00394F62">
              <w:rPr>
                <w:rStyle w:val="Hyperlink"/>
                <w:rFonts w:cstheme="minorHAnsi"/>
                <w:noProof/>
              </w:rPr>
              <w:t>History</w:t>
            </w:r>
            <w:r>
              <w:rPr>
                <w:noProof/>
                <w:webHidden/>
              </w:rPr>
              <w:tab/>
            </w:r>
            <w:r>
              <w:rPr>
                <w:noProof/>
                <w:webHidden/>
              </w:rPr>
              <w:fldChar w:fldCharType="begin"/>
            </w:r>
            <w:r>
              <w:rPr>
                <w:noProof/>
                <w:webHidden/>
              </w:rPr>
              <w:instrText xml:space="preserve"> PAGEREF _Toc178976943 \h </w:instrText>
            </w:r>
            <w:r>
              <w:rPr>
                <w:noProof/>
                <w:webHidden/>
              </w:rPr>
            </w:r>
            <w:r>
              <w:rPr>
                <w:noProof/>
                <w:webHidden/>
              </w:rPr>
              <w:fldChar w:fldCharType="separate"/>
            </w:r>
            <w:r>
              <w:rPr>
                <w:noProof/>
                <w:webHidden/>
              </w:rPr>
              <w:t>5</w:t>
            </w:r>
            <w:r>
              <w:rPr>
                <w:noProof/>
                <w:webHidden/>
              </w:rPr>
              <w:fldChar w:fldCharType="end"/>
            </w:r>
          </w:hyperlink>
        </w:p>
        <w:p w14:paraId="4E860E24" w14:textId="30072FC8" w:rsidR="00AD59D2" w:rsidRDefault="00AD59D2">
          <w:pPr>
            <w:pStyle w:val="TOC2"/>
            <w:tabs>
              <w:tab w:val="right" w:leader="dot" w:pos="9350"/>
            </w:tabs>
            <w:rPr>
              <w:rFonts w:asciiTheme="minorHAnsi" w:eastAsiaTheme="minorEastAsia" w:hAnsiTheme="minorHAnsi"/>
              <w:noProof/>
              <w:sz w:val="24"/>
              <w:szCs w:val="24"/>
              <w:lang w:eastAsia="en-CA"/>
            </w:rPr>
          </w:pPr>
          <w:hyperlink w:anchor="_Toc178976944" w:history="1">
            <w:r w:rsidRPr="00394F62">
              <w:rPr>
                <w:rStyle w:val="Hyperlink"/>
                <w:rFonts w:cstheme="minorHAnsi"/>
                <w:noProof/>
              </w:rPr>
              <w:t>Strategic Objectives and Direction</w:t>
            </w:r>
            <w:r>
              <w:rPr>
                <w:noProof/>
                <w:webHidden/>
              </w:rPr>
              <w:tab/>
            </w:r>
            <w:r>
              <w:rPr>
                <w:noProof/>
                <w:webHidden/>
              </w:rPr>
              <w:fldChar w:fldCharType="begin"/>
            </w:r>
            <w:r>
              <w:rPr>
                <w:noProof/>
                <w:webHidden/>
              </w:rPr>
              <w:instrText xml:space="preserve"> PAGEREF _Toc178976944 \h </w:instrText>
            </w:r>
            <w:r>
              <w:rPr>
                <w:noProof/>
                <w:webHidden/>
              </w:rPr>
            </w:r>
            <w:r>
              <w:rPr>
                <w:noProof/>
                <w:webHidden/>
              </w:rPr>
              <w:fldChar w:fldCharType="separate"/>
            </w:r>
            <w:r>
              <w:rPr>
                <w:noProof/>
                <w:webHidden/>
              </w:rPr>
              <w:t>5</w:t>
            </w:r>
            <w:r>
              <w:rPr>
                <w:noProof/>
                <w:webHidden/>
              </w:rPr>
              <w:fldChar w:fldCharType="end"/>
            </w:r>
          </w:hyperlink>
        </w:p>
        <w:p w14:paraId="07D952D3" w14:textId="332AFE46" w:rsidR="00AD59D2" w:rsidRDefault="00AD59D2">
          <w:pPr>
            <w:pStyle w:val="TOC1"/>
            <w:tabs>
              <w:tab w:val="right" w:leader="dot" w:pos="9350"/>
            </w:tabs>
            <w:rPr>
              <w:rFonts w:asciiTheme="minorHAnsi" w:eastAsiaTheme="minorEastAsia" w:hAnsiTheme="minorHAnsi"/>
              <w:noProof/>
              <w:sz w:val="24"/>
              <w:szCs w:val="24"/>
              <w:lang w:eastAsia="en-CA"/>
            </w:rPr>
          </w:pPr>
          <w:hyperlink w:anchor="_Toc178976945" w:history="1">
            <w:r w:rsidRPr="00394F62">
              <w:rPr>
                <w:rStyle w:val="Hyperlink"/>
                <w:rFonts w:eastAsia="Aptos" w:cstheme="minorHAnsi"/>
                <w:noProof/>
              </w:rPr>
              <w:t>Project Overview</w:t>
            </w:r>
            <w:r>
              <w:rPr>
                <w:noProof/>
                <w:webHidden/>
              </w:rPr>
              <w:tab/>
            </w:r>
            <w:r>
              <w:rPr>
                <w:noProof/>
                <w:webHidden/>
              </w:rPr>
              <w:fldChar w:fldCharType="begin"/>
            </w:r>
            <w:r>
              <w:rPr>
                <w:noProof/>
                <w:webHidden/>
              </w:rPr>
              <w:instrText xml:space="preserve"> PAGEREF _Toc178976945 \h </w:instrText>
            </w:r>
            <w:r>
              <w:rPr>
                <w:noProof/>
                <w:webHidden/>
              </w:rPr>
            </w:r>
            <w:r>
              <w:rPr>
                <w:noProof/>
                <w:webHidden/>
              </w:rPr>
              <w:fldChar w:fldCharType="separate"/>
            </w:r>
            <w:r>
              <w:rPr>
                <w:noProof/>
                <w:webHidden/>
              </w:rPr>
              <w:t>6</w:t>
            </w:r>
            <w:r>
              <w:rPr>
                <w:noProof/>
                <w:webHidden/>
              </w:rPr>
              <w:fldChar w:fldCharType="end"/>
            </w:r>
          </w:hyperlink>
        </w:p>
        <w:p w14:paraId="374B10AA" w14:textId="05061873" w:rsidR="00AD59D2" w:rsidRDefault="00AD59D2">
          <w:pPr>
            <w:pStyle w:val="TOC1"/>
            <w:tabs>
              <w:tab w:val="right" w:leader="dot" w:pos="9350"/>
            </w:tabs>
            <w:rPr>
              <w:rFonts w:asciiTheme="minorHAnsi" w:eastAsiaTheme="minorEastAsia" w:hAnsiTheme="minorHAnsi"/>
              <w:noProof/>
              <w:sz w:val="24"/>
              <w:szCs w:val="24"/>
              <w:lang w:eastAsia="en-CA"/>
            </w:rPr>
          </w:pPr>
          <w:hyperlink w:anchor="_Toc178976946" w:history="1">
            <w:r w:rsidRPr="00394F62">
              <w:rPr>
                <w:rStyle w:val="Hyperlink"/>
                <w:rFonts w:eastAsia="Aptos" w:cstheme="minorHAnsi"/>
                <w:noProof/>
              </w:rPr>
              <w:t>RFI Requirements Process</w:t>
            </w:r>
            <w:r>
              <w:rPr>
                <w:noProof/>
                <w:webHidden/>
              </w:rPr>
              <w:tab/>
            </w:r>
            <w:r>
              <w:rPr>
                <w:noProof/>
                <w:webHidden/>
              </w:rPr>
              <w:fldChar w:fldCharType="begin"/>
            </w:r>
            <w:r>
              <w:rPr>
                <w:noProof/>
                <w:webHidden/>
              </w:rPr>
              <w:instrText xml:space="preserve"> PAGEREF _Toc178976946 \h </w:instrText>
            </w:r>
            <w:r>
              <w:rPr>
                <w:noProof/>
                <w:webHidden/>
              </w:rPr>
            </w:r>
            <w:r>
              <w:rPr>
                <w:noProof/>
                <w:webHidden/>
              </w:rPr>
              <w:fldChar w:fldCharType="separate"/>
            </w:r>
            <w:r>
              <w:rPr>
                <w:noProof/>
                <w:webHidden/>
              </w:rPr>
              <w:t>11</w:t>
            </w:r>
            <w:r>
              <w:rPr>
                <w:noProof/>
                <w:webHidden/>
              </w:rPr>
              <w:fldChar w:fldCharType="end"/>
            </w:r>
          </w:hyperlink>
        </w:p>
        <w:p w14:paraId="55CB2372" w14:textId="3E4693CF" w:rsidR="00AD59D2" w:rsidRDefault="00AD59D2">
          <w:pPr>
            <w:pStyle w:val="TOC2"/>
            <w:tabs>
              <w:tab w:val="right" w:leader="dot" w:pos="9350"/>
            </w:tabs>
            <w:rPr>
              <w:rFonts w:asciiTheme="minorHAnsi" w:eastAsiaTheme="minorEastAsia" w:hAnsiTheme="minorHAnsi"/>
              <w:noProof/>
              <w:sz w:val="24"/>
              <w:szCs w:val="24"/>
              <w:lang w:eastAsia="en-CA"/>
            </w:rPr>
          </w:pPr>
          <w:hyperlink w:anchor="_Toc178976947" w:history="1">
            <w:r w:rsidRPr="00394F62">
              <w:rPr>
                <w:rStyle w:val="Hyperlink"/>
                <w:rFonts w:cstheme="minorHAnsi"/>
                <w:noProof/>
              </w:rPr>
              <w:t>Structure of the Document</w:t>
            </w:r>
            <w:r>
              <w:rPr>
                <w:noProof/>
                <w:webHidden/>
              </w:rPr>
              <w:tab/>
            </w:r>
            <w:r>
              <w:rPr>
                <w:noProof/>
                <w:webHidden/>
              </w:rPr>
              <w:fldChar w:fldCharType="begin"/>
            </w:r>
            <w:r>
              <w:rPr>
                <w:noProof/>
                <w:webHidden/>
              </w:rPr>
              <w:instrText xml:space="preserve"> PAGEREF _Toc178976947 \h </w:instrText>
            </w:r>
            <w:r>
              <w:rPr>
                <w:noProof/>
                <w:webHidden/>
              </w:rPr>
            </w:r>
            <w:r>
              <w:rPr>
                <w:noProof/>
                <w:webHidden/>
              </w:rPr>
              <w:fldChar w:fldCharType="separate"/>
            </w:r>
            <w:r>
              <w:rPr>
                <w:noProof/>
                <w:webHidden/>
              </w:rPr>
              <w:t>11</w:t>
            </w:r>
            <w:r>
              <w:rPr>
                <w:noProof/>
                <w:webHidden/>
              </w:rPr>
              <w:fldChar w:fldCharType="end"/>
            </w:r>
          </w:hyperlink>
        </w:p>
        <w:p w14:paraId="6D1BB683" w14:textId="0358F736" w:rsidR="00AD59D2" w:rsidRDefault="00AD59D2">
          <w:pPr>
            <w:pStyle w:val="TOC2"/>
            <w:tabs>
              <w:tab w:val="right" w:leader="dot" w:pos="9350"/>
            </w:tabs>
            <w:rPr>
              <w:rFonts w:asciiTheme="minorHAnsi" w:eastAsiaTheme="minorEastAsia" w:hAnsiTheme="minorHAnsi"/>
              <w:noProof/>
              <w:sz w:val="24"/>
              <w:szCs w:val="24"/>
              <w:lang w:eastAsia="en-CA"/>
            </w:rPr>
          </w:pPr>
          <w:hyperlink w:anchor="_Toc178976948" w:history="1">
            <w:r w:rsidRPr="00394F62">
              <w:rPr>
                <w:rStyle w:val="Hyperlink"/>
                <w:rFonts w:cstheme="minorHAnsi"/>
                <w:noProof/>
              </w:rPr>
              <w:t>RFI Participation Requirements</w:t>
            </w:r>
            <w:r>
              <w:rPr>
                <w:noProof/>
                <w:webHidden/>
              </w:rPr>
              <w:tab/>
            </w:r>
            <w:r>
              <w:rPr>
                <w:noProof/>
                <w:webHidden/>
              </w:rPr>
              <w:fldChar w:fldCharType="begin"/>
            </w:r>
            <w:r>
              <w:rPr>
                <w:noProof/>
                <w:webHidden/>
              </w:rPr>
              <w:instrText xml:space="preserve"> PAGEREF _Toc178976948 \h </w:instrText>
            </w:r>
            <w:r>
              <w:rPr>
                <w:noProof/>
                <w:webHidden/>
              </w:rPr>
            </w:r>
            <w:r>
              <w:rPr>
                <w:noProof/>
                <w:webHidden/>
              </w:rPr>
              <w:fldChar w:fldCharType="separate"/>
            </w:r>
            <w:r>
              <w:rPr>
                <w:noProof/>
                <w:webHidden/>
              </w:rPr>
              <w:t>12</w:t>
            </w:r>
            <w:r>
              <w:rPr>
                <w:noProof/>
                <w:webHidden/>
              </w:rPr>
              <w:fldChar w:fldCharType="end"/>
            </w:r>
          </w:hyperlink>
        </w:p>
        <w:p w14:paraId="5B35A138" w14:textId="12846D1A" w:rsidR="00AD59D2" w:rsidRDefault="00AD59D2">
          <w:pPr>
            <w:pStyle w:val="TOC2"/>
            <w:tabs>
              <w:tab w:val="right" w:leader="dot" w:pos="9350"/>
            </w:tabs>
            <w:rPr>
              <w:rFonts w:asciiTheme="minorHAnsi" w:eastAsiaTheme="minorEastAsia" w:hAnsiTheme="minorHAnsi"/>
              <w:noProof/>
              <w:sz w:val="24"/>
              <w:szCs w:val="24"/>
              <w:lang w:eastAsia="en-CA"/>
            </w:rPr>
          </w:pPr>
          <w:hyperlink w:anchor="_Toc178976949" w:history="1">
            <w:r w:rsidRPr="00394F62">
              <w:rPr>
                <w:rStyle w:val="Hyperlink"/>
                <w:rFonts w:cstheme="minorHAnsi"/>
                <w:noProof/>
              </w:rPr>
              <w:t>RFI Schedule</w:t>
            </w:r>
            <w:r>
              <w:rPr>
                <w:noProof/>
                <w:webHidden/>
              </w:rPr>
              <w:tab/>
            </w:r>
            <w:r>
              <w:rPr>
                <w:noProof/>
                <w:webHidden/>
              </w:rPr>
              <w:fldChar w:fldCharType="begin"/>
            </w:r>
            <w:r>
              <w:rPr>
                <w:noProof/>
                <w:webHidden/>
              </w:rPr>
              <w:instrText xml:space="preserve"> PAGEREF _Toc178976949 \h </w:instrText>
            </w:r>
            <w:r>
              <w:rPr>
                <w:noProof/>
                <w:webHidden/>
              </w:rPr>
            </w:r>
            <w:r>
              <w:rPr>
                <w:noProof/>
                <w:webHidden/>
              </w:rPr>
              <w:fldChar w:fldCharType="separate"/>
            </w:r>
            <w:r>
              <w:rPr>
                <w:noProof/>
                <w:webHidden/>
              </w:rPr>
              <w:t>12</w:t>
            </w:r>
            <w:r>
              <w:rPr>
                <w:noProof/>
                <w:webHidden/>
              </w:rPr>
              <w:fldChar w:fldCharType="end"/>
            </w:r>
          </w:hyperlink>
        </w:p>
        <w:p w14:paraId="3376D542" w14:textId="43297314" w:rsidR="00AD59D2" w:rsidRDefault="00AD59D2">
          <w:pPr>
            <w:pStyle w:val="TOC2"/>
            <w:tabs>
              <w:tab w:val="right" w:leader="dot" w:pos="9350"/>
            </w:tabs>
            <w:rPr>
              <w:rFonts w:asciiTheme="minorHAnsi" w:eastAsiaTheme="minorEastAsia" w:hAnsiTheme="minorHAnsi"/>
              <w:noProof/>
              <w:sz w:val="24"/>
              <w:szCs w:val="24"/>
              <w:lang w:eastAsia="en-CA"/>
            </w:rPr>
          </w:pPr>
          <w:hyperlink w:anchor="_Toc178976950" w:history="1">
            <w:r w:rsidRPr="00394F62">
              <w:rPr>
                <w:rStyle w:val="Hyperlink"/>
                <w:rFonts w:cstheme="minorHAnsi"/>
                <w:noProof/>
              </w:rPr>
              <w:t>RFI Related Questions / Clarifications / Submission</w:t>
            </w:r>
            <w:r>
              <w:rPr>
                <w:noProof/>
                <w:webHidden/>
              </w:rPr>
              <w:tab/>
            </w:r>
            <w:r>
              <w:rPr>
                <w:noProof/>
                <w:webHidden/>
              </w:rPr>
              <w:fldChar w:fldCharType="begin"/>
            </w:r>
            <w:r>
              <w:rPr>
                <w:noProof/>
                <w:webHidden/>
              </w:rPr>
              <w:instrText xml:space="preserve"> PAGEREF _Toc178976950 \h </w:instrText>
            </w:r>
            <w:r>
              <w:rPr>
                <w:noProof/>
                <w:webHidden/>
              </w:rPr>
            </w:r>
            <w:r>
              <w:rPr>
                <w:noProof/>
                <w:webHidden/>
              </w:rPr>
              <w:fldChar w:fldCharType="separate"/>
            </w:r>
            <w:r>
              <w:rPr>
                <w:noProof/>
                <w:webHidden/>
              </w:rPr>
              <w:t>13</w:t>
            </w:r>
            <w:r>
              <w:rPr>
                <w:noProof/>
                <w:webHidden/>
              </w:rPr>
              <w:fldChar w:fldCharType="end"/>
            </w:r>
          </w:hyperlink>
        </w:p>
        <w:p w14:paraId="70E01EBD" w14:textId="51601AFD" w:rsidR="00AD59D2" w:rsidRDefault="00AD59D2">
          <w:pPr>
            <w:pStyle w:val="TOC2"/>
            <w:tabs>
              <w:tab w:val="right" w:leader="dot" w:pos="9350"/>
            </w:tabs>
            <w:rPr>
              <w:rFonts w:asciiTheme="minorHAnsi" w:eastAsiaTheme="minorEastAsia" w:hAnsiTheme="minorHAnsi"/>
              <w:noProof/>
              <w:sz w:val="24"/>
              <w:szCs w:val="24"/>
              <w:lang w:eastAsia="en-CA"/>
            </w:rPr>
          </w:pPr>
          <w:hyperlink w:anchor="_Toc178976951" w:history="1">
            <w:r w:rsidRPr="00394F62">
              <w:rPr>
                <w:rStyle w:val="Hyperlink"/>
                <w:rFonts w:cstheme="minorHAnsi"/>
                <w:noProof/>
              </w:rPr>
              <w:t>RFI Terms &amp; Conditions</w:t>
            </w:r>
            <w:r>
              <w:rPr>
                <w:noProof/>
                <w:webHidden/>
              </w:rPr>
              <w:tab/>
            </w:r>
            <w:r>
              <w:rPr>
                <w:noProof/>
                <w:webHidden/>
              </w:rPr>
              <w:fldChar w:fldCharType="begin"/>
            </w:r>
            <w:r>
              <w:rPr>
                <w:noProof/>
                <w:webHidden/>
              </w:rPr>
              <w:instrText xml:space="preserve"> PAGEREF _Toc178976951 \h </w:instrText>
            </w:r>
            <w:r>
              <w:rPr>
                <w:noProof/>
                <w:webHidden/>
              </w:rPr>
            </w:r>
            <w:r>
              <w:rPr>
                <w:noProof/>
                <w:webHidden/>
              </w:rPr>
              <w:fldChar w:fldCharType="separate"/>
            </w:r>
            <w:r>
              <w:rPr>
                <w:noProof/>
                <w:webHidden/>
              </w:rPr>
              <w:t>13</w:t>
            </w:r>
            <w:r>
              <w:rPr>
                <w:noProof/>
                <w:webHidden/>
              </w:rPr>
              <w:fldChar w:fldCharType="end"/>
            </w:r>
          </w:hyperlink>
        </w:p>
        <w:p w14:paraId="610829BA" w14:textId="21C3855A" w:rsidR="00AD59D2" w:rsidRDefault="00AD59D2">
          <w:pPr>
            <w:pStyle w:val="TOC2"/>
            <w:tabs>
              <w:tab w:val="right" w:leader="dot" w:pos="9350"/>
            </w:tabs>
            <w:rPr>
              <w:rFonts w:asciiTheme="minorHAnsi" w:eastAsiaTheme="minorEastAsia" w:hAnsiTheme="minorHAnsi"/>
              <w:noProof/>
              <w:sz w:val="24"/>
              <w:szCs w:val="24"/>
              <w:lang w:eastAsia="en-CA"/>
            </w:rPr>
          </w:pPr>
          <w:hyperlink w:anchor="_Toc178976952" w:history="1">
            <w:r w:rsidRPr="00394F62">
              <w:rPr>
                <w:rStyle w:val="Hyperlink"/>
                <w:rFonts w:cstheme="minorHAnsi"/>
                <w:noProof/>
              </w:rPr>
              <w:t>Liabilities of the Ministry/Agency</w:t>
            </w:r>
            <w:r>
              <w:rPr>
                <w:noProof/>
                <w:webHidden/>
              </w:rPr>
              <w:tab/>
            </w:r>
            <w:r>
              <w:rPr>
                <w:noProof/>
                <w:webHidden/>
              </w:rPr>
              <w:fldChar w:fldCharType="begin"/>
            </w:r>
            <w:r>
              <w:rPr>
                <w:noProof/>
                <w:webHidden/>
              </w:rPr>
              <w:instrText xml:space="preserve"> PAGEREF _Toc178976952 \h </w:instrText>
            </w:r>
            <w:r>
              <w:rPr>
                <w:noProof/>
                <w:webHidden/>
              </w:rPr>
            </w:r>
            <w:r>
              <w:rPr>
                <w:noProof/>
                <w:webHidden/>
              </w:rPr>
              <w:fldChar w:fldCharType="separate"/>
            </w:r>
            <w:r>
              <w:rPr>
                <w:noProof/>
                <w:webHidden/>
              </w:rPr>
              <w:t>14</w:t>
            </w:r>
            <w:r>
              <w:rPr>
                <w:noProof/>
                <w:webHidden/>
              </w:rPr>
              <w:fldChar w:fldCharType="end"/>
            </w:r>
          </w:hyperlink>
        </w:p>
        <w:p w14:paraId="1135A229" w14:textId="512405D9" w:rsidR="00AD59D2" w:rsidRDefault="00AD59D2">
          <w:pPr>
            <w:pStyle w:val="TOC2"/>
            <w:tabs>
              <w:tab w:val="right" w:leader="dot" w:pos="9350"/>
            </w:tabs>
            <w:rPr>
              <w:rFonts w:asciiTheme="minorHAnsi" w:eastAsiaTheme="minorEastAsia" w:hAnsiTheme="minorHAnsi"/>
              <w:noProof/>
              <w:sz w:val="24"/>
              <w:szCs w:val="24"/>
              <w:lang w:eastAsia="en-CA"/>
            </w:rPr>
          </w:pPr>
          <w:hyperlink w:anchor="_Toc178976953" w:history="1">
            <w:r w:rsidRPr="00394F62">
              <w:rPr>
                <w:rStyle w:val="Hyperlink"/>
                <w:rFonts w:cstheme="minorHAnsi"/>
                <w:noProof/>
              </w:rPr>
              <w:t>Confidentiality and RFI Ownership</w:t>
            </w:r>
            <w:r>
              <w:rPr>
                <w:noProof/>
                <w:webHidden/>
              </w:rPr>
              <w:tab/>
            </w:r>
            <w:r>
              <w:rPr>
                <w:noProof/>
                <w:webHidden/>
              </w:rPr>
              <w:fldChar w:fldCharType="begin"/>
            </w:r>
            <w:r>
              <w:rPr>
                <w:noProof/>
                <w:webHidden/>
              </w:rPr>
              <w:instrText xml:space="preserve"> PAGEREF _Toc178976953 \h </w:instrText>
            </w:r>
            <w:r>
              <w:rPr>
                <w:noProof/>
                <w:webHidden/>
              </w:rPr>
            </w:r>
            <w:r>
              <w:rPr>
                <w:noProof/>
                <w:webHidden/>
              </w:rPr>
              <w:fldChar w:fldCharType="separate"/>
            </w:r>
            <w:r>
              <w:rPr>
                <w:noProof/>
                <w:webHidden/>
              </w:rPr>
              <w:t>14</w:t>
            </w:r>
            <w:r>
              <w:rPr>
                <w:noProof/>
                <w:webHidden/>
              </w:rPr>
              <w:fldChar w:fldCharType="end"/>
            </w:r>
          </w:hyperlink>
        </w:p>
        <w:p w14:paraId="519AAD59" w14:textId="60FAE921" w:rsidR="00AD59D2" w:rsidRDefault="00AD59D2">
          <w:pPr>
            <w:pStyle w:val="TOC1"/>
            <w:tabs>
              <w:tab w:val="right" w:leader="dot" w:pos="9350"/>
            </w:tabs>
            <w:rPr>
              <w:rFonts w:asciiTheme="minorHAnsi" w:eastAsiaTheme="minorEastAsia" w:hAnsiTheme="minorHAnsi"/>
              <w:noProof/>
              <w:sz w:val="24"/>
              <w:szCs w:val="24"/>
              <w:lang w:eastAsia="en-CA"/>
            </w:rPr>
          </w:pPr>
          <w:hyperlink w:anchor="_Toc178976954" w:history="1">
            <w:r w:rsidRPr="00394F62">
              <w:rPr>
                <w:rStyle w:val="Hyperlink"/>
                <w:rFonts w:eastAsia="Aptos" w:cstheme="minorHAnsi"/>
                <w:noProof/>
              </w:rPr>
              <w:t xml:space="preserve">High-Level Business Requirements for </w:t>
            </w:r>
            <w:r w:rsidRPr="00394F62">
              <w:rPr>
                <w:rStyle w:val="Hyperlink"/>
                <w:rFonts w:cstheme="minorHAnsi"/>
                <w:noProof/>
              </w:rPr>
              <w:t>Strategic Acquisition of WiTricity by TD Bank</w:t>
            </w:r>
            <w:r>
              <w:rPr>
                <w:noProof/>
                <w:webHidden/>
              </w:rPr>
              <w:tab/>
            </w:r>
            <w:r>
              <w:rPr>
                <w:noProof/>
                <w:webHidden/>
              </w:rPr>
              <w:fldChar w:fldCharType="begin"/>
            </w:r>
            <w:r>
              <w:rPr>
                <w:noProof/>
                <w:webHidden/>
              </w:rPr>
              <w:instrText xml:space="preserve"> PAGEREF _Toc178976954 \h </w:instrText>
            </w:r>
            <w:r>
              <w:rPr>
                <w:noProof/>
                <w:webHidden/>
              </w:rPr>
            </w:r>
            <w:r>
              <w:rPr>
                <w:noProof/>
                <w:webHidden/>
              </w:rPr>
              <w:fldChar w:fldCharType="separate"/>
            </w:r>
            <w:r>
              <w:rPr>
                <w:noProof/>
                <w:webHidden/>
              </w:rPr>
              <w:t>14</w:t>
            </w:r>
            <w:r>
              <w:rPr>
                <w:noProof/>
                <w:webHidden/>
              </w:rPr>
              <w:fldChar w:fldCharType="end"/>
            </w:r>
          </w:hyperlink>
        </w:p>
        <w:p w14:paraId="35F920D9" w14:textId="2837FC41" w:rsidR="00AD59D2" w:rsidRDefault="00AD59D2">
          <w:pPr>
            <w:pStyle w:val="TOC1"/>
            <w:tabs>
              <w:tab w:val="right" w:leader="dot" w:pos="9350"/>
            </w:tabs>
            <w:rPr>
              <w:rFonts w:asciiTheme="minorHAnsi" w:eastAsiaTheme="minorEastAsia" w:hAnsiTheme="minorHAnsi"/>
              <w:noProof/>
              <w:sz w:val="24"/>
              <w:szCs w:val="24"/>
              <w:lang w:eastAsia="en-CA"/>
            </w:rPr>
          </w:pPr>
          <w:hyperlink w:anchor="_Toc178976955" w:history="1">
            <w:r w:rsidRPr="00394F62">
              <w:rPr>
                <w:rStyle w:val="Hyperlink"/>
                <w:rFonts w:eastAsia="Aptos" w:cstheme="minorHAnsi"/>
                <w:noProof/>
              </w:rPr>
              <w:t>Response Format</w:t>
            </w:r>
            <w:r>
              <w:rPr>
                <w:noProof/>
                <w:webHidden/>
              </w:rPr>
              <w:tab/>
            </w:r>
            <w:r>
              <w:rPr>
                <w:noProof/>
                <w:webHidden/>
              </w:rPr>
              <w:fldChar w:fldCharType="begin"/>
            </w:r>
            <w:r>
              <w:rPr>
                <w:noProof/>
                <w:webHidden/>
              </w:rPr>
              <w:instrText xml:space="preserve"> PAGEREF _Toc178976955 \h </w:instrText>
            </w:r>
            <w:r>
              <w:rPr>
                <w:noProof/>
                <w:webHidden/>
              </w:rPr>
            </w:r>
            <w:r>
              <w:rPr>
                <w:noProof/>
                <w:webHidden/>
              </w:rPr>
              <w:fldChar w:fldCharType="separate"/>
            </w:r>
            <w:r>
              <w:rPr>
                <w:noProof/>
                <w:webHidden/>
              </w:rPr>
              <w:t>16</w:t>
            </w:r>
            <w:r>
              <w:rPr>
                <w:noProof/>
                <w:webHidden/>
              </w:rPr>
              <w:fldChar w:fldCharType="end"/>
            </w:r>
          </w:hyperlink>
        </w:p>
        <w:p w14:paraId="316E05CA" w14:textId="3895CA81" w:rsidR="00AD59D2" w:rsidRDefault="00AD59D2">
          <w:pPr>
            <w:pStyle w:val="TOC1"/>
            <w:tabs>
              <w:tab w:val="right" w:leader="dot" w:pos="9350"/>
            </w:tabs>
            <w:rPr>
              <w:rFonts w:asciiTheme="minorHAnsi" w:eastAsiaTheme="minorEastAsia" w:hAnsiTheme="minorHAnsi"/>
              <w:noProof/>
              <w:sz w:val="24"/>
              <w:szCs w:val="24"/>
              <w:lang w:eastAsia="en-CA"/>
            </w:rPr>
          </w:pPr>
          <w:hyperlink w:anchor="_Toc178976956" w:history="1">
            <w:r w:rsidRPr="00394F62">
              <w:rPr>
                <w:rStyle w:val="Hyperlink"/>
                <w:rFonts w:eastAsia="Aptos" w:cstheme="minorHAnsi"/>
                <w:noProof/>
              </w:rPr>
              <w:t>News Board</w:t>
            </w:r>
            <w:r>
              <w:rPr>
                <w:noProof/>
                <w:webHidden/>
              </w:rPr>
              <w:tab/>
            </w:r>
            <w:r>
              <w:rPr>
                <w:noProof/>
                <w:webHidden/>
              </w:rPr>
              <w:fldChar w:fldCharType="begin"/>
            </w:r>
            <w:r>
              <w:rPr>
                <w:noProof/>
                <w:webHidden/>
              </w:rPr>
              <w:instrText xml:space="preserve"> PAGEREF _Toc178976956 \h </w:instrText>
            </w:r>
            <w:r>
              <w:rPr>
                <w:noProof/>
                <w:webHidden/>
              </w:rPr>
            </w:r>
            <w:r>
              <w:rPr>
                <w:noProof/>
                <w:webHidden/>
              </w:rPr>
              <w:fldChar w:fldCharType="separate"/>
            </w:r>
            <w:r>
              <w:rPr>
                <w:noProof/>
                <w:webHidden/>
              </w:rPr>
              <w:t>17</w:t>
            </w:r>
            <w:r>
              <w:rPr>
                <w:noProof/>
                <w:webHidden/>
              </w:rPr>
              <w:fldChar w:fldCharType="end"/>
            </w:r>
          </w:hyperlink>
        </w:p>
        <w:p w14:paraId="64E0F1DE" w14:textId="7EE51AF8" w:rsidR="00AD59D2" w:rsidRDefault="00AD59D2">
          <w:pPr>
            <w:pStyle w:val="TOC1"/>
            <w:tabs>
              <w:tab w:val="right" w:leader="dot" w:pos="9350"/>
            </w:tabs>
            <w:rPr>
              <w:rFonts w:asciiTheme="minorHAnsi" w:eastAsiaTheme="minorEastAsia" w:hAnsiTheme="minorHAnsi"/>
              <w:noProof/>
              <w:sz w:val="24"/>
              <w:szCs w:val="24"/>
              <w:lang w:eastAsia="en-CA"/>
            </w:rPr>
          </w:pPr>
          <w:hyperlink w:anchor="_Toc178976957" w:history="1">
            <w:r w:rsidRPr="00394F62">
              <w:rPr>
                <w:rStyle w:val="Hyperlink"/>
                <w:rFonts w:eastAsia="Aptos" w:cstheme="minorHAnsi"/>
                <w:noProof/>
              </w:rPr>
              <w:t>Conclusion</w:t>
            </w:r>
            <w:r>
              <w:rPr>
                <w:noProof/>
                <w:webHidden/>
              </w:rPr>
              <w:tab/>
            </w:r>
            <w:r>
              <w:rPr>
                <w:noProof/>
                <w:webHidden/>
              </w:rPr>
              <w:fldChar w:fldCharType="begin"/>
            </w:r>
            <w:r>
              <w:rPr>
                <w:noProof/>
                <w:webHidden/>
              </w:rPr>
              <w:instrText xml:space="preserve"> PAGEREF _Toc178976957 \h </w:instrText>
            </w:r>
            <w:r>
              <w:rPr>
                <w:noProof/>
                <w:webHidden/>
              </w:rPr>
            </w:r>
            <w:r>
              <w:rPr>
                <w:noProof/>
                <w:webHidden/>
              </w:rPr>
              <w:fldChar w:fldCharType="separate"/>
            </w:r>
            <w:r>
              <w:rPr>
                <w:noProof/>
                <w:webHidden/>
              </w:rPr>
              <w:t>19</w:t>
            </w:r>
            <w:r>
              <w:rPr>
                <w:noProof/>
                <w:webHidden/>
              </w:rPr>
              <w:fldChar w:fldCharType="end"/>
            </w:r>
          </w:hyperlink>
        </w:p>
        <w:p w14:paraId="24ABC989" w14:textId="50716EFA" w:rsidR="00AD59D2" w:rsidRDefault="00AD59D2">
          <w:pPr>
            <w:pStyle w:val="TOC1"/>
            <w:tabs>
              <w:tab w:val="right" w:leader="dot" w:pos="9350"/>
            </w:tabs>
            <w:rPr>
              <w:rFonts w:asciiTheme="minorHAnsi" w:eastAsiaTheme="minorEastAsia" w:hAnsiTheme="minorHAnsi"/>
              <w:noProof/>
              <w:sz w:val="24"/>
              <w:szCs w:val="24"/>
              <w:lang w:eastAsia="en-CA"/>
            </w:rPr>
          </w:pPr>
          <w:hyperlink w:anchor="_Toc178976958" w:history="1">
            <w:r w:rsidRPr="00394F62">
              <w:rPr>
                <w:rStyle w:val="Hyperlink"/>
                <w:rFonts w:eastAsia="Aptos" w:cstheme="minorHAnsi"/>
                <w:noProof/>
              </w:rPr>
              <w:t>Call of Action</w:t>
            </w:r>
            <w:r>
              <w:rPr>
                <w:noProof/>
                <w:webHidden/>
              </w:rPr>
              <w:tab/>
            </w:r>
            <w:r>
              <w:rPr>
                <w:noProof/>
                <w:webHidden/>
              </w:rPr>
              <w:fldChar w:fldCharType="begin"/>
            </w:r>
            <w:r>
              <w:rPr>
                <w:noProof/>
                <w:webHidden/>
              </w:rPr>
              <w:instrText xml:space="preserve"> PAGEREF _Toc178976958 \h </w:instrText>
            </w:r>
            <w:r>
              <w:rPr>
                <w:noProof/>
                <w:webHidden/>
              </w:rPr>
            </w:r>
            <w:r>
              <w:rPr>
                <w:noProof/>
                <w:webHidden/>
              </w:rPr>
              <w:fldChar w:fldCharType="separate"/>
            </w:r>
            <w:r>
              <w:rPr>
                <w:noProof/>
                <w:webHidden/>
              </w:rPr>
              <w:t>20</w:t>
            </w:r>
            <w:r>
              <w:rPr>
                <w:noProof/>
                <w:webHidden/>
              </w:rPr>
              <w:fldChar w:fldCharType="end"/>
            </w:r>
          </w:hyperlink>
        </w:p>
        <w:p w14:paraId="6D5F5838" w14:textId="07ADA05A" w:rsidR="00AD59D2" w:rsidRDefault="00AD59D2">
          <w:pPr>
            <w:pStyle w:val="TOC1"/>
            <w:tabs>
              <w:tab w:val="right" w:leader="dot" w:pos="9350"/>
            </w:tabs>
            <w:rPr>
              <w:rFonts w:asciiTheme="minorHAnsi" w:eastAsiaTheme="minorEastAsia" w:hAnsiTheme="minorHAnsi"/>
              <w:noProof/>
              <w:sz w:val="24"/>
              <w:szCs w:val="24"/>
              <w:lang w:eastAsia="en-CA"/>
            </w:rPr>
          </w:pPr>
          <w:hyperlink w:anchor="_Toc178976959" w:history="1">
            <w:r w:rsidRPr="00394F62">
              <w:rPr>
                <w:rStyle w:val="Hyperlink"/>
                <w:rFonts w:eastAsia="Aptos" w:cstheme="minorHAnsi"/>
                <w:noProof/>
              </w:rPr>
              <w:t>References</w:t>
            </w:r>
            <w:r>
              <w:rPr>
                <w:noProof/>
                <w:webHidden/>
              </w:rPr>
              <w:tab/>
            </w:r>
            <w:r>
              <w:rPr>
                <w:noProof/>
                <w:webHidden/>
              </w:rPr>
              <w:fldChar w:fldCharType="begin"/>
            </w:r>
            <w:r>
              <w:rPr>
                <w:noProof/>
                <w:webHidden/>
              </w:rPr>
              <w:instrText xml:space="preserve"> PAGEREF _Toc178976959 \h </w:instrText>
            </w:r>
            <w:r>
              <w:rPr>
                <w:noProof/>
                <w:webHidden/>
              </w:rPr>
            </w:r>
            <w:r>
              <w:rPr>
                <w:noProof/>
                <w:webHidden/>
              </w:rPr>
              <w:fldChar w:fldCharType="separate"/>
            </w:r>
            <w:r>
              <w:rPr>
                <w:noProof/>
                <w:webHidden/>
              </w:rPr>
              <w:t>iv</w:t>
            </w:r>
            <w:r>
              <w:rPr>
                <w:noProof/>
                <w:webHidden/>
              </w:rPr>
              <w:fldChar w:fldCharType="end"/>
            </w:r>
          </w:hyperlink>
        </w:p>
        <w:p w14:paraId="26DD4CC7" w14:textId="7DC8592C" w:rsidR="002E04C9" w:rsidRPr="002E04C9" w:rsidRDefault="005B4DB2" w:rsidP="002E04C9">
          <w:pPr>
            <w:rPr>
              <w:rFonts w:asciiTheme="minorHAnsi" w:hAnsiTheme="minorHAnsi" w:cstheme="minorHAnsi"/>
            </w:rPr>
            <w:sectPr w:rsidR="002E04C9" w:rsidRPr="002E04C9" w:rsidSect="002E04C9">
              <w:headerReference w:type="default" r:id="rId11"/>
              <w:footerReference w:type="default" r:id="rId12"/>
              <w:footerReference w:type="first" r:id="rId13"/>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pgNumType w:fmt="lowerRoman" w:start="1"/>
              <w:cols w:space="708"/>
              <w:titlePg/>
              <w:docGrid w:linePitch="360"/>
            </w:sectPr>
          </w:pPr>
          <w:r w:rsidRPr="00C912C2">
            <w:rPr>
              <w:rFonts w:asciiTheme="minorHAnsi" w:hAnsiTheme="minorHAnsi" w:cstheme="minorHAnsi"/>
              <w:b/>
              <w:bCs/>
              <w:noProof/>
            </w:rPr>
            <w:fldChar w:fldCharType="end"/>
          </w:r>
        </w:p>
      </w:sdtContent>
    </w:sdt>
    <w:p w14:paraId="47997EC0" w14:textId="77777777" w:rsidR="002E04C9" w:rsidRDefault="002E04C9" w:rsidP="002E04C9">
      <w:pPr>
        <w:spacing w:line="256" w:lineRule="auto"/>
        <w:rPr>
          <w:rFonts w:asciiTheme="minorHAnsi" w:eastAsia="Aptos" w:hAnsiTheme="minorHAnsi" w:cstheme="minorHAnsi"/>
          <w:b/>
          <w:color w:val="000000" w:themeColor="dark1"/>
          <w:sz w:val="28"/>
          <w:szCs w:val="28"/>
        </w:rPr>
      </w:pPr>
    </w:p>
    <w:p w14:paraId="29B5076D" w14:textId="68636152" w:rsidR="005B4DB2" w:rsidRPr="002E04C9" w:rsidRDefault="005B4DB2" w:rsidP="002E04C9">
      <w:pPr>
        <w:pStyle w:val="Heading1"/>
      </w:pPr>
      <w:bookmarkStart w:id="0" w:name="_Toc178976940"/>
      <w:r w:rsidRPr="002E04C9">
        <w:t>Introduction</w:t>
      </w:r>
      <w:bookmarkEnd w:id="0"/>
    </w:p>
    <w:p w14:paraId="6F43BA6F" w14:textId="64EA915C" w:rsidR="00B136FA" w:rsidRPr="00C912C2" w:rsidRDefault="00B136FA" w:rsidP="00C83BE7">
      <w:pPr>
        <w:spacing w:after="0" w:line="276" w:lineRule="auto"/>
        <w:rPr>
          <w:rFonts w:asciiTheme="minorHAnsi" w:hAnsiTheme="minorHAnsi" w:cstheme="minorHAnsi"/>
        </w:rPr>
      </w:pPr>
      <w:r w:rsidRPr="00C912C2">
        <w:rPr>
          <w:rFonts w:asciiTheme="minorHAnsi" w:hAnsiTheme="minorHAnsi" w:cstheme="minorHAnsi"/>
        </w:rPr>
        <w:t xml:space="preserve">ProcessPro Partners is issuing this Request for Information (RFI) document seeking information from TD Bank regarding the strategic acquisition of </w:t>
      </w:r>
      <w:r w:rsidR="00121DB8" w:rsidRPr="00C912C2">
        <w:rPr>
          <w:rFonts w:asciiTheme="minorHAnsi" w:hAnsiTheme="minorHAnsi" w:cstheme="minorHAnsi"/>
        </w:rPr>
        <w:t>WiTricity</w:t>
      </w:r>
      <w:r w:rsidRPr="00C912C2">
        <w:rPr>
          <w:rFonts w:asciiTheme="minorHAnsi" w:hAnsiTheme="minorHAnsi" w:cstheme="minorHAnsi"/>
        </w:rPr>
        <w:t xml:space="preserve"> technology. This Request for Information (RFI) is intended to gather information on TD Bank's requirements, infrastructure and expectations related to integrating </w:t>
      </w:r>
      <w:r w:rsidR="00121DB8" w:rsidRPr="00C912C2">
        <w:rPr>
          <w:rFonts w:asciiTheme="minorHAnsi" w:hAnsiTheme="minorHAnsi" w:cstheme="minorHAnsi"/>
        </w:rPr>
        <w:t>WiTricity</w:t>
      </w:r>
      <w:r w:rsidRPr="00C912C2">
        <w:rPr>
          <w:rFonts w:asciiTheme="minorHAnsi" w:hAnsiTheme="minorHAnsi" w:cstheme="minorHAnsi"/>
        </w:rPr>
        <w:t>.</w:t>
      </w:r>
    </w:p>
    <w:p w14:paraId="14542D56" w14:textId="1E374995" w:rsidR="00B136FA" w:rsidRPr="00C912C2" w:rsidRDefault="00B136FA" w:rsidP="00C83BE7">
      <w:pPr>
        <w:spacing w:after="0" w:line="276" w:lineRule="auto"/>
        <w:rPr>
          <w:rFonts w:asciiTheme="minorHAnsi" w:hAnsiTheme="minorHAnsi" w:cstheme="minorHAnsi"/>
        </w:rPr>
      </w:pPr>
      <w:r w:rsidRPr="00C912C2">
        <w:rPr>
          <w:rFonts w:asciiTheme="minorHAnsi" w:hAnsiTheme="minorHAnsi" w:cstheme="minorHAnsi"/>
        </w:rPr>
        <w:t xml:space="preserve">This RFI aims to provide a foundation for informed decision-making by clarifying the potential benefits, challenges and synergies that the acquisition presents to TD Bank. The information gathered through this RFI will be used to identify </w:t>
      </w:r>
      <w:r w:rsidR="00121DB8" w:rsidRPr="00C912C2">
        <w:rPr>
          <w:rFonts w:asciiTheme="minorHAnsi" w:hAnsiTheme="minorHAnsi" w:cstheme="minorHAnsi"/>
        </w:rPr>
        <w:t>possible</w:t>
      </w:r>
      <w:r w:rsidRPr="00C912C2">
        <w:rPr>
          <w:rFonts w:asciiTheme="minorHAnsi" w:hAnsiTheme="minorHAnsi" w:cstheme="minorHAnsi"/>
        </w:rPr>
        <w:t xml:space="preserve"> solutions and develop a comprehensive implementation plan. We invite TD Bank to provide their input and insights in response to this RFI. The information provided will be confidential and only be used to evaluate responses.</w:t>
      </w:r>
    </w:p>
    <w:p w14:paraId="7C5BFD34" w14:textId="0081EFAE" w:rsidR="00B136FA" w:rsidRPr="00C912C2" w:rsidRDefault="00B136FA" w:rsidP="00C83BE7">
      <w:pPr>
        <w:spacing w:after="0" w:line="276" w:lineRule="auto"/>
        <w:rPr>
          <w:rFonts w:asciiTheme="minorHAnsi" w:hAnsiTheme="minorHAnsi" w:cstheme="minorHAnsi"/>
        </w:rPr>
      </w:pPr>
      <w:r w:rsidRPr="00C912C2">
        <w:rPr>
          <w:rFonts w:asciiTheme="minorHAnsi" w:hAnsiTheme="minorHAnsi" w:cstheme="minorHAnsi"/>
        </w:rPr>
        <w:t xml:space="preserve">This RFI is focused on gathering information on TD Bank's requirements for </w:t>
      </w:r>
      <w:r w:rsidR="00121DB8" w:rsidRPr="00C912C2">
        <w:rPr>
          <w:rFonts w:asciiTheme="minorHAnsi" w:hAnsiTheme="minorHAnsi" w:cstheme="minorHAnsi"/>
        </w:rPr>
        <w:t>WiTricity</w:t>
      </w:r>
      <w:r w:rsidRPr="00C912C2">
        <w:rPr>
          <w:rFonts w:asciiTheme="minorHAnsi" w:hAnsiTheme="minorHAnsi" w:cstheme="minorHAnsi"/>
        </w:rPr>
        <w:t xml:space="preserve"> acquisition. This includes infrastructure integration, security, compliance, </w:t>
      </w:r>
      <w:r w:rsidR="00453FC4">
        <w:rPr>
          <w:rFonts w:asciiTheme="minorHAnsi" w:hAnsiTheme="minorHAnsi" w:cstheme="minorHAnsi"/>
        </w:rPr>
        <w:t>and</w:t>
      </w:r>
      <w:r w:rsidRPr="00C912C2">
        <w:rPr>
          <w:rFonts w:asciiTheme="minorHAnsi" w:hAnsiTheme="minorHAnsi" w:cstheme="minorHAnsi"/>
        </w:rPr>
        <w:t xml:space="preserve"> support. We request that the requested information be provided by October 24</w:t>
      </w:r>
      <w:r w:rsidRPr="00C912C2">
        <w:rPr>
          <w:rFonts w:asciiTheme="minorHAnsi" w:hAnsiTheme="minorHAnsi" w:cstheme="minorHAnsi"/>
          <w:vertAlign w:val="superscript"/>
        </w:rPr>
        <w:t>th</w:t>
      </w:r>
      <w:r w:rsidRPr="00C912C2">
        <w:rPr>
          <w:rFonts w:asciiTheme="minorHAnsi" w:hAnsiTheme="minorHAnsi" w:cstheme="minorHAnsi"/>
        </w:rPr>
        <w:t>, 2024. This will allow us to complete our due diligence process and make an informed decision regarding the proposed acquisition.</w:t>
      </w:r>
    </w:p>
    <w:p w14:paraId="43034390" w14:textId="6033E28E" w:rsidR="00B136FA" w:rsidRDefault="00B136FA" w:rsidP="00C83BE7">
      <w:pPr>
        <w:spacing w:after="0" w:line="276" w:lineRule="auto"/>
        <w:rPr>
          <w:rFonts w:asciiTheme="minorHAnsi" w:hAnsiTheme="minorHAnsi" w:cstheme="minorHAnsi"/>
        </w:rPr>
      </w:pPr>
      <w:r w:rsidRPr="00C912C2">
        <w:rPr>
          <w:rFonts w:asciiTheme="minorHAnsi" w:hAnsiTheme="minorHAnsi" w:cstheme="minorHAnsi"/>
        </w:rPr>
        <w:t xml:space="preserve">We appreciate your cooperation in providing the requested information. </w:t>
      </w:r>
      <w:r w:rsidR="00121DB8" w:rsidRPr="00C912C2">
        <w:rPr>
          <w:rFonts w:asciiTheme="minorHAnsi" w:hAnsiTheme="minorHAnsi" w:cstheme="minorHAnsi"/>
        </w:rPr>
        <w:t>This</w:t>
      </w:r>
      <w:r w:rsidRPr="00C912C2">
        <w:rPr>
          <w:rFonts w:asciiTheme="minorHAnsi" w:hAnsiTheme="minorHAnsi" w:cstheme="minorHAnsi"/>
        </w:rPr>
        <w:t xml:space="preserve"> acquisition </w:t>
      </w:r>
      <w:r w:rsidR="0040045D" w:rsidRPr="00C912C2">
        <w:rPr>
          <w:rFonts w:asciiTheme="minorHAnsi" w:hAnsiTheme="minorHAnsi" w:cstheme="minorHAnsi"/>
        </w:rPr>
        <w:t>could</w:t>
      </w:r>
      <w:r w:rsidRPr="00C912C2">
        <w:rPr>
          <w:rFonts w:asciiTheme="minorHAnsi" w:hAnsiTheme="minorHAnsi" w:cstheme="minorHAnsi"/>
        </w:rPr>
        <w:t xml:space="preserve"> be mutually beneficial for both TD Bank and </w:t>
      </w:r>
      <w:r w:rsidR="00121DB8" w:rsidRPr="00C912C2">
        <w:rPr>
          <w:rFonts w:asciiTheme="minorHAnsi" w:hAnsiTheme="minorHAnsi" w:cstheme="minorHAnsi"/>
        </w:rPr>
        <w:t>WiTricity</w:t>
      </w:r>
      <w:r w:rsidRPr="00C912C2">
        <w:rPr>
          <w:rFonts w:asciiTheme="minorHAnsi" w:hAnsiTheme="minorHAnsi" w:cstheme="minorHAnsi"/>
        </w:rPr>
        <w:t>. We look forward to your prompt response and the opportunity to discuss this further.</w:t>
      </w:r>
    </w:p>
    <w:p w14:paraId="30E3771D" w14:textId="77777777" w:rsidR="00543DEC" w:rsidRDefault="00543DEC" w:rsidP="00C83BE7">
      <w:pPr>
        <w:spacing w:after="0" w:line="276" w:lineRule="auto"/>
        <w:rPr>
          <w:rFonts w:asciiTheme="minorHAnsi" w:hAnsiTheme="minorHAnsi" w:cstheme="minorHAnsi"/>
        </w:rPr>
      </w:pPr>
    </w:p>
    <w:p w14:paraId="167F2177" w14:textId="77777777" w:rsidR="00543DEC" w:rsidRDefault="00543DEC" w:rsidP="00C83BE7">
      <w:pPr>
        <w:spacing w:after="0" w:line="276" w:lineRule="auto"/>
        <w:rPr>
          <w:rFonts w:asciiTheme="minorHAnsi" w:hAnsiTheme="minorHAnsi" w:cstheme="minorHAnsi"/>
        </w:rPr>
      </w:pPr>
    </w:p>
    <w:p w14:paraId="1F351ED6" w14:textId="77777777" w:rsidR="00543DEC" w:rsidRDefault="00543DEC" w:rsidP="00C83BE7">
      <w:pPr>
        <w:spacing w:after="0" w:line="276" w:lineRule="auto"/>
        <w:rPr>
          <w:rFonts w:asciiTheme="minorHAnsi" w:hAnsiTheme="minorHAnsi" w:cstheme="minorHAnsi"/>
        </w:rPr>
      </w:pPr>
    </w:p>
    <w:p w14:paraId="59BA5771" w14:textId="77777777" w:rsidR="00543DEC" w:rsidRDefault="00543DEC" w:rsidP="00C83BE7">
      <w:pPr>
        <w:spacing w:after="0" w:line="276" w:lineRule="auto"/>
        <w:rPr>
          <w:rFonts w:asciiTheme="minorHAnsi" w:hAnsiTheme="minorHAnsi" w:cstheme="minorHAnsi"/>
        </w:rPr>
      </w:pPr>
    </w:p>
    <w:p w14:paraId="48B14A91" w14:textId="77777777" w:rsidR="00543DEC" w:rsidRDefault="00543DEC" w:rsidP="00C83BE7">
      <w:pPr>
        <w:spacing w:after="0" w:line="276" w:lineRule="auto"/>
        <w:rPr>
          <w:rFonts w:asciiTheme="minorHAnsi" w:hAnsiTheme="minorHAnsi" w:cstheme="minorHAnsi"/>
        </w:rPr>
      </w:pPr>
    </w:p>
    <w:p w14:paraId="2026E6ED" w14:textId="77777777" w:rsidR="00543DEC" w:rsidRDefault="00543DEC" w:rsidP="00C83BE7">
      <w:pPr>
        <w:spacing w:after="0" w:line="276" w:lineRule="auto"/>
        <w:rPr>
          <w:rFonts w:asciiTheme="minorHAnsi" w:hAnsiTheme="minorHAnsi" w:cstheme="minorHAnsi"/>
        </w:rPr>
      </w:pPr>
    </w:p>
    <w:p w14:paraId="21805308" w14:textId="77777777" w:rsidR="00543DEC" w:rsidRDefault="00543DEC" w:rsidP="00C83BE7">
      <w:pPr>
        <w:spacing w:after="0" w:line="276" w:lineRule="auto"/>
        <w:rPr>
          <w:rFonts w:asciiTheme="minorHAnsi" w:hAnsiTheme="minorHAnsi" w:cstheme="minorHAnsi"/>
        </w:rPr>
      </w:pPr>
    </w:p>
    <w:p w14:paraId="513D25AD" w14:textId="77777777" w:rsidR="00543DEC" w:rsidRDefault="00543DEC" w:rsidP="00C83BE7">
      <w:pPr>
        <w:spacing w:after="0" w:line="276" w:lineRule="auto"/>
        <w:rPr>
          <w:rFonts w:asciiTheme="minorHAnsi" w:hAnsiTheme="minorHAnsi" w:cstheme="minorHAnsi"/>
        </w:rPr>
      </w:pPr>
    </w:p>
    <w:p w14:paraId="740B2474" w14:textId="77777777" w:rsidR="00543DEC" w:rsidRDefault="00543DEC" w:rsidP="00C83BE7">
      <w:pPr>
        <w:spacing w:after="0" w:line="276" w:lineRule="auto"/>
        <w:rPr>
          <w:rFonts w:asciiTheme="minorHAnsi" w:hAnsiTheme="minorHAnsi" w:cstheme="minorHAnsi"/>
        </w:rPr>
      </w:pPr>
    </w:p>
    <w:p w14:paraId="7065A8FA" w14:textId="77777777" w:rsidR="00543DEC" w:rsidRDefault="00543DEC" w:rsidP="00C83BE7">
      <w:pPr>
        <w:spacing w:after="0" w:line="276" w:lineRule="auto"/>
        <w:rPr>
          <w:rFonts w:asciiTheme="minorHAnsi" w:hAnsiTheme="minorHAnsi" w:cstheme="minorHAnsi"/>
        </w:rPr>
      </w:pPr>
    </w:p>
    <w:p w14:paraId="5736F7CA" w14:textId="77777777" w:rsidR="00543DEC" w:rsidRDefault="00543DEC" w:rsidP="00C83BE7">
      <w:pPr>
        <w:spacing w:after="0" w:line="276" w:lineRule="auto"/>
        <w:rPr>
          <w:rFonts w:asciiTheme="minorHAnsi" w:hAnsiTheme="minorHAnsi" w:cstheme="minorHAnsi"/>
        </w:rPr>
      </w:pPr>
    </w:p>
    <w:p w14:paraId="4DE93398" w14:textId="77777777" w:rsidR="00543DEC" w:rsidRDefault="00543DEC" w:rsidP="00C83BE7">
      <w:pPr>
        <w:spacing w:after="0" w:line="276" w:lineRule="auto"/>
        <w:rPr>
          <w:rFonts w:asciiTheme="minorHAnsi" w:hAnsiTheme="minorHAnsi" w:cstheme="minorHAnsi"/>
        </w:rPr>
      </w:pPr>
    </w:p>
    <w:p w14:paraId="7B46DAD7" w14:textId="77777777" w:rsidR="00543DEC" w:rsidRDefault="00543DEC" w:rsidP="00C83BE7">
      <w:pPr>
        <w:spacing w:after="0" w:line="276" w:lineRule="auto"/>
        <w:rPr>
          <w:rFonts w:asciiTheme="minorHAnsi" w:hAnsiTheme="minorHAnsi" w:cstheme="minorHAnsi"/>
        </w:rPr>
      </w:pPr>
    </w:p>
    <w:p w14:paraId="0FB85EA9" w14:textId="77777777" w:rsidR="00543DEC" w:rsidRDefault="00543DEC" w:rsidP="00C83BE7">
      <w:pPr>
        <w:spacing w:after="0" w:line="276" w:lineRule="auto"/>
        <w:rPr>
          <w:rFonts w:asciiTheme="minorHAnsi" w:hAnsiTheme="minorHAnsi" w:cstheme="minorHAnsi"/>
        </w:rPr>
      </w:pPr>
    </w:p>
    <w:p w14:paraId="46A2DB99" w14:textId="77777777" w:rsidR="00543DEC" w:rsidRDefault="00543DEC" w:rsidP="00C83BE7">
      <w:pPr>
        <w:spacing w:after="0" w:line="276" w:lineRule="auto"/>
        <w:rPr>
          <w:rFonts w:asciiTheme="minorHAnsi" w:hAnsiTheme="minorHAnsi" w:cstheme="minorHAnsi"/>
        </w:rPr>
      </w:pPr>
    </w:p>
    <w:p w14:paraId="7EEE4706" w14:textId="77777777" w:rsidR="00543DEC" w:rsidRDefault="00543DEC" w:rsidP="00C83BE7">
      <w:pPr>
        <w:spacing w:after="0" w:line="276" w:lineRule="auto"/>
        <w:rPr>
          <w:rFonts w:asciiTheme="minorHAnsi" w:hAnsiTheme="minorHAnsi" w:cstheme="minorHAnsi"/>
        </w:rPr>
      </w:pPr>
    </w:p>
    <w:p w14:paraId="746058D0" w14:textId="77777777" w:rsidR="009876F9" w:rsidRDefault="009876F9" w:rsidP="00C83BE7">
      <w:pPr>
        <w:spacing w:after="0" w:line="276" w:lineRule="auto"/>
        <w:rPr>
          <w:rFonts w:asciiTheme="minorHAnsi" w:hAnsiTheme="minorHAnsi" w:cstheme="minorHAnsi"/>
        </w:rPr>
      </w:pPr>
    </w:p>
    <w:p w14:paraId="52869A8B" w14:textId="77777777" w:rsidR="00543DEC" w:rsidRDefault="00543DEC" w:rsidP="00C83BE7">
      <w:pPr>
        <w:spacing w:after="0" w:line="276" w:lineRule="auto"/>
        <w:rPr>
          <w:rFonts w:asciiTheme="minorHAnsi" w:hAnsiTheme="minorHAnsi" w:cstheme="minorHAnsi"/>
        </w:rPr>
      </w:pPr>
    </w:p>
    <w:p w14:paraId="0EB9C19A" w14:textId="77777777" w:rsidR="00543DEC" w:rsidRPr="00C912C2" w:rsidRDefault="00543DEC" w:rsidP="00C83BE7">
      <w:pPr>
        <w:spacing w:after="0" w:line="276" w:lineRule="auto"/>
        <w:rPr>
          <w:rFonts w:asciiTheme="minorHAnsi" w:hAnsiTheme="minorHAnsi" w:cstheme="minorHAnsi"/>
        </w:rPr>
      </w:pPr>
    </w:p>
    <w:p w14:paraId="268D729A" w14:textId="77A97D1A" w:rsidR="005B4DB2" w:rsidRPr="00C912C2" w:rsidRDefault="005B4DB2" w:rsidP="00947AC0">
      <w:pPr>
        <w:pStyle w:val="Heading1"/>
        <w:rPr>
          <w:rFonts w:asciiTheme="minorHAnsi" w:eastAsia="Aptos" w:hAnsiTheme="minorHAnsi" w:cstheme="minorHAnsi"/>
          <w:sz w:val="36"/>
          <w:szCs w:val="36"/>
        </w:rPr>
      </w:pPr>
      <w:bookmarkStart w:id="1" w:name="_Toc178976941"/>
      <w:r w:rsidRPr="00C912C2">
        <w:rPr>
          <w:rFonts w:asciiTheme="minorHAnsi" w:eastAsia="Aptos" w:hAnsiTheme="minorHAnsi" w:cstheme="minorHAnsi"/>
          <w:sz w:val="36"/>
          <w:szCs w:val="36"/>
        </w:rPr>
        <w:lastRenderedPageBreak/>
        <w:t>Executive Summary</w:t>
      </w:r>
      <w:bookmarkEnd w:id="1"/>
    </w:p>
    <w:p w14:paraId="7A1C2F09" w14:textId="2D2ED138" w:rsidR="00B136FA" w:rsidRPr="00C912C2" w:rsidRDefault="00B136FA" w:rsidP="00C83BE7">
      <w:pPr>
        <w:spacing w:after="0" w:line="276" w:lineRule="auto"/>
        <w:rPr>
          <w:rFonts w:asciiTheme="minorHAnsi" w:hAnsiTheme="minorHAnsi" w:cstheme="minorHAnsi"/>
        </w:rPr>
      </w:pPr>
      <w:r w:rsidRPr="00C912C2">
        <w:rPr>
          <w:rFonts w:asciiTheme="minorHAnsi" w:hAnsiTheme="minorHAnsi" w:cstheme="minorHAnsi"/>
        </w:rPr>
        <w:t xml:space="preserve">This Request for Information (RFI) seeks to gather relevant data, insights and strategic considerations for TD Bank's potential acquisition of </w:t>
      </w:r>
      <w:r w:rsidR="00121DB8" w:rsidRPr="00C912C2">
        <w:rPr>
          <w:rFonts w:asciiTheme="minorHAnsi" w:hAnsiTheme="minorHAnsi" w:cstheme="minorHAnsi"/>
        </w:rPr>
        <w:t>WiTricity</w:t>
      </w:r>
      <w:r w:rsidRPr="00C912C2">
        <w:rPr>
          <w:rFonts w:asciiTheme="minorHAnsi" w:hAnsiTheme="minorHAnsi" w:cstheme="minorHAnsi"/>
        </w:rPr>
        <w:t xml:space="preserve">. </w:t>
      </w:r>
      <w:r w:rsidR="00121DB8" w:rsidRPr="00C912C2">
        <w:rPr>
          <w:rFonts w:asciiTheme="minorHAnsi" w:hAnsiTheme="minorHAnsi" w:cstheme="minorHAnsi"/>
        </w:rPr>
        <w:t>WiTricity</w:t>
      </w:r>
      <w:r w:rsidRPr="00C912C2">
        <w:rPr>
          <w:rFonts w:asciiTheme="minorHAnsi" w:hAnsiTheme="minorHAnsi" w:cstheme="minorHAnsi"/>
        </w:rPr>
        <w:t xml:space="preserve"> is a leading </w:t>
      </w:r>
      <w:r w:rsidR="00121DB8" w:rsidRPr="00C912C2">
        <w:rPr>
          <w:rFonts w:asciiTheme="minorHAnsi" w:hAnsiTheme="minorHAnsi" w:cstheme="minorHAnsi"/>
        </w:rPr>
        <w:t>wireless electric vehicle (EV) charging technology innovator</w:t>
      </w:r>
      <w:r w:rsidRPr="00C912C2">
        <w:rPr>
          <w:rFonts w:asciiTheme="minorHAnsi" w:hAnsiTheme="minorHAnsi" w:cstheme="minorHAnsi"/>
        </w:rPr>
        <w:t xml:space="preserve">. This move aligns with TD Bank's strategic goals of promoting sustainability. It also aligns with the bank's goal of capitalizing on the growing EV market and establishing itself as a </w:t>
      </w:r>
      <w:r w:rsidR="00121DB8" w:rsidRPr="00C912C2">
        <w:rPr>
          <w:rFonts w:asciiTheme="minorHAnsi" w:hAnsiTheme="minorHAnsi" w:cstheme="minorHAnsi"/>
        </w:rPr>
        <w:t>critical</w:t>
      </w:r>
      <w:r w:rsidRPr="00C912C2">
        <w:rPr>
          <w:rFonts w:asciiTheme="minorHAnsi" w:hAnsiTheme="minorHAnsi" w:cstheme="minorHAnsi"/>
        </w:rPr>
        <w:t xml:space="preserve"> player in the green technology sector. </w:t>
      </w:r>
    </w:p>
    <w:p w14:paraId="264553E6" w14:textId="120ACF34" w:rsidR="00B136FA" w:rsidRPr="00C912C2" w:rsidRDefault="00B136FA" w:rsidP="00C83BE7">
      <w:pPr>
        <w:spacing w:after="0" w:line="276" w:lineRule="auto"/>
        <w:rPr>
          <w:rFonts w:asciiTheme="minorHAnsi" w:hAnsiTheme="minorHAnsi" w:cstheme="minorHAnsi"/>
        </w:rPr>
      </w:pPr>
      <w:r w:rsidRPr="00C912C2">
        <w:rPr>
          <w:rFonts w:asciiTheme="minorHAnsi" w:hAnsiTheme="minorHAnsi" w:cstheme="minorHAnsi"/>
        </w:rPr>
        <w:t xml:space="preserve">As the world transitions towards a more sustainable future </w:t>
      </w:r>
      <w:r w:rsidR="00121DB8" w:rsidRPr="00C912C2">
        <w:rPr>
          <w:rFonts w:asciiTheme="minorHAnsi" w:hAnsiTheme="minorHAnsi" w:cstheme="minorHAnsi"/>
        </w:rPr>
        <w:t>WiTricity</w:t>
      </w:r>
      <w:r w:rsidRPr="00C912C2">
        <w:rPr>
          <w:rFonts w:asciiTheme="minorHAnsi" w:hAnsiTheme="minorHAnsi" w:cstheme="minorHAnsi"/>
        </w:rPr>
        <w:t xml:space="preserve">'s innovative wireless charging solutions are well-positioned to play a significant role in the EV ecosystem. </w:t>
      </w:r>
      <w:r w:rsidR="00121DB8" w:rsidRPr="00C912C2">
        <w:rPr>
          <w:rFonts w:asciiTheme="minorHAnsi" w:hAnsiTheme="minorHAnsi" w:cstheme="minorHAnsi"/>
        </w:rPr>
        <w:t>WiTricity</w:t>
      </w:r>
      <w:r w:rsidRPr="00C912C2">
        <w:rPr>
          <w:rFonts w:asciiTheme="minorHAnsi" w:hAnsiTheme="minorHAnsi" w:cstheme="minorHAnsi"/>
        </w:rPr>
        <w:t xml:space="preserve">'s cutting-edge wireless charging solutions eliminate the need for cables, enhancing user convenience and accelerating EV adoption. By acquiring </w:t>
      </w:r>
      <w:r w:rsidR="00121DB8" w:rsidRPr="00C912C2">
        <w:rPr>
          <w:rFonts w:asciiTheme="minorHAnsi" w:hAnsiTheme="minorHAnsi" w:cstheme="minorHAnsi"/>
        </w:rPr>
        <w:t>WiTricity</w:t>
      </w:r>
      <w:r w:rsidRPr="00C912C2">
        <w:rPr>
          <w:rFonts w:asciiTheme="minorHAnsi" w:hAnsiTheme="minorHAnsi" w:cstheme="minorHAnsi"/>
        </w:rPr>
        <w:t xml:space="preserve">, TD Bank can leverage this innovation </w:t>
      </w:r>
      <w:r w:rsidR="0044433F">
        <w:rPr>
          <w:rFonts w:asciiTheme="minorHAnsi" w:hAnsiTheme="minorHAnsi" w:cstheme="minorHAnsi"/>
        </w:rPr>
        <w:t>to</w:t>
      </w:r>
      <w:r w:rsidRPr="00C912C2">
        <w:rPr>
          <w:rFonts w:asciiTheme="minorHAnsi" w:hAnsiTheme="minorHAnsi" w:cstheme="minorHAnsi"/>
        </w:rPr>
        <w:t xml:space="preserve"> create new investment and partnership opportunities within the green energy sector.</w:t>
      </w:r>
    </w:p>
    <w:p w14:paraId="4CB05A1F" w14:textId="0199C719" w:rsidR="00B136FA" w:rsidRPr="00C912C2" w:rsidRDefault="00B136FA" w:rsidP="00C83BE7">
      <w:pPr>
        <w:spacing w:after="0" w:line="276" w:lineRule="auto"/>
        <w:rPr>
          <w:rFonts w:asciiTheme="minorHAnsi" w:hAnsiTheme="minorHAnsi" w:cstheme="minorHAnsi"/>
        </w:rPr>
      </w:pPr>
      <w:r w:rsidRPr="00C912C2">
        <w:rPr>
          <w:rFonts w:asciiTheme="minorHAnsi" w:hAnsiTheme="minorHAnsi" w:cstheme="minorHAnsi"/>
        </w:rPr>
        <w:t xml:space="preserve">This RFI seeks to gather comprehensive information about TD Bank. It will explore potential synergies, risks and integration challenges associated with the acquisition. The information </w:t>
      </w:r>
      <w:r w:rsidR="00121DB8" w:rsidRPr="00C912C2">
        <w:rPr>
          <w:rFonts w:asciiTheme="minorHAnsi" w:hAnsiTheme="minorHAnsi" w:cstheme="minorHAnsi"/>
        </w:rPr>
        <w:t>collected</w:t>
      </w:r>
      <w:r w:rsidRPr="00C912C2">
        <w:rPr>
          <w:rFonts w:asciiTheme="minorHAnsi" w:hAnsiTheme="minorHAnsi" w:cstheme="minorHAnsi"/>
        </w:rPr>
        <w:t xml:space="preserve"> will help TD Bank determine whether to proceed with the acquisition. The </w:t>
      </w:r>
      <w:r w:rsidR="00121DB8" w:rsidRPr="00C912C2">
        <w:rPr>
          <w:rFonts w:asciiTheme="minorHAnsi" w:hAnsiTheme="minorHAnsi" w:cstheme="minorHAnsi"/>
        </w:rPr>
        <w:t>goal</w:t>
      </w:r>
      <w:r w:rsidRPr="00C912C2">
        <w:rPr>
          <w:rFonts w:asciiTheme="minorHAnsi" w:hAnsiTheme="minorHAnsi" w:cstheme="minorHAnsi"/>
        </w:rPr>
        <w:t xml:space="preserve"> is to make an informed decision that aligns with TD Bank's overall strategic vision and growth objectives in the EV sector.</w:t>
      </w:r>
    </w:p>
    <w:p w14:paraId="0C2B7460" w14:textId="77777777" w:rsidR="00B136FA" w:rsidRDefault="00B136FA" w:rsidP="00947AC0">
      <w:pPr>
        <w:rPr>
          <w:rFonts w:asciiTheme="minorHAnsi" w:hAnsiTheme="minorHAnsi" w:cstheme="minorHAnsi"/>
        </w:rPr>
      </w:pPr>
    </w:p>
    <w:p w14:paraId="2E522943" w14:textId="77777777" w:rsidR="009876F9" w:rsidRDefault="009876F9" w:rsidP="00947AC0">
      <w:pPr>
        <w:rPr>
          <w:rFonts w:asciiTheme="minorHAnsi" w:hAnsiTheme="minorHAnsi" w:cstheme="minorHAnsi"/>
        </w:rPr>
      </w:pPr>
    </w:p>
    <w:p w14:paraId="75C75E18" w14:textId="77777777" w:rsidR="009876F9" w:rsidRDefault="009876F9" w:rsidP="00947AC0">
      <w:pPr>
        <w:rPr>
          <w:rFonts w:asciiTheme="minorHAnsi" w:hAnsiTheme="minorHAnsi" w:cstheme="minorHAnsi"/>
        </w:rPr>
      </w:pPr>
    </w:p>
    <w:p w14:paraId="1B51B48A" w14:textId="77777777" w:rsidR="009876F9" w:rsidRDefault="009876F9" w:rsidP="00947AC0">
      <w:pPr>
        <w:rPr>
          <w:rFonts w:asciiTheme="minorHAnsi" w:hAnsiTheme="minorHAnsi" w:cstheme="minorHAnsi"/>
        </w:rPr>
      </w:pPr>
    </w:p>
    <w:p w14:paraId="4A57B812" w14:textId="77777777" w:rsidR="009876F9" w:rsidRDefault="009876F9" w:rsidP="00947AC0">
      <w:pPr>
        <w:rPr>
          <w:rFonts w:asciiTheme="minorHAnsi" w:hAnsiTheme="minorHAnsi" w:cstheme="minorHAnsi"/>
        </w:rPr>
      </w:pPr>
    </w:p>
    <w:p w14:paraId="69A386F2" w14:textId="77777777" w:rsidR="009876F9" w:rsidRDefault="009876F9" w:rsidP="00947AC0">
      <w:pPr>
        <w:rPr>
          <w:rFonts w:asciiTheme="minorHAnsi" w:hAnsiTheme="minorHAnsi" w:cstheme="minorHAnsi"/>
        </w:rPr>
      </w:pPr>
    </w:p>
    <w:p w14:paraId="0BC1EDDA" w14:textId="77777777" w:rsidR="009876F9" w:rsidRDefault="009876F9" w:rsidP="00947AC0">
      <w:pPr>
        <w:rPr>
          <w:rFonts w:asciiTheme="minorHAnsi" w:hAnsiTheme="minorHAnsi" w:cstheme="minorHAnsi"/>
        </w:rPr>
      </w:pPr>
    </w:p>
    <w:p w14:paraId="39A9E068" w14:textId="77777777" w:rsidR="009876F9" w:rsidRDefault="009876F9" w:rsidP="00947AC0">
      <w:pPr>
        <w:rPr>
          <w:rFonts w:asciiTheme="minorHAnsi" w:hAnsiTheme="minorHAnsi" w:cstheme="minorHAnsi"/>
        </w:rPr>
      </w:pPr>
    </w:p>
    <w:p w14:paraId="2EE78F75" w14:textId="77777777" w:rsidR="009876F9" w:rsidRDefault="009876F9" w:rsidP="00947AC0">
      <w:pPr>
        <w:rPr>
          <w:rFonts w:asciiTheme="minorHAnsi" w:hAnsiTheme="minorHAnsi" w:cstheme="minorHAnsi"/>
        </w:rPr>
      </w:pPr>
    </w:p>
    <w:p w14:paraId="444483BB" w14:textId="77777777" w:rsidR="009876F9" w:rsidRDefault="009876F9" w:rsidP="00947AC0">
      <w:pPr>
        <w:rPr>
          <w:rFonts w:asciiTheme="minorHAnsi" w:hAnsiTheme="minorHAnsi" w:cstheme="minorHAnsi"/>
        </w:rPr>
      </w:pPr>
    </w:p>
    <w:p w14:paraId="081AB40D" w14:textId="77777777" w:rsidR="009876F9" w:rsidRDefault="009876F9" w:rsidP="00947AC0">
      <w:pPr>
        <w:rPr>
          <w:rFonts w:asciiTheme="minorHAnsi" w:hAnsiTheme="minorHAnsi" w:cstheme="minorHAnsi"/>
        </w:rPr>
      </w:pPr>
    </w:p>
    <w:p w14:paraId="57976CA9" w14:textId="77777777" w:rsidR="009876F9" w:rsidRDefault="009876F9" w:rsidP="00947AC0">
      <w:pPr>
        <w:rPr>
          <w:rFonts w:asciiTheme="minorHAnsi" w:hAnsiTheme="minorHAnsi" w:cstheme="minorHAnsi"/>
        </w:rPr>
      </w:pPr>
    </w:p>
    <w:p w14:paraId="00182F93" w14:textId="77777777" w:rsidR="009876F9" w:rsidRDefault="009876F9" w:rsidP="00947AC0">
      <w:pPr>
        <w:rPr>
          <w:rFonts w:asciiTheme="minorHAnsi" w:hAnsiTheme="minorHAnsi" w:cstheme="minorHAnsi"/>
        </w:rPr>
      </w:pPr>
    </w:p>
    <w:p w14:paraId="2ADDF4AE" w14:textId="77777777" w:rsidR="009876F9" w:rsidRDefault="009876F9" w:rsidP="00947AC0">
      <w:pPr>
        <w:rPr>
          <w:rFonts w:asciiTheme="minorHAnsi" w:hAnsiTheme="minorHAnsi" w:cstheme="minorHAnsi"/>
        </w:rPr>
      </w:pPr>
    </w:p>
    <w:p w14:paraId="7A5B262A" w14:textId="77777777" w:rsidR="009876F9" w:rsidRPr="00C912C2" w:rsidRDefault="009876F9" w:rsidP="00947AC0">
      <w:pPr>
        <w:rPr>
          <w:rFonts w:asciiTheme="minorHAnsi" w:hAnsiTheme="minorHAnsi" w:cstheme="minorHAnsi"/>
        </w:rPr>
      </w:pPr>
    </w:p>
    <w:p w14:paraId="4B32C196" w14:textId="7D048B2B" w:rsidR="005B4DB2" w:rsidRPr="00C912C2" w:rsidRDefault="005B4DB2" w:rsidP="00947AC0">
      <w:pPr>
        <w:pStyle w:val="Heading1"/>
        <w:rPr>
          <w:rFonts w:asciiTheme="minorHAnsi" w:eastAsia="Aptos" w:hAnsiTheme="minorHAnsi" w:cstheme="minorHAnsi"/>
          <w:sz w:val="36"/>
          <w:szCs w:val="36"/>
        </w:rPr>
      </w:pPr>
      <w:bookmarkStart w:id="2" w:name="_Toc178976942"/>
      <w:r w:rsidRPr="00C912C2">
        <w:rPr>
          <w:rFonts w:asciiTheme="minorHAnsi" w:eastAsia="Aptos" w:hAnsiTheme="minorHAnsi" w:cstheme="minorHAnsi"/>
          <w:sz w:val="36"/>
          <w:szCs w:val="36"/>
        </w:rPr>
        <w:lastRenderedPageBreak/>
        <w:t>Ministry /Agency Overview</w:t>
      </w:r>
      <w:bookmarkEnd w:id="2"/>
    </w:p>
    <w:p w14:paraId="0B01AB3B" w14:textId="77777777" w:rsidR="00B136FA" w:rsidRPr="00C912C2" w:rsidRDefault="00B136FA" w:rsidP="00947AC0">
      <w:pPr>
        <w:pStyle w:val="Heading2"/>
        <w:rPr>
          <w:rFonts w:asciiTheme="minorHAnsi" w:hAnsiTheme="minorHAnsi" w:cstheme="minorHAnsi"/>
          <w:sz w:val="28"/>
          <w:szCs w:val="28"/>
        </w:rPr>
      </w:pPr>
      <w:bookmarkStart w:id="3" w:name="_Toc178976943"/>
      <w:r w:rsidRPr="00C912C2">
        <w:rPr>
          <w:rFonts w:asciiTheme="minorHAnsi" w:hAnsiTheme="minorHAnsi" w:cstheme="minorHAnsi"/>
          <w:sz w:val="28"/>
          <w:szCs w:val="28"/>
        </w:rPr>
        <w:t>History</w:t>
      </w:r>
      <w:bookmarkEnd w:id="3"/>
      <w:r w:rsidRPr="00C912C2">
        <w:rPr>
          <w:rFonts w:asciiTheme="minorHAnsi" w:hAnsiTheme="minorHAnsi" w:cstheme="minorHAnsi"/>
          <w:sz w:val="28"/>
          <w:szCs w:val="28"/>
        </w:rPr>
        <w:t xml:space="preserve"> </w:t>
      </w:r>
    </w:p>
    <w:p w14:paraId="5A12B898" w14:textId="1FF3BB78" w:rsidR="00B136FA" w:rsidRPr="00C912C2" w:rsidRDefault="00B136FA" w:rsidP="00C83BE7">
      <w:pPr>
        <w:spacing w:after="0" w:line="276" w:lineRule="auto"/>
        <w:rPr>
          <w:rFonts w:asciiTheme="minorHAnsi" w:hAnsiTheme="minorHAnsi" w:cstheme="minorHAnsi"/>
        </w:rPr>
      </w:pPr>
      <w:r w:rsidRPr="00C912C2">
        <w:rPr>
          <w:rFonts w:asciiTheme="minorHAnsi" w:hAnsiTheme="minorHAnsi" w:cstheme="minorHAnsi"/>
        </w:rPr>
        <w:t>TD Bank has a history spanning almost two centuries</w:t>
      </w:r>
      <w:r w:rsidR="00121DB8" w:rsidRPr="00C912C2">
        <w:rPr>
          <w:rFonts w:asciiTheme="minorHAnsi" w:hAnsiTheme="minorHAnsi" w:cstheme="minorHAnsi"/>
        </w:rPr>
        <w:t>, marked by strategic acquisitions, mergers</w:t>
      </w:r>
      <w:r w:rsidRPr="00C912C2">
        <w:rPr>
          <w:rFonts w:asciiTheme="minorHAnsi" w:hAnsiTheme="minorHAnsi" w:cstheme="minorHAnsi"/>
        </w:rPr>
        <w:t xml:space="preserve"> and a commitment to innovation. TD Bank is also known as Toronto-Dominion Bank. It was founded in 1955 through the merger of The Bank of Toronto and The Dominion Bank. TD Bank has become a leading Canadian financial institution with a significant North American presence. TD Bank is known for its customer-centric approach, comprehensive retail banking services and dedication to digital innovation. TD Bank's history is marked by strategic acquisitions and a continuous focus on improving customer experience.  This includes acquisitions of Commerce Bancorp in 2000, Bank North’s U.S. operations in 2005 and Chrysler Financials auto finance business in 2008. The 2015 acquisition of U.S. Bancorp's retail banking operations solidified its position as a leading regional bank in the U.S.  Today, TD Bank is one of the largest banks in North America with over 1,300 branches across the United States and Canada. It is </w:t>
      </w:r>
      <w:r w:rsidR="00121DB8" w:rsidRPr="00C912C2">
        <w:rPr>
          <w:rFonts w:asciiTheme="minorHAnsi" w:hAnsiTheme="minorHAnsi" w:cstheme="minorHAnsi"/>
        </w:rPr>
        <w:t>firmly</w:t>
      </w:r>
      <w:r w:rsidRPr="00C912C2">
        <w:rPr>
          <w:rFonts w:asciiTheme="minorHAnsi" w:hAnsiTheme="minorHAnsi" w:cstheme="minorHAnsi"/>
        </w:rPr>
        <w:t xml:space="preserve"> committed to supporting its customers, communities and the environment.</w:t>
      </w:r>
    </w:p>
    <w:p w14:paraId="1B4087F9" w14:textId="77777777" w:rsidR="00B136FA" w:rsidRPr="00C912C2" w:rsidRDefault="00B136FA" w:rsidP="007422FB">
      <w:pPr>
        <w:pStyle w:val="Heading2"/>
        <w:spacing w:before="240"/>
        <w:rPr>
          <w:rFonts w:asciiTheme="minorHAnsi" w:hAnsiTheme="minorHAnsi" w:cstheme="minorHAnsi"/>
          <w:sz w:val="28"/>
          <w:szCs w:val="28"/>
        </w:rPr>
      </w:pPr>
      <w:bookmarkStart w:id="4" w:name="_Toc178976944"/>
      <w:r w:rsidRPr="00C912C2">
        <w:rPr>
          <w:rFonts w:asciiTheme="minorHAnsi" w:hAnsiTheme="minorHAnsi" w:cstheme="minorHAnsi"/>
          <w:sz w:val="28"/>
          <w:szCs w:val="28"/>
        </w:rPr>
        <w:t>Strategic Objectives and Direction</w:t>
      </w:r>
      <w:bookmarkEnd w:id="4"/>
    </w:p>
    <w:p w14:paraId="15AD0C63" w14:textId="6E2C0704" w:rsidR="00B136FA" w:rsidRDefault="00B136FA" w:rsidP="00C83BE7">
      <w:pPr>
        <w:spacing w:after="0" w:line="276" w:lineRule="auto"/>
        <w:rPr>
          <w:rFonts w:asciiTheme="minorHAnsi" w:hAnsiTheme="minorHAnsi" w:cstheme="minorHAnsi"/>
        </w:rPr>
      </w:pPr>
      <w:r w:rsidRPr="00C912C2">
        <w:rPr>
          <w:rFonts w:asciiTheme="minorHAnsi" w:hAnsiTheme="minorHAnsi" w:cstheme="minorHAnsi"/>
        </w:rPr>
        <w:t>TD Bank's strategic objectives and direction are focused on four key areas. This includes sustainability, innovation, customer experience and growth. These objectives guide the bank's efforts to remain competitive and forward-thinking.  They ensure the bank is aligned with global trends, particularly in financial services and green technologies.</w:t>
      </w:r>
    </w:p>
    <w:p w14:paraId="027AD2D8" w14:textId="77777777" w:rsidR="00D27566" w:rsidRPr="00C912C2" w:rsidRDefault="00D27566" w:rsidP="00C83BE7">
      <w:pPr>
        <w:spacing w:after="0" w:line="276" w:lineRule="auto"/>
        <w:rPr>
          <w:rFonts w:asciiTheme="minorHAnsi" w:hAnsiTheme="minorHAnsi" w:cstheme="minorHAnsi"/>
        </w:rPr>
      </w:pPr>
    </w:p>
    <w:p w14:paraId="2AC0FCE5" w14:textId="5DB299CB" w:rsidR="00B136FA" w:rsidRPr="00C912C2" w:rsidRDefault="00B136FA" w:rsidP="00C83BE7">
      <w:pPr>
        <w:spacing w:after="0" w:line="276" w:lineRule="auto"/>
        <w:rPr>
          <w:rFonts w:asciiTheme="minorHAnsi" w:hAnsiTheme="minorHAnsi" w:cstheme="minorHAnsi"/>
          <w:b/>
          <w:bCs/>
        </w:rPr>
      </w:pPr>
      <w:r w:rsidRPr="00C912C2">
        <w:rPr>
          <w:rFonts w:asciiTheme="minorHAnsi" w:hAnsiTheme="minorHAnsi" w:cstheme="minorHAnsi"/>
          <w:b/>
          <w:bCs/>
        </w:rPr>
        <w:t>Sustainability and Environmental Leadership</w:t>
      </w:r>
    </w:p>
    <w:p w14:paraId="48B2A93E" w14:textId="6CDD3C13" w:rsidR="00B136FA" w:rsidRDefault="00B136FA" w:rsidP="00C83BE7">
      <w:pPr>
        <w:spacing w:after="0" w:line="276" w:lineRule="auto"/>
        <w:rPr>
          <w:rFonts w:asciiTheme="minorHAnsi" w:hAnsiTheme="minorHAnsi" w:cstheme="minorHAnsi"/>
        </w:rPr>
      </w:pPr>
      <w:r w:rsidRPr="00C912C2">
        <w:rPr>
          <w:rFonts w:asciiTheme="minorHAnsi" w:hAnsiTheme="minorHAnsi" w:cstheme="minorHAnsi"/>
        </w:rPr>
        <w:t>TD Bank is committed to sustainability and environmental leadership. This commitment involves leading the financial sector in sustainable business practices and green investments. The bank supports environmental initiatives by financing clean energy projects such as renewable energy and electric vehicle infrastructure. TD Bank is dedicated to reducing its carbon footprint. The bank encourages its clients to invest in eco-friendly businesses</w:t>
      </w:r>
      <w:r w:rsidR="00121DB8" w:rsidRPr="00C912C2">
        <w:rPr>
          <w:rFonts w:asciiTheme="minorHAnsi" w:hAnsiTheme="minorHAnsi" w:cstheme="minorHAnsi"/>
        </w:rPr>
        <w:t>,</w:t>
      </w:r>
      <w:r w:rsidRPr="00C912C2">
        <w:rPr>
          <w:rFonts w:asciiTheme="minorHAnsi" w:hAnsiTheme="minorHAnsi" w:cstheme="minorHAnsi"/>
        </w:rPr>
        <w:t xml:space="preserve"> promoting a culture of sustainability. The bank aims to become a key player in the global push towards a low-carbon economy. This involves prioritizing investments in green technologies and sustainable infrastructure. TD Bank's efforts will contribute to a more environmentally conscious future.</w:t>
      </w:r>
    </w:p>
    <w:p w14:paraId="7641DF19" w14:textId="77777777" w:rsidR="00D27566" w:rsidRPr="00C912C2" w:rsidRDefault="00D27566" w:rsidP="00C83BE7">
      <w:pPr>
        <w:spacing w:after="0" w:line="276" w:lineRule="auto"/>
        <w:rPr>
          <w:rFonts w:asciiTheme="minorHAnsi" w:hAnsiTheme="minorHAnsi" w:cstheme="minorHAnsi"/>
          <w:b/>
          <w:bCs/>
        </w:rPr>
      </w:pPr>
    </w:p>
    <w:p w14:paraId="09139761" w14:textId="27C2DE1C" w:rsidR="00B136FA" w:rsidRPr="00C912C2" w:rsidRDefault="00B136FA" w:rsidP="00C83BE7">
      <w:pPr>
        <w:spacing w:after="0" w:line="276" w:lineRule="auto"/>
        <w:rPr>
          <w:rFonts w:asciiTheme="minorHAnsi" w:hAnsiTheme="minorHAnsi" w:cstheme="minorHAnsi"/>
          <w:b/>
          <w:bCs/>
        </w:rPr>
      </w:pPr>
      <w:r w:rsidRPr="00C912C2">
        <w:rPr>
          <w:rFonts w:asciiTheme="minorHAnsi" w:hAnsiTheme="minorHAnsi" w:cstheme="minorHAnsi"/>
          <w:b/>
          <w:bCs/>
        </w:rPr>
        <w:t>Technological Innovation and Digital Transformation</w:t>
      </w:r>
    </w:p>
    <w:p w14:paraId="4FA30E46" w14:textId="65A993A0" w:rsidR="00B136FA" w:rsidRDefault="00B136FA" w:rsidP="00C83BE7">
      <w:pPr>
        <w:spacing w:after="0" w:line="276" w:lineRule="auto"/>
        <w:rPr>
          <w:rFonts w:cstheme="minorHAnsi"/>
        </w:rPr>
      </w:pPr>
      <w:r w:rsidRPr="00F22748">
        <w:rPr>
          <w:rFonts w:cstheme="minorHAnsi"/>
        </w:rPr>
        <w:t xml:space="preserve">TD Bank is driving technological innovation and digital transformation by investing heavily in digital transformation. The bank </w:t>
      </w:r>
      <w:r w:rsidR="00121DB8" w:rsidRPr="00F22748">
        <w:rPr>
          <w:rFonts w:cstheme="minorHAnsi"/>
        </w:rPr>
        <w:t>leverages</w:t>
      </w:r>
      <w:r w:rsidRPr="00F22748">
        <w:rPr>
          <w:rFonts w:cstheme="minorHAnsi"/>
        </w:rPr>
        <w:t xml:space="preserve"> cutting-edge technologies such as AI, data analytics and blockchain. This enhances banking operations and customer services. This includes creating innovative digital banking solutions that provide seamless and convenient services to customers.TD Bank is expanding its partnerships </w:t>
      </w:r>
      <w:r w:rsidR="002E04B8">
        <w:rPr>
          <w:rFonts w:cstheme="minorHAnsi"/>
        </w:rPr>
        <w:t>and</w:t>
      </w:r>
      <w:r w:rsidRPr="00F22748">
        <w:rPr>
          <w:rFonts w:cstheme="minorHAnsi"/>
        </w:rPr>
        <w:t xml:space="preserve"> acquisitions in the tech innovation sectors. This strategic move aims to strengthen its position in the evolving financial services landscape. By embracing digital transformation, the bank </w:t>
      </w:r>
      <w:r w:rsidR="00121DB8" w:rsidRPr="00F22748">
        <w:rPr>
          <w:rFonts w:cstheme="minorHAnsi"/>
        </w:rPr>
        <w:t>seeks</w:t>
      </w:r>
      <w:r w:rsidRPr="00F22748">
        <w:rPr>
          <w:rFonts w:cstheme="minorHAnsi"/>
        </w:rPr>
        <w:t xml:space="preserve"> to stay ahead of the curve and provide customers with the most advanced banking experiences.</w:t>
      </w:r>
    </w:p>
    <w:p w14:paraId="46A35622" w14:textId="77777777" w:rsidR="00D27566" w:rsidRPr="00F22748" w:rsidRDefault="00D27566" w:rsidP="00C83BE7">
      <w:pPr>
        <w:spacing w:after="0" w:line="276" w:lineRule="auto"/>
        <w:rPr>
          <w:rFonts w:cstheme="minorHAnsi"/>
        </w:rPr>
      </w:pPr>
    </w:p>
    <w:p w14:paraId="3D676973" w14:textId="57412518" w:rsidR="00B136FA" w:rsidRPr="00C912C2" w:rsidRDefault="00B136FA" w:rsidP="00C83BE7">
      <w:pPr>
        <w:spacing w:after="0" w:line="276" w:lineRule="auto"/>
        <w:rPr>
          <w:rFonts w:asciiTheme="minorHAnsi" w:hAnsiTheme="minorHAnsi" w:cstheme="minorHAnsi"/>
          <w:b/>
          <w:bCs/>
        </w:rPr>
      </w:pPr>
      <w:r w:rsidRPr="00C912C2">
        <w:rPr>
          <w:rFonts w:asciiTheme="minorHAnsi" w:hAnsiTheme="minorHAnsi" w:cstheme="minorHAnsi"/>
          <w:b/>
          <w:bCs/>
        </w:rPr>
        <w:t>Enhancing Customer Experience</w:t>
      </w:r>
    </w:p>
    <w:p w14:paraId="43452856" w14:textId="23BA9809" w:rsidR="00B136FA" w:rsidRDefault="00B136FA" w:rsidP="00C83BE7">
      <w:pPr>
        <w:spacing w:after="0" w:line="276" w:lineRule="auto"/>
        <w:rPr>
          <w:rFonts w:asciiTheme="minorHAnsi" w:hAnsiTheme="minorHAnsi" w:cstheme="minorHAnsi"/>
        </w:rPr>
      </w:pPr>
      <w:r w:rsidRPr="00C912C2">
        <w:rPr>
          <w:rFonts w:asciiTheme="minorHAnsi" w:hAnsiTheme="minorHAnsi" w:cstheme="minorHAnsi"/>
        </w:rPr>
        <w:lastRenderedPageBreak/>
        <w:t xml:space="preserve">TD Bank is committed to enhancing customer experience by focusing </w:t>
      </w:r>
      <w:r w:rsidR="00121DB8" w:rsidRPr="00C912C2">
        <w:rPr>
          <w:rFonts w:asciiTheme="minorHAnsi" w:hAnsiTheme="minorHAnsi" w:cstheme="minorHAnsi"/>
        </w:rPr>
        <w:t>intensely</w:t>
      </w:r>
      <w:r w:rsidRPr="00C912C2">
        <w:rPr>
          <w:rFonts w:asciiTheme="minorHAnsi" w:hAnsiTheme="minorHAnsi" w:cstheme="minorHAnsi"/>
        </w:rPr>
        <w:t xml:space="preserve"> on customer-centricity. The bank continuously improves the quality of its services across retail, corporate and commercial banking. This commitment ensures that customers receive exceptional support and guidance. </w:t>
      </w:r>
      <w:r w:rsidR="00121DB8" w:rsidRPr="00C912C2">
        <w:rPr>
          <w:rFonts w:asciiTheme="minorHAnsi" w:hAnsiTheme="minorHAnsi" w:cstheme="minorHAnsi"/>
        </w:rPr>
        <w:t>TD Bank is expanding its digital offerings and self-service solutions to meet its customers' evolving needs</w:t>
      </w:r>
      <w:r w:rsidRPr="00C912C2">
        <w:rPr>
          <w:rFonts w:asciiTheme="minorHAnsi" w:hAnsiTheme="minorHAnsi" w:cstheme="minorHAnsi"/>
        </w:rPr>
        <w:t>. The bank is tailoring its financial products to meet the unique needs of both individual and corporate clients. This approach particularly emphasizes areas such as green finance and sustainability-focused investments. By putting customers at the forefront of its strategy</w:t>
      </w:r>
      <w:r w:rsidR="00121DB8" w:rsidRPr="00C912C2">
        <w:rPr>
          <w:rFonts w:asciiTheme="minorHAnsi" w:hAnsiTheme="minorHAnsi" w:cstheme="minorHAnsi"/>
        </w:rPr>
        <w:t>, TD Bank aims to build long-term relationships and deliver personalized solutions that meet its</w:t>
      </w:r>
      <w:r w:rsidRPr="00C912C2">
        <w:rPr>
          <w:rFonts w:asciiTheme="minorHAnsi" w:hAnsiTheme="minorHAnsi" w:cstheme="minorHAnsi"/>
        </w:rPr>
        <w:t xml:space="preserve"> diverse financial goals.</w:t>
      </w:r>
    </w:p>
    <w:p w14:paraId="4F44D05D" w14:textId="77777777" w:rsidR="00D27566" w:rsidRPr="00C912C2" w:rsidRDefault="00D27566" w:rsidP="00C83BE7">
      <w:pPr>
        <w:spacing w:after="0" w:line="276" w:lineRule="auto"/>
        <w:rPr>
          <w:rFonts w:asciiTheme="minorHAnsi" w:hAnsiTheme="minorHAnsi" w:cstheme="minorHAnsi"/>
        </w:rPr>
      </w:pPr>
    </w:p>
    <w:p w14:paraId="4F2930A0" w14:textId="7938FD41" w:rsidR="00B136FA" w:rsidRPr="00C912C2" w:rsidRDefault="00B136FA" w:rsidP="00C83BE7">
      <w:pPr>
        <w:spacing w:after="0" w:line="276" w:lineRule="auto"/>
        <w:rPr>
          <w:rFonts w:asciiTheme="minorHAnsi" w:hAnsiTheme="minorHAnsi" w:cstheme="minorHAnsi"/>
        </w:rPr>
      </w:pPr>
      <w:r w:rsidRPr="00C912C2">
        <w:rPr>
          <w:rFonts w:asciiTheme="minorHAnsi" w:hAnsiTheme="minorHAnsi" w:cstheme="minorHAnsi"/>
          <w:b/>
          <w:bCs/>
        </w:rPr>
        <w:t>Growth and Market Expansion</w:t>
      </w:r>
    </w:p>
    <w:p w14:paraId="0409E778" w14:textId="47BF725B" w:rsidR="00B136FA" w:rsidRDefault="00B136FA" w:rsidP="00C83BE7">
      <w:pPr>
        <w:spacing w:after="0" w:line="276" w:lineRule="auto"/>
        <w:rPr>
          <w:rFonts w:asciiTheme="minorHAnsi" w:hAnsiTheme="minorHAnsi" w:cstheme="minorHAnsi"/>
        </w:rPr>
      </w:pPr>
      <w:r w:rsidRPr="00C912C2">
        <w:rPr>
          <w:rFonts w:asciiTheme="minorHAnsi" w:hAnsiTheme="minorHAnsi" w:cstheme="minorHAnsi"/>
        </w:rPr>
        <w:t xml:space="preserve">The bank seeks to drive growth through targeted investments in key markets while improving operational efficiency and reducing costs. TD Bank is expanding its market presence in </w:t>
      </w:r>
      <w:r w:rsidR="004C2A91" w:rsidRPr="00C912C2">
        <w:rPr>
          <w:rFonts w:asciiTheme="minorHAnsi" w:hAnsiTheme="minorHAnsi" w:cstheme="minorHAnsi"/>
        </w:rPr>
        <w:t>high growth</w:t>
      </w:r>
      <w:r w:rsidRPr="00C912C2">
        <w:rPr>
          <w:rFonts w:asciiTheme="minorHAnsi" w:hAnsiTheme="minorHAnsi" w:cstheme="minorHAnsi"/>
        </w:rPr>
        <w:t xml:space="preserve"> emerging sectors, diversifying its portfolio into green technology. The bank is also expanding its reach into global markets, accelerating its transition to renewable energy. The Bank is positioning itself as a leader in financing and supporting </w:t>
      </w:r>
      <w:r w:rsidR="002E04B8">
        <w:rPr>
          <w:rFonts w:asciiTheme="minorHAnsi" w:hAnsiTheme="minorHAnsi" w:cstheme="minorHAnsi"/>
        </w:rPr>
        <w:t>sustainability</w:t>
      </w:r>
      <w:r w:rsidR="00121DB8" w:rsidRPr="00C912C2">
        <w:rPr>
          <w:rFonts w:asciiTheme="minorHAnsi" w:hAnsiTheme="minorHAnsi" w:cstheme="minorHAnsi"/>
        </w:rPr>
        <w:t xml:space="preserve"> a</w:t>
      </w:r>
      <w:r w:rsidR="00E177BB">
        <w:rPr>
          <w:rFonts w:asciiTheme="minorHAnsi" w:hAnsiTheme="minorHAnsi" w:cstheme="minorHAnsi"/>
        </w:rPr>
        <w:t>long with</w:t>
      </w:r>
      <w:r w:rsidRPr="00C912C2">
        <w:rPr>
          <w:rFonts w:asciiTheme="minorHAnsi" w:hAnsiTheme="minorHAnsi" w:cstheme="minorHAnsi"/>
        </w:rPr>
        <w:t xml:space="preserve"> high-growth industries to drive long-term shareholder value.</w:t>
      </w:r>
    </w:p>
    <w:p w14:paraId="6882BEF8" w14:textId="77777777" w:rsidR="00AD59D2" w:rsidRPr="00C912C2" w:rsidRDefault="00AD59D2" w:rsidP="00C83BE7">
      <w:pPr>
        <w:spacing w:after="0" w:line="276" w:lineRule="auto"/>
        <w:rPr>
          <w:rFonts w:asciiTheme="minorHAnsi" w:hAnsiTheme="minorHAnsi" w:cstheme="minorHAnsi"/>
        </w:rPr>
      </w:pPr>
    </w:p>
    <w:p w14:paraId="0B35ABC9" w14:textId="19E5D5D2" w:rsidR="005B4DB2" w:rsidRPr="00C912C2" w:rsidRDefault="005B4DB2" w:rsidP="00947AC0">
      <w:pPr>
        <w:pStyle w:val="Heading1"/>
        <w:rPr>
          <w:rFonts w:asciiTheme="minorHAnsi" w:eastAsia="Aptos" w:hAnsiTheme="minorHAnsi" w:cstheme="minorHAnsi"/>
          <w:sz w:val="36"/>
          <w:szCs w:val="36"/>
        </w:rPr>
      </w:pPr>
      <w:bookmarkStart w:id="5" w:name="_Toc178976945"/>
      <w:r w:rsidRPr="00C912C2">
        <w:rPr>
          <w:rFonts w:asciiTheme="minorHAnsi" w:eastAsia="Aptos" w:hAnsiTheme="minorHAnsi" w:cstheme="minorHAnsi"/>
          <w:sz w:val="36"/>
          <w:szCs w:val="36"/>
        </w:rPr>
        <w:t>Project Overview</w:t>
      </w:r>
      <w:bookmarkEnd w:id="5"/>
    </w:p>
    <w:p w14:paraId="36EFE21B" w14:textId="5D436828" w:rsidR="00561C81" w:rsidRPr="00C912C2" w:rsidRDefault="00561C81" w:rsidP="00C83BE7">
      <w:pPr>
        <w:spacing w:after="0" w:line="276" w:lineRule="auto"/>
        <w:rPr>
          <w:rFonts w:asciiTheme="minorHAnsi" w:hAnsiTheme="minorHAnsi" w:cstheme="minorHAnsi"/>
        </w:rPr>
      </w:pPr>
      <w:r w:rsidRPr="00C912C2">
        <w:rPr>
          <w:rFonts w:asciiTheme="minorHAnsi" w:hAnsiTheme="minorHAnsi" w:cstheme="minorHAnsi"/>
        </w:rPr>
        <w:t xml:space="preserve">TD Bank is one of the largest financial institutions in North America. It is starting a strategic initiative to purchase </w:t>
      </w:r>
      <w:r w:rsidR="00121DB8" w:rsidRPr="00C912C2">
        <w:rPr>
          <w:rFonts w:asciiTheme="minorHAnsi" w:hAnsiTheme="minorHAnsi" w:cstheme="minorHAnsi"/>
        </w:rPr>
        <w:t>WiTricity</w:t>
      </w:r>
      <w:r w:rsidRPr="00C912C2">
        <w:rPr>
          <w:rFonts w:asciiTheme="minorHAnsi" w:hAnsiTheme="minorHAnsi" w:cstheme="minorHAnsi"/>
        </w:rPr>
        <w:t xml:space="preserve">, a </w:t>
      </w:r>
      <w:r w:rsidR="00121DB8" w:rsidRPr="00C912C2">
        <w:rPr>
          <w:rFonts w:asciiTheme="minorHAnsi" w:hAnsiTheme="minorHAnsi" w:cstheme="minorHAnsi"/>
        </w:rPr>
        <w:t>wireless electric vehicle (EV) charging technology leader</w:t>
      </w:r>
      <w:r w:rsidRPr="00C912C2">
        <w:rPr>
          <w:rFonts w:asciiTheme="minorHAnsi" w:hAnsiTheme="minorHAnsi" w:cstheme="minorHAnsi"/>
        </w:rPr>
        <w:t xml:space="preserve">. A key component of TD Bank's long-term plan </w:t>
      </w:r>
      <w:r w:rsidR="00735592">
        <w:rPr>
          <w:rFonts w:asciiTheme="minorHAnsi" w:hAnsiTheme="minorHAnsi" w:cstheme="minorHAnsi"/>
        </w:rPr>
        <w:t>is to</w:t>
      </w:r>
      <w:r w:rsidRPr="00C912C2">
        <w:rPr>
          <w:rFonts w:asciiTheme="minorHAnsi" w:hAnsiTheme="minorHAnsi" w:cstheme="minorHAnsi"/>
        </w:rPr>
        <w:t xml:space="preserve"> establish itself as a leader in sustainable finance</w:t>
      </w:r>
      <w:r w:rsidR="00735592">
        <w:rPr>
          <w:rFonts w:asciiTheme="minorHAnsi" w:hAnsiTheme="minorHAnsi" w:cstheme="minorHAnsi"/>
        </w:rPr>
        <w:t>. It also involves</w:t>
      </w:r>
      <w:r w:rsidRPr="00C912C2">
        <w:rPr>
          <w:rFonts w:asciiTheme="minorHAnsi" w:hAnsiTheme="minorHAnsi" w:cstheme="minorHAnsi"/>
        </w:rPr>
        <w:t xml:space="preserve"> tak</w:t>
      </w:r>
      <w:r w:rsidR="00735592">
        <w:rPr>
          <w:rFonts w:asciiTheme="minorHAnsi" w:hAnsiTheme="minorHAnsi" w:cstheme="minorHAnsi"/>
        </w:rPr>
        <w:t>ing</w:t>
      </w:r>
      <w:r w:rsidRPr="00C912C2">
        <w:rPr>
          <w:rFonts w:asciiTheme="minorHAnsi" w:hAnsiTheme="minorHAnsi" w:cstheme="minorHAnsi"/>
        </w:rPr>
        <w:t xml:space="preserve"> advantage of the expanding EV a</w:t>
      </w:r>
      <w:r w:rsidR="00593F82">
        <w:rPr>
          <w:rFonts w:asciiTheme="minorHAnsi" w:hAnsiTheme="minorHAnsi" w:cstheme="minorHAnsi"/>
        </w:rPr>
        <w:t>long with</w:t>
      </w:r>
      <w:r w:rsidRPr="00C912C2">
        <w:rPr>
          <w:rFonts w:asciiTheme="minorHAnsi" w:hAnsiTheme="minorHAnsi" w:cstheme="minorHAnsi"/>
        </w:rPr>
        <w:t xml:space="preserve"> green energy markets i</w:t>
      </w:r>
      <w:r w:rsidR="00735592">
        <w:rPr>
          <w:rFonts w:asciiTheme="minorHAnsi" w:hAnsiTheme="minorHAnsi" w:cstheme="minorHAnsi"/>
        </w:rPr>
        <w:t>n</w:t>
      </w:r>
      <w:r w:rsidRPr="00C912C2">
        <w:rPr>
          <w:rFonts w:asciiTheme="minorHAnsi" w:hAnsiTheme="minorHAnsi" w:cstheme="minorHAnsi"/>
        </w:rPr>
        <w:t xml:space="preserve"> this acquisition. </w:t>
      </w:r>
      <w:r w:rsidR="00121DB8" w:rsidRPr="00C912C2">
        <w:rPr>
          <w:rFonts w:asciiTheme="minorHAnsi" w:hAnsiTheme="minorHAnsi" w:cstheme="minorHAnsi"/>
        </w:rPr>
        <w:t>WiTricity</w:t>
      </w:r>
      <w:r w:rsidRPr="00C912C2">
        <w:rPr>
          <w:rFonts w:asciiTheme="minorHAnsi" w:hAnsiTheme="minorHAnsi" w:cstheme="minorHAnsi"/>
        </w:rPr>
        <w:t>'s cutting-edge technology strengthens TD's commitment to reaching net-zero emissions by 2050 by perfectly aligning with the bank's Environmental, Social and Governance (ESG) goals.</w:t>
      </w:r>
    </w:p>
    <w:p w14:paraId="2BC1F994" w14:textId="1C236965" w:rsidR="00561C81" w:rsidRDefault="00561C81" w:rsidP="00C83BE7">
      <w:pPr>
        <w:spacing w:after="0" w:line="276" w:lineRule="auto"/>
        <w:rPr>
          <w:rFonts w:asciiTheme="minorHAnsi" w:hAnsiTheme="minorHAnsi" w:cstheme="minorHAnsi"/>
        </w:rPr>
      </w:pPr>
      <w:r w:rsidRPr="00C912C2">
        <w:rPr>
          <w:rFonts w:asciiTheme="minorHAnsi" w:hAnsiTheme="minorHAnsi" w:cstheme="minorHAnsi"/>
        </w:rPr>
        <w:t xml:space="preserve">TD Bank is leveraging the anticipated explosive expansion of the electric vehicle (EV) market which is predicted to exceed 40 million vehicles in North America by 2030 to seize a sizable portion of the EV financing and infrastructure markets. TD Bank will be able to diversify its revenue streams </w:t>
      </w:r>
      <w:r w:rsidR="00F53FBB">
        <w:rPr>
          <w:rFonts w:asciiTheme="minorHAnsi" w:hAnsiTheme="minorHAnsi" w:cstheme="minorHAnsi"/>
        </w:rPr>
        <w:t xml:space="preserve">that can help in </w:t>
      </w:r>
      <w:r w:rsidR="00F53FBB" w:rsidRPr="00C912C2">
        <w:rPr>
          <w:rFonts w:asciiTheme="minorHAnsi" w:hAnsiTheme="minorHAnsi" w:cstheme="minorHAnsi"/>
        </w:rPr>
        <w:t>strengthening</w:t>
      </w:r>
      <w:r w:rsidRPr="00C912C2">
        <w:rPr>
          <w:rFonts w:asciiTheme="minorHAnsi" w:hAnsiTheme="minorHAnsi" w:cstheme="minorHAnsi"/>
        </w:rPr>
        <w:t xml:space="preserve"> its position as a pioneer in ESG-driven investments by providing new financial products including infrastructure finance and EV-specific loans. All this is possible by </w:t>
      </w:r>
      <w:r w:rsidR="00121DB8" w:rsidRPr="00C912C2">
        <w:rPr>
          <w:rFonts w:asciiTheme="minorHAnsi" w:hAnsiTheme="minorHAnsi" w:cstheme="minorHAnsi"/>
        </w:rPr>
        <w:t>WiTricity</w:t>
      </w:r>
      <w:r w:rsidRPr="00C912C2">
        <w:rPr>
          <w:rFonts w:asciiTheme="minorHAnsi" w:hAnsiTheme="minorHAnsi" w:cstheme="minorHAnsi"/>
        </w:rPr>
        <w:t>'s wireless charging technologies.</w:t>
      </w:r>
    </w:p>
    <w:p w14:paraId="285017AC" w14:textId="77777777" w:rsidR="00D27566" w:rsidRPr="00C912C2" w:rsidRDefault="00D27566" w:rsidP="00C83BE7">
      <w:pPr>
        <w:spacing w:after="0" w:line="276" w:lineRule="auto"/>
        <w:rPr>
          <w:rFonts w:asciiTheme="minorHAnsi" w:hAnsiTheme="minorHAnsi" w:cstheme="minorHAnsi"/>
        </w:rPr>
      </w:pPr>
    </w:p>
    <w:p w14:paraId="4B907F74" w14:textId="118F9CFF" w:rsidR="00561C81" w:rsidRDefault="00561C81" w:rsidP="00C83BE7">
      <w:pPr>
        <w:spacing w:after="0" w:line="276" w:lineRule="auto"/>
        <w:rPr>
          <w:rFonts w:asciiTheme="minorHAnsi" w:hAnsiTheme="minorHAnsi" w:cstheme="minorHAnsi"/>
        </w:rPr>
      </w:pPr>
      <w:r w:rsidRPr="00C912C2">
        <w:rPr>
          <w:rFonts w:asciiTheme="minorHAnsi" w:hAnsiTheme="minorHAnsi" w:cstheme="minorHAnsi"/>
          <w:b/>
          <w:bCs/>
        </w:rPr>
        <w:t>Strategic Objective:</w:t>
      </w:r>
      <w:r w:rsidRPr="00C912C2">
        <w:rPr>
          <w:rFonts w:asciiTheme="minorHAnsi" w:hAnsiTheme="minorHAnsi" w:cstheme="minorHAnsi"/>
        </w:rPr>
        <w:t xml:space="preserve"> The primary objective of this investment is to facilitate the growth of </w:t>
      </w:r>
      <w:r w:rsidR="00121DB8" w:rsidRPr="00C912C2">
        <w:rPr>
          <w:rFonts w:asciiTheme="minorHAnsi" w:hAnsiTheme="minorHAnsi" w:cstheme="minorHAnsi"/>
        </w:rPr>
        <w:t>WiTricity</w:t>
      </w:r>
      <w:r w:rsidRPr="00C912C2">
        <w:rPr>
          <w:rFonts w:asciiTheme="minorHAnsi" w:hAnsiTheme="minorHAnsi" w:cstheme="minorHAnsi"/>
        </w:rPr>
        <w:t>, which </w:t>
      </w:r>
      <w:r w:rsidR="00121DB8" w:rsidRPr="00C912C2">
        <w:rPr>
          <w:rFonts w:asciiTheme="minorHAnsi" w:hAnsiTheme="minorHAnsi" w:cstheme="minorHAnsi"/>
        </w:rPr>
        <w:t xml:space="preserve">will allow TD Bank to expand its presence further </w:t>
      </w:r>
      <w:r w:rsidRPr="00C912C2">
        <w:rPr>
          <w:rFonts w:asciiTheme="minorHAnsi" w:hAnsiTheme="minorHAnsi" w:cstheme="minorHAnsi"/>
        </w:rPr>
        <w:t>in the quickly expanding electric vehicle (EV) industry. This will help TD Bank realize its goal of becoming a leader in the switch to green energy. It also establishes the bank as a major player in financing sustainable technology.</w:t>
      </w:r>
    </w:p>
    <w:p w14:paraId="22B3485D" w14:textId="77777777" w:rsidR="00D27566" w:rsidRPr="00C912C2" w:rsidRDefault="00D27566" w:rsidP="00C83BE7">
      <w:pPr>
        <w:spacing w:after="0" w:line="276" w:lineRule="auto"/>
        <w:rPr>
          <w:rFonts w:asciiTheme="minorHAnsi" w:hAnsiTheme="minorHAnsi" w:cstheme="minorHAnsi"/>
        </w:rPr>
      </w:pPr>
    </w:p>
    <w:p w14:paraId="01765312" w14:textId="3D54DE98" w:rsidR="00561C81" w:rsidRPr="00C912C2" w:rsidRDefault="00561C81" w:rsidP="00C83BE7">
      <w:pPr>
        <w:spacing w:after="0" w:line="276" w:lineRule="auto"/>
        <w:rPr>
          <w:rFonts w:asciiTheme="minorHAnsi" w:hAnsiTheme="minorHAnsi" w:cstheme="minorHAnsi"/>
        </w:rPr>
      </w:pPr>
      <w:r w:rsidRPr="00C912C2">
        <w:rPr>
          <w:rFonts w:asciiTheme="minorHAnsi" w:hAnsiTheme="minorHAnsi" w:cstheme="minorHAnsi"/>
          <w:b/>
          <w:bCs/>
        </w:rPr>
        <w:t>Seven-Step Acquisition Plan:</w:t>
      </w:r>
      <w:r w:rsidRPr="00C912C2">
        <w:rPr>
          <w:rFonts w:asciiTheme="minorHAnsi" w:hAnsiTheme="minorHAnsi" w:cstheme="minorHAnsi"/>
        </w:rPr>
        <w:t xml:space="preserve"> This acquisition strategy aims to accomplish profitability targets by 2030 and ensure seamless integration of </w:t>
      </w:r>
      <w:r w:rsidR="00121DB8" w:rsidRPr="00C912C2">
        <w:rPr>
          <w:rFonts w:asciiTheme="minorHAnsi" w:hAnsiTheme="minorHAnsi" w:cstheme="minorHAnsi"/>
        </w:rPr>
        <w:t>WiTricity</w:t>
      </w:r>
      <w:r w:rsidRPr="00C912C2">
        <w:rPr>
          <w:rFonts w:asciiTheme="minorHAnsi" w:hAnsiTheme="minorHAnsi" w:cstheme="minorHAnsi"/>
        </w:rPr>
        <w:t xml:space="preserve"> into TD Bank's </w:t>
      </w:r>
      <w:r w:rsidR="00121DB8" w:rsidRPr="00C912C2">
        <w:rPr>
          <w:rFonts w:asciiTheme="minorHAnsi" w:hAnsiTheme="minorHAnsi" w:cstheme="minorHAnsi"/>
        </w:rPr>
        <w:t>more comprehensive</w:t>
      </w:r>
      <w:r w:rsidRPr="00C912C2">
        <w:rPr>
          <w:rFonts w:asciiTheme="minorHAnsi" w:hAnsiTheme="minorHAnsi" w:cstheme="minorHAnsi"/>
        </w:rPr>
        <w:t xml:space="preserve"> operations.</w:t>
      </w:r>
    </w:p>
    <w:p w14:paraId="335D896B" w14:textId="7B8E2107" w:rsidR="00561C81" w:rsidRPr="00C912C2" w:rsidRDefault="00561C81" w:rsidP="00C83BE7">
      <w:pPr>
        <w:pStyle w:val="ListParagraph"/>
        <w:numPr>
          <w:ilvl w:val="0"/>
          <w:numId w:val="1"/>
        </w:numPr>
        <w:spacing w:after="0" w:line="276" w:lineRule="auto"/>
        <w:ind w:left="360"/>
        <w:jc w:val="both"/>
        <w:rPr>
          <w:rFonts w:cstheme="minorHAnsi"/>
        </w:rPr>
      </w:pPr>
      <w:r w:rsidRPr="003C02EF">
        <w:rPr>
          <w:rFonts w:cstheme="minorHAnsi"/>
          <w:b/>
          <w:bCs/>
        </w:rPr>
        <w:t>Market and Technology Evaluation</w:t>
      </w:r>
      <w:r w:rsidR="00735592">
        <w:rPr>
          <w:rFonts w:cstheme="minorHAnsi"/>
          <w:b/>
          <w:bCs/>
        </w:rPr>
        <w:t xml:space="preserve"> (3-6 months)</w:t>
      </w:r>
      <w:r w:rsidR="00E93216">
        <w:rPr>
          <w:rFonts w:cstheme="minorHAnsi"/>
          <w:b/>
          <w:bCs/>
        </w:rPr>
        <w:t>:</w:t>
      </w:r>
      <w:r w:rsidR="00735592">
        <w:rPr>
          <w:rFonts w:cstheme="minorHAnsi"/>
          <w:b/>
          <w:bCs/>
        </w:rPr>
        <w:t xml:space="preserve"> </w:t>
      </w:r>
      <w:r w:rsidRPr="00C912C2">
        <w:rPr>
          <w:rFonts w:cstheme="minorHAnsi"/>
        </w:rPr>
        <w:t xml:space="preserve">TD Bank will conduct an in-depth analysis of </w:t>
      </w:r>
      <w:r w:rsidR="00121DB8" w:rsidRPr="00C912C2">
        <w:rPr>
          <w:rFonts w:cstheme="minorHAnsi"/>
        </w:rPr>
        <w:t>WiTricity</w:t>
      </w:r>
      <w:r w:rsidRPr="00C912C2">
        <w:rPr>
          <w:rFonts w:cstheme="minorHAnsi"/>
        </w:rPr>
        <w:t xml:space="preserve">'s technology, financials, patents and competitive environment. </w:t>
      </w:r>
      <w:r w:rsidR="00BB4341" w:rsidRPr="00C912C2">
        <w:rPr>
          <w:rFonts w:cstheme="minorHAnsi"/>
        </w:rPr>
        <w:t>Industry experts will evaluate the scalability of wireless EV charging systems in Canada and worldwide</w:t>
      </w:r>
      <w:r w:rsidRPr="00C912C2">
        <w:rPr>
          <w:rFonts w:cstheme="minorHAnsi"/>
        </w:rPr>
        <w:t>.</w:t>
      </w:r>
    </w:p>
    <w:p w14:paraId="266DAA56" w14:textId="426FC338" w:rsidR="00561C81" w:rsidRPr="00C912C2" w:rsidRDefault="00561C81" w:rsidP="00C83BE7">
      <w:pPr>
        <w:pStyle w:val="ListParagraph"/>
        <w:spacing w:after="0" w:line="276" w:lineRule="auto"/>
        <w:ind w:left="360"/>
        <w:jc w:val="both"/>
        <w:rPr>
          <w:rFonts w:cstheme="minorHAnsi"/>
        </w:rPr>
      </w:pPr>
      <w:r w:rsidRPr="00C912C2">
        <w:rPr>
          <w:rFonts w:cstheme="minorHAnsi"/>
        </w:rPr>
        <w:lastRenderedPageBreak/>
        <w:t xml:space="preserve">The investment goal of a valuation study </w:t>
      </w:r>
      <w:r w:rsidR="00121DB8" w:rsidRPr="00C912C2">
        <w:rPr>
          <w:rFonts w:cstheme="minorHAnsi"/>
        </w:rPr>
        <w:t>is to ascertain WiTricity's value, which</w:t>
      </w:r>
      <w:r w:rsidRPr="00C912C2">
        <w:rPr>
          <w:rFonts w:cstheme="minorHAnsi"/>
        </w:rPr>
        <w:t xml:space="preserve"> is set to be $300 million to $500 million.</w:t>
      </w:r>
    </w:p>
    <w:p w14:paraId="582C69C3" w14:textId="1FB74627" w:rsidR="00561C81" w:rsidRPr="00C912C2" w:rsidRDefault="00561C81" w:rsidP="00C83BE7">
      <w:pPr>
        <w:pStyle w:val="ListParagraph"/>
        <w:numPr>
          <w:ilvl w:val="0"/>
          <w:numId w:val="1"/>
        </w:numPr>
        <w:spacing w:after="0" w:line="276" w:lineRule="auto"/>
        <w:ind w:left="360"/>
        <w:jc w:val="both"/>
        <w:rPr>
          <w:rFonts w:cstheme="minorHAnsi"/>
        </w:rPr>
      </w:pPr>
      <w:r w:rsidRPr="003C02EF">
        <w:rPr>
          <w:rFonts w:cstheme="minorHAnsi"/>
          <w:b/>
          <w:bCs/>
        </w:rPr>
        <w:t>Negotiation and Acquisition Plan</w:t>
      </w:r>
      <w:r w:rsidR="00E93216">
        <w:rPr>
          <w:rFonts w:cstheme="minorHAnsi"/>
          <w:b/>
          <w:bCs/>
        </w:rPr>
        <w:t xml:space="preserve"> (3-4 months)</w:t>
      </w:r>
      <w:r w:rsidRPr="003C02EF">
        <w:rPr>
          <w:rFonts w:cstheme="minorHAnsi"/>
          <w:b/>
          <w:bCs/>
        </w:rPr>
        <w:t>:</w:t>
      </w:r>
      <w:r w:rsidRPr="00C912C2">
        <w:rPr>
          <w:rFonts w:cstheme="minorHAnsi"/>
        </w:rPr>
        <w:t xml:space="preserve"> TD will begin acquisition negotiations with the board</w:t>
      </w:r>
      <w:r w:rsidR="00121DB8" w:rsidRPr="00C912C2">
        <w:rPr>
          <w:rFonts w:cstheme="minorHAnsi"/>
        </w:rPr>
        <w:t>, keeping an eye on</w:t>
      </w:r>
      <w:r w:rsidRPr="00C912C2">
        <w:rPr>
          <w:rFonts w:cstheme="minorHAnsi"/>
        </w:rPr>
        <w:t xml:space="preserve"> acquiring 30-50% of </w:t>
      </w:r>
      <w:r w:rsidR="00121DB8" w:rsidRPr="00C912C2">
        <w:rPr>
          <w:rFonts w:cstheme="minorHAnsi"/>
        </w:rPr>
        <w:t>WiTricity</w:t>
      </w:r>
      <w:r w:rsidRPr="00C912C2">
        <w:rPr>
          <w:rFonts w:cstheme="minorHAnsi"/>
        </w:rPr>
        <w:t xml:space="preserve">. TD will begin </w:t>
      </w:r>
      <w:r w:rsidR="00121DB8" w:rsidRPr="00C912C2">
        <w:rPr>
          <w:rFonts w:cstheme="minorHAnsi"/>
        </w:rPr>
        <w:t>talks</w:t>
      </w:r>
      <w:r w:rsidRPr="00C912C2">
        <w:rPr>
          <w:rFonts w:cstheme="minorHAnsi"/>
        </w:rPr>
        <w:t xml:space="preserve"> with the board to </w:t>
      </w:r>
      <w:r w:rsidR="00121DB8" w:rsidRPr="00C912C2">
        <w:rPr>
          <w:rFonts w:cstheme="minorHAnsi"/>
        </w:rPr>
        <w:t>purchase</w:t>
      </w:r>
      <w:r w:rsidRPr="00C912C2">
        <w:rPr>
          <w:rFonts w:cstheme="minorHAnsi"/>
        </w:rPr>
        <w:t xml:space="preserve"> 30–50% of </w:t>
      </w:r>
      <w:r w:rsidR="00121DB8" w:rsidRPr="00C912C2">
        <w:rPr>
          <w:rFonts w:cstheme="minorHAnsi"/>
        </w:rPr>
        <w:t>WiTricity</w:t>
      </w:r>
      <w:r w:rsidRPr="00C912C2">
        <w:rPr>
          <w:rFonts w:cstheme="minorHAnsi"/>
        </w:rPr>
        <w:t>. The investment strategy is multi-phased. Initially</w:t>
      </w:r>
      <w:r w:rsidR="00121DB8" w:rsidRPr="00C912C2">
        <w:rPr>
          <w:rFonts w:cstheme="minorHAnsi"/>
        </w:rPr>
        <w:t xml:space="preserve">, the payment will be $50 million </w:t>
      </w:r>
      <w:r w:rsidRPr="00C912C2">
        <w:rPr>
          <w:rFonts w:cstheme="minorHAnsi"/>
        </w:rPr>
        <w:t>and additional cash infusions upon reaching milestones for growth.</w:t>
      </w:r>
    </w:p>
    <w:p w14:paraId="3AE24F18" w14:textId="5EB52EF0" w:rsidR="00561C81" w:rsidRPr="00C912C2" w:rsidRDefault="00561C81" w:rsidP="00C83BE7">
      <w:pPr>
        <w:pStyle w:val="ListParagraph"/>
        <w:numPr>
          <w:ilvl w:val="0"/>
          <w:numId w:val="1"/>
        </w:numPr>
        <w:spacing w:after="0" w:line="276" w:lineRule="auto"/>
        <w:ind w:left="360"/>
        <w:jc w:val="both"/>
        <w:rPr>
          <w:rFonts w:cstheme="minorHAnsi"/>
        </w:rPr>
      </w:pPr>
      <w:r w:rsidRPr="003C02EF">
        <w:rPr>
          <w:rFonts w:cstheme="minorHAnsi"/>
          <w:b/>
          <w:bCs/>
        </w:rPr>
        <w:t>Capital Injection and Expansion Funding</w:t>
      </w:r>
      <w:r w:rsidR="00735592">
        <w:rPr>
          <w:rFonts w:cstheme="minorHAnsi"/>
          <w:b/>
          <w:bCs/>
        </w:rPr>
        <w:t xml:space="preserve"> (Immediate to 2 years)</w:t>
      </w:r>
      <w:r w:rsidRPr="003C02EF">
        <w:rPr>
          <w:rFonts w:cstheme="minorHAnsi"/>
          <w:b/>
          <w:bCs/>
        </w:rPr>
        <w:t>:</w:t>
      </w:r>
      <w:r w:rsidRPr="00C912C2">
        <w:rPr>
          <w:rFonts w:cstheme="minorHAnsi"/>
        </w:rPr>
        <w:t xml:space="preserve"> Research and development (R&amp;D) and cost-cutting measures for wireless charging solutions will receive the first $50 million. The expansion of the Canadian and American markets will be aided by more funding. This funding will be directed toward infrastructure projects </w:t>
      </w:r>
      <w:r w:rsidR="005C4569">
        <w:rPr>
          <w:rFonts w:cstheme="minorHAnsi"/>
        </w:rPr>
        <w:t>as well as its</w:t>
      </w:r>
      <w:r w:rsidRPr="00C912C2">
        <w:rPr>
          <w:rFonts w:cstheme="minorHAnsi"/>
        </w:rPr>
        <w:t xml:space="preserve"> alliances with automobile manufacturers.</w:t>
      </w:r>
    </w:p>
    <w:p w14:paraId="1701276F" w14:textId="45423777" w:rsidR="00561C81" w:rsidRPr="00C912C2" w:rsidRDefault="00561C81" w:rsidP="00C83BE7">
      <w:pPr>
        <w:pStyle w:val="ListParagraph"/>
        <w:numPr>
          <w:ilvl w:val="0"/>
          <w:numId w:val="1"/>
        </w:numPr>
        <w:spacing w:after="0" w:line="276" w:lineRule="auto"/>
        <w:ind w:left="360"/>
        <w:jc w:val="both"/>
        <w:rPr>
          <w:rFonts w:cstheme="minorHAnsi"/>
        </w:rPr>
      </w:pPr>
      <w:r w:rsidRPr="003C02EF">
        <w:rPr>
          <w:rFonts w:cstheme="minorHAnsi"/>
          <w:b/>
          <w:bCs/>
        </w:rPr>
        <w:t>Partnership and Technology Integration</w:t>
      </w:r>
      <w:r w:rsidR="00735592">
        <w:rPr>
          <w:rFonts w:cstheme="minorHAnsi"/>
          <w:b/>
          <w:bCs/>
        </w:rPr>
        <w:t xml:space="preserve"> (1-2 years)</w:t>
      </w:r>
      <w:r w:rsidRPr="003C02EF">
        <w:rPr>
          <w:rFonts w:cstheme="minorHAnsi"/>
          <w:b/>
          <w:bCs/>
        </w:rPr>
        <w:t>:</w:t>
      </w:r>
      <w:r w:rsidRPr="00C912C2">
        <w:rPr>
          <w:rFonts w:cstheme="minorHAnsi"/>
        </w:rPr>
        <w:t xml:space="preserve"> Leading automakers and the Canadian government will form strategic agreements to use </w:t>
      </w:r>
      <w:r w:rsidR="00121DB8" w:rsidRPr="00C912C2">
        <w:rPr>
          <w:rFonts w:cstheme="minorHAnsi"/>
        </w:rPr>
        <w:t>WiTricity</w:t>
      </w:r>
      <w:r w:rsidRPr="00C912C2">
        <w:rPr>
          <w:rFonts w:cstheme="minorHAnsi"/>
        </w:rPr>
        <w:t xml:space="preserve">'s technology in national EV infrastructure initiatives. A new source of income for TD </w:t>
      </w:r>
      <w:r w:rsidR="00121DB8" w:rsidRPr="00C912C2">
        <w:rPr>
          <w:rFonts w:cstheme="minorHAnsi"/>
        </w:rPr>
        <w:t>Bank is created under that bank which</w:t>
      </w:r>
      <w:r w:rsidRPr="00C912C2">
        <w:rPr>
          <w:rFonts w:cstheme="minorHAnsi"/>
        </w:rPr>
        <w:t xml:space="preserve"> will provide co-financing for </w:t>
      </w:r>
      <w:r w:rsidR="00121DB8" w:rsidRPr="00C912C2">
        <w:rPr>
          <w:rFonts w:cstheme="minorHAnsi"/>
        </w:rPr>
        <w:t>innovative</w:t>
      </w:r>
      <w:r w:rsidRPr="00C912C2">
        <w:rPr>
          <w:rFonts w:cstheme="minorHAnsi"/>
        </w:rPr>
        <w:t xml:space="preserve"> city initiatives and public wireless charging networks.</w:t>
      </w:r>
    </w:p>
    <w:p w14:paraId="22528D64" w14:textId="2B4CC694" w:rsidR="00561C81" w:rsidRPr="00C912C2" w:rsidRDefault="00561C81" w:rsidP="00C83BE7">
      <w:pPr>
        <w:pStyle w:val="ListParagraph"/>
        <w:numPr>
          <w:ilvl w:val="0"/>
          <w:numId w:val="1"/>
        </w:numPr>
        <w:spacing w:after="0" w:line="276" w:lineRule="auto"/>
        <w:ind w:left="360"/>
        <w:jc w:val="both"/>
        <w:rPr>
          <w:rFonts w:cstheme="minorHAnsi"/>
        </w:rPr>
      </w:pPr>
      <w:r w:rsidRPr="003C02EF">
        <w:rPr>
          <w:rFonts w:cstheme="minorHAnsi"/>
          <w:b/>
          <w:bCs/>
        </w:rPr>
        <w:t>Monetization and Revenue Generation</w:t>
      </w:r>
      <w:r w:rsidR="00735592">
        <w:rPr>
          <w:rFonts w:cstheme="minorHAnsi"/>
          <w:b/>
          <w:bCs/>
        </w:rPr>
        <w:t xml:space="preserve"> (3-5 years)</w:t>
      </w:r>
      <w:r w:rsidRPr="003C02EF">
        <w:rPr>
          <w:rFonts w:cstheme="minorHAnsi"/>
          <w:b/>
          <w:bCs/>
        </w:rPr>
        <w:t>:</w:t>
      </w:r>
      <w:r w:rsidRPr="00C912C2">
        <w:rPr>
          <w:rFonts w:cstheme="minorHAnsi"/>
        </w:rPr>
        <w:t xml:space="preserve"> </w:t>
      </w:r>
      <w:r w:rsidR="00121DB8" w:rsidRPr="00C912C2">
        <w:rPr>
          <w:rFonts w:cstheme="minorHAnsi"/>
        </w:rPr>
        <w:t>WiTricity</w:t>
      </w:r>
      <w:r w:rsidRPr="00C912C2">
        <w:rPr>
          <w:rFonts w:cstheme="minorHAnsi"/>
        </w:rPr>
        <w:t xml:space="preserve"> will gain money by entering into license agreements with governments and automobiles. TD Bank will co-finance wireless charging hubs</w:t>
      </w:r>
      <w:r w:rsidR="00121DB8" w:rsidRPr="00C912C2">
        <w:rPr>
          <w:rFonts w:cstheme="minorHAnsi"/>
        </w:rPr>
        <w:t xml:space="preserve">, </w:t>
      </w:r>
      <w:r w:rsidRPr="00C912C2">
        <w:rPr>
          <w:rFonts w:cstheme="minorHAnsi"/>
        </w:rPr>
        <w:t>expected to generate between $150 million and $250 million in revenue annually. Specialized financial solutions for electric vehicles also bring in an additional $100 million yearly.</w:t>
      </w:r>
    </w:p>
    <w:p w14:paraId="5406F46B" w14:textId="6A880D32" w:rsidR="00561C81" w:rsidRPr="00C912C2" w:rsidRDefault="00561C81" w:rsidP="00C83BE7">
      <w:pPr>
        <w:pStyle w:val="ListParagraph"/>
        <w:numPr>
          <w:ilvl w:val="0"/>
          <w:numId w:val="1"/>
        </w:numPr>
        <w:spacing w:after="0" w:line="276" w:lineRule="auto"/>
        <w:ind w:left="360"/>
        <w:jc w:val="both"/>
        <w:rPr>
          <w:rFonts w:cstheme="minorHAnsi"/>
        </w:rPr>
      </w:pPr>
      <w:r w:rsidRPr="003C02EF">
        <w:rPr>
          <w:rFonts w:cstheme="minorHAnsi"/>
          <w:b/>
          <w:bCs/>
        </w:rPr>
        <w:t>Profit and ROI monitoring</w:t>
      </w:r>
      <w:r w:rsidR="00735592">
        <w:rPr>
          <w:rFonts w:cstheme="minorHAnsi"/>
          <w:b/>
          <w:bCs/>
        </w:rPr>
        <w:t xml:space="preserve"> (Ongoing)</w:t>
      </w:r>
      <w:r w:rsidRPr="003C02EF">
        <w:rPr>
          <w:rFonts w:cstheme="minorHAnsi"/>
          <w:b/>
          <w:bCs/>
        </w:rPr>
        <w:t>:</w:t>
      </w:r>
      <w:r w:rsidRPr="00C912C2">
        <w:rPr>
          <w:rFonts w:cstheme="minorHAnsi"/>
        </w:rPr>
        <w:t xml:space="preserve"> According to TD Bank, </w:t>
      </w:r>
      <w:r w:rsidR="00121DB8" w:rsidRPr="00C912C2">
        <w:rPr>
          <w:rFonts w:cstheme="minorHAnsi"/>
        </w:rPr>
        <w:t>WiTricity</w:t>
      </w:r>
      <w:r w:rsidRPr="00C912C2">
        <w:rPr>
          <w:rFonts w:cstheme="minorHAnsi"/>
        </w:rPr>
        <w:t>'s 10-15% market share in EV charging is expected to help it produce between $500 million and $700 million in revenue annually by 2030. Exit possibilities</w:t>
      </w:r>
      <w:r w:rsidR="00121DB8" w:rsidRPr="00C912C2">
        <w:rPr>
          <w:rFonts w:cstheme="minorHAnsi"/>
        </w:rPr>
        <w:t xml:space="preserve">, including an IPO or sale, </w:t>
      </w:r>
      <w:r w:rsidRPr="00C912C2">
        <w:rPr>
          <w:rFonts w:cstheme="minorHAnsi"/>
        </w:rPr>
        <w:t xml:space="preserve">could provide huge gains, </w:t>
      </w:r>
      <w:r w:rsidR="00121DB8" w:rsidRPr="00C912C2">
        <w:rPr>
          <w:rFonts w:cstheme="minorHAnsi"/>
        </w:rPr>
        <w:t xml:space="preserve">potentially </w:t>
      </w:r>
      <w:r w:rsidRPr="00C912C2">
        <w:rPr>
          <w:rFonts w:cstheme="minorHAnsi"/>
        </w:rPr>
        <w:t>up to $1 billion.</w:t>
      </w:r>
    </w:p>
    <w:p w14:paraId="29DB8477" w14:textId="3813A4B4" w:rsidR="00561C81" w:rsidRDefault="00561C81" w:rsidP="00C83BE7">
      <w:pPr>
        <w:pStyle w:val="ListParagraph"/>
        <w:numPr>
          <w:ilvl w:val="0"/>
          <w:numId w:val="1"/>
        </w:numPr>
        <w:spacing w:after="0" w:line="276" w:lineRule="auto"/>
        <w:ind w:left="360"/>
        <w:jc w:val="both"/>
        <w:rPr>
          <w:rFonts w:cstheme="minorHAnsi"/>
        </w:rPr>
      </w:pPr>
      <w:r w:rsidRPr="003C02EF">
        <w:rPr>
          <w:rFonts w:cstheme="minorHAnsi"/>
          <w:b/>
          <w:bCs/>
        </w:rPr>
        <w:t>Ongoing Support and Expansion</w:t>
      </w:r>
      <w:r w:rsidR="00735592">
        <w:rPr>
          <w:rFonts w:cstheme="minorHAnsi"/>
          <w:b/>
          <w:bCs/>
        </w:rPr>
        <w:t xml:space="preserve"> (Ongoing)</w:t>
      </w:r>
      <w:r w:rsidRPr="003C02EF">
        <w:rPr>
          <w:rFonts w:cstheme="minorHAnsi"/>
          <w:b/>
          <w:bCs/>
        </w:rPr>
        <w:t>:</w:t>
      </w:r>
      <w:r w:rsidRPr="00C912C2">
        <w:rPr>
          <w:rFonts w:cstheme="minorHAnsi"/>
        </w:rPr>
        <w:t xml:space="preserve">  TD Bank will continue to offer banking services </w:t>
      </w:r>
      <w:r w:rsidR="005C4569">
        <w:rPr>
          <w:rFonts w:cstheme="minorHAnsi"/>
        </w:rPr>
        <w:t>which</w:t>
      </w:r>
      <w:r w:rsidRPr="00C912C2">
        <w:rPr>
          <w:rFonts w:cstheme="minorHAnsi"/>
        </w:rPr>
        <w:t xml:space="preserve"> could raise its ownership of </w:t>
      </w:r>
      <w:r w:rsidR="00121DB8" w:rsidRPr="00C912C2">
        <w:rPr>
          <w:rFonts w:cstheme="minorHAnsi"/>
        </w:rPr>
        <w:t>WiTricity</w:t>
      </w:r>
      <w:r w:rsidRPr="00C912C2">
        <w:rPr>
          <w:rFonts w:cstheme="minorHAnsi"/>
        </w:rPr>
        <w:t xml:space="preserve">. The bank will encourage further growth </w:t>
      </w:r>
      <w:r w:rsidR="00121DB8" w:rsidRPr="00C912C2">
        <w:rPr>
          <w:rFonts w:cstheme="minorHAnsi"/>
        </w:rPr>
        <w:t>in other sectors of the economy,</w:t>
      </w:r>
      <w:r w:rsidRPr="00C912C2">
        <w:rPr>
          <w:rFonts w:cstheme="minorHAnsi"/>
        </w:rPr>
        <w:t xml:space="preserve"> including consumer electronics.</w:t>
      </w:r>
    </w:p>
    <w:p w14:paraId="3DFAF751" w14:textId="77777777" w:rsidR="00D27566" w:rsidRPr="00C912C2" w:rsidRDefault="00D27566" w:rsidP="00D27566">
      <w:pPr>
        <w:pStyle w:val="ListParagraph"/>
        <w:spacing w:after="0" w:line="276" w:lineRule="auto"/>
        <w:ind w:left="360"/>
        <w:jc w:val="both"/>
        <w:rPr>
          <w:rFonts w:cstheme="minorHAnsi"/>
        </w:rPr>
      </w:pPr>
    </w:p>
    <w:p w14:paraId="657589AB" w14:textId="3AA9D5F2" w:rsidR="00561C81" w:rsidRDefault="00561C81" w:rsidP="00C83BE7">
      <w:pPr>
        <w:spacing w:after="0" w:line="276" w:lineRule="auto"/>
        <w:rPr>
          <w:rFonts w:asciiTheme="minorHAnsi" w:hAnsiTheme="minorHAnsi" w:cstheme="minorHAnsi"/>
        </w:rPr>
      </w:pPr>
      <w:r w:rsidRPr="00C912C2">
        <w:rPr>
          <w:rFonts w:asciiTheme="minorHAnsi" w:hAnsiTheme="minorHAnsi" w:cstheme="minorHAnsi"/>
          <w:b/>
          <w:bCs/>
        </w:rPr>
        <w:t>Financial and Strategic Impacts:</w:t>
      </w:r>
      <w:r w:rsidRPr="00C912C2">
        <w:rPr>
          <w:rFonts w:asciiTheme="minorHAnsi" w:hAnsiTheme="minorHAnsi" w:cstheme="minorHAnsi"/>
        </w:rPr>
        <w:t xml:space="preserve"> TD Bank is anticipated to reap significant financial rewards from the transaction. </w:t>
      </w:r>
      <w:r w:rsidR="00121DB8" w:rsidRPr="00C912C2">
        <w:rPr>
          <w:rFonts w:asciiTheme="minorHAnsi" w:hAnsiTheme="minorHAnsi" w:cstheme="minorHAnsi"/>
        </w:rPr>
        <w:t>WiTricity</w:t>
      </w:r>
      <w:r w:rsidRPr="00C912C2">
        <w:rPr>
          <w:rFonts w:asciiTheme="minorHAnsi" w:hAnsiTheme="minorHAnsi" w:cstheme="minorHAnsi"/>
        </w:rPr>
        <w:t xml:space="preserve"> expects to generate $500 million to $700 million yearly earnings by 2030. Earnings will be primarily from infrastructure financing, EV loans and licensing. Through this acquisition, TD Bank will also be able to penetrate the expanding EV infrastructure industry and diversify its revenue sources outside regular banking services.</w:t>
      </w:r>
    </w:p>
    <w:p w14:paraId="661403DF" w14:textId="77777777" w:rsidR="00D27566" w:rsidRPr="00C912C2" w:rsidRDefault="00D27566" w:rsidP="00C83BE7">
      <w:pPr>
        <w:spacing w:after="0" w:line="276" w:lineRule="auto"/>
        <w:rPr>
          <w:rFonts w:asciiTheme="minorHAnsi" w:hAnsiTheme="minorHAnsi" w:cstheme="minorHAnsi"/>
        </w:rPr>
      </w:pPr>
    </w:p>
    <w:p w14:paraId="692F470D" w14:textId="4DD8F78C" w:rsidR="00561C81" w:rsidRDefault="00561C81" w:rsidP="00C83BE7">
      <w:pPr>
        <w:spacing w:after="0" w:line="276" w:lineRule="auto"/>
        <w:rPr>
          <w:rFonts w:asciiTheme="minorHAnsi" w:hAnsiTheme="minorHAnsi" w:cstheme="minorHAnsi"/>
        </w:rPr>
      </w:pPr>
      <w:r w:rsidRPr="00C912C2">
        <w:rPr>
          <w:rFonts w:asciiTheme="minorHAnsi" w:hAnsiTheme="minorHAnsi" w:cstheme="minorHAnsi"/>
          <w:b/>
          <w:bCs/>
        </w:rPr>
        <w:t>Sustainability and ESG Leadership:</w:t>
      </w:r>
      <w:r w:rsidRPr="00C912C2">
        <w:rPr>
          <w:rFonts w:asciiTheme="minorHAnsi" w:hAnsiTheme="minorHAnsi" w:cstheme="minorHAnsi"/>
        </w:rPr>
        <w:t xml:space="preserve"> </w:t>
      </w:r>
      <w:r w:rsidR="00121DB8" w:rsidRPr="00C912C2">
        <w:rPr>
          <w:rFonts w:asciiTheme="minorHAnsi" w:hAnsiTheme="minorHAnsi" w:cstheme="minorHAnsi"/>
        </w:rPr>
        <w:t>WiTricity</w:t>
      </w:r>
      <w:r w:rsidRPr="00C912C2">
        <w:rPr>
          <w:rFonts w:asciiTheme="minorHAnsi" w:hAnsiTheme="minorHAnsi" w:cstheme="minorHAnsi"/>
        </w:rPr>
        <w:t xml:space="preserve">'s wireless EV charging technology is compatible with TD Bank's environmental programs, </w:t>
      </w:r>
      <w:r w:rsidR="00121DB8" w:rsidRPr="00C912C2">
        <w:rPr>
          <w:rFonts w:asciiTheme="minorHAnsi" w:hAnsiTheme="minorHAnsi" w:cstheme="minorHAnsi"/>
        </w:rPr>
        <w:t>with its objective of</w:t>
      </w:r>
      <w:r w:rsidRPr="00C912C2">
        <w:rPr>
          <w:rFonts w:asciiTheme="minorHAnsi" w:hAnsiTheme="minorHAnsi" w:cstheme="minorHAnsi"/>
        </w:rPr>
        <w:t xml:space="preserve"> net-zero emissions by 2050. Improved ESG ratings from the purchase will help TD remain a leader in green finance and attract more environmentally conscientious investors.  TD Bank will solidify its leadership in advancing sustainable technology by funding public infrastructure initiatives linked to clean mobility and smart cities.</w:t>
      </w:r>
    </w:p>
    <w:p w14:paraId="03B67837" w14:textId="77777777" w:rsidR="00D27566" w:rsidRPr="00C912C2" w:rsidRDefault="00D27566" w:rsidP="00C83BE7">
      <w:pPr>
        <w:spacing w:after="0" w:line="276" w:lineRule="auto"/>
        <w:rPr>
          <w:rFonts w:asciiTheme="minorHAnsi" w:hAnsiTheme="minorHAnsi" w:cstheme="minorHAnsi"/>
        </w:rPr>
      </w:pPr>
    </w:p>
    <w:p w14:paraId="0594D8E3" w14:textId="4B69B828" w:rsidR="00561C81" w:rsidRDefault="00561C81" w:rsidP="00C83BE7">
      <w:pPr>
        <w:spacing w:after="0" w:line="276" w:lineRule="auto"/>
        <w:rPr>
          <w:rFonts w:asciiTheme="minorHAnsi" w:hAnsiTheme="minorHAnsi" w:cstheme="minorHAnsi"/>
        </w:rPr>
      </w:pPr>
      <w:r w:rsidRPr="00C912C2">
        <w:rPr>
          <w:rFonts w:asciiTheme="minorHAnsi" w:hAnsiTheme="minorHAnsi" w:cstheme="minorHAnsi"/>
          <w:b/>
          <w:bCs/>
        </w:rPr>
        <w:t xml:space="preserve">Challenge and Risk Mitigation: </w:t>
      </w:r>
      <w:r w:rsidRPr="00C912C2">
        <w:rPr>
          <w:rFonts w:asciiTheme="minorHAnsi" w:hAnsiTheme="minorHAnsi" w:cstheme="minorHAnsi"/>
        </w:rPr>
        <w:t xml:space="preserve">The acquisition has a lot of potential benefits, but it also has </w:t>
      </w:r>
      <w:r w:rsidR="00121DB8" w:rsidRPr="00C912C2">
        <w:rPr>
          <w:rFonts w:asciiTheme="minorHAnsi" w:hAnsiTheme="minorHAnsi" w:cstheme="minorHAnsi"/>
        </w:rPr>
        <w:t>specific</w:t>
      </w:r>
      <w:r w:rsidRPr="00C912C2">
        <w:rPr>
          <w:rFonts w:asciiTheme="minorHAnsi" w:hAnsiTheme="minorHAnsi" w:cstheme="minorHAnsi"/>
        </w:rPr>
        <w:t xml:space="preserve"> hazards. Credit losses from funding cutting-edge technology like wireless EV charging should cause TD Bank to exercise caution. Risk mitigation and compliance depend heavily on monitoring changing market trends </w:t>
      </w:r>
      <w:r w:rsidR="002E04B8">
        <w:rPr>
          <w:rFonts w:asciiTheme="minorHAnsi" w:hAnsiTheme="minorHAnsi" w:cstheme="minorHAnsi"/>
        </w:rPr>
        <w:t>and</w:t>
      </w:r>
      <w:r w:rsidRPr="00C912C2">
        <w:rPr>
          <w:rFonts w:asciiTheme="minorHAnsi" w:hAnsiTheme="minorHAnsi" w:cstheme="minorHAnsi"/>
        </w:rPr>
        <w:t xml:space="preserve"> regulatory developments</w:t>
      </w:r>
      <w:r w:rsidR="00121DB8" w:rsidRPr="00C912C2">
        <w:rPr>
          <w:rFonts w:asciiTheme="minorHAnsi" w:hAnsiTheme="minorHAnsi" w:cstheme="minorHAnsi"/>
        </w:rPr>
        <w:t>.</w:t>
      </w:r>
    </w:p>
    <w:p w14:paraId="586E864C" w14:textId="77777777" w:rsidR="001C2199" w:rsidRDefault="001C2199" w:rsidP="00C83BE7">
      <w:pPr>
        <w:spacing w:after="0" w:line="276" w:lineRule="auto"/>
        <w:rPr>
          <w:rFonts w:asciiTheme="minorHAnsi" w:hAnsiTheme="minorHAnsi" w:cstheme="minorHAnsi"/>
        </w:rPr>
      </w:pPr>
    </w:p>
    <w:p w14:paraId="73EA026A" w14:textId="27AC8235" w:rsidR="001C2199" w:rsidRDefault="0008470D" w:rsidP="00C83BE7">
      <w:pPr>
        <w:spacing w:after="0" w:line="276" w:lineRule="auto"/>
        <w:rPr>
          <w:rFonts w:asciiTheme="minorHAnsi" w:hAnsiTheme="minorHAnsi" w:cstheme="minorHAnsi"/>
        </w:rPr>
      </w:pPr>
      <w:r w:rsidRPr="0008470D">
        <w:rPr>
          <w:rFonts w:asciiTheme="minorHAnsi" w:hAnsiTheme="minorHAnsi" w:cstheme="minorHAnsi"/>
          <w:b/>
          <w:bCs/>
        </w:rPr>
        <w:lastRenderedPageBreak/>
        <w:t>Key Performance Indicators (KPIs) for TD Bank's Acquisition of WiTricity</w:t>
      </w:r>
      <w:r>
        <w:rPr>
          <w:rFonts w:asciiTheme="minorHAnsi" w:hAnsiTheme="minorHAnsi" w:cstheme="minorHAnsi"/>
        </w:rPr>
        <w:t xml:space="preserve">: </w:t>
      </w:r>
      <w:r w:rsidR="001C2199" w:rsidRPr="001C2199">
        <w:rPr>
          <w:rFonts w:asciiTheme="minorHAnsi" w:hAnsiTheme="minorHAnsi" w:cstheme="minorHAnsi"/>
        </w:rPr>
        <w:t>A set of Key Performance Indicators (KPIs) can be established to track important factors such as regulatory compliance, legal due diligence, financial performance, and intellectual property (IP) integration to assess the success and ensure a seamless integration process for TD Bank's acquisition of WiTricity. The KPIs that would apply to each of the areas you specified are listed down below:</w:t>
      </w:r>
    </w:p>
    <w:p w14:paraId="5B92CB23" w14:textId="25D4FAA3" w:rsidR="001C2199" w:rsidRDefault="00864CC4" w:rsidP="00C83BE7">
      <w:pPr>
        <w:spacing w:after="0" w:line="276" w:lineRule="auto"/>
        <w:rPr>
          <w:rFonts w:asciiTheme="minorHAnsi" w:hAnsiTheme="minorHAnsi" w:cstheme="minorHAnsi"/>
          <w:b/>
          <w:bCs/>
        </w:rPr>
      </w:pPr>
      <w:r w:rsidRPr="00864CC4">
        <w:rPr>
          <w:rFonts w:asciiTheme="minorHAnsi" w:hAnsiTheme="minorHAnsi" w:cstheme="minorHAnsi"/>
          <w:b/>
          <w:bCs/>
        </w:rPr>
        <w:t>Regulatory &amp; Compliance KPIs</w:t>
      </w:r>
    </w:p>
    <w:p w14:paraId="725374C7" w14:textId="5E7D72CE" w:rsidR="00864CC4" w:rsidRDefault="00924389" w:rsidP="0008470D">
      <w:pPr>
        <w:pStyle w:val="ListParagraph"/>
        <w:numPr>
          <w:ilvl w:val="0"/>
          <w:numId w:val="16"/>
        </w:numPr>
        <w:spacing w:after="0" w:line="276" w:lineRule="auto"/>
        <w:rPr>
          <w:rFonts w:cstheme="minorHAnsi"/>
          <w:b/>
          <w:bCs/>
        </w:rPr>
      </w:pPr>
      <w:r>
        <w:rPr>
          <w:rFonts w:cstheme="minorHAnsi"/>
          <w:b/>
          <w:bCs/>
        </w:rPr>
        <w:t xml:space="preserve">Regulatory Approval Milestones: </w:t>
      </w:r>
    </w:p>
    <w:p w14:paraId="6C94241C" w14:textId="26CD7FA7" w:rsidR="00354843" w:rsidRPr="00354843" w:rsidRDefault="00354843" w:rsidP="0008470D">
      <w:pPr>
        <w:pStyle w:val="ListParagraph"/>
        <w:numPr>
          <w:ilvl w:val="0"/>
          <w:numId w:val="17"/>
        </w:numPr>
        <w:spacing w:after="0" w:line="276" w:lineRule="auto"/>
        <w:rPr>
          <w:rFonts w:cstheme="minorHAnsi"/>
          <w:b/>
          <w:bCs/>
        </w:rPr>
      </w:pPr>
      <w:r w:rsidRPr="00354843">
        <w:rPr>
          <w:rFonts w:cstheme="minorHAnsi"/>
          <w:b/>
          <w:bCs/>
        </w:rPr>
        <w:t xml:space="preserve">Definition: </w:t>
      </w:r>
      <w:r w:rsidRPr="00354843">
        <w:rPr>
          <w:rFonts w:cstheme="minorHAnsi"/>
        </w:rPr>
        <w:t>The percentage of necessary regulatory approvals that have been received by the appropriate authorities (environmental agencies, competition/antitrust regulators, etc.).</w:t>
      </w:r>
    </w:p>
    <w:p w14:paraId="1F72BF6D" w14:textId="0AACC395" w:rsidR="00434678" w:rsidRDefault="00147BA8" w:rsidP="0008470D">
      <w:pPr>
        <w:pStyle w:val="ListParagraph"/>
        <w:numPr>
          <w:ilvl w:val="0"/>
          <w:numId w:val="17"/>
        </w:numPr>
        <w:spacing w:after="0" w:line="276" w:lineRule="auto"/>
        <w:rPr>
          <w:rFonts w:cstheme="minorHAnsi"/>
        </w:rPr>
      </w:pPr>
      <w:r>
        <w:rPr>
          <w:rFonts w:cstheme="minorHAnsi"/>
          <w:b/>
          <w:bCs/>
        </w:rPr>
        <w:t>Target</w:t>
      </w:r>
      <w:r w:rsidR="00354843" w:rsidRPr="00354843">
        <w:rPr>
          <w:rFonts w:cstheme="minorHAnsi"/>
          <w:b/>
          <w:bCs/>
        </w:rPr>
        <w:t xml:space="preserve">: </w:t>
      </w:r>
      <w:r w:rsidR="00354843" w:rsidRPr="00354843">
        <w:rPr>
          <w:rFonts w:cstheme="minorHAnsi"/>
        </w:rPr>
        <w:t>Obtaining all required approvals in time for the purchase completion deadline.</w:t>
      </w:r>
    </w:p>
    <w:p w14:paraId="77888CDB" w14:textId="11B4A7E3" w:rsidR="00147BA8" w:rsidRPr="00147BA8" w:rsidRDefault="00147BA8" w:rsidP="0008470D">
      <w:pPr>
        <w:pStyle w:val="ListParagraph"/>
        <w:numPr>
          <w:ilvl w:val="0"/>
          <w:numId w:val="16"/>
        </w:numPr>
        <w:spacing w:after="0" w:line="276" w:lineRule="auto"/>
        <w:rPr>
          <w:rFonts w:cstheme="minorHAnsi"/>
          <w:b/>
          <w:bCs/>
        </w:rPr>
      </w:pPr>
      <w:r w:rsidRPr="00147BA8">
        <w:rPr>
          <w:rFonts w:cstheme="minorHAnsi"/>
          <w:b/>
          <w:bCs/>
        </w:rPr>
        <w:t>Compliance with Environmental Regulations:</w:t>
      </w:r>
    </w:p>
    <w:p w14:paraId="4CCB42D0" w14:textId="3D5040ED" w:rsidR="00147BA8" w:rsidRPr="009F54F8" w:rsidRDefault="00147BA8" w:rsidP="0008470D">
      <w:pPr>
        <w:pStyle w:val="ListParagraph"/>
        <w:numPr>
          <w:ilvl w:val="0"/>
          <w:numId w:val="18"/>
        </w:numPr>
        <w:spacing w:after="0" w:line="276" w:lineRule="auto"/>
        <w:rPr>
          <w:rFonts w:cstheme="minorHAnsi"/>
        </w:rPr>
      </w:pPr>
      <w:r w:rsidRPr="00147BA8">
        <w:rPr>
          <w:rFonts w:cstheme="minorHAnsi"/>
          <w:b/>
          <w:bCs/>
        </w:rPr>
        <w:t>Definition:</w:t>
      </w:r>
      <w:r w:rsidR="001758D7">
        <w:rPr>
          <w:rFonts w:cstheme="minorHAnsi"/>
          <w:b/>
          <w:bCs/>
        </w:rPr>
        <w:t xml:space="preserve"> </w:t>
      </w:r>
      <w:r w:rsidR="009F54F8">
        <w:rPr>
          <w:rFonts w:cstheme="minorHAnsi"/>
        </w:rPr>
        <w:t>N</w:t>
      </w:r>
      <w:r w:rsidR="009F54F8" w:rsidRPr="009F54F8">
        <w:rPr>
          <w:rFonts w:cstheme="minorHAnsi"/>
        </w:rPr>
        <w:t>umber of environmental compliance problems associated with the infrastructure for EV wireless charging that have been found after acquisition</w:t>
      </w:r>
      <w:r w:rsidR="009F54F8">
        <w:rPr>
          <w:rFonts w:cstheme="minorHAnsi"/>
        </w:rPr>
        <w:t>.</w:t>
      </w:r>
    </w:p>
    <w:p w14:paraId="4E9FCF10" w14:textId="77777777" w:rsidR="001758D7" w:rsidRPr="009F54F8" w:rsidRDefault="00147BA8" w:rsidP="0008470D">
      <w:pPr>
        <w:pStyle w:val="ListParagraph"/>
        <w:numPr>
          <w:ilvl w:val="0"/>
          <w:numId w:val="18"/>
        </w:numPr>
        <w:spacing w:after="0" w:line="276" w:lineRule="auto"/>
        <w:rPr>
          <w:rFonts w:cstheme="minorHAnsi"/>
          <w:b/>
          <w:bCs/>
        </w:rPr>
      </w:pPr>
      <w:r w:rsidRPr="00147BA8">
        <w:rPr>
          <w:rFonts w:cstheme="minorHAnsi"/>
          <w:b/>
          <w:bCs/>
        </w:rPr>
        <w:t xml:space="preserve">Target: </w:t>
      </w:r>
      <w:r w:rsidR="001758D7" w:rsidRPr="001758D7">
        <w:rPr>
          <w:rFonts w:cstheme="minorHAnsi"/>
        </w:rPr>
        <w:t>No instances of non-compliance were found during regulatory audits.</w:t>
      </w:r>
    </w:p>
    <w:p w14:paraId="4D7F4A19" w14:textId="311A1DD5" w:rsidR="009F54F8" w:rsidRDefault="009F54F8" w:rsidP="0008470D">
      <w:pPr>
        <w:pStyle w:val="ListParagraph"/>
        <w:numPr>
          <w:ilvl w:val="0"/>
          <w:numId w:val="16"/>
        </w:numPr>
        <w:spacing w:after="0" w:line="276" w:lineRule="auto"/>
        <w:rPr>
          <w:rFonts w:cstheme="minorHAnsi"/>
          <w:b/>
          <w:bCs/>
        </w:rPr>
      </w:pPr>
      <w:r>
        <w:rPr>
          <w:rFonts w:cstheme="minorHAnsi"/>
          <w:b/>
          <w:bCs/>
        </w:rPr>
        <w:t xml:space="preserve">Compliance Reporting </w:t>
      </w:r>
      <w:r w:rsidR="00C703DB">
        <w:rPr>
          <w:rFonts w:cstheme="minorHAnsi"/>
          <w:b/>
          <w:bCs/>
        </w:rPr>
        <w:t>T</w:t>
      </w:r>
      <w:r>
        <w:rPr>
          <w:rFonts w:cstheme="minorHAnsi"/>
          <w:b/>
          <w:bCs/>
        </w:rPr>
        <w:t>imeline</w:t>
      </w:r>
      <w:r w:rsidR="00C703DB">
        <w:rPr>
          <w:rFonts w:cstheme="minorHAnsi"/>
          <w:b/>
          <w:bCs/>
        </w:rPr>
        <w:t>ss:</w:t>
      </w:r>
    </w:p>
    <w:p w14:paraId="177DBA89" w14:textId="4B4E1A15" w:rsidR="00C703DB" w:rsidRDefault="00C703DB" w:rsidP="0008470D">
      <w:pPr>
        <w:pStyle w:val="ListParagraph"/>
        <w:numPr>
          <w:ilvl w:val="0"/>
          <w:numId w:val="19"/>
        </w:numPr>
        <w:spacing w:after="0" w:line="276" w:lineRule="auto"/>
        <w:rPr>
          <w:rFonts w:cstheme="minorHAnsi"/>
          <w:b/>
          <w:bCs/>
        </w:rPr>
      </w:pPr>
      <w:r>
        <w:rPr>
          <w:rFonts w:cstheme="minorHAnsi"/>
          <w:b/>
          <w:bCs/>
        </w:rPr>
        <w:t>Definition:</w:t>
      </w:r>
      <w:r w:rsidR="00827948">
        <w:rPr>
          <w:rFonts w:cstheme="minorHAnsi"/>
          <w:b/>
          <w:bCs/>
        </w:rPr>
        <w:t xml:space="preserve"> </w:t>
      </w:r>
      <w:r w:rsidR="00827948" w:rsidRPr="00827948">
        <w:rPr>
          <w:rFonts w:cstheme="minorHAnsi"/>
        </w:rPr>
        <w:t>The percentage of compliance reports that are submitted on schedule to the appropriate authorities (such as financial disclosures and environmental impact assessments).</w:t>
      </w:r>
    </w:p>
    <w:p w14:paraId="5C645350" w14:textId="23BB4CC7" w:rsidR="00C703DB" w:rsidRDefault="00C703DB" w:rsidP="0008470D">
      <w:pPr>
        <w:pStyle w:val="ListParagraph"/>
        <w:numPr>
          <w:ilvl w:val="0"/>
          <w:numId w:val="19"/>
        </w:numPr>
        <w:spacing w:after="0" w:line="276" w:lineRule="auto"/>
        <w:rPr>
          <w:rFonts w:cstheme="minorHAnsi"/>
        </w:rPr>
      </w:pPr>
      <w:r>
        <w:rPr>
          <w:rFonts w:cstheme="minorHAnsi"/>
          <w:b/>
          <w:bCs/>
        </w:rPr>
        <w:t xml:space="preserve">Target: </w:t>
      </w:r>
      <w:r w:rsidR="0010547F" w:rsidRPr="0010547F">
        <w:rPr>
          <w:rFonts w:cstheme="minorHAnsi"/>
        </w:rPr>
        <w:t>All reports sent in on time or earlier.</w:t>
      </w:r>
    </w:p>
    <w:p w14:paraId="5463EEB4" w14:textId="57CF4A32" w:rsidR="0010547F" w:rsidRPr="00060F0A" w:rsidRDefault="0010547F" w:rsidP="0008470D">
      <w:pPr>
        <w:pStyle w:val="ListParagraph"/>
        <w:numPr>
          <w:ilvl w:val="0"/>
          <w:numId w:val="16"/>
        </w:numPr>
        <w:spacing w:after="0" w:line="276" w:lineRule="auto"/>
        <w:rPr>
          <w:rFonts w:cstheme="minorHAnsi"/>
          <w:b/>
          <w:bCs/>
        </w:rPr>
      </w:pPr>
      <w:r w:rsidRPr="00060F0A">
        <w:rPr>
          <w:rFonts w:cstheme="minorHAnsi"/>
          <w:b/>
          <w:bCs/>
        </w:rPr>
        <w:t>Customer Data Protection:</w:t>
      </w:r>
    </w:p>
    <w:p w14:paraId="39CCD11C" w14:textId="77777777" w:rsidR="00060F0A" w:rsidRPr="00060F0A" w:rsidRDefault="0042574F" w:rsidP="0008470D">
      <w:pPr>
        <w:pStyle w:val="ListParagraph"/>
        <w:numPr>
          <w:ilvl w:val="0"/>
          <w:numId w:val="20"/>
        </w:numPr>
        <w:spacing w:after="0" w:line="276" w:lineRule="auto"/>
        <w:rPr>
          <w:rFonts w:cstheme="minorHAnsi"/>
        </w:rPr>
      </w:pPr>
      <w:r w:rsidRPr="00060F0A">
        <w:rPr>
          <w:rFonts w:cstheme="minorHAnsi"/>
          <w:b/>
          <w:bCs/>
        </w:rPr>
        <w:t>Definition:</w:t>
      </w:r>
      <w:r>
        <w:rPr>
          <w:rFonts w:cstheme="minorHAnsi"/>
        </w:rPr>
        <w:t xml:space="preserve"> </w:t>
      </w:r>
      <w:r w:rsidR="00060F0A" w:rsidRPr="00060F0A">
        <w:rPr>
          <w:rFonts w:cstheme="minorHAnsi"/>
        </w:rPr>
        <w:t>Number of customer data breaches or privacy law infractions (e.g., CCPA, GDPR) involving wireless charging.</w:t>
      </w:r>
    </w:p>
    <w:p w14:paraId="04CD4AB1" w14:textId="6853765E" w:rsidR="0042574F" w:rsidRDefault="00060F0A" w:rsidP="0008470D">
      <w:pPr>
        <w:pStyle w:val="ListParagraph"/>
        <w:numPr>
          <w:ilvl w:val="0"/>
          <w:numId w:val="20"/>
        </w:numPr>
        <w:spacing w:after="0" w:line="276" w:lineRule="auto"/>
        <w:rPr>
          <w:rFonts w:cstheme="minorHAnsi"/>
        </w:rPr>
      </w:pPr>
      <w:r w:rsidRPr="00060F0A">
        <w:rPr>
          <w:rFonts w:cstheme="minorHAnsi"/>
          <w:b/>
          <w:bCs/>
        </w:rPr>
        <w:t>Target</w:t>
      </w:r>
      <w:r w:rsidRPr="00060F0A">
        <w:rPr>
          <w:rFonts w:cstheme="minorHAnsi"/>
        </w:rPr>
        <w:t>: No privacy infractions or data breaches.</w:t>
      </w:r>
      <w:r w:rsidR="00805541">
        <w:rPr>
          <w:rFonts w:cstheme="minorHAnsi"/>
        </w:rPr>
        <w:br/>
      </w:r>
    </w:p>
    <w:p w14:paraId="70AB57F1" w14:textId="20D00B6F" w:rsidR="00060F0A" w:rsidRDefault="00060F0A" w:rsidP="00060F0A">
      <w:pPr>
        <w:spacing w:after="0" w:line="276" w:lineRule="auto"/>
        <w:rPr>
          <w:rFonts w:cstheme="minorHAnsi"/>
          <w:b/>
          <w:bCs/>
        </w:rPr>
      </w:pPr>
      <w:r w:rsidRPr="00805541">
        <w:rPr>
          <w:rFonts w:cstheme="minorHAnsi"/>
          <w:b/>
          <w:bCs/>
        </w:rPr>
        <w:t>Legal &amp;</w:t>
      </w:r>
      <w:r w:rsidR="00805541" w:rsidRPr="00805541">
        <w:rPr>
          <w:rFonts w:cstheme="minorHAnsi"/>
          <w:b/>
          <w:bCs/>
        </w:rPr>
        <w:t xml:space="preserve"> Regulatory Hurdles KPIs:</w:t>
      </w:r>
    </w:p>
    <w:p w14:paraId="0609C9DA" w14:textId="7997B7B8" w:rsidR="00805541" w:rsidRDefault="007575CA" w:rsidP="0008470D">
      <w:pPr>
        <w:pStyle w:val="ListParagraph"/>
        <w:numPr>
          <w:ilvl w:val="0"/>
          <w:numId w:val="21"/>
        </w:numPr>
        <w:spacing w:after="0" w:line="276" w:lineRule="auto"/>
        <w:rPr>
          <w:rFonts w:cstheme="minorHAnsi"/>
          <w:b/>
          <w:bCs/>
        </w:rPr>
      </w:pPr>
      <w:r>
        <w:rPr>
          <w:rFonts w:cstheme="minorHAnsi"/>
          <w:b/>
          <w:bCs/>
        </w:rPr>
        <w:t xml:space="preserve">Cross-Border Legal Compliance: </w:t>
      </w:r>
    </w:p>
    <w:p w14:paraId="48AE3816" w14:textId="77777777" w:rsidR="00672854" w:rsidRPr="00672854" w:rsidRDefault="00CB0CEA" w:rsidP="0008470D">
      <w:pPr>
        <w:pStyle w:val="ListParagraph"/>
        <w:numPr>
          <w:ilvl w:val="0"/>
          <w:numId w:val="26"/>
        </w:numPr>
        <w:spacing w:after="0" w:line="276" w:lineRule="auto"/>
        <w:rPr>
          <w:rFonts w:cstheme="minorHAnsi"/>
          <w:lang w:val="en-GB"/>
        </w:rPr>
      </w:pPr>
      <w:bookmarkStart w:id="6" w:name="_Hlk178975222"/>
      <w:r>
        <w:rPr>
          <w:rFonts w:cstheme="minorHAnsi"/>
          <w:b/>
          <w:bCs/>
        </w:rPr>
        <w:t>Definition:</w:t>
      </w:r>
      <w:r w:rsidR="00672854">
        <w:rPr>
          <w:rFonts w:cstheme="minorHAnsi"/>
          <w:b/>
          <w:bCs/>
        </w:rPr>
        <w:t xml:space="preserve"> </w:t>
      </w:r>
      <w:r w:rsidR="00672854" w:rsidRPr="00672854">
        <w:rPr>
          <w:rFonts w:cstheme="minorHAnsi"/>
          <w:lang w:val="en-GB"/>
        </w:rPr>
        <w:t>Number of open legal questions within geographical regions (such as North America, Europe) for the operation of WiTricity after the acquisition.</w:t>
      </w:r>
    </w:p>
    <w:p w14:paraId="18C5A0A5" w14:textId="4B86B3B1" w:rsidR="00CB0CEA" w:rsidRPr="00672854" w:rsidRDefault="00672854" w:rsidP="0008470D">
      <w:pPr>
        <w:pStyle w:val="ListParagraph"/>
        <w:numPr>
          <w:ilvl w:val="0"/>
          <w:numId w:val="26"/>
        </w:numPr>
        <w:spacing w:after="0" w:line="276" w:lineRule="auto"/>
        <w:rPr>
          <w:rFonts w:cstheme="minorHAnsi"/>
        </w:rPr>
      </w:pPr>
      <w:r w:rsidRPr="00672854">
        <w:rPr>
          <w:rFonts w:cstheme="minorHAnsi"/>
          <w:b/>
          <w:bCs/>
          <w:lang w:val="en-GB"/>
        </w:rPr>
        <w:t>Target</w:t>
      </w:r>
      <w:r w:rsidRPr="00672854">
        <w:rPr>
          <w:rFonts w:cstheme="minorHAnsi"/>
          <w:lang w:val="en-GB"/>
        </w:rPr>
        <w:t>: As many legal claims settled or addressed by the time of controlling</w:t>
      </w:r>
    </w:p>
    <w:bookmarkEnd w:id="6"/>
    <w:p w14:paraId="7E5F7C24" w14:textId="0AB0FE5F" w:rsidR="007575CA" w:rsidRDefault="007575CA" w:rsidP="0008470D">
      <w:pPr>
        <w:pStyle w:val="ListParagraph"/>
        <w:numPr>
          <w:ilvl w:val="0"/>
          <w:numId w:val="21"/>
        </w:numPr>
        <w:spacing w:after="0" w:line="276" w:lineRule="auto"/>
        <w:rPr>
          <w:rFonts w:cstheme="minorHAnsi"/>
          <w:b/>
          <w:bCs/>
        </w:rPr>
      </w:pPr>
      <w:r>
        <w:rPr>
          <w:rFonts w:cstheme="minorHAnsi"/>
          <w:b/>
          <w:bCs/>
        </w:rPr>
        <w:t xml:space="preserve">Licensing </w:t>
      </w:r>
      <w:r w:rsidR="00D33676">
        <w:rPr>
          <w:rFonts w:cstheme="minorHAnsi"/>
          <w:b/>
          <w:bCs/>
        </w:rPr>
        <w:t>&amp; Permit Secured:</w:t>
      </w:r>
    </w:p>
    <w:p w14:paraId="6C5825F0" w14:textId="77777777" w:rsidR="00B30D5F" w:rsidRPr="00B30D5F" w:rsidRDefault="00CB0CEA" w:rsidP="0008470D">
      <w:pPr>
        <w:pStyle w:val="ListParagraph"/>
        <w:numPr>
          <w:ilvl w:val="0"/>
          <w:numId w:val="27"/>
        </w:numPr>
        <w:spacing w:after="0" w:line="276" w:lineRule="auto"/>
        <w:rPr>
          <w:rFonts w:cstheme="minorHAnsi"/>
        </w:rPr>
      </w:pPr>
      <w:r w:rsidRPr="00CB0CEA">
        <w:rPr>
          <w:rFonts w:cstheme="minorHAnsi"/>
          <w:b/>
          <w:bCs/>
        </w:rPr>
        <w:t>Definition</w:t>
      </w:r>
      <w:r w:rsidRPr="00B30D5F">
        <w:rPr>
          <w:rFonts w:cstheme="minorHAnsi"/>
        </w:rPr>
        <w:t>:</w:t>
      </w:r>
      <w:r w:rsidR="00B30D5F" w:rsidRPr="00B30D5F">
        <w:rPr>
          <w:rFonts w:cstheme="minorHAnsi"/>
        </w:rPr>
        <w:t xml:space="preserve"> Proportion of state licenses and permits to run wireless EV charging stations across the jurisdictions.</w:t>
      </w:r>
    </w:p>
    <w:p w14:paraId="6E4BAF36" w14:textId="79CF92FA" w:rsidR="00CB0CEA" w:rsidRPr="00B30D5F" w:rsidRDefault="00B30D5F" w:rsidP="0008470D">
      <w:pPr>
        <w:pStyle w:val="ListParagraph"/>
        <w:numPr>
          <w:ilvl w:val="0"/>
          <w:numId w:val="27"/>
        </w:numPr>
        <w:spacing w:after="0" w:line="276" w:lineRule="auto"/>
        <w:rPr>
          <w:rFonts w:cstheme="minorHAnsi"/>
        </w:rPr>
      </w:pPr>
      <w:r>
        <w:rPr>
          <w:rFonts w:cstheme="minorHAnsi"/>
          <w:b/>
          <w:bCs/>
        </w:rPr>
        <w:t xml:space="preserve">Target: </w:t>
      </w:r>
      <w:r w:rsidRPr="00B30D5F">
        <w:rPr>
          <w:rFonts w:cstheme="minorHAnsi"/>
        </w:rPr>
        <w:t>All the licenses and permits needed have been obtained in full.</w:t>
      </w:r>
    </w:p>
    <w:p w14:paraId="7861A763" w14:textId="1A460716" w:rsidR="00CB0CEA" w:rsidRDefault="00D33676" w:rsidP="0008470D">
      <w:pPr>
        <w:pStyle w:val="ListParagraph"/>
        <w:numPr>
          <w:ilvl w:val="0"/>
          <w:numId w:val="21"/>
        </w:numPr>
        <w:spacing w:after="0" w:line="276" w:lineRule="auto"/>
        <w:rPr>
          <w:rFonts w:cstheme="minorHAnsi"/>
          <w:b/>
          <w:bCs/>
        </w:rPr>
      </w:pPr>
      <w:r>
        <w:rPr>
          <w:rFonts w:cstheme="minorHAnsi"/>
          <w:b/>
          <w:bCs/>
        </w:rPr>
        <w:t>Contractual Alignment for EV infrastructure:</w:t>
      </w:r>
    </w:p>
    <w:p w14:paraId="535E242E" w14:textId="4D8ECE4C" w:rsidR="006670EA" w:rsidRPr="006670EA" w:rsidRDefault="00CB0CEA" w:rsidP="0008470D">
      <w:pPr>
        <w:pStyle w:val="ListParagraph"/>
        <w:numPr>
          <w:ilvl w:val="0"/>
          <w:numId w:val="27"/>
        </w:numPr>
        <w:spacing w:after="0" w:line="276" w:lineRule="auto"/>
        <w:rPr>
          <w:rFonts w:cstheme="minorHAnsi"/>
          <w:b/>
          <w:bCs/>
        </w:rPr>
      </w:pPr>
      <w:r w:rsidRPr="00CB0CEA">
        <w:rPr>
          <w:rFonts w:cstheme="minorHAnsi"/>
          <w:b/>
          <w:bCs/>
        </w:rPr>
        <w:t>Definition</w:t>
      </w:r>
      <w:r w:rsidRPr="006670EA">
        <w:rPr>
          <w:rFonts w:cstheme="minorHAnsi"/>
        </w:rPr>
        <w:t>:</w:t>
      </w:r>
      <w:r w:rsidR="006670EA" w:rsidRPr="006670EA">
        <w:rPr>
          <w:rFonts w:cstheme="minorHAnsi"/>
        </w:rPr>
        <w:t xml:space="preserve"> Portion of ASX-listed acquiree contracts including with car manufacturers and municipalities reviewed and re-negotiated in the post-acquisition period</w:t>
      </w:r>
      <w:r w:rsidR="006670EA">
        <w:rPr>
          <w:rFonts w:cstheme="minorHAnsi"/>
          <w:b/>
          <w:bCs/>
        </w:rPr>
        <w:t>.</w:t>
      </w:r>
    </w:p>
    <w:p w14:paraId="0762EC08" w14:textId="3242531A" w:rsidR="00D33676" w:rsidRPr="006670EA" w:rsidRDefault="006670EA" w:rsidP="0008470D">
      <w:pPr>
        <w:pStyle w:val="ListParagraph"/>
        <w:numPr>
          <w:ilvl w:val="0"/>
          <w:numId w:val="27"/>
        </w:numPr>
        <w:spacing w:after="0" w:line="276" w:lineRule="auto"/>
        <w:rPr>
          <w:rFonts w:cstheme="minorHAnsi"/>
        </w:rPr>
      </w:pPr>
      <w:r w:rsidRPr="006670EA">
        <w:rPr>
          <w:rFonts w:cstheme="minorHAnsi"/>
          <w:b/>
          <w:bCs/>
        </w:rPr>
        <w:t xml:space="preserve">Target: </w:t>
      </w:r>
      <w:r w:rsidRPr="006670EA">
        <w:rPr>
          <w:rFonts w:cstheme="minorHAnsi"/>
        </w:rPr>
        <w:t>Core contracts reassessed and modified within six months for 90 percent of the company’s total</w:t>
      </w:r>
    </w:p>
    <w:p w14:paraId="5072D153" w14:textId="77777777" w:rsidR="00CB0CEA" w:rsidRPr="00CB0CEA" w:rsidRDefault="00CB0CEA" w:rsidP="00CB0CEA">
      <w:pPr>
        <w:pStyle w:val="ListParagraph"/>
        <w:spacing w:after="0" w:line="276" w:lineRule="auto"/>
        <w:ind w:left="1440"/>
        <w:rPr>
          <w:rFonts w:cstheme="minorHAnsi"/>
          <w:b/>
          <w:bCs/>
        </w:rPr>
      </w:pPr>
    </w:p>
    <w:p w14:paraId="5CF8B601" w14:textId="2B7D5F89" w:rsidR="00D33676" w:rsidRDefault="00D33676" w:rsidP="00D33676">
      <w:pPr>
        <w:spacing w:after="0" w:line="276" w:lineRule="auto"/>
        <w:rPr>
          <w:rFonts w:cstheme="minorHAnsi"/>
          <w:b/>
          <w:bCs/>
        </w:rPr>
      </w:pPr>
      <w:r>
        <w:rPr>
          <w:rFonts w:cstheme="minorHAnsi"/>
          <w:b/>
          <w:bCs/>
        </w:rPr>
        <w:t>Pending Merger</w:t>
      </w:r>
      <w:r w:rsidR="003F6C20">
        <w:rPr>
          <w:rFonts w:cstheme="minorHAnsi"/>
          <w:b/>
          <w:bCs/>
        </w:rPr>
        <w:t xml:space="preserve"> or Acquisitions KPIs</w:t>
      </w:r>
    </w:p>
    <w:p w14:paraId="622F54B8" w14:textId="1C763687" w:rsidR="00E6250F" w:rsidRPr="001D2732" w:rsidRDefault="003F6C20" w:rsidP="0008470D">
      <w:pPr>
        <w:pStyle w:val="ListParagraph"/>
        <w:numPr>
          <w:ilvl w:val="0"/>
          <w:numId w:val="28"/>
        </w:numPr>
        <w:spacing w:after="0" w:line="276" w:lineRule="auto"/>
        <w:rPr>
          <w:rFonts w:cstheme="minorHAnsi"/>
          <w:b/>
          <w:bCs/>
        </w:rPr>
      </w:pPr>
      <w:r w:rsidRPr="001D2732">
        <w:rPr>
          <w:rFonts w:cstheme="minorHAnsi"/>
          <w:b/>
          <w:bCs/>
        </w:rPr>
        <w:lastRenderedPageBreak/>
        <w:t>Additional Acquisition Synergy:</w:t>
      </w:r>
      <w:r w:rsidR="00E6250F" w:rsidRPr="001D2732">
        <w:rPr>
          <w:rFonts w:cstheme="minorHAnsi"/>
          <w:b/>
          <w:bCs/>
        </w:rPr>
        <w:t xml:space="preserve"> </w:t>
      </w:r>
    </w:p>
    <w:p w14:paraId="54F96365" w14:textId="77777777" w:rsidR="00B6156F" w:rsidRPr="00B6156F" w:rsidRDefault="00E6250F" w:rsidP="0008470D">
      <w:pPr>
        <w:pStyle w:val="ListParagraph"/>
        <w:numPr>
          <w:ilvl w:val="0"/>
          <w:numId w:val="27"/>
        </w:numPr>
        <w:spacing w:after="0" w:line="276" w:lineRule="auto"/>
        <w:rPr>
          <w:rFonts w:cstheme="minorHAnsi"/>
        </w:rPr>
      </w:pPr>
      <w:r w:rsidRPr="00CB0CEA">
        <w:rPr>
          <w:rFonts w:cstheme="minorHAnsi"/>
          <w:b/>
          <w:bCs/>
        </w:rPr>
        <w:t>Definition:</w:t>
      </w:r>
      <w:r w:rsidR="00B6156F">
        <w:rPr>
          <w:rFonts w:cstheme="minorHAnsi"/>
          <w:b/>
          <w:bCs/>
        </w:rPr>
        <w:t xml:space="preserve"> </w:t>
      </w:r>
      <w:r w:rsidR="00B6156F" w:rsidRPr="00B6156F">
        <w:rPr>
          <w:rFonts w:cstheme="minorHAnsi"/>
        </w:rPr>
        <w:t>Number of EV or green technology related companies potentially identified for acquisition and reviewed after the initial acquisition of WiTricity.</w:t>
      </w:r>
    </w:p>
    <w:p w14:paraId="4CD1FE78" w14:textId="2875CBD3" w:rsidR="00E6250F" w:rsidRPr="00B6156F" w:rsidRDefault="00B6156F" w:rsidP="0008470D">
      <w:pPr>
        <w:pStyle w:val="ListParagraph"/>
        <w:numPr>
          <w:ilvl w:val="0"/>
          <w:numId w:val="27"/>
        </w:numPr>
        <w:spacing w:after="0" w:line="276" w:lineRule="auto"/>
        <w:rPr>
          <w:rFonts w:cstheme="minorHAnsi"/>
        </w:rPr>
      </w:pPr>
      <w:r w:rsidRPr="00B6156F">
        <w:rPr>
          <w:rFonts w:cstheme="minorHAnsi"/>
          <w:b/>
          <w:bCs/>
        </w:rPr>
        <w:t xml:space="preserve">Target: </w:t>
      </w:r>
      <w:r w:rsidRPr="00B6156F">
        <w:rPr>
          <w:rFonts w:cstheme="minorHAnsi"/>
        </w:rPr>
        <w:t>At least three possible synergies that are implementation-driven must be investigated within a year of an acquisition.</w:t>
      </w:r>
    </w:p>
    <w:p w14:paraId="6D9459C8" w14:textId="23FF9528" w:rsidR="003F6C20" w:rsidRDefault="003F6C20" w:rsidP="0008470D">
      <w:pPr>
        <w:pStyle w:val="ListParagraph"/>
        <w:numPr>
          <w:ilvl w:val="0"/>
          <w:numId w:val="28"/>
        </w:numPr>
        <w:spacing w:after="0" w:line="276" w:lineRule="auto"/>
        <w:rPr>
          <w:rFonts w:cstheme="minorHAnsi"/>
          <w:b/>
          <w:bCs/>
        </w:rPr>
      </w:pPr>
      <w:r w:rsidRPr="001D2732">
        <w:rPr>
          <w:rFonts w:cstheme="minorHAnsi"/>
          <w:b/>
          <w:bCs/>
        </w:rPr>
        <w:t xml:space="preserve">Market Share and Growth in EV Financing: </w:t>
      </w:r>
    </w:p>
    <w:p w14:paraId="186BCC60" w14:textId="77777777" w:rsidR="007D511A" w:rsidRPr="007D511A" w:rsidRDefault="007D511A" w:rsidP="0008470D">
      <w:pPr>
        <w:pStyle w:val="ListParagraph"/>
        <w:numPr>
          <w:ilvl w:val="0"/>
          <w:numId w:val="29"/>
        </w:numPr>
        <w:spacing w:after="0" w:line="276" w:lineRule="auto"/>
        <w:rPr>
          <w:rFonts w:cstheme="minorHAnsi"/>
        </w:rPr>
      </w:pPr>
      <w:r w:rsidRPr="007D511A">
        <w:rPr>
          <w:rFonts w:cstheme="minorHAnsi"/>
          <w:b/>
          <w:bCs/>
        </w:rPr>
        <w:t xml:space="preserve">Definition: </w:t>
      </w:r>
      <w:r w:rsidRPr="007D511A">
        <w:rPr>
          <w:rFonts w:cstheme="minorHAnsi"/>
        </w:rPr>
        <w:t>Percentage improvement in the market share on the TD Bank after the acquisition of the financing EV and wireless charging.</w:t>
      </w:r>
    </w:p>
    <w:p w14:paraId="28277C9C" w14:textId="3406DD26" w:rsidR="001D2732" w:rsidRPr="007D511A" w:rsidRDefault="007D511A" w:rsidP="0008470D">
      <w:pPr>
        <w:pStyle w:val="ListParagraph"/>
        <w:numPr>
          <w:ilvl w:val="0"/>
          <w:numId w:val="29"/>
        </w:numPr>
        <w:spacing w:after="0" w:line="276" w:lineRule="auto"/>
        <w:rPr>
          <w:rFonts w:cstheme="minorHAnsi"/>
        </w:rPr>
      </w:pPr>
      <w:r w:rsidRPr="007D511A">
        <w:rPr>
          <w:rFonts w:cstheme="minorHAnsi"/>
          <w:b/>
          <w:bCs/>
        </w:rPr>
        <w:t>Target</w:t>
      </w:r>
      <w:r w:rsidRPr="007D511A">
        <w:rPr>
          <w:rFonts w:cstheme="minorHAnsi"/>
        </w:rPr>
        <w:t>: To achieve the goals outlined above, Jin case will reach 15% of market share in sales of new financing products related to EV by 2027.</w:t>
      </w:r>
    </w:p>
    <w:p w14:paraId="59E66088" w14:textId="5BB64255" w:rsidR="003F6C20" w:rsidRDefault="003F6C20" w:rsidP="0008470D">
      <w:pPr>
        <w:pStyle w:val="ListParagraph"/>
        <w:numPr>
          <w:ilvl w:val="0"/>
          <w:numId w:val="28"/>
        </w:numPr>
        <w:spacing w:after="0" w:line="276" w:lineRule="auto"/>
        <w:rPr>
          <w:rFonts w:cstheme="minorHAnsi"/>
          <w:b/>
          <w:bCs/>
        </w:rPr>
      </w:pPr>
      <w:r>
        <w:rPr>
          <w:rFonts w:cstheme="minorHAnsi"/>
          <w:b/>
          <w:bCs/>
        </w:rPr>
        <w:t xml:space="preserve">Revenue from Acquired Entities: </w:t>
      </w:r>
    </w:p>
    <w:p w14:paraId="44DF7A0E" w14:textId="77777777" w:rsidR="0075400F" w:rsidRPr="0075400F" w:rsidRDefault="0075400F" w:rsidP="0008470D">
      <w:pPr>
        <w:pStyle w:val="ListParagraph"/>
        <w:numPr>
          <w:ilvl w:val="0"/>
          <w:numId w:val="30"/>
        </w:numPr>
        <w:spacing w:after="0" w:line="276" w:lineRule="auto"/>
        <w:rPr>
          <w:rFonts w:cstheme="minorHAnsi"/>
        </w:rPr>
      </w:pPr>
      <w:r w:rsidRPr="0075400F">
        <w:rPr>
          <w:rFonts w:cstheme="minorHAnsi"/>
          <w:b/>
          <w:bCs/>
        </w:rPr>
        <w:t xml:space="preserve">Definition: </w:t>
      </w:r>
      <w:r w:rsidRPr="0075400F">
        <w:rPr>
          <w:rFonts w:cstheme="minorHAnsi"/>
        </w:rPr>
        <w:t>The amount of new revenues acquired after acquiring a company in the green energy or the pure electric vehicle space apart from WiTricity.</w:t>
      </w:r>
    </w:p>
    <w:p w14:paraId="7E613780" w14:textId="4E75036B" w:rsidR="007D511A" w:rsidRPr="0075400F" w:rsidRDefault="0075400F" w:rsidP="0008470D">
      <w:pPr>
        <w:pStyle w:val="ListParagraph"/>
        <w:numPr>
          <w:ilvl w:val="0"/>
          <w:numId w:val="30"/>
        </w:numPr>
        <w:spacing w:after="0" w:line="276" w:lineRule="auto"/>
        <w:rPr>
          <w:rFonts w:cstheme="minorHAnsi"/>
        </w:rPr>
      </w:pPr>
      <w:r w:rsidRPr="0075400F">
        <w:rPr>
          <w:rFonts w:cstheme="minorHAnsi"/>
          <w:b/>
          <w:bCs/>
        </w:rPr>
        <w:t>Target</w:t>
      </w:r>
      <w:r w:rsidRPr="0075400F">
        <w:rPr>
          <w:rFonts w:cstheme="minorHAnsi"/>
        </w:rPr>
        <w:t>: Growth of $500 million more in its revenue within the year 2030</w:t>
      </w:r>
    </w:p>
    <w:p w14:paraId="111B1708" w14:textId="02C770DA" w:rsidR="003F6C20" w:rsidRDefault="003F6C20" w:rsidP="003F6C20">
      <w:pPr>
        <w:spacing w:after="0" w:line="276" w:lineRule="auto"/>
        <w:rPr>
          <w:rFonts w:cstheme="minorHAnsi"/>
          <w:b/>
          <w:bCs/>
        </w:rPr>
      </w:pPr>
      <w:r>
        <w:rPr>
          <w:rFonts w:cstheme="minorHAnsi"/>
          <w:b/>
          <w:bCs/>
        </w:rPr>
        <w:t>Intellectual Property (IP)</w:t>
      </w:r>
      <w:r w:rsidR="00E60931">
        <w:rPr>
          <w:rFonts w:cstheme="minorHAnsi"/>
          <w:b/>
          <w:bCs/>
        </w:rPr>
        <w:t xml:space="preserve"> &amp; Patent related KPI:</w:t>
      </w:r>
    </w:p>
    <w:p w14:paraId="34919A81" w14:textId="7A10F822" w:rsidR="00E60931" w:rsidRDefault="00E60931" w:rsidP="0008470D">
      <w:pPr>
        <w:pStyle w:val="ListParagraph"/>
        <w:numPr>
          <w:ilvl w:val="0"/>
          <w:numId w:val="22"/>
        </w:numPr>
        <w:spacing w:after="0" w:line="276" w:lineRule="auto"/>
        <w:rPr>
          <w:rFonts w:cstheme="minorHAnsi"/>
          <w:b/>
          <w:bCs/>
        </w:rPr>
      </w:pPr>
      <w:r>
        <w:rPr>
          <w:rFonts w:cstheme="minorHAnsi"/>
          <w:b/>
          <w:bCs/>
        </w:rPr>
        <w:t>IP portfolio Expansion</w:t>
      </w:r>
      <w:r w:rsidR="0075400F">
        <w:rPr>
          <w:rFonts w:cstheme="minorHAnsi"/>
          <w:b/>
          <w:bCs/>
        </w:rPr>
        <w:t>:</w:t>
      </w:r>
    </w:p>
    <w:p w14:paraId="303DAFB8" w14:textId="117E6FFD" w:rsidR="003E2E4C" w:rsidRPr="003E2E4C" w:rsidRDefault="003E2E4C" w:rsidP="0008470D">
      <w:pPr>
        <w:pStyle w:val="ListParagraph"/>
        <w:numPr>
          <w:ilvl w:val="0"/>
          <w:numId w:val="31"/>
        </w:numPr>
        <w:spacing w:after="0" w:line="276" w:lineRule="auto"/>
        <w:rPr>
          <w:rFonts w:cstheme="minorHAnsi"/>
        </w:rPr>
      </w:pPr>
      <w:r w:rsidRPr="003E2E4C">
        <w:rPr>
          <w:rFonts w:cstheme="minorHAnsi"/>
          <w:b/>
          <w:bCs/>
        </w:rPr>
        <w:t>Definition</w:t>
      </w:r>
      <w:r w:rsidRPr="003E2E4C">
        <w:rPr>
          <w:rFonts w:cstheme="minorHAnsi"/>
        </w:rPr>
        <w:t xml:space="preserve">: The above graph shows the growth of the organization’s IP assets over a period of 4 decades, including the latest acquisition of WiTricity: Now let us </w:t>
      </w:r>
      <w:r>
        <w:rPr>
          <w:rFonts w:cstheme="minorHAnsi"/>
        </w:rPr>
        <w:t>dive deep into</w:t>
      </w:r>
      <w:r w:rsidRPr="003E2E4C">
        <w:rPr>
          <w:rFonts w:cstheme="minorHAnsi"/>
        </w:rPr>
        <w:t xml:space="preserve"> what percentage increase occurred in TD Bank’s IP holdings after acquiring WiTricity:</w:t>
      </w:r>
    </w:p>
    <w:p w14:paraId="06874B26" w14:textId="0A1908DC" w:rsidR="0075400F" w:rsidRPr="003E2E4C" w:rsidRDefault="003E2E4C" w:rsidP="0008470D">
      <w:pPr>
        <w:pStyle w:val="ListParagraph"/>
        <w:numPr>
          <w:ilvl w:val="0"/>
          <w:numId w:val="31"/>
        </w:numPr>
        <w:spacing w:after="0" w:line="276" w:lineRule="auto"/>
        <w:rPr>
          <w:rFonts w:cstheme="minorHAnsi"/>
        </w:rPr>
      </w:pPr>
      <w:r w:rsidRPr="003E2E4C">
        <w:rPr>
          <w:rFonts w:cstheme="minorHAnsi"/>
          <w:b/>
          <w:bCs/>
        </w:rPr>
        <w:t>Target</w:t>
      </w:r>
      <w:r w:rsidRPr="003E2E4C">
        <w:rPr>
          <w:rFonts w:cstheme="minorHAnsi"/>
        </w:rPr>
        <w:t>: Here the company witnessed an increase in IP assets as following overall total from all post-transaction acquisitions increased by 30%.</w:t>
      </w:r>
    </w:p>
    <w:p w14:paraId="7BA9A34B" w14:textId="7F886D72" w:rsidR="00E60931" w:rsidRDefault="00E60931" w:rsidP="0008470D">
      <w:pPr>
        <w:pStyle w:val="ListParagraph"/>
        <w:numPr>
          <w:ilvl w:val="0"/>
          <w:numId w:val="22"/>
        </w:numPr>
        <w:spacing w:after="0" w:line="276" w:lineRule="auto"/>
        <w:rPr>
          <w:rFonts w:cstheme="minorHAnsi"/>
          <w:b/>
          <w:bCs/>
        </w:rPr>
      </w:pPr>
      <w:r>
        <w:rPr>
          <w:rFonts w:cstheme="minorHAnsi"/>
          <w:b/>
          <w:bCs/>
        </w:rPr>
        <w:t>Patent Validation and Protection:</w:t>
      </w:r>
    </w:p>
    <w:p w14:paraId="7EF701CE" w14:textId="77777777" w:rsidR="00852872" w:rsidRPr="00852872" w:rsidRDefault="00852872" w:rsidP="0008470D">
      <w:pPr>
        <w:pStyle w:val="ListParagraph"/>
        <w:numPr>
          <w:ilvl w:val="0"/>
          <w:numId w:val="40"/>
        </w:numPr>
        <w:spacing w:after="0" w:line="276" w:lineRule="auto"/>
        <w:rPr>
          <w:rFonts w:cstheme="minorHAnsi"/>
        </w:rPr>
      </w:pPr>
      <w:r w:rsidRPr="00852872">
        <w:rPr>
          <w:rFonts w:cstheme="minorHAnsi"/>
          <w:b/>
          <w:bCs/>
        </w:rPr>
        <w:t xml:space="preserve">Definition: </w:t>
      </w:r>
      <w:r w:rsidRPr="00852872">
        <w:rPr>
          <w:rFonts w:cstheme="minorHAnsi"/>
        </w:rPr>
        <w:t>Number of patents applied and achieved post-acquisition to shield WiTricity’s scientific innovation.</w:t>
      </w:r>
    </w:p>
    <w:p w14:paraId="652A35F4" w14:textId="07F28933" w:rsidR="003E2E4C" w:rsidRPr="00852872" w:rsidRDefault="00852872" w:rsidP="0008470D">
      <w:pPr>
        <w:pStyle w:val="ListParagraph"/>
        <w:numPr>
          <w:ilvl w:val="0"/>
          <w:numId w:val="40"/>
        </w:numPr>
        <w:spacing w:after="0" w:line="276" w:lineRule="auto"/>
        <w:rPr>
          <w:rFonts w:cstheme="minorHAnsi"/>
        </w:rPr>
      </w:pPr>
      <w:r w:rsidRPr="00852872">
        <w:rPr>
          <w:rFonts w:cstheme="minorHAnsi"/>
          <w:b/>
          <w:bCs/>
        </w:rPr>
        <w:t>Target</w:t>
      </w:r>
      <w:r w:rsidRPr="00852872">
        <w:rPr>
          <w:rFonts w:cstheme="minorHAnsi"/>
        </w:rPr>
        <w:t>: We must scan every new patent that has a critical impact in the business environment and file, validate, and protect them within twelve months.</w:t>
      </w:r>
    </w:p>
    <w:p w14:paraId="16EC95FF" w14:textId="2278B77B" w:rsidR="00E60931" w:rsidRDefault="00E60931" w:rsidP="0008470D">
      <w:pPr>
        <w:pStyle w:val="ListParagraph"/>
        <w:numPr>
          <w:ilvl w:val="0"/>
          <w:numId w:val="22"/>
        </w:numPr>
        <w:spacing w:after="0" w:line="276" w:lineRule="auto"/>
        <w:rPr>
          <w:rFonts w:cstheme="minorHAnsi"/>
          <w:b/>
          <w:bCs/>
        </w:rPr>
      </w:pPr>
      <w:r>
        <w:rPr>
          <w:rFonts w:cstheme="minorHAnsi"/>
          <w:b/>
          <w:bCs/>
        </w:rPr>
        <w:t>Patent Litigation Resolution:</w:t>
      </w:r>
    </w:p>
    <w:p w14:paraId="39C06433" w14:textId="3A114E19" w:rsidR="00705CAB" w:rsidRPr="00705CAB" w:rsidRDefault="00705CAB" w:rsidP="0008470D">
      <w:pPr>
        <w:pStyle w:val="ListParagraph"/>
        <w:numPr>
          <w:ilvl w:val="0"/>
          <w:numId w:val="41"/>
        </w:numPr>
        <w:spacing w:after="0" w:line="276" w:lineRule="auto"/>
        <w:rPr>
          <w:rFonts w:cstheme="minorHAnsi"/>
        </w:rPr>
      </w:pPr>
      <w:r w:rsidRPr="00705CAB">
        <w:rPr>
          <w:rFonts w:cstheme="minorHAnsi"/>
          <w:b/>
          <w:bCs/>
        </w:rPr>
        <w:t xml:space="preserve">Definition: </w:t>
      </w:r>
      <w:r w:rsidR="003B49CC" w:rsidRPr="003B49CC">
        <w:rPr>
          <w:rFonts w:cstheme="minorHAnsi"/>
        </w:rPr>
        <w:t>TD Bank's count of ongoing, new, and related patent infringement cases linked to WiTricity that it has been involved in, all of which have been settled in the bank's favour.</w:t>
      </w:r>
    </w:p>
    <w:p w14:paraId="7A0241CF" w14:textId="6C73E358" w:rsidR="00852872" w:rsidRPr="00705CAB" w:rsidRDefault="00705CAB" w:rsidP="0008470D">
      <w:pPr>
        <w:pStyle w:val="ListParagraph"/>
        <w:numPr>
          <w:ilvl w:val="0"/>
          <w:numId w:val="41"/>
        </w:numPr>
        <w:spacing w:after="0" w:line="276" w:lineRule="auto"/>
        <w:rPr>
          <w:rFonts w:cstheme="minorHAnsi"/>
        </w:rPr>
      </w:pPr>
      <w:r w:rsidRPr="00705CAB">
        <w:rPr>
          <w:rFonts w:cstheme="minorHAnsi"/>
          <w:b/>
          <w:bCs/>
        </w:rPr>
        <w:t>Target</w:t>
      </w:r>
      <w:r w:rsidRPr="00705CAB">
        <w:rPr>
          <w:rFonts w:cstheme="minorHAnsi"/>
        </w:rPr>
        <w:t>: No further continuance of any patent disputes can be made after 18 months.</w:t>
      </w:r>
    </w:p>
    <w:p w14:paraId="4F594828" w14:textId="7FA27F49" w:rsidR="00E60931" w:rsidRDefault="00E60931" w:rsidP="0008470D">
      <w:pPr>
        <w:pStyle w:val="ListParagraph"/>
        <w:numPr>
          <w:ilvl w:val="0"/>
          <w:numId w:val="22"/>
        </w:numPr>
        <w:spacing w:after="0" w:line="276" w:lineRule="auto"/>
        <w:rPr>
          <w:rFonts w:cstheme="minorHAnsi"/>
          <w:b/>
          <w:bCs/>
        </w:rPr>
      </w:pPr>
      <w:r>
        <w:rPr>
          <w:rFonts w:cstheme="minorHAnsi"/>
          <w:b/>
          <w:bCs/>
        </w:rPr>
        <w:t xml:space="preserve">IP Monetization through Licensing: </w:t>
      </w:r>
    </w:p>
    <w:p w14:paraId="00166A9A" w14:textId="77777777" w:rsidR="009876F9" w:rsidRPr="009876F9" w:rsidRDefault="009876F9" w:rsidP="0008470D">
      <w:pPr>
        <w:pStyle w:val="ListParagraph"/>
        <w:numPr>
          <w:ilvl w:val="0"/>
          <w:numId w:val="42"/>
        </w:numPr>
        <w:spacing w:after="0" w:line="276" w:lineRule="auto"/>
        <w:rPr>
          <w:rFonts w:cstheme="minorHAnsi"/>
        </w:rPr>
      </w:pPr>
      <w:r w:rsidRPr="009876F9">
        <w:rPr>
          <w:rFonts w:cstheme="minorHAnsi"/>
          <w:b/>
          <w:bCs/>
        </w:rPr>
        <w:t>Definition:</w:t>
      </w:r>
      <w:r w:rsidRPr="009876F9">
        <w:rPr>
          <w:rFonts w:cstheme="minorHAnsi"/>
        </w:rPr>
        <w:t xml:space="preserve"> WiTricity, like many tech companies, has depended on revenue derived from the licensing of its wireless EV charging technology to third parties such as carmakers and infrastructure firms.</w:t>
      </w:r>
    </w:p>
    <w:p w14:paraId="73D4895B" w14:textId="25E533CD" w:rsidR="003B49CC" w:rsidRPr="009876F9" w:rsidRDefault="009876F9" w:rsidP="0008470D">
      <w:pPr>
        <w:pStyle w:val="ListParagraph"/>
        <w:numPr>
          <w:ilvl w:val="0"/>
          <w:numId w:val="42"/>
        </w:numPr>
        <w:spacing w:after="0" w:line="276" w:lineRule="auto"/>
        <w:rPr>
          <w:rFonts w:cstheme="minorHAnsi"/>
        </w:rPr>
      </w:pPr>
      <w:r w:rsidRPr="009876F9">
        <w:rPr>
          <w:rFonts w:cstheme="minorHAnsi"/>
          <w:b/>
          <w:bCs/>
        </w:rPr>
        <w:t>Target</w:t>
      </w:r>
      <w:r w:rsidRPr="009876F9">
        <w:rPr>
          <w:rFonts w:cstheme="minorHAnsi"/>
        </w:rPr>
        <w:t>: IP licensing to generate more than $150 million of annual revenue by 2027.</w:t>
      </w:r>
      <w:r>
        <w:rPr>
          <w:rFonts w:cstheme="minorHAnsi"/>
        </w:rPr>
        <w:br/>
      </w:r>
    </w:p>
    <w:p w14:paraId="15D4BFD6" w14:textId="7BB6A7ED" w:rsidR="008C499C" w:rsidRDefault="008C499C" w:rsidP="008C499C">
      <w:pPr>
        <w:spacing w:after="0" w:line="276" w:lineRule="auto"/>
        <w:rPr>
          <w:rFonts w:cstheme="minorHAnsi"/>
          <w:b/>
          <w:bCs/>
        </w:rPr>
      </w:pPr>
      <w:r>
        <w:rPr>
          <w:rFonts w:cstheme="minorHAnsi"/>
          <w:b/>
          <w:bCs/>
        </w:rPr>
        <w:t>Financial Performance &amp; ROI KPIs:</w:t>
      </w:r>
    </w:p>
    <w:p w14:paraId="445AAAD7" w14:textId="2D11CA77" w:rsidR="008C499C" w:rsidRDefault="008C499C" w:rsidP="0008470D">
      <w:pPr>
        <w:pStyle w:val="ListParagraph"/>
        <w:numPr>
          <w:ilvl w:val="0"/>
          <w:numId w:val="23"/>
        </w:numPr>
        <w:spacing w:after="0" w:line="276" w:lineRule="auto"/>
        <w:rPr>
          <w:rFonts w:cstheme="minorHAnsi"/>
          <w:b/>
          <w:bCs/>
        </w:rPr>
      </w:pPr>
      <w:r>
        <w:rPr>
          <w:rFonts w:cstheme="minorHAnsi"/>
          <w:b/>
          <w:bCs/>
        </w:rPr>
        <w:t>Return on Investment:</w:t>
      </w:r>
    </w:p>
    <w:p w14:paraId="4F48C6CF" w14:textId="77777777" w:rsidR="00A5021D" w:rsidRDefault="0042694B" w:rsidP="0008470D">
      <w:pPr>
        <w:pStyle w:val="ListParagraph"/>
        <w:numPr>
          <w:ilvl w:val="0"/>
          <w:numId w:val="31"/>
        </w:numPr>
        <w:spacing w:after="0" w:line="276" w:lineRule="auto"/>
        <w:rPr>
          <w:rFonts w:cstheme="minorHAnsi"/>
        </w:rPr>
      </w:pPr>
      <w:r w:rsidRPr="0042694B">
        <w:rPr>
          <w:rFonts w:cstheme="minorHAnsi"/>
          <w:b/>
          <w:bCs/>
        </w:rPr>
        <w:t xml:space="preserve">Definition: </w:t>
      </w:r>
      <w:r w:rsidRPr="0042694B">
        <w:rPr>
          <w:rFonts w:cstheme="minorHAnsi"/>
        </w:rPr>
        <w:t>Annualized ROI from acquisition of WiTricity.</w:t>
      </w:r>
    </w:p>
    <w:p w14:paraId="31FFDB3B" w14:textId="43B9F069" w:rsidR="00EE7905" w:rsidRPr="00EE7905" w:rsidRDefault="0042694B" w:rsidP="0008470D">
      <w:pPr>
        <w:pStyle w:val="ListParagraph"/>
        <w:numPr>
          <w:ilvl w:val="0"/>
          <w:numId w:val="31"/>
        </w:numPr>
        <w:spacing w:after="0" w:line="276" w:lineRule="auto"/>
        <w:rPr>
          <w:rFonts w:cstheme="minorHAnsi"/>
        </w:rPr>
      </w:pPr>
      <w:r w:rsidRPr="00EE7905">
        <w:rPr>
          <w:rFonts w:cstheme="minorHAnsi"/>
          <w:b/>
          <w:bCs/>
        </w:rPr>
        <w:lastRenderedPageBreak/>
        <w:t>Target</w:t>
      </w:r>
      <w:r w:rsidRPr="00EE7905">
        <w:rPr>
          <w:rFonts w:cstheme="minorHAnsi"/>
        </w:rPr>
        <w:t xml:space="preserve">: </w:t>
      </w:r>
      <w:r w:rsidR="00EE7905" w:rsidRPr="00EE7905">
        <w:rPr>
          <w:rFonts w:cstheme="minorHAnsi"/>
        </w:rPr>
        <w:t>The goals are to generate a return on investment (ROI) of 15–25% by 2027 and a total return on investment of $500–$700 million a year by 2030.</w:t>
      </w:r>
    </w:p>
    <w:p w14:paraId="3DDE55FF" w14:textId="3F8A3FF9" w:rsidR="008C499C" w:rsidRPr="00EE7905" w:rsidRDefault="005F7F2F" w:rsidP="0008470D">
      <w:pPr>
        <w:pStyle w:val="ListParagraph"/>
        <w:numPr>
          <w:ilvl w:val="0"/>
          <w:numId w:val="23"/>
        </w:numPr>
        <w:spacing w:after="0" w:line="276" w:lineRule="auto"/>
        <w:rPr>
          <w:rFonts w:cstheme="minorHAnsi"/>
          <w:b/>
          <w:bCs/>
        </w:rPr>
      </w:pPr>
      <w:r w:rsidRPr="00EE7905">
        <w:rPr>
          <w:rFonts w:cstheme="minorHAnsi"/>
          <w:b/>
          <w:bCs/>
        </w:rPr>
        <w:t>Revenue from wireless Charging Infrastructure:</w:t>
      </w:r>
    </w:p>
    <w:p w14:paraId="1FF00563" w14:textId="072E5DB2" w:rsidR="008B3754" w:rsidRPr="008B3754" w:rsidRDefault="008B3754" w:rsidP="0008470D">
      <w:pPr>
        <w:pStyle w:val="ListParagraph"/>
        <w:numPr>
          <w:ilvl w:val="0"/>
          <w:numId w:val="32"/>
        </w:numPr>
        <w:spacing w:after="0" w:line="276" w:lineRule="auto"/>
        <w:rPr>
          <w:rFonts w:cstheme="minorHAnsi"/>
        </w:rPr>
      </w:pPr>
      <w:r w:rsidRPr="008B3754">
        <w:rPr>
          <w:rFonts w:cstheme="minorHAnsi"/>
          <w:b/>
          <w:bCs/>
        </w:rPr>
        <w:t xml:space="preserve">Definition: </w:t>
      </w:r>
      <w:r w:rsidRPr="008B3754">
        <w:rPr>
          <w:rFonts w:cstheme="minorHAnsi"/>
        </w:rPr>
        <w:t>Total hikes pooled from the E</w:t>
      </w:r>
      <w:r w:rsidR="00204F2D">
        <w:rPr>
          <w:rFonts w:cstheme="minorHAnsi"/>
        </w:rPr>
        <w:t>V</w:t>
      </w:r>
      <w:r w:rsidRPr="008B3754">
        <w:rPr>
          <w:rFonts w:cstheme="minorHAnsi"/>
        </w:rPr>
        <w:t xml:space="preserve"> projects funded by TD Bank.</w:t>
      </w:r>
    </w:p>
    <w:p w14:paraId="0880C78D" w14:textId="3E7E1273" w:rsidR="00832C92" w:rsidRPr="008B3754" w:rsidRDefault="008B3754" w:rsidP="0008470D">
      <w:pPr>
        <w:pStyle w:val="ListParagraph"/>
        <w:numPr>
          <w:ilvl w:val="0"/>
          <w:numId w:val="32"/>
        </w:numPr>
        <w:spacing w:after="0" w:line="276" w:lineRule="auto"/>
        <w:rPr>
          <w:rFonts w:cstheme="minorHAnsi"/>
        </w:rPr>
      </w:pPr>
      <w:r w:rsidRPr="00204F2D">
        <w:rPr>
          <w:rFonts w:cstheme="minorHAnsi"/>
          <w:b/>
          <w:bCs/>
        </w:rPr>
        <w:t>Target</w:t>
      </w:r>
      <w:r w:rsidRPr="008B3754">
        <w:rPr>
          <w:rFonts w:cstheme="minorHAnsi"/>
        </w:rPr>
        <w:t xml:space="preserve">: As per the report of Forecasts up to 2027: The market for mining industry lithium chemicals is expected to range from $150 million to $250 </w:t>
      </w:r>
      <w:r w:rsidR="00204F2D" w:rsidRPr="008B3754">
        <w:rPr>
          <w:rFonts w:cstheme="minorHAnsi"/>
        </w:rPr>
        <w:t>million</w:t>
      </w:r>
      <w:r w:rsidRPr="008B3754">
        <w:rPr>
          <w:rFonts w:cstheme="minorHAnsi"/>
        </w:rPr>
        <w:t>.</w:t>
      </w:r>
    </w:p>
    <w:p w14:paraId="39CD6A5B" w14:textId="61B3D532" w:rsidR="005F7F2F" w:rsidRDefault="00B31D83" w:rsidP="0008470D">
      <w:pPr>
        <w:pStyle w:val="ListParagraph"/>
        <w:numPr>
          <w:ilvl w:val="0"/>
          <w:numId w:val="23"/>
        </w:numPr>
        <w:spacing w:after="0" w:line="276" w:lineRule="auto"/>
        <w:rPr>
          <w:rFonts w:cstheme="minorHAnsi"/>
          <w:b/>
          <w:bCs/>
        </w:rPr>
      </w:pPr>
      <w:r>
        <w:rPr>
          <w:rFonts w:cstheme="minorHAnsi"/>
          <w:b/>
          <w:bCs/>
        </w:rPr>
        <w:t>Cost of Integra</w:t>
      </w:r>
      <w:r w:rsidR="007F4AA5">
        <w:rPr>
          <w:rFonts w:cstheme="minorHAnsi"/>
          <w:b/>
          <w:bCs/>
        </w:rPr>
        <w:t>tion:</w:t>
      </w:r>
    </w:p>
    <w:p w14:paraId="41F26FB2" w14:textId="77777777" w:rsidR="00DD13CA" w:rsidRPr="00DD13CA" w:rsidRDefault="00DD13CA" w:rsidP="0008470D">
      <w:pPr>
        <w:pStyle w:val="ListParagraph"/>
        <w:numPr>
          <w:ilvl w:val="0"/>
          <w:numId w:val="35"/>
        </w:numPr>
        <w:spacing w:after="0" w:line="276" w:lineRule="auto"/>
        <w:rPr>
          <w:rFonts w:cstheme="minorHAnsi"/>
        </w:rPr>
      </w:pPr>
      <w:r w:rsidRPr="00DD13CA">
        <w:rPr>
          <w:rFonts w:cstheme="minorHAnsi"/>
          <w:b/>
          <w:bCs/>
        </w:rPr>
        <w:t>Definition</w:t>
      </w:r>
      <w:r w:rsidRPr="00DD13CA">
        <w:rPr>
          <w:rFonts w:cstheme="minorHAnsi"/>
        </w:rPr>
        <w:t>: Altogether, the cost that TD Bank will spend to incorporate WiTricity’s concepts and strategies into its system.</w:t>
      </w:r>
    </w:p>
    <w:p w14:paraId="42FA5D98" w14:textId="1A422715" w:rsidR="00204F2D" w:rsidRPr="00DD13CA" w:rsidRDefault="00DD13CA" w:rsidP="0008470D">
      <w:pPr>
        <w:pStyle w:val="ListParagraph"/>
        <w:numPr>
          <w:ilvl w:val="0"/>
          <w:numId w:val="35"/>
        </w:numPr>
        <w:spacing w:after="0" w:line="276" w:lineRule="auto"/>
        <w:rPr>
          <w:rFonts w:cstheme="minorHAnsi"/>
        </w:rPr>
      </w:pPr>
      <w:r w:rsidRPr="00DD13CA">
        <w:rPr>
          <w:rFonts w:cstheme="minorHAnsi"/>
          <w:b/>
          <w:bCs/>
        </w:rPr>
        <w:t>Target</w:t>
      </w:r>
      <w:r w:rsidRPr="00DD13CA">
        <w:rPr>
          <w:rFonts w:cstheme="minorHAnsi"/>
        </w:rPr>
        <w:t>: The integration cost is below $100</w:t>
      </w:r>
      <w:r w:rsidR="00A5021D">
        <w:rPr>
          <w:rFonts w:cstheme="minorHAnsi"/>
        </w:rPr>
        <w:t>million</w:t>
      </w:r>
      <w:r w:rsidRPr="00DD13CA">
        <w:rPr>
          <w:rFonts w:cstheme="minorHAnsi"/>
        </w:rPr>
        <w:t xml:space="preserve"> in the first 24 months.</w:t>
      </w:r>
      <w:r>
        <w:rPr>
          <w:rFonts w:cstheme="minorHAnsi"/>
        </w:rPr>
        <w:br/>
      </w:r>
    </w:p>
    <w:p w14:paraId="6143CFDD" w14:textId="251D877A" w:rsidR="007F4AA5" w:rsidRDefault="007F4AA5" w:rsidP="007F4AA5">
      <w:pPr>
        <w:spacing w:after="0" w:line="276" w:lineRule="auto"/>
        <w:rPr>
          <w:rFonts w:cstheme="minorHAnsi"/>
          <w:b/>
          <w:bCs/>
        </w:rPr>
      </w:pPr>
      <w:r>
        <w:rPr>
          <w:rFonts w:cstheme="minorHAnsi"/>
          <w:b/>
          <w:bCs/>
        </w:rPr>
        <w:t xml:space="preserve">Operational </w:t>
      </w:r>
      <w:r w:rsidR="004F23CE">
        <w:rPr>
          <w:rFonts w:cstheme="minorHAnsi"/>
          <w:b/>
          <w:bCs/>
        </w:rPr>
        <w:t>Efficiency &amp; Strategic Growth KPIs</w:t>
      </w:r>
    </w:p>
    <w:p w14:paraId="39D0430A" w14:textId="1889EA0F" w:rsidR="004F23CE" w:rsidRDefault="004F23CE" w:rsidP="0008470D">
      <w:pPr>
        <w:pStyle w:val="ListParagraph"/>
        <w:numPr>
          <w:ilvl w:val="0"/>
          <w:numId w:val="24"/>
        </w:numPr>
        <w:spacing w:after="0" w:line="276" w:lineRule="auto"/>
        <w:rPr>
          <w:rFonts w:cstheme="minorHAnsi"/>
          <w:b/>
          <w:bCs/>
        </w:rPr>
      </w:pPr>
      <w:r>
        <w:rPr>
          <w:rFonts w:cstheme="minorHAnsi"/>
          <w:b/>
          <w:bCs/>
        </w:rPr>
        <w:t>Integration Timeline:</w:t>
      </w:r>
    </w:p>
    <w:p w14:paraId="0447E4B4" w14:textId="77777777" w:rsidR="00AE420E" w:rsidRPr="00AE420E" w:rsidRDefault="00AE420E" w:rsidP="0008470D">
      <w:pPr>
        <w:pStyle w:val="ListParagraph"/>
        <w:numPr>
          <w:ilvl w:val="0"/>
          <w:numId w:val="36"/>
        </w:numPr>
        <w:spacing w:after="0" w:line="276" w:lineRule="auto"/>
        <w:rPr>
          <w:rFonts w:cstheme="minorHAnsi"/>
        </w:rPr>
      </w:pPr>
      <w:r w:rsidRPr="00AE420E">
        <w:rPr>
          <w:rFonts w:cstheme="minorHAnsi"/>
          <w:b/>
          <w:bCs/>
        </w:rPr>
        <w:t xml:space="preserve">Definition: </w:t>
      </w:r>
      <w:r w:rsidRPr="00AE420E">
        <w:rPr>
          <w:rFonts w:cstheme="minorHAnsi"/>
        </w:rPr>
        <w:t>Nature of integration progress in relation to the strategic plan and its ultimate goals (e.g. integration of technology into the team, or the interwoven of the faculty team).</w:t>
      </w:r>
    </w:p>
    <w:p w14:paraId="42A201EC" w14:textId="2889B942" w:rsidR="00DD13CA" w:rsidRDefault="00AE420E" w:rsidP="0008470D">
      <w:pPr>
        <w:pStyle w:val="ListParagraph"/>
        <w:numPr>
          <w:ilvl w:val="0"/>
          <w:numId w:val="36"/>
        </w:numPr>
        <w:spacing w:after="0" w:line="276" w:lineRule="auto"/>
        <w:rPr>
          <w:rFonts w:cstheme="minorHAnsi"/>
          <w:b/>
          <w:bCs/>
        </w:rPr>
      </w:pPr>
      <w:r w:rsidRPr="00AE420E">
        <w:rPr>
          <w:rFonts w:cstheme="minorHAnsi"/>
          <w:b/>
          <w:bCs/>
        </w:rPr>
        <w:t>Target</w:t>
      </w:r>
      <w:r w:rsidRPr="00AE420E">
        <w:rPr>
          <w:rFonts w:cstheme="minorHAnsi"/>
        </w:rPr>
        <w:t>: Realisation of 100% of the key integration milestones in the first twelve months the acquisition.</w:t>
      </w:r>
    </w:p>
    <w:p w14:paraId="54F6A0DD" w14:textId="37B2DB7B" w:rsidR="004F23CE" w:rsidRDefault="004F23CE" w:rsidP="0008470D">
      <w:pPr>
        <w:pStyle w:val="ListParagraph"/>
        <w:numPr>
          <w:ilvl w:val="0"/>
          <w:numId w:val="24"/>
        </w:numPr>
        <w:spacing w:after="0" w:line="276" w:lineRule="auto"/>
        <w:rPr>
          <w:rFonts w:cstheme="minorHAnsi"/>
          <w:b/>
          <w:bCs/>
        </w:rPr>
      </w:pPr>
      <w:r>
        <w:rPr>
          <w:rFonts w:cstheme="minorHAnsi"/>
          <w:b/>
          <w:bCs/>
        </w:rPr>
        <w:t>Revenue Diversification:</w:t>
      </w:r>
    </w:p>
    <w:p w14:paraId="57618F95" w14:textId="77777777" w:rsidR="004C57E9" w:rsidRPr="004C57E9" w:rsidRDefault="004C57E9" w:rsidP="0008470D">
      <w:pPr>
        <w:pStyle w:val="ListParagraph"/>
        <w:numPr>
          <w:ilvl w:val="0"/>
          <w:numId w:val="37"/>
        </w:numPr>
        <w:spacing w:after="0" w:line="276" w:lineRule="auto"/>
        <w:rPr>
          <w:rFonts w:cstheme="minorHAnsi"/>
        </w:rPr>
      </w:pPr>
      <w:r w:rsidRPr="004C57E9">
        <w:rPr>
          <w:rFonts w:cstheme="minorHAnsi"/>
          <w:b/>
          <w:bCs/>
        </w:rPr>
        <w:t xml:space="preserve">Definition: </w:t>
      </w:r>
      <w:r w:rsidRPr="004C57E9">
        <w:rPr>
          <w:rFonts w:cstheme="minorHAnsi"/>
        </w:rPr>
        <w:t>Where green financing, EV charging, and related technologies’ revenues constitute a percentage of total revenues from TD Bank.</w:t>
      </w:r>
    </w:p>
    <w:p w14:paraId="5AD251FE" w14:textId="34EBDEE0" w:rsidR="00AE420E" w:rsidRPr="004C57E9" w:rsidRDefault="004C57E9" w:rsidP="0008470D">
      <w:pPr>
        <w:pStyle w:val="ListParagraph"/>
        <w:numPr>
          <w:ilvl w:val="0"/>
          <w:numId w:val="37"/>
        </w:numPr>
        <w:spacing w:after="0" w:line="276" w:lineRule="auto"/>
        <w:rPr>
          <w:rFonts w:cstheme="minorHAnsi"/>
        </w:rPr>
      </w:pPr>
      <w:r w:rsidRPr="004C57E9">
        <w:rPr>
          <w:rFonts w:cstheme="minorHAnsi"/>
          <w:b/>
          <w:bCs/>
        </w:rPr>
        <w:t>Target</w:t>
      </w:r>
      <w:r w:rsidRPr="004C57E9">
        <w:rPr>
          <w:rFonts w:cstheme="minorHAnsi"/>
        </w:rPr>
        <w:t>: Green financing and electric vehicle occupations should achieve 10</w:t>
      </w:r>
      <w:r w:rsidR="00A5021D">
        <w:rPr>
          <w:rFonts w:cstheme="minorHAnsi"/>
        </w:rPr>
        <w:t>%</w:t>
      </w:r>
      <w:r w:rsidRPr="004C57E9">
        <w:rPr>
          <w:rFonts w:cstheme="minorHAnsi"/>
        </w:rPr>
        <w:t xml:space="preserve"> of total revenues in the financial year 2027.</w:t>
      </w:r>
    </w:p>
    <w:p w14:paraId="42ECA826" w14:textId="13326CF4" w:rsidR="004F23CE" w:rsidRDefault="001C7FDB" w:rsidP="0008470D">
      <w:pPr>
        <w:pStyle w:val="ListParagraph"/>
        <w:numPr>
          <w:ilvl w:val="0"/>
          <w:numId w:val="24"/>
        </w:numPr>
        <w:spacing w:after="0" w:line="276" w:lineRule="auto"/>
        <w:rPr>
          <w:rFonts w:cstheme="minorHAnsi"/>
          <w:b/>
          <w:bCs/>
        </w:rPr>
      </w:pPr>
      <w:r>
        <w:rPr>
          <w:rFonts w:cstheme="minorHAnsi"/>
          <w:b/>
          <w:bCs/>
        </w:rPr>
        <w:t>Sustainable Financing Contribution:</w:t>
      </w:r>
    </w:p>
    <w:p w14:paraId="1882A313" w14:textId="77777777" w:rsidR="007A5B92" w:rsidRPr="007A5B92" w:rsidRDefault="007A5B92" w:rsidP="0008470D">
      <w:pPr>
        <w:pStyle w:val="ListParagraph"/>
        <w:numPr>
          <w:ilvl w:val="0"/>
          <w:numId w:val="38"/>
        </w:numPr>
        <w:spacing w:after="0" w:line="276" w:lineRule="auto"/>
        <w:rPr>
          <w:rFonts w:cstheme="minorHAnsi"/>
        </w:rPr>
      </w:pPr>
      <w:r w:rsidRPr="007A5B92">
        <w:rPr>
          <w:rFonts w:cstheme="minorHAnsi"/>
          <w:b/>
          <w:bCs/>
        </w:rPr>
        <w:t>Definition:</w:t>
      </w:r>
      <w:r w:rsidRPr="007A5B92">
        <w:rPr>
          <w:rFonts w:cstheme="minorHAnsi"/>
        </w:rPr>
        <w:t xml:space="preserve"> Percentage of sustainable and green projects current in TD Bank’s overall financing portfolio after acquisition.</w:t>
      </w:r>
    </w:p>
    <w:p w14:paraId="4BD576D3" w14:textId="7139ED58" w:rsidR="004C57E9" w:rsidRPr="007A5B92" w:rsidRDefault="007A5B92" w:rsidP="0008470D">
      <w:pPr>
        <w:pStyle w:val="ListParagraph"/>
        <w:numPr>
          <w:ilvl w:val="0"/>
          <w:numId w:val="38"/>
        </w:numPr>
        <w:spacing w:after="0" w:line="276" w:lineRule="auto"/>
        <w:rPr>
          <w:rFonts w:cstheme="minorHAnsi"/>
        </w:rPr>
      </w:pPr>
      <w:r w:rsidRPr="007A5B92">
        <w:rPr>
          <w:rFonts w:cstheme="minorHAnsi"/>
          <w:b/>
          <w:bCs/>
        </w:rPr>
        <w:t>Target</w:t>
      </w:r>
      <w:r w:rsidRPr="007A5B92">
        <w:rPr>
          <w:rFonts w:cstheme="minorHAnsi"/>
        </w:rPr>
        <w:t>: Such new markets should ideally contribute on a scale of 15-20% by 2030 to ensure that TD is on track to achieve the set sustainable finance target of $500 billion.</w:t>
      </w:r>
      <w:r w:rsidR="00AD59D2">
        <w:rPr>
          <w:rFonts w:cstheme="minorHAnsi"/>
        </w:rPr>
        <w:br/>
      </w:r>
    </w:p>
    <w:p w14:paraId="3027A51E" w14:textId="7EB094C2" w:rsidR="001C7FDB" w:rsidRDefault="001C7FDB" w:rsidP="001C7FDB">
      <w:pPr>
        <w:spacing w:after="0" w:line="276" w:lineRule="auto"/>
        <w:rPr>
          <w:rFonts w:cstheme="minorHAnsi"/>
          <w:b/>
          <w:bCs/>
        </w:rPr>
      </w:pPr>
      <w:r>
        <w:rPr>
          <w:rFonts w:cstheme="minorHAnsi"/>
          <w:b/>
          <w:bCs/>
        </w:rPr>
        <w:t>Environmental, Social and Governance (ESG) KPIs:</w:t>
      </w:r>
    </w:p>
    <w:p w14:paraId="7906AE56" w14:textId="1237C924" w:rsidR="001C7FDB" w:rsidRDefault="00CB0CEA" w:rsidP="0008470D">
      <w:pPr>
        <w:pStyle w:val="ListParagraph"/>
        <w:numPr>
          <w:ilvl w:val="0"/>
          <w:numId w:val="25"/>
        </w:numPr>
        <w:spacing w:after="0" w:line="276" w:lineRule="auto"/>
        <w:rPr>
          <w:rFonts w:cstheme="minorHAnsi"/>
          <w:b/>
          <w:bCs/>
        </w:rPr>
      </w:pPr>
      <w:r>
        <w:rPr>
          <w:rFonts w:cstheme="minorHAnsi"/>
          <w:b/>
          <w:bCs/>
        </w:rPr>
        <w:t>ESG Rating Improvement:</w:t>
      </w:r>
    </w:p>
    <w:p w14:paraId="49A231A9" w14:textId="77777777" w:rsidR="008A3BBD" w:rsidRPr="008A3BBD" w:rsidRDefault="008A3BBD" w:rsidP="0008470D">
      <w:pPr>
        <w:pStyle w:val="ListParagraph"/>
        <w:numPr>
          <w:ilvl w:val="0"/>
          <w:numId w:val="32"/>
        </w:numPr>
        <w:spacing w:after="0" w:line="276" w:lineRule="auto"/>
        <w:rPr>
          <w:rFonts w:cstheme="minorHAnsi"/>
        </w:rPr>
      </w:pPr>
      <w:r w:rsidRPr="008A3BBD">
        <w:rPr>
          <w:rFonts w:cstheme="minorHAnsi"/>
          <w:b/>
          <w:bCs/>
        </w:rPr>
        <w:t>Definition</w:t>
      </w:r>
      <w:r w:rsidRPr="008A3BBD">
        <w:rPr>
          <w:rFonts w:cstheme="minorHAnsi"/>
        </w:rPr>
        <w:t>: Percentage change of TD Bank’s ESG ratings after acquisition.</w:t>
      </w:r>
    </w:p>
    <w:p w14:paraId="6D8B5DED" w14:textId="29E5D570" w:rsidR="008A3BBD" w:rsidRPr="008A3BBD" w:rsidRDefault="008A3BBD" w:rsidP="0008470D">
      <w:pPr>
        <w:pStyle w:val="ListParagraph"/>
        <w:numPr>
          <w:ilvl w:val="0"/>
          <w:numId w:val="32"/>
        </w:numPr>
        <w:spacing w:after="0" w:line="276" w:lineRule="auto"/>
        <w:rPr>
          <w:rFonts w:cstheme="minorHAnsi"/>
        </w:rPr>
      </w:pPr>
      <w:r w:rsidRPr="008A3BBD">
        <w:rPr>
          <w:rFonts w:cstheme="minorHAnsi"/>
          <w:b/>
          <w:bCs/>
        </w:rPr>
        <w:t>Target</w:t>
      </w:r>
      <w:r w:rsidRPr="008A3BBD">
        <w:rPr>
          <w:rFonts w:cstheme="minorHAnsi"/>
        </w:rPr>
        <w:t xml:space="preserve">: </w:t>
      </w:r>
      <w:r w:rsidR="00AD59D2" w:rsidRPr="00AD59D2">
        <w:rPr>
          <w:rFonts w:cstheme="minorHAnsi"/>
        </w:rPr>
        <w:t>By the end of 2026, there will have been a 5% increase in the current ESG ratings in just five years.</w:t>
      </w:r>
    </w:p>
    <w:p w14:paraId="1414E6A8" w14:textId="7E779BC6" w:rsidR="00CB0CEA" w:rsidRDefault="00CB0CEA" w:rsidP="0008470D">
      <w:pPr>
        <w:pStyle w:val="ListParagraph"/>
        <w:numPr>
          <w:ilvl w:val="0"/>
          <w:numId w:val="25"/>
        </w:numPr>
        <w:spacing w:after="0" w:line="276" w:lineRule="auto"/>
        <w:rPr>
          <w:rFonts w:cstheme="minorHAnsi"/>
          <w:b/>
          <w:bCs/>
        </w:rPr>
      </w:pPr>
      <w:r>
        <w:rPr>
          <w:rFonts w:cstheme="minorHAnsi"/>
          <w:b/>
          <w:bCs/>
        </w:rPr>
        <w:t>Green Energy Investment:</w:t>
      </w:r>
    </w:p>
    <w:p w14:paraId="10A43913" w14:textId="77777777" w:rsidR="006600B1" w:rsidRPr="006600B1" w:rsidRDefault="006600B1" w:rsidP="0008470D">
      <w:pPr>
        <w:pStyle w:val="ListParagraph"/>
        <w:numPr>
          <w:ilvl w:val="0"/>
          <w:numId w:val="33"/>
        </w:numPr>
        <w:spacing w:after="0" w:line="276" w:lineRule="auto"/>
        <w:rPr>
          <w:rFonts w:cstheme="minorHAnsi"/>
        </w:rPr>
      </w:pPr>
      <w:r w:rsidRPr="006600B1">
        <w:rPr>
          <w:rFonts w:cstheme="minorHAnsi"/>
          <w:b/>
          <w:bCs/>
        </w:rPr>
        <w:t>Definition</w:t>
      </w:r>
      <w:r w:rsidRPr="006600B1">
        <w:rPr>
          <w:rFonts w:cstheme="minorHAnsi"/>
        </w:rPr>
        <w:t>: Total green energy and EV Infrastructure deals for which TD Bank has been a financier.</w:t>
      </w:r>
    </w:p>
    <w:p w14:paraId="6465D529" w14:textId="58E6ABC3" w:rsidR="008A3BBD" w:rsidRPr="006600B1" w:rsidRDefault="006600B1" w:rsidP="0008470D">
      <w:pPr>
        <w:pStyle w:val="ListParagraph"/>
        <w:numPr>
          <w:ilvl w:val="0"/>
          <w:numId w:val="33"/>
        </w:numPr>
        <w:spacing w:after="0" w:line="276" w:lineRule="auto"/>
        <w:rPr>
          <w:rFonts w:cstheme="minorHAnsi"/>
        </w:rPr>
      </w:pPr>
      <w:r w:rsidRPr="006600B1">
        <w:rPr>
          <w:rFonts w:cstheme="minorHAnsi"/>
          <w:b/>
          <w:bCs/>
        </w:rPr>
        <w:t>Target</w:t>
      </w:r>
      <w:r w:rsidRPr="006600B1">
        <w:rPr>
          <w:rFonts w:cstheme="minorHAnsi"/>
        </w:rPr>
        <w:t>: $2 billion green energy investments by 2027.</w:t>
      </w:r>
    </w:p>
    <w:p w14:paraId="0B5E511A" w14:textId="3575FE8D" w:rsidR="00CB0CEA" w:rsidRDefault="00CB0CEA" w:rsidP="0008470D">
      <w:pPr>
        <w:pStyle w:val="ListParagraph"/>
        <w:numPr>
          <w:ilvl w:val="0"/>
          <w:numId w:val="25"/>
        </w:numPr>
        <w:spacing w:after="0" w:line="276" w:lineRule="auto"/>
        <w:rPr>
          <w:rFonts w:cstheme="minorHAnsi"/>
          <w:b/>
          <w:bCs/>
        </w:rPr>
      </w:pPr>
      <w:r>
        <w:rPr>
          <w:rFonts w:cstheme="minorHAnsi"/>
          <w:b/>
          <w:bCs/>
        </w:rPr>
        <w:t>Net-Zero Emissions Contribution:</w:t>
      </w:r>
    </w:p>
    <w:p w14:paraId="60127E83" w14:textId="7786E3DB" w:rsidR="00381B88" w:rsidRPr="00381B88" w:rsidRDefault="00381B88" w:rsidP="0008470D">
      <w:pPr>
        <w:pStyle w:val="ListParagraph"/>
        <w:numPr>
          <w:ilvl w:val="0"/>
          <w:numId w:val="34"/>
        </w:numPr>
        <w:spacing w:after="0"/>
        <w:rPr>
          <w:rFonts w:cstheme="minorHAnsi"/>
          <w:lang w:val="en-GB"/>
        </w:rPr>
      </w:pPr>
      <w:r w:rsidRPr="00381B88">
        <w:rPr>
          <w:rFonts w:cstheme="minorHAnsi"/>
          <w:b/>
          <w:bCs/>
          <w:lang w:val="en-GB"/>
        </w:rPr>
        <w:t xml:space="preserve">Definition: </w:t>
      </w:r>
      <w:r w:rsidR="00AB23D3">
        <w:rPr>
          <w:rFonts w:cstheme="minorHAnsi"/>
          <w:lang w:val="en-GB"/>
        </w:rPr>
        <w:t>Pre</w:t>
      </w:r>
      <w:r w:rsidRPr="00381B88">
        <w:rPr>
          <w:rFonts w:cstheme="minorHAnsi"/>
          <w:lang w:val="en-GB"/>
        </w:rPr>
        <w:t>vention of carbon emissions by a TD Bank since its funding of EV charging projects contributed to its limited emission levels.</w:t>
      </w:r>
    </w:p>
    <w:p w14:paraId="6A704419" w14:textId="146DE5EA" w:rsidR="006600B1" w:rsidRPr="00AB23D3" w:rsidRDefault="00381B88" w:rsidP="0008470D">
      <w:pPr>
        <w:pStyle w:val="ListParagraph"/>
        <w:numPr>
          <w:ilvl w:val="0"/>
          <w:numId w:val="34"/>
        </w:numPr>
        <w:spacing w:after="0" w:line="276" w:lineRule="auto"/>
        <w:rPr>
          <w:rFonts w:cstheme="minorHAnsi"/>
        </w:rPr>
      </w:pPr>
      <w:r w:rsidRPr="00AB23D3">
        <w:rPr>
          <w:rFonts w:cstheme="minorHAnsi"/>
          <w:b/>
          <w:bCs/>
          <w:lang w:val="en-GB"/>
        </w:rPr>
        <w:lastRenderedPageBreak/>
        <w:t>Target</w:t>
      </w:r>
      <w:r w:rsidRPr="00AB23D3">
        <w:rPr>
          <w:rFonts w:cstheme="minorHAnsi"/>
          <w:lang w:val="en-GB"/>
        </w:rPr>
        <w:t>: To reduce</w:t>
      </w:r>
      <w:r w:rsidR="00AB23D3" w:rsidRPr="00AB23D3">
        <w:rPr>
          <w:rFonts w:cstheme="minorHAnsi"/>
          <w:lang w:val="en-GB"/>
        </w:rPr>
        <w:t xml:space="preserve"> carbon emissions resulting from TD’s financing activities by 20%, by 2030.</w:t>
      </w:r>
    </w:p>
    <w:p w14:paraId="1D8BA61E" w14:textId="63D785FB" w:rsidR="00147BA8" w:rsidRPr="00147BA8" w:rsidRDefault="00147BA8" w:rsidP="001758D7">
      <w:pPr>
        <w:pStyle w:val="ListParagraph"/>
        <w:spacing w:after="0" w:line="276" w:lineRule="auto"/>
        <w:ind w:left="1440"/>
        <w:rPr>
          <w:rFonts w:cstheme="minorHAnsi"/>
          <w:b/>
          <w:bCs/>
        </w:rPr>
      </w:pPr>
    </w:p>
    <w:p w14:paraId="1B972F5E" w14:textId="52753D7D" w:rsidR="00561C81" w:rsidRPr="00C912C2" w:rsidRDefault="005B4DB2" w:rsidP="00947AC0">
      <w:pPr>
        <w:pStyle w:val="Heading1"/>
        <w:rPr>
          <w:rFonts w:asciiTheme="minorHAnsi" w:eastAsia="Aptos" w:hAnsiTheme="minorHAnsi" w:cstheme="minorHAnsi"/>
          <w:sz w:val="36"/>
          <w:szCs w:val="36"/>
        </w:rPr>
      </w:pPr>
      <w:bookmarkStart w:id="7" w:name="_Toc178976946"/>
      <w:r w:rsidRPr="00C912C2">
        <w:rPr>
          <w:rFonts w:asciiTheme="minorHAnsi" w:eastAsia="Aptos" w:hAnsiTheme="minorHAnsi" w:cstheme="minorHAnsi"/>
          <w:sz w:val="36"/>
          <w:szCs w:val="36"/>
        </w:rPr>
        <w:t>RFI Requirements Process</w:t>
      </w:r>
      <w:bookmarkEnd w:id="7"/>
    </w:p>
    <w:p w14:paraId="2921BD9D" w14:textId="7A899F4D" w:rsidR="00561C81" w:rsidRPr="00C912C2" w:rsidRDefault="00561C81" w:rsidP="00C83BE7">
      <w:pPr>
        <w:spacing w:after="0" w:line="276" w:lineRule="auto"/>
        <w:rPr>
          <w:rFonts w:asciiTheme="minorHAnsi" w:hAnsiTheme="minorHAnsi" w:cstheme="minorHAnsi"/>
        </w:rPr>
      </w:pPr>
      <w:r w:rsidRPr="00C912C2">
        <w:rPr>
          <w:rFonts w:asciiTheme="minorHAnsi" w:hAnsiTheme="minorHAnsi" w:cstheme="minorHAnsi"/>
        </w:rPr>
        <w:t xml:space="preserve">The </w:t>
      </w:r>
      <w:r w:rsidR="00121DB8" w:rsidRPr="00C912C2">
        <w:rPr>
          <w:rFonts w:asciiTheme="minorHAnsi" w:hAnsiTheme="minorHAnsi" w:cstheme="minorHAnsi"/>
        </w:rPr>
        <w:t>primary</w:t>
      </w:r>
      <w:r w:rsidRPr="00C912C2">
        <w:rPr>
          <w:rFonts w:asciiTheme="minorHAnsi" w:hAnsiTheme="minorHAnsi" w:cstheme="minorHAnsi"/>
        </w:rPr>
        <w:t xml:space="preserve"> purpose of the Request for Information (RFI) document is to assist TD Bank in gathering essential information from potential partners regarding the acquisition of </w:t>
      </w:r>
      <w:r w:rsidR="00121DB8" w:rsidRPr="00C912C2">
        <w:rPr>
          <w:rFonts w:asciiTheme="minorHAnsi" w:hAnsiTheme="minorHAnsi" w:cstheme="minorHAnsi"/>
        </w:rPr>
        <w:t>WiTricity</w:t>
      </w:r>
      <w:r w:rsidRPr="00C912C2">
        <w:rPr>
          <w:rFonts w:asciiTheme="minorHAnsi" w:hAnsiTheme="minorHAnsi" w:cstheme="minorHAnsi"/>
        </w:rPr>
        <w:t xml:space="preserve">’s wireless EV charging technology. This section outlines the process for ProcessPro Partners and TD Bank who are invited to respond to the Request for Information (RFI). The process involves multiple stages including document structure, participation requirements, schedule, conditions to follow and submission rules governing the RFI process. The RFI aims to gather detailed information regarding TD Bank's acquisition of </w:t>
      </w:r>
      <w:r w:rsidR="00121DB8" w:rsidRPr="00C912C2">
        <w:rPr>
          <w:rFonts w:asciiTheme="minorHAnsi" w:hAnsiTheme="minorHAnsi" w:cstheme="minorHAnsi"/>
        </w:rPr>
        <w:t>WiTricity</w:t>
      </w:r>
      <w:r w:rsidRPr="00C912C2">
        <w:rPr>
          <w:rFonts w:asciiTheme="minorHAnsi" w:hAnsiTheme="minorHAnsi" w:cstheme="minorHAnsi"/>
        </w:rPr>
        <w:t>’s wireless EV charging technology and assists in identifying suitable partners for future collaboration.</w:t>
      </w:r>
    </w:p>
    <w:p w14:paraId="0E740947" w14:textId="0394356A" w:rsidR="00561C81" w:rsidRPr="00C912C2" w:rsidRDefault="00561C81" w:rsidP="00947AC0">
      <w:pPr>
        <w:pStyle w:val="Heading2"/>
        <w:rPr>
          <w:rFonts w:asciiTheme="minorHAnsi" w:hAnsiTheme="minorHAnsi" w:cstheme="minorHAnsi"/>
          <w:sz w:val="28"/>
          <w:szCs w:val="28"/>
        </w:rPr>
      </w:pPr>
      <w:bookmarkStart w:id="8" w:name="_Toc178944967"/>
      <w:bookmarkStart w:id="9" w:name="_Toc178976947"/>
      <w:r w:rsidRPr="00C912C2">
        <w:rPr>
          <w:rFonts w:asciiTheme="minorHAnsi" w:hAnsiTheme="minorHAnsi" w:cstheme="minorHAnsi"/>
          <w:sz w:val="28"/>
          <w:szCs w:val="28"/>
        </w:rPr>
        <w:t>S</w:t>
      </w:r>
      <w:r w:rsidR="003C02EF" w:rsidRPr="00C912C2">
        <w:rPr>
          <w:rFonts w:asciiTheme="minorHAnsi" w:hAnsiTheme="minorHAnsi" w:cstheme="minorHAnsi"/>
          <w:sz w:val="28"/>
          <w:szCs w:val="28"/>
        </w:rPr>
        <w:t>tructure of the</w:t>
      </w:r>
      <w:r w:rsidRPr="00C912C2">
        <w:rPr>
          <w:rFonts w:asciiTheme="minorHAnsi" w:hAnsiTheme="minorHAnsi" w:cstheme="minorHAnsi"/>
          <w:sz w:val="28"/>
          <w:szCs w:val="28"/>
        </w:rPr>
        <w:t xml:space="preserve"> D</w:t>
      </w:r>
      <w:r w:rsidR="003C02EF" w:rsidRPr="00C912C2">
        <w:rPr>
          <w:rFonts w:asciiTheme="minorHAnsi" w:hAnsiTheme="minorHAnsi" w:cstheme="minorHAnsi"/>
          <w:sz w:val="28"/>
          <w:szCs w:val="28"/>
        </w:rPr>
        <w:t>ocument</w:t>
      </w:r>
      <w:bookmarkEnd w:id="8"/>
      <w:bookmarkEnd w:id="9"/>
    </w:p>
    <w:p w14:paraId="1494A916" w14:textId="79DA4506" w:rsidR="00561C81" w:rsidRPr="00C912C2" w:rsidRDefault="00561C81" w:rsidP="00C83BE7">
      <w:pPr>
        <w:spacing w:after="0" w:line="276" w:lineRule="auto"/>
        <w:rPr>
          <w:rFonts w:asciiTheme="minorHAnsi" w:hAnsiTheme="minorHAnsi" w:cstheme="minorHAnsi"/>
        </w:rPr>
      </w:pPr>
      <w:r w:rsidRPr="00C912C2">
        <w:rPr>
          <w:rFonts w:asciiTheme="minorHAnsi" w:hAnsiTheme="minorHAnsi" w:cstheme="minorHAnsi"/>
        </w:rPr>
        <w:t>The RFI document is organized into well-defined sections to ensure clarity and ease of navigation for TD Bank. Each section provides vital information regarding the project’s scope and the expectations of TD Bank. The structure is as follows:</w:t>
      </w:r>
    </w:p>
    <w:p w14:paraId="26275EA0" w14:textId="77777777" w:rsidR="00561C81" w:rsidRPr="00C912C2" w:rsidRDefault="00561C81" w:rsidP="00C83BE7">
      <w:pPr>
        <w:spacing w:before="240" w:after="0" w:line="276" w:lineRule="auto"/>
        <w:rPr>
          <w:rFonts w:asciiTheme="minorHAnsi" w:hAnsiTheme="minorHAnsi" w:cstheme="minorHAnsi"/>
          <w:b/>
          <w:bCs/>
        </w:rPr>
      </w:pPr>
      <w:r w:rsidRPr="00C912C2">
        <w:rPr>
          <w:rFonts w:asciiTheme="minorHAnsi" w:hAnsiTheme="minorHAnsi" w:cstheme="minorHAnsi"/>
          <w:b/>
          <w:bCs/>
        </w:rPr>
        <w:t>Section 1: Introduction and Purpose of the RFI</w:t>
      </w:r>
    </w:p>
    <w:p w14:paraId="4F65EB5A" w14:textId="7C12EF01" w:rsidR="00561C81" w:rsidRPr="00C912C2" w:rsidRDefault="00561C81" w:rsidP="00C83BE7">
      <w:pPr>
        <w:spacing w:after="0" w:line="276" w:lineRule="auto"/>
        <w:rPr>
          <w:rFonts w:asciiTheme="minorHAnsi" w:hAnsiTheme="minorHAnsi" w:cstheme="minorHAnsi"/>
        </w:rPr>
      </w:pPr>
      <w:r w:rsidRPr="00C912C2">
        <w:rPr>
          <w:rFonts w:asciiTheme="minorHAnsi" w:hAnsiTheme="minorHAnsi" w:cstheme="minorHAnsi"/>
        </w:rPr>
        <w:t xml:space="preserve">The RFI aims to gather information from potential partners regarding acquiring </w:t>
      </w:r>
      <w:r w:rsidR="00121DB8" w:rsidRPr="00C912C2">
        <w:rPr>
          <w:rFonts w:asciiTheme="minorHAnsi" w:hAnsiTheme="minorHAnsi" w:cstheme="minorHAnsi"/>
        </w:rPr>
        <w:t>WiTricity</w:t>
      </w:r>
      <w:r w:rsidRPr="00C912C2">
        <w:rPr>
          <w:rFonts w:asciiTheme="minorHAnsi" w:hAnsiTheme="minorHAnsi" w:cstheme="minorHAnsi"/>
        </w:rPr>
        <w:t xml:space="preserve"> technology for wireless EV charging plots. TD Bank aims to explore innovative charging solutions that align with its sustainability goals and enhance the customer experience. This RFI will assist in determining the feasibility, technical capabilities and market readiness for deploying wireless EV charging plots across various locations.</w:t>
      </w:r>
    </w:p>
    <w:p w14:paraId="1402C3A0" w14:textId="17E10CCE" w:rsidR="00561C81" w:rsidRPr="00C912C2" w:rsidRDefault="00561C81" w:rsidP="00C83BE7">
      <w:pPr>
        <w:spacing w:before="240" w:after="0" w:line="276" w:lineRule="auto"/>
        <w:rPr>
          <w:rFonts w:asciiTheme="minorHAnsi" w:hAnsiTheme="minorHAnsi" w:cstheme="minorHAnsi"/>
          <w:b/>
          <w:bCs/>
        </w:rPr>
      </w:pPr>
      <w:r w:rsidRPr="00C912C2">
        <w:rPr>
          <w:rFonts w:asciiTheme="minorHAnsi" w:hAnsiTheme="minorHAnsi" w:cstheme="minorHAnsi"/>
          <w:b/>
          <w:bCs/>
        </w:rPr>
        <w:t xml:space="preserve">Section 2: Project Overview – TD Bank’s Acquisition of </w:t>
      </w:r>
      <w:r w:rsidR="00121DB8" w:rsidRPr="00C912C2">
        <w:rPr>
          <w:rFonts w:asciiTheme="minorHAnsi" w:hAnsiTheme="minorHAnsi" w:cstheme="minorHAnsi"/>
          <w:b/>
          <w:bCs/>
        </w:rPr>
        <w:t>WiTricity</w:t>
      </w:r>
      <w:r w:rsidRPr="00C912C2">
        <w:rPr>
          <w:rFonts w:asciiTheme="minorHAnsi" w:hAnsiTheme="minorHAnsi" w:cstheme="minorHAnsi"/>
          <w:b/>
          <w:bCs/>
        </w:rPr>
        <w:t xml:space="preserve"> </w:t>
      </w:r>
    </w:p>
    <w:p w14:paraId="49178221" w14:textId="4EBF1B59" w:rsidR="00561C81" w:rsidRPr="00C912C2" w:rsidRDefault="00561C81" w:rsidP="00C83BE7">
      <w:pPr>
        <w:spacing w:after="0" w:line="276" w:lineRule="auto"/>
        <w:rPr>
          <w:rFonts w:asciiTheme="minorHAnsi" w:hAnsiTheme="minorHAnsi" w:cstheme="minorHAnsi"/>
        </w:rPr>
      </w:pPr>
      <w:r w:rsidRPr="00C912C2">
        <w:rPr>
          <w:rFonts w:asciiTheme="minorHAnsi" w:hAnsiTheme="minorHAnsi" w:cstheme="minorHAnsi"/>
        </w:rPr>
        <w:t xml:space="preserve">TD Bank is considering the acquisition of </w:t>
      </w:r>
      <w:r w:rsidR="00121DB8" w:rsidRPr="00C912C2">
        <w:rPr>
          <w:rFonts w:asciiTheme="minorHAnsi" w:hAnsiTheme="minorHAnsi" w:cstheme="minorHAnsi"/>
        </w:rPr>
        <w:t>WiTricity</w:t>
      </w:r>
      <w:r w:rsidRPr="00C912C2">
        <w:rPr>
          <w:rFonts w:asciiTheme="minorHAnsi" w:hAnsiTheme="minorHAnsi" w:cstheme="minorHAnsi"/>
        </w:rPr>
        <w:t>, a pioneer in wireless electric vehicle (EV) charging technology, as part of its strategic push toward green energy initiatives. The bank aims to facilitate seamless, user-friendly EV charging infrastructure that can boost EV adoption rates. This project aligns with TD Bank's broader environmental sustainability goals and supports future mobility trends.</w:t>
      </w:r>
    </w:p>
    <w:p w14:paraId="25E7FDE3" w14:textId="77777777" w:rsidR="00561C81" w:rsidRPr="00C912C2" w:rsidRDefault="00561C81" w:rsidP="00C83BE7">
      <w:pPr>
        <w:spacing w:before="240" w:after="0" w:line="276" w:lineRule="auto"/>
        <w:rPr>
          <w:rFonts w:asciiTheme="minorHAnsi" w:hAnsiTheme="minorHAnsi" w:cstheme="minorHAnsi"/>
          <w:b/>
          <w:bCs/>
        </w:rPr>
      </w:pPr>
      <w:r w:rsidRPr="00C912C2">
        <w:rPr>
          <w:rFonts w:asciiTheme="minorHAnsi" w:hAnsiTheme="minorHAnsi" w:cstheme="minorHAnsi"/>
          <w:b/>
          <w:bCs/>
        </w:rPr>
        <w:t xml:space="preserve">Section 3: Specific Requirements and Expectations </w:t>
      </w:r>
    </w:p>
    <w:p w14:paraId="5003B565" w14:textId="77777777" w:rsidR="00561C81" w:rsidRPr="00C912C2" w:rsidRDefault="00561C81" w:rsidP="00C83BE7">
      <w:pPr>
        <w:spacing w:after="0" w:line="276" w:lineRule="auto"/>
        <w:rPr>
          <w:rFonts w:asciiTheme="minorHAnsi" w:hAnsiTheme="minorHAnsi" w:cstheme="minorHAnsi"/>
        </w:rPr>
      </w:pPr>
      <w:r w:rsidRPr="00C912C2">
        <w:rPr>
          <w:rFonts w:asciiTheme="minorHAnsi" w:hAnsiTheme="minorHAnsi" w:cstheme="minorHAnsi"/>
        </w:rPr>
        <w:t>Participants in this RFI must demonstrate technical expertise in wireless EV charging technology, including system compatibility, operational reliability and safety standards. Additionally, participants should provide financial models outlining potential costs, savings and return on investment. The solution must also meet regulatory requirements and be scalable for widespread implementation across TD Bank’s network.</w:t>
      </w:r>
    </w:p>
    <w:p w14:paraId="3952CBEB" w14:textId="77777777" w:rsidR="00561C81" w:rsidRPr="00C912C2" w:rsidRDefault="00561C81" w:rsidP="00C83BE7">
      <w:pPr>
        <w:spacing w:before="240" w:after="0" w:line="276" w:lineRule="auto"/>
        <w:rPr>
          <w:rFonts w:asciiTheme="minorHAnsi" w:hAnsiTheme="minorHAnsi" w:cstheme="minorHAnsi"/>
          <w:b/>
          <w:bCs/>
        </w:rPr>
      </w:pPr>
      <w:r w:rsidRPr="00C912C2">
        <w:rPr>
          <w:rFonts w:asciiTheme="minorHAnsi" w:hAnsiTheme="minorHAnsi" w:cstheme="minorHAnsi"/>
          <w:b/>
          <w:bCs/>
        </w:rPr>
        <w:t>Section 4: Participation Process</w:t>
      </w:r>
    </w:p>
    <w:p w14:paraId="3865C340" w14:textId="70DB3E13" w:rsidR="00561C81" w:rsidRPr="00C912C2" w:rsidRDefault="00561C81" w:rsidP="00C83BE7">
      <w:pPr>
        <w:spacing w:after="0" w:line="276" w:lineRule="auto"/>
        <w:rPr>
          <w:rFonts w:asciiTheme="minorHAnsi" w:hAnsiTheme="minorHAnsi" w:cstheme="minorHAnsi"/>
        </w:rPr>
      </w:pPr>
      <w:r w:rsidRPr="00C912C2">
        <w:rPr>
          <w:rFonts w:asciiTheme="minorHAnsi" w:hAnsiTheme="minorHAnsi" w:cstheme="minorHAnsi"/>
        </w:rPr>
        <w:t xml:space="preserve">TD Bank must confirm its participation in this RFI by submitting an Intent to Respond within the specified timeframe. Once the intent is confirmed, participants should prepare and submit all required documents following the submission guidelines outlined in the RFI. </w:t>
      </w:r>
      <w:r w:rsidR="00121DB8" w:rsidRPr="00C912C2">
        <w:rPr>
          <w:rFonts w:asciiTheme="minorHAnsi" w:hAnsiTheme="minorHAnsi" w:cstheme="minorHAnsi"/>
        </w:rPr>
        <w:t>Respond within the designated timeline to avoid</w:t>
      </w:r>
      <w:r w:rsidRPr="00C912C2">
        <w:rPr>
          <w:rFonts w:asciiTheme="minorHAnsi" w:hAnsiTheme="minorHAnsi" w:cstheme="minorHAnsi"/>
        </w:rPr>
        <w:t xml:space="preserve"> automatic exclusion from further participation in the project.</w:t>
      </w:r>
    </w:p>
    <w:p w14:paraId="33002FAA" w14:textId="77777777" w:rsidR="00561C81" w:rsidRPr="00C912C2" w:rsidRDefault="00561C81" w:rsidP="00C83BE7">
      <w:pPr>
        <w:spacing w:before="240" w:after="0" w:line="276" w:lineRule="auto"/>
        <w:rPr>
          <w:rFonts w:asciiTheme="minorHAnsi" w:hAnsiTheme="minorHAnsi" w:cstheme="minorHAnsi"/>
          <w:b/>
          <w:bCs/>
        </w:rPr>
      </w:pPr>
      <w:r w:rsidRPr="00C912C2">
        <w:rPr>
          <w:rFonts w:asciiTheme="minorHAnsi" w:hAnsiTheme="minorHAnsi" w:cstheme="minorHAnsi"/>
          <w:b/>
          <w:bCs/>
        </w:rPr>
        <w:lastRenderedPageBreak/>
        <w:t>Section 5: Evaluation Criteria</w:t>
      </w:r>
    </w:p>
    <w:p w14:paraId="29315630" w14:textId="77777777" w:rsidR="00561C81" w:rsidRPr="00C912C2" w:rsidRDefault="00561C81" w:rsidP="00C83BE7">
      <w:pPr>
        <w:spacing w:after="0" w:line="276" w:lineRule="auto"/>
        <w:rPr>
          <w:rFonts w:asciiTheme="minorHAnsi" w:hAnsiTheme="minorHAnsi" w:cstheme="minorHAnsi"/>
        </w:rPr>
      </w:pPr>
      <w:r w:rsidRPr="00C912C2">
        <w:rPr>
          <w:rFonts w:asciiTheme="minorHAnsi" w:hAnsiTheme="minorHAnsi" w:cstheme="minorHAnsi"/>
        </w:rPr>
        <w:t>Responses to the RFI will be evaluated based on the participants’ compliance with technical specifications, industry expertise and ability to innovate within the scope of wireless EV charging technology. The evaluation will also consider financial aspects such as cost-efficiency and potential for scalability. Proposals offering environmentally sustainable solutions and demonstrating operational readiness will be given priority.</w:t>
      </w:r>
    </w:p>
    <w:p w14:paraId="64C44993" w14:textId="77777777" w:rsidR="00561C81" w:rsidRPr="00C912C2" w:rsidRDefault="00561C81" w:rsidP="00C83BE7">
      <w:pPr>
        <w:spacing w:before="240" w:after="0" w:line="276" w:lineRule="auto"/>
        <w:rPr>
          <w:rFonts w:asciiTheme="minorHAnsi" w:hAnsiTheme="minorHAnsi" w:cstheme="minorHAnsi"/>
          <w:b/>
          <w:bCs/>
        </w:rPr>
      </w:pPr>
      <w:r w:rsidRPr="00C912C2">
        <w:rPr>
          <w:rFonts w:asciiTheme="minorHAnsi" w:hAnsiTheme="minorHAnsi" w:cstheme="minorHAnsi"/>
          <w:b/>
          <w:bCs/>
        </w:rPr>
        <w:t>Section 6: Terms and Conditions of the RFI</w:t>
      </w:r>
    </w:p>
    <w:p w14:paraId="594779F2" w14:textId="31BD89B5" w:rsidR="00561C81" w:rsidRPr="00C912C2" w:rsidRDefault="00561C81" w:rsidP="00C83BE7">
      <w:pPr>
        <w:spacing w:after="0" w:line="276" w:lineRule="auto"/>
        <w:rPr>
          <w:rFonts w:asciiTheme="minorHAnsi" w:hAnsiTheme="minorHAnsi" w:cstheme="minorHAnsi"/>
        </w:rPr>
      </w:pPr>
      <w:r w:rsidRPr="00C912C2">
        <w:rPr>
          <w:rFonts w:asciiTheme="minorHAnsi" w:hAnsiTheme="minorHAnsi" w:cstheme="minorHAnsi"/>
        </w:rPr>
        <w:t xml:space="preserve">This </w:t>
      </w:r>
      <w:r w:rsidR="00121DB8" w:rsidRPr="00C912C2">
        <w:rPr>
          <w:rFonts w:asciiTheme="minorHAnsi" w:hAnsiTheme="minorHAnsi" w:cstheme="minorHAnsi"/>
        </w:rPr>
        <w:t>non-binding RFI</w:t>
      </w:r>
      <w:r w:rsidRPr="00C912C2">
        <w:rPr>
          <w:rFonts w:asciiTheme="minorHAnsi" w:hAnsiTheme="minorHAnsi" w:cstheme="minorHAnsi"/>
        </w:rPr>
        <w:t xml:space="preserve"> creates no contractual obligations for TD Bank or the respondents. Participants will bear all costs associated with preparing their RFI responses and submission of a response does not guarantee further participation in the project. All information respondents provide will be treated as confidential and proprietary to TD Bank.</w:t>
      </w:r>
    </w:p>
    <w:p w14:paraId="261E282F" w14:textId="42BFA954" w:rsidR="00561C81" w:rsidRPr="00C912C2" w:rsidRDefault="00561C81" w:rsidP="00C83BE7">
      <w:pPr>
        <w:spacing w:before="240" w:after="0" w:line="276" w:lineRule="auto"/>
        <w:rPr>
          <w:rFonts w:asciiTheme="minorHAnsi" w:hAnsiTheme="minorHAnsi" w:cstheme="minorHAnsi"/>
          <w:b/>
          <w:bCs/>
        </w:rPr>
      </w:pPr>
      <w:r w:rsidRPr="00C912C2">
        <w:rPr>
          <w:rFonts w:asciiTheme="minorHAnsi" w:hAnsiTheme="minorHAnsi" w:cstheme="minorHAnsi"/>
          <w:b/>
          <w:bCs/>
        </w:rPr>
        <w:t xml:space="preserve">Section 7: Next </w:t>
      </w:r>
      <w:r w:rsidR="0030306A">
        <w:rPr>
          <w:rFonts w:asciiTheme="minorHAnsi" w:hAnsiTheme="minorHAnsi" w:cstheme="minorHAnsi"/>
          <w:b/>
          <w:bCs/>
        </w:rPr>
        <w:t>S</w:t>
      </w:r>
      <w:r w:rsidRPr="00C912C2">
        <w:rPr>
          <w:rFonts w:asciiTheme="minorHAnsi" w:hAnsiTheme="minorHAnsi" w:cstheme="minorHAnsi"/>
          <w:b/>
          <w:bCs/>
        </w:rPr>
        <w:t>teps</w:t>
      </w:r>
    </w:p>
    <w:p w14:paraId="6DF862CC" w14:textId="20F53D0C" w:rsidR="00561C81" w:rsidRPr="00C912C2" w:rsidRDefault="00561C81" w:rsidP="00C83BE7">
      <w:pPr>
        <w:spacing w:after="0" w:line="276" w:lineRule="auto"/>
        <w:rPr>
          <w:rFonts w:asciiTheme="minorHAnsi" w:hAnsiTheme="minorHAnsi" w:cstheme="minorHAnsi"/>
        </w:rPr>
      </w:pPr>
      <w:r w:rsidRPr="00C912C2">
        <w:rPr>
          <w:rFonts w:asciiTheme="minorHAnsi" w:hAnsiTheme="minorHAnsi" w:cstheme="minorHAnsi"/>
        </w:rPr>
        <w:t>Following the RFI process, ProcessPro Partners will review the responses from TD Bank. Subsequent decision-making will be communicated to participants after the evaluation phase.</w:t>
      </w:r>
    </w:p>
    <w:p w14:paraId="6CF31023" w14:textId="497063FA" w:rsidR="00561C81" w:rsidRPr="00C912C2" w:rsidRDefault="00561C81" w:rsidP="00C83BE7">
      <w:pPr>
        <w:pStyle w:val="Heading2"/>
        <w:spacing w:before="240" w:line="276" w:lineRule="auto"/>
        <w:rPr>
          <w:rFonts w:asciiTheme="minorHAnsi" w:hAnsiTheme="minorHAnsi" w:cstheme="minorHAnsi"/>
          <w:sz w:val="28"/>
          <w:szCs w:val="28"/>
        </w:rPr>
      </w:pPr>
      <w:bookmarkStart w:id="10" w:name="_Toc178944968"/>
      <w:bookmarkStart w:id="11" w:name="_Toc178976948"/>
      <w:r w:rsidRPr="00C912C2">
        <w:rPr>
          <w:rFonts w:asciiTheme="minorHAnsi" w:hAnsiTheme="minorHAnsi" w:cstheme="minorHAnsi"/>
          <w:sz w:val="28"/>
          <w:szCs w:val="28"/>
        </w:rPr>
        <w:t>RFI P</w:t>
      </w:r>
      <w:r w:rsidR="0030306A" w:rsidRPr="00C912C2">
        <w:rPr>
          <w:rFonts w:asciiTheme="minorHAnsi" w:hAnsiTheme="minorHAnsi" w:cstheme="minorHAnsi"/>
          <w:sz w:val="28"/>
          <w:szCs w:val="28"/>
        </w:rPr>
        <w:t>articipation</w:t>
      </w:r>
      <w:r w:rsidRPr="00C912C2">
        <w:rPr>
          <w:rFonts w:asciiTheme="minorHAnsi" w:hAnsiTheme="minorHAnsi" w:cstheme="minorHAnsi"/>
          <w:sz w:val="28"/>
          <w:szCs w:val="28"/>
        </w:rPr>
        <w:t xml:space="preserve"> R</w:t>
      </w:r>
      <w:r w:rsidR="0030306A" w:rsidRPr="00C912C2">
        <w:rPr>
          <w:rFonts w:asciiTheme="minorHAnsi" w:hAnsiTheme="minorHAnsi" w:cstheme="minorHAnsi"/>
          <w:sz w:val="28"/>
          <w:szCs w:val="28"/>
        </w:rPr>
        <w:t>equirements</w:t>
      </w:r>
      <w:bookmarkEnd w:id="10"/>
      <w:bookmarkEnd w:id="11"/>
    </w:p>
    <w:p w14:paraId="43BEFB70" w14:textId="5C79E3EA" w:rsidR="00561C81" w:rsidRPr="00C912C2" w:rsidRDefault="00561C81" w:rsidP="00C83BE7">
      <w:pPr>
        <w:spacing w:after="0" w:line="276" w:lineRule="auto"/>
        <w:rPr>
          <w:rFonts w:asciiTheme="minorHAnsi" w:hAnsiTheme="minorHAnsi" w:cstheme="minorHAnsi"/>
        </w:rPr>
      </w:pPr>
      <w:r w:rsidRPr="00C912C2">
        <w:rPr>
          <w:rFonts w:asciiTheme="minorHAnsi" w:hAnsiTheme="minorHAnsi" w:cstheme="minorHAnsi"/>
        </w:rPr>
        <w:t>TD Bank’s participation in the RFI process is essential for the acquisition project to move forward smoothly. To confirm participation</w:t>
      </w:r>
    </w:p>
    <w:p w14:paraId="10C0C0BF" w14:textId="77777777" w:rsidR="00561C81" w:rsidRPr="00C912C2" w:rsidRDefault="00561C81" w:rsidP="00C83BE7">
      <w:pPr>
        <w:spacing w:after="0" w:line="276" w:lineRule="auto"/>
        <w:rPr>
          <w:rFonts w:asciiTheme="minorHAnsi" w:hAnsiTheme="minorHAnsi" w:cstheme="minorHAnsi"/>
        </w:rPr>
      </w:pPr>
    </w:p>
    <w:p w14:paraId="4DAF16AF" w14:textId="532DC5B4" w:rsidR="00561C81" w:rsidRPr="00C912C2" w:rsidRDefault="00561C81" w:rsidP="00C83BE7">
      <w:pPr>
        <w:spacing w:after="0" w:line="276" w:lineRule="auto"/>
        <w:rPr>
          <w:rFonts w:asciiTheme="minorHAnsi" w:hAnsiTheme="minorHAnsi" w:cstheme="minorHAnsi"/>
        </w:rPr>
      </w:pPr>
      <w:r w:rsidRPr="00C912C2">
        <w:rPr>
          <w:rFonts w:asciiTheme="minorHAnsi" w:hAnsiTheme="minorHAnsi" w:cstheme="minorHAnsi"/>
          <w:b/>
          <w:bCs/>
        </w:rPr>
        <w:t>Intent to Respond:</w:t>
      </w:r>
      <w:r w:rsidRPr="00C912C2">
        <w:rPr>
          <w:rFonts w:asciiTheme="minorHAnsi" w:hAnsiTheme="minorHAnsi" w:cstheme="minorHAnsi"/>
        </w:rPr>
        <w:t xml:space="preserve"> TD Bank </w:t>
      </w:r>
      <w:r w:rsidR="00121DB8" w:rsidRPr="00C912C2">
        <w:rPr>
          <w:rFonts w:asciiTheme="minorHAnsi" w:hAnsiTheme="minorHAnsi" w:cstheme="minorHAnsi"/>
        </w:rPr>
        <w:t>must</w:t>
      </w:r>
      <w:r w:rsidRPr="00C912C2">
        <w:rPr>
          <w:rFonts w:asciiTheme="minorHAnsi" w:hAnsiTheme="minorHAnsi" w:cstheme="minorHAnsi"/>
        </w:rPr>
        <w:t xml:space="preserve"> confirm its intent to participate within </w:t>
      </w:r>
      <w:r w:rsidR="00121DB8" w:rsidRPr="00C912C2">
        <w:rPr>
          <w:rFonts w:asciiTheme="minorHAnsi" w:hAnsiTheme="minorHAnsi" w:cstheme="minorHAnsi"/>
          <w:b/>
          <w:bCs/>
        </w:rPr>
        <w:t>ten</w:t>
      </w:r>
      <w:r w:rsidRPr="00C912C2">
        <w:rPr>
          <w:rFonts w:asciiTheme="minorHAnsi" w:hAnsiTheme="minorHAnsi" w:cstheme="minorHAnsi"/>
          <w:b/>
          <w:bCs/>
        </w:rPr>
        <w:t xml:space="preserve"> days</w:t>
      </w:r>
      <w:r w:rsidRPr="00C912C2">
        <w:rPr>
          <w:rFonts w:asciiTheme="minorHAnsi" w:hAnsiTheme="minorHAnsi" w:cstheme="minorHAnsi"/>
        </w:rPr>
        <w:t xml:space="preserve"> of receiving the RFI document. A failure to </w:t>
      </w:r>
      <w:r w:rsidR="00121DB8" w:rsidRPr="00C912C2">
        <w:rPr>
          <w:rFonts w:asciiTheme="minorHAnsi" w:hAnsiTheme="minorHAnsi" w:cstheme="minorHAnsi"/>
        </w:rPr>
        <w:t>verify</w:t>
      </w:r>
      <w:r w:rsidRPr="00C912C2">
        <w:rPr>
          <w:rFonts w:asciiTheme="minorHAnsi" w:hAnsiTheme="minorHAnsi" w:cstheme="minorHAnsi"/>
        </w:rPr>
        <w:t xml:space="preserve"> will indicate non-participation in the RFI process. </w:t>
      </w:r>
    </w:p>
    <w:p w14:paraId="5106135C" w14:textId="77777777" w:rsidR="00561C81" w:rsidRPr="00C912C2" w:rsidRDefault="00561C81" w:rsidP="00C83BE7">
      <w:pPr>
        <w:spacing w:after="0" w:line="276" w:lineRule="auto"/>
        <w:rPr>
          <w:rFonts w:asciiTheme="minorHAnsi" w:hAnsiTheme="minorHAnsi" w:cstheme="minorHAnsi"/>
          <w:b/>
          <w:bCs/>
        </w:rPr>
      </w:pPr>
    </w:p>
    <w:p w14:paraId="71219DD1" w14:textId="77777777" w:rsidR="00561C81" w:rsidRPr="00C912C2" w:rsidRDefault="00561C81" w:rsidP="00C83BE7">
      <w:pPr>
        <w:spacing w:after="0" w:line="276" w:lineRule="auto"/>
        <w:rPr>
          <w:rFonts w:asciiTheme="minorHAnsi" w:hAnsiTheme="minorHAnsi" w:cstheme="minorHAnsi"/>
        </w:rPr>
      </w:pPr>
      <w:r w:rsidRPr="00C912C2">
        <w:rPr>
          <w:rFonts w:asciiTheme="minorHAnsi" w:hAnsiTheme="minorHAnsi" w:cstheme="minorHAnsi"/>
          <w:b/>
          <w:bCs/>
        </w:rPr>
        <w:t>Method of Confirmation:</w:t>
      </w:r>
      <w:r w:rsidRPr="00C912C2">
        <w:rPr>
          <w:rFonts w:asciiTheme="minorHAnsi" w:hAnsiTheme="minorHAnsi" w:cstheme="minorHAnsi"/>
        </w:rPr>
        <w:t xml:space="preserve"> TD Bank confirming its participation must send an Intent to Respond to the following contact:</w:t>
      </w:r>
    </w:p>
    <w:p w14:paraId="31B03C42" w14:textId="77777777" w:rsidR="00561C81" w:rsidRPr="00C912C2" w:rsidRDefault="00561C81" w:rsidP="00C83BE7">
      <w:pPr>
        <w:spacing w:after="0" w:line="276" w:lineRule="auto"/>
        <w:rPr>
          <w:rFonts w:asciiTheme="minorHAnsi" w:hAnsiTheme="minorHAnsi" w:cstheme="minorHAnsi"/>
        </w:rPr>
      </w:pPr>
    </w:p>
    <w:p w14:paraId="51048804" w14:textId="72C9BF0B" w:rsidR="00561C81" w:rsidRPr="00C912C2" w:rsidRDefault="00561C81" w:rsidP="00C83BE7">
      <w:pPr>
        <w:spacing w:after="0" w:line="276" w:lineRule="auto"/>
        <w:rPr>
          <w:rFonts w:asciiTheme="minorHAnsi" w:hAnsiTheme="minorHAnsi" w:cstheme="minorHAnsi"/>
          <w:b/>
          <w:bCs/>
        </w:rPr>
      </w:pPr>
      <w:r w:rsidRPr="00C912C2">
        <w:rPr>
          <w:rFonts w:asciiTheme="minorHAnsi" w:hAnsiTheme="minorHAnsi" w:cstheme="minorHAnsi"/>
          <w:b/>
          <w:bCs/>
        </w:rPr>
        <w:t>RFI Contact</w:t>
      </w:r>
    </w:p>
    <w:p w14:paraId="35E2EBB4" w14:textId="77777777" w:rsidR="00561C81" w:rsidRPr="00C912C2" w:rsidRDefault="00561C81" w:rsidP="00C83BE7">
      <w:pPr>
        <w:spacing w:after="0" w:line="276" w:lineRule="auto"/>
        <w:rPr>
          <w:rFonts w:asciiTheme="minorHAnsi" w:hAnsiTheme="minorHAnsi" w:cstheme="minorHAnsi"/>
        </w:rPr>
      </w:pPr>
      <w:r w:rsidRPr="00C912C2">
        <w:rPr>
          <w:rFonts w:asciiTheme="minorHAnsi" w:hAnsiTheme="minorHAnsi" w:cstheme="minorHAnsi"/>
        </w:rPr>
        <w:t>Name: Prachi Arora</w:t>
      </w:r>
    </w:p>
    <w:p w14:paraId="5D792198" w14:textId="608B7275" w:rsidR="00561C81" w:rsidRPr="00C912C2" w:rsidRDefault="00561C81" w:rsidP="00C83BE7">
      <w:pPr>
        <w:spacing w:after="0" w:line="276" w:lineRule="auto"/>
        <w:rPr>
          <w:rFonts w:asciiTheme="minorHAnsi" w:hAnsiTheme="minorHAnsi" w:cstheme="minorHAnsi"/>
        </w:rPr>
      </w:pPr>
      <w:r w:rsidRPr="00C912C2">
        <w:rPr>
          <w:rFonts w:asciiTheme="minorHAnsi" w:hAnsiTheme="minorHAnsi" w:cstheme="minorHAnsi"/>
        </w:rPr>
        <w:t xml:space="preserve">Email: </w:t>
      </w:r>
      <w:hyperlink r:id="rId14" w:history="1">
        <w:r w:rsidRPr="000D382F">
          <w:rPr>
            <w:rStyle w:val="Hyperlink"/>
            <w:rFonts w:asciiTheme="minorHAnsi" w:hAnsiTheme="minorHAnsi" w:cstheme="minorHAnsi"/>
          </w:rPr>
          <w:t>parora6849@conestogac.on.ca</w:t>
        </w:r>
      </w:hyperlink>
    </w:p>
    <w:p w14:paraId="0B0AAFD2" w14:textId="77777777" w:rsidR="00561C81" w:rsidRPr="00C912C2" w:rsidRDefault="00561C81" w:rsidP="00C83BE7">
      <w:pPr>
        <w:spacing w:after="0" w:line="276" w:lineRule="auto"/>
        <w:rPr>
          <w:rFonts w:asciiTheme="minorHAnsi" w:hAnsiTheme="minorHAnsi" w:cstheme="minorHAnsi"/>
        </w:rPr>
      </w:pPr>
    </w:p>
    <w:p w14:paraId="3407B879" w14:textId="40B2F8F0" w:rsidR="00561C81" w:rsidRPr="00C912C2" w:rsidRDefault="00561C81" w:rsidP="00C83BE7">
      <w:pPr>
        <w:spacing w:after="0" w:line="276" w:lineRule="auto"/>
        <w:rPr>
          <w:rFonts w:asciiTheme="minorHAnsi" w:hAnsiTheme="minorHAnsi" w:cstheme="minorHAnsi"/>
          <w:b/>
          <w:bCs/>
        </w:rPr>
      </w:pPr>
      <w:r w:rsidRPr="00C912C2">
        <w:rPr>
          <w:rFonts w:asciiTheme="minorHAnsi" w:hAnsiTheme="minorHAnsi" w:cstheme="minorHAnsi"/>
          <w:b/>
          <w:bCs/>
        </w:rPr>
        <w:t>Confirmation Deadline</w:t>
      </w:r>
    </w:p>
    <w:p w14:paraId="273CC1BD" w14:textId="65D0DB39" w:rsidR="00561C81" w:rsidRPr="00C912C2" w:rsidRDefault="00561C81" w:rsidP="00C83BE7">
      <w:pPr>
        <w:spacing w:after="0" w:line="276" w:lineRule="auto"/>
        <w:rPr>
          <w:rFonts w:asciiTheme="minorHAnsi" w:hAnsiTheme="minorHAnsi" w:cstheme="minorHAnsi"/>
        </w:rPr>
      </w:pPr>
      <w:r w:rsidRPr="00C912C2">
        <w:rPr>
          <w:rFonts w:asciiTheme="minorHAnsi" w:hAnsiTheme="minorHAnsi" w:cstheme="minorHAnsi"/>
        </w:rPr>
        <w:t xml:space="preserve">Process Pro Partner must receive this confirmation within </w:t>
      </w:r>
      <w:r w:rsidR="00121DB8" w:rsidRPr="00C912C2">
        <w:rPr>
          <w:rFonts w:asciiTheme="minorHAnsi" w:hAnsiTheme="minorHAnsi" w:cstheme="minorHAnsi"/>
          <w:b/>
          <w:bCs/>
        </w:rPr>
        <w:t>two</w:t>
      </w:r>
      <w:r w:rsidRPr="00C912C2">
        <w:rPr>
          <w:rFonts w:asciiTheme="minorHAnsi" w:hAnsiTheme="minorHAnsi" w:cstheme="minorHAnsi"/>
          <w:b/>
          <w:bCs/>
        </w:rPr>
        <w:t xml:space="preserve"> days</w:t>
      </w:r>
      <w:r w:rsidRPr="00C912C2">
        <w:rPr>
          <w:rFonts w:asciiTheme="minorHAnsi" w:hAnsiTheme="minorHAnsi" w:cstheme="minorHAnsi"/>
        </w:rPr>
        <w:t xml:space="preserve"> from TD Bank receiving the RFI.</w:t>
      </w:r>
    </w:p>
    <w:p w14:paraId="60E149F2" w14:textId="77777777" w:rsidR="00561C81" w:rsidRPr="00C912C2" w:rsidRDefault="00561C81" w:rsidP="00947AC0">
      <w:pPr>
        <w:spacing w:after="0" w:line="240" w:lineRule="auto"/>
        <w:rPr>
          <w:rFonts w:asciiTheme="minorHAnsi" w:hAnsiTheme="minorHAnsi" w:cstheme="minorHAnsi"/>
        </w:rPr>
      </w:pPr>
    </w:p>
    <w:p w14:paraId="3DDEC465" w14:textId="48F72199" w:rsidR="00561C81" w:rsidRPr="00C912C2" w:rsidRDefault="00561C81" w:rsidP="00947AC0">
      <w:pPr>
        <w:pStyle w:val="Heading2"/>
        <w:rPr>
          <w:rFonts w:asciiTheme="minorHAnsi" w:hAnsiTheme="minorHAnsi" w:cstheme="minorHAnsi"/>
          <w:sz w:val="28"/>
          <w:szCs w:val="28"/>
        </w:rPr>
      </w:pPr>
      <w:bookmarkStart w:id="12" w:name="_Toc178944969"/>
      <w:bookmarkStart w:id="13" w:name="_Toc178976949"/>
      <w:r w:rsidRPr="00C912C2">
        <w:rPr>
          <w:rFonts w:asciiTheme="minorHAnsi" w:hAnsiTheme="minorHAnsi" w:cstheme="minorHAnsi"/>
          <w:sz w:val="28"/>
          <w:szCs w:val="28"/>
        </w:rPr>
        <w:t>RFI S</w:t>
      </w:r>
      <w:r w:rsidR="0030306A" w:rsidRPr="00C912C2">
        <w:rPr>
          <w:rFonts w:asciiTheme="minorHAnsi" w:hAnsiTheme="minorHAnsi" w:cstheme="minorHAnsi"/>
          <w:sz w:val="28"/>
          <w:szCs w:val="28"/>
        </w:rPr>
        <w:t>chedule</w:t>
      </w:r>
      <w:bookmarkEnd w:id="12"/>
      <w:bookmarkEnd w:id="13"/>
    </w:p>
    <w:p w14:paraId="26213DB8" w14:textId="79705860" w:rsidR="00561C81" w:rsidRPr="00B77ECD" w:rsidRDefault="00561C81" w:rsidP="00C83BE7">
      <w:pPr>
        <w:spacing w:after="0" w:line="276" w:lineRule="auto"/>
        <w:rPr>
          <w:rFonts w:asciiTheme="minorHAnsi" w:hAnsiTheme="minorHAnsi" w:cstheme="minorHAnsi"/>
        </w:rPr>
      </w:pPr>
      <w:r w:rsidRPr="00C912C2">
        <w:rPr>
          <w:rFonts w:asciiTheme="minorHAnsi" w:hAnsiTheme="minorHAnsi" w:cstheme="minorHAnsi"/>
        </w:rPr>
        <w:t xml:space="preserve">The RFI process should be aligned with the project’s time requirements. A </w:t>
      </w:r>
      <w:r w:rsidR="00121DB8" w:rsidRPr="00C912C2">
        <w:rPr>
          <w:rFonts w:asciiTheme="minorHAnsi" w:hAnsiTheme="minorHAnsi" w:cstheme="minorHAnsi"/>
        </w:rPr>
        <w:t>precise</w:t>
      </w:r>
      <w:r w:rsidRPr="00C912C2">
        <w:rPr>
          <w:rFonts w:asciiTheme="minorHAnsi" w:hAnsiTheme="minorHAnsi" w:cstheme="minorHAnsi"/>
        </w:rPr>
        <w:t xml:space="preserve"> schedule will ensure </w:t>
      </w:r>
      <w:r w:rsidRPr="00B77ECD">
        <w:rPr>
          <w:rFonts w:asciiTheme="minorHAnsi" w:hAnsiTheme="minorHAnsi" w:cstheme="minorHAnsi"/>
        </w:rPr>
        <w:t>timely communication and submission. The key dates are as follows:</w:t>
      </w:r>
    </w:p>
    <w:p w14:paraId="64498C51" w14:textId="77777777" w:rsidR="00561C81" w:rsidRPr="00B77ECD" w:rsidRDefault="00561C81" w:rsidP="00C83BE7">
      <w:pPr>
        <w:spacing w:after="0" w:line="276" w:lineRule="auto"/>
        <w:rPr>
          <w:rFonts w:asciiTheme="minorHAnsi" w:hAnsiTheme="minorHAnsi" w:cstheme="minorHAnsi"/>
        </w:rPr>
      </w:pPr>
    </w:p>
    <w:tbl>
      <w:tblPr>
        <w:tblStyle w:val="PlainTable4"/>
        <w:tblW w:w="9544" w:type="dxa"/>
        <w:tblBorders>
          <w:top w:val="single" w:sz="4" w:space="0" w:color="FBE4D5" w:themeColor="accent2" w:themeTint="33"/>
          <w:left w:val="single" w:sz="4" w:space="0" w:color="FBE4D5" w:themeColor="accent2" w:themeTint="33"/>
          <w:bottom w:val="single" w:sz="4" w:space="0" w:color="FBE4D5" w:themeColor="accent2" w:themeTint="33"/>
          <w:right w:val="single" w:sz="4" w:space="0" w:color="FBE4D5" w:themeColor="accent2" w:themeTint="33"/>
          <w:insideH w:val="single" w:sz="4" w:space="0" w:color="FBE4D5" w:themeColor="accent2" w:themeTint="33"/>
          <w:insideV w:val="single" w:sz="4" w:space="0" w:color="FBE4D5" w:themeColor="accent2" w:themeTint="33"/>
        </w:tblBorders>
        <w:tblLook w:val="04A0" w:firstRow="1" w:lastRow="0" w:firstColumn="1" w:lastColumn="0" w:noHBand="0" w:noVBand="1"/>
      </w:tblPr>
      <w:tblGrid>
        <w:gridCol w:w="1696"/>
        <w:gridCol w:w="2977"/>
        <w:gridCol w:w="4871"/>
      </w:tblGrid>
      <w:tr w:rsidR="00561C81" w:rsidRPr="00B77ECD" w14:paraId="5477C272" w14:textId="77777777" w:rsidTr="00FE4567">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1" w:themeFillTint="33"/>
          </w:tcPr>
          <w:p w14:paraId="7498DC69" w14:textId="77777777" w:rsidR="00561C81" w:rsidRPr="00B77ECD" w:rsidRDefault="00561C81" w:rsidP="00C83BE7">
            <w:pPr>
              <w:spacing w:line="276" w:lineRule="auto"/>
              <w:rPr>
                <w:rFonts w:asciiTheme="minorHAnsi" w:hAnsiTheme="minorHAnsi" w:cstheme="minorHAnsi"/>
                <w:sz w:val="22"/>
                <w:szCs w:val="22"/>
              </w:rPr>
            </w:pPr>
            <w:r w:rsidRPr="00B77ECD">
              <w:rPr>
                <w:rFonts w:asciiTheme="minorHAnsi" w:hAnsiTheme="minorHAnsi" w:cstheme="minorHAnsi"/>
                <w:sz w:val="22"/>
                <w:szCs w:val="22"/>
              </w:rPr>
              <w:t>Phase</w:t>
            </w:r>
          </w:p>
        </w:tc>
        <w:tc>
          <w:tcPr>
            <w:tcW w:w="2977" w:type="dxa"/>
            <w:shd w:val="clear" w:color="auto" w:fill="D9E2F3" w:themeFill="accent1" w:themeFillTint="33"/>
          </w:tcPr>
          <w:p w14:paraId="274C91F2" w14:textId="77777777" w:rsidR="00561C81" w:rsidRPr="00B77ECD" w:rsidRDefault="00561C81" w:rsidP="00C83BE7">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77ECD">
              <w:rPr>
                <w:rFonts w:asciiTheme="minorHAnsi" w:hAnsiTheme="minorHAnsi" w:cstheme="minorHAnsi"/>
                <w:sz w:val="22"/>
                <w:szCs w:val="22"/>
              </w:rPr>
              <w:t>Timeline</w:t>
            </w:r>
          </w:p>
        </w:tc>
        <w:tc>
          <w:tcPr>
            <w:tcW w:w="4871" w:type="dxa"/>
            <w:shd w:val="clear" w:color="auto" w:fill="D9E2F3" w:themeFill="accent1" w:themeFillTint="33"/>
          </w:tcPr>
          <w:p w14:paraId="3F87B6AC" w14:textId="77777777" w:rsidR="00561C81" w:rsidRPr="00B77ECD" w:rsidRDefault="00561C81" w:rsidP="00C83BE7">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77ECD">
              <w:rPr>
                <w:rFonts w:asciiTheme="minorHAnsi" w:hAnsiTheme="minorHAnsi" w:cstheme="minorHAnsi"/>
                <w:sz w:val="22"/>
                <w:szCs w:val="22"/>
              </w:rPr>
              <w:t>Actions</w:t>
            </w:r>
          </w:p>
        </w:tc>
      </w:tr>
      <w:tr w:rsidR="00561C81" w:rsidRPr="00B77ECD" w14:paraId="6C185AC0" w14:textId="77777777" w:rsidTr="00FE456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16B60B7" w14:textId="77777777" w:rsidR="00561C81" w:rsidRPr="00B77ECD" w:rsidRDefault="00561C81" w:rsidP="00C83BE7">
            <w:pPr>
              <w:spacing w:line="276" w:lineRule="auto"/>
              <w:rPr>
                <w:rFonts w:asciiTheme="minorHAnsi" w:hAnsiTheme="minorHAnsi" w:cstheme="minorHAnsi"/>
                <w:b w:val="0"/>
                <w:bCs w:val="0"/>
                <w:sz w:val="22"/>
                <w:szCs w:val="22"/>
              </w:rPr>
            </w:pPr>
            <w:r w:rsidRPr="00B77ECD">
              <w:rPr>
                <w:rFonts w:asciiTheme="minorHAnsi" w:hAnsiTheme="minorHAnsi" w:cstheme="minorHAnsi"/>
                <w:b w:val="0"/>
                <w:bCs w:val="0"/>
                <w:sz w:val="22"/>
                <w:szCs w:val="22"/>
              </w:rPr>
              <w:t>RFI Release</w:t>
            </w:r>
          </w:p>
        </w:tc>
        <w:tc>
          <w:tcPr>
            <w:tcW w:w="2977" w:type="dxa"/>
          </w:tcPr>
          <w:p w14:paraId="5F6A0307" w14:textId="20424086" w:rsidR="00561C81" w:rsidRPr="00B77ECD" w:rsidRDefault="00561C81" w:rsidP="00C83BE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77ECD">
              <w:rPr>
                <w:rFonts w:asciiTheme="minorHAnsi" w:hAnsiTheme="minorHAnsi" w:cstheme="minorHAnsi"/>
                <w:sz w:val="22"/>
                <w:szCs w:val="22"/>
              </w:rPr>
              <w:t>Oct 03</w:t>
            </w:r>
            <w:r w:rsidRPr="00B77ECD">
              <w:rPr>
                <w:rFonts w:asciiTheme="minorHAnsi" w:hAnsiTheme="minorHAnsi" w:cstheme="minorHAnsi"/>
                <w:sz w:val="22"/>
                <w:szCs w:val="22"/>
                <w:vertAlign w:val="superscript"/>
              </w:rPr>
              <w:t>rd</w:t>
            </w:r>
            <w:r w:rsidRPr="00B77ECD">
              <w:rPr>
                <w:rFonts w:asciiTheme="minorHAnsi" w:hAnsiTheme="minorHAnsi" w:cstheme="minorHAnsi"/>
                <w:sz w:val="22"/>
                <w:szCs w:val="22"/>
              </w:rPr>
              <w:t>, 2024</w:t>
            </w:r>
          </w:p>
        </w:tc>
        <w:tc>
          <w:tcPr>
            <w:tcW w:w="4871" w:type="dxa"/>
            <w:shd w:val="clear" w:color="auto" w:fill="auto"/>
          </w:tcPr>
          <w:p w14:paraId="01030661" w14:textId="77777777" w:rsidR="00561C81" w:rsidRPr="00B77ECD" w:rsidRDefault="00561C81" w:rsidP="00C83BE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77ECD">
              <w:rPr>
                <w:rFonts w:asciiTheme="minorHAnsi" w:hAnsiTheme="minorHAnsi" w:cstheme="minorHAnsi"/>
                <w:sz w:val="22"/>
                <w:szCs w:val="22"/>
              </w:rPr>
              <w:t>RFI issued to the TD bank</w:t>
            </w:r>
          </w:p>
        </w:tc>
      </w:tr>
      <w:tr w:rsidR="00561C81" w:rsidRPr="00B77ECD" w14:paraId="4E64DA6D" w14:textId="77777777" w:rsidTr="00FE4567">
        <w:trPr>
          <w:trHeight w:val="509"/>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D5E7BB2" w14:textId="77777777" w:rsidR="00561C81" w:rsidRPr="00B77ECD" w:rsidRDefault="00561C81" w:rsidP="00C83BE7">
            <w:pPr>
              <w:spacing w:line="276" w:lineRule="auto"/>
              <w:rPr>
                <w:rFonts w:asciiTheme="minorHAnsi" w:hAnsiTheme="minorHAnsi" w:cstheme="minorHAnsi"/>
                <w:b w:val="0"/>
                <w:bCs w:val="0"/>
                <w:sz w:val="22"/>
                <w:szCs w:val="22"/>
              </w:rPr>
            </w:pPr>
            <w:r w:rsidRPr="00B77ECD">
              <w:rPr>
                <w:rFonts w:asciiTheme="minorHAnsi" w:hAnsiTheme="minorHAnsi" w:cstheme="minorHAnsi"/>
                <w:b w:val="0"/>
                <w:bCs w:val="0"/>
                <w:sz w:val="22"/>
                <w:szCs w:val="22"/>
              </w:rPr>
              <w:lastRenderedPageBreak/>
              <w:t>Query Deadline</w:t>
            </w:r>
          </w:p>
        </w:tc>
        <w:tc>
          <w:tcPr>
            <w:tcW w:w="2977" w:type="dxa"/>
          </w:tcPr>
          <w:p w14:paraId="2CBC6276" w14:textId="28B21A11" w:rsidR="00561C81" w:rsidRPr="00B77ECD" w:rsidRDefault="00561C81" w:rsidP="00C83BE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77ECD">
              <w:rPr>
                <w:rFonts w:asciiTheme="minorHAnsi" w:hAnsiTheme="minorHAnsi" w:cstheme="minorHAnsi"/>
                <w:sz w:val="22"/>
                <w:szCs w:val="22"/>
              </w:rPr>
              <w:t>Oct 7th, 2024, 10:00 AM</w:t>
            </w:r>
          </w:p>
        </w:tc>
        <w:tc>
          <w:tcPr>
            <w:tcW w:w="4871" w:type="dxa"/>
            <w:shd w:val="clear" w:color="auto" w:fill="auto"/>
          </w:tcPr>
          <w:p w14:paraId="521A1A04" w14:textId="77777777" w:rsidR="00561C81" w:rsidRPr="00B77ECD" w:rsidRDefault="00561C81" w:rsidP="00C83BE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77ECD">
              <w:rPr>
                <w:rFonts w:asciiTheme="minorHAnsi" w:hAnsiTheme="minorHAnsi" w:cstheme="minorHAnsi"/>
                <w:sz w:val="22"/>
                <w:szCs w:val="22"/>
              </w:rPr>
              <w:t>Deadline for submitting questions or queries regarding RFI</w:t>
            </w:r>
          </w:p>
        </w:tc>
      </w:tr>
      <w:tr w:rsidR="00561C81" w:rsidRPr="00B77ECD" w14:paraId="4EBAB180" w14:textId="77777777" w:rsidTr="00FE4567">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E1C72AC" w14:textId="77777777" w:rsidR="00561C81" w:rsidRPr="00B77ECD" w:rsidRDefault="00561C81" w:rsidP="00C83BE7">
            <w:pPr>
              <w:spacing w:line="276" w:lineRule="auto"/>
              <w:rPr>
                <w:rFonts w:asciiTheme="minorHAnsi" w:hAnsiTheme="minorHAnsi" w:cstheme="minorHAnsi"/>
                <w:b w:val="0"/>
                <w:bCs w:val="0"/>
                <w:sz w:val="22"/>
                <w:szCs w:val="22"/>
              </w:rPr>
            </w:pPr>
            <w:r w:rsidRPr="00B77ECD">
              <w:rPr>
                <w:rFonts w:asciiTheme="minorHAnsi" w:hAnsiTheme="minorHAnsi" w:cstheme="minorHAnsi"/>
                <w:b w:val="0"/>
                <w:bCs w:val="0"/>
                <w:sz w:val="22"/>
                <w:szCs w:val="22"/>
              </w:rPr>
              <w:t>Response to TD’s questions</w:t>
            </w:r>
          </w:p>
        </w:tc>
        <w:tc>
          <w:tcPr>
            <w:tcW w:w="2977" w:type="dxa"/>
          </w:tcPr>
          <w:p w14:paraId="7467F99D" w14:textId="77777777" w:rsidR="00561C81" w:rsidRPr="00B77ECD" w:rsidRDefault="00561C81" w:rsidP="00C83BE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77ECD">
              <w:rPr>
                <w:rFonts w:asciiTheme="minorHAnsi" w:hAnsiTheme="minorHAnsi" w:cstheme="minorHAnsi"/>
                <w:sz w:val="22"/>
                <w:szCs w:val="22"/>
              </w:rPr>
              <w:t>Oct 17</w:t>
            </w:r>
            <w:r w:rsidRPr="00B77ECD">
              <w:rPr>
                <w:rFonts w:asciiTheme="minorHAnsi" w:hAnsiTheme="minorHAnsi" w:cstheme="minorHAnsi"/>
                <w:sz w:val="22"/>
                <w:szCs w:val="22"/>
                <w:vertAlign w:val="superscript"/>
              </w:rPr>
              <w:t>th</w:t>
            </w:r>
            <w:r w:rsidRPr="00B77ECD">
              <w:rPr>
                <w:rFonts w:asciiTheme="minorHAnsi" w:hAnsiTheme="minorHAnsi" w:cstheme="minorHAnsi"/>
                <w:sz w:val="22"/>
                <w:szCs w:val="22"/>
              </w:rPr>
              <w:t>, 2024</w:t>
            </w:r>
          </w:p>
        </w:tc>
        <w:tc>
          <w:tcPr>
            <w:tcW w:w="4871" w:type="dxa"/>
            <w:shd w:val="clear" w:color="auto" w:fill="auto"/>
          </w:tcPr>
          <w:p w14:paraId="53DFE0AA" w14:textId="77777777" w:rsidR="00561C81" w:rsidRPr="00B77ECD" w:rsidRDefault="00561C81" w:rsidP="00C83BE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77ECD">
              <w:rPr>
                <w:rFonts w:asciiTheme="minorHAnsi" w:hAnsiTheme="minorHAnsi" w:cstheme="minorHAnsi"/>
                <w:sz w:val="22"/>
                <w:szCs w:val="22"/>
              </w:rPr>
              <w:t>Responses provided to TD for all asked questions</w:t>
            </w:r>
          </w:p>
        </w:tc>
      </w:tr>
      <w:tr w:rsidR="00561C81" w:rsidRPr="00B77ECD" w14:paraId="630ECF25" w14:textId="77777777" w:rsidTr="00FE4567">
        <w:trPr>
          <w:trHeight w:val="759"/>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B3849DF" w14:textId="77777777" w:rsidR="00561C81" w:rsidRPr="00B77ECD" w:rsidRDefault="00561C81" w:rsidP="00C83BE7">
            <w:pPr>
              <w:spacing w:line="276" w:lineRule="auto"/>
              <w:rPr>
                <w:rFonts w:asciiTheme="minorHAnsi" w:hAnsiTheme="minorHAnsi" w:cstheme="minorHAnsi"/>
                <w:b w:val="0"/>
                <w:bCs w:val="0"/>
                <w:sz w:val="22"/>
                <w:szCs w:val="22"/>
              </w:rPr>
            </w:pPr>
            <w:bookmarkStart w:id="14" w:name="_Hlk178772939"/>
            <w:r w:rsidRPr="00B77ECD">
              <w:rPr>
                <w:rFonts w:asciiTheme="minorHAnsi" w:hAnsiTheme="minorHAnsi" w:cstheme="minorHAnsi"/>
                <w:b w:val="0"/>
                <w:bCs w:val="0"/>
                <w:sz w:val="22"/>
                <w:szCs w:val="22"/>
              </w:rPr>
              <w:t>RFI Response Submission</w:t>
            </w:r>
          </w:p>
        </w:tc>
        <w:tc>
          <w:tcPr>
            <w:tcW w:w="2977" w:type="dxa"/>
          </w:tcPr>
          <w:p w14:paraId="6976F010" w14:textId="12D358AE" w:rsidR="00561C81" w:rsidRPr="00B77ECD" w:rsidRDefault="00561C81" w:rsidP="00C83BE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77ECD">
              <w:rPr>
                <w:rFonts w:asciiTheme="minorHAnsi" w:hAnsiTheme="minorHAnsi" w:cstheme="minorHAnsi"/>
                <w:sz w:val="22"/>
                <w:szCs w:val="22"/>
              </w:rPr>
              <w:t>Oct 24</w:t>
            </w:r>
            <w:r w:rsidRPr="00B77ECD">
              <w:rPr>
                <w:rFonts w:asciiTheme="minorHAnsi" w:hAnsiTheme="minorHAnsi" w:cstheme="minorHAnsi"/>
                <w:sz w:val="22"/>
                <w:szCs w:val="22"/>
                <w:vertAlign w:val="superscript"/>
              </w:rPr>
              <w:t>th</w:t>
            </w:r>
            <w:r w:rsidRPr="00B77ECD">
              <w:rPr>
                <w:rFonts w:asciiTheme="minorHAnsi" w:hAnsiTheme="minorHAnsi" w:cstheme="minorHAnsi"/>
                <w:sz w:val="22"/>
                <w:szCs w:val="22"/>
              </w:rPr>
              <w:t>, 2024, 12:00 PM</w:t>
            </w:r>
          </w:p>
        </w:tc>
        <w:tc>
          <w:tcPr>
            <w:tcW w:w="4871" w:type="dxa"/>
            <w:shd w:val="clear" w:color="auto" w:fill="auto"/>
          </w:tcPr>
          <w:p w14:paraId="12E47FFD" w14:textId="77777777" w:rsidR="00561C81" w:rsidRPr="00B77ECD" w:rsidRDefault="00561C81" w:rsidP="00C83BE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77ECD">
              <w:rPr>
                <w:rFonts w:asciiTheme="minorHAnsi" w:hAnsiTheme="minorHAnsi" w:cstheme="minorHAnsi"/>
                <w:sz w:val="22"/>
                <w:szCs w:val="22"/>
              </w:rPr>
              <w:t>Deadline for receiving all materials and bid responses from TD Bank</w:t>
            </w:r>
          </w:p>
        </w:tc>
      </w:tr>
      <w:bookmarkEnd w:id="14"/>
      <w:tr w:rsidR="00561C81" w:rsidRPr="00B77ECD" w14:paraId="0E6CF038" w14:textId="77777777" w:rsidTr="00FE4567">
        <w:trPr>
          <w:cnfStyle w:val="000000100000" w:firstRow="0" w:lastRow="0" w:firstColumn="0" w:lastColumn="0" w:oddVBand="0" w:evenVBand="0" w:oddHBand="1" w:evenHBand="0" w:firstRowFirstColumn="0" w:firstRowLastColumn="0" w:lastRowFirstColumn="0" w:lastRowLastColumn="0"/>
          <w:trHeight w:val="1199"/>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A2DAE29" w14:textId="77777777" w:rsidR="00561C81" w:rsidRPr="00B77ECD" w:rsidRDefault="00561C81" w:rsidP="00C83BE7">
            <w:pPr>
              <w:spacing w:line="276" w:lineRule="auto"/>
              <w:rPr>
                <w:rFonts w:asciiTheme="minorHAnsi" w:hAnsiTheme="minorHAnsi" w:cstheme="minorHAnsi"/>
                <w:b w:val="0"/>
                <w:bCs w:val="0"/>
                <w:sz w:val="22"/>
                <w:szCs w:val="22"/>
              </w:rPr>
            </w:pPr>
            <w:r w:rsidRPr="00B77ECD">
              <w:rPr>
                <w:rFonts w:asciiTheme="minorHAnsi" w:hAnsiTheme="minorHAnsi" w:cstheme="minorHAnsi"/>
                <w:b w:val="0"/>
                <w:bCs w:val="0"/>
                <w:sz w:val="22"/>
                <w:szCs w:val="22"/>
              </w:rPr>
              <w:t>Evaluation Period</w:t>
            </w:r>
          </w:p>
        </w:tc>
        <w:tc>
          <w:tcPr>
            <w:tcW w:w="2977" w:type="dxa"/>
          </w:tcPr>
          <w:p w14:paraId="557F2E10" w14:textId="77777777" w:rsidR="00561C81" w:rsidRPr="00B77ECD" w:rsidRDefault="00561C81" w:rsidP="00C83BE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77ECD">
              <w:rPr>
                <w:rFonts w:asciiTheme="minorHAnsi" w:hAnsiTheme="minorHAnsi" w:cstheme="minorHAnsi"/>
                <w:sz w:val="22"/>
                <w:szCs w:val="22"/>
              </w:rPr>
              <w:t>Oct 25</w:t>
            </w:r>
            <w:r w:rsidRPr="00B77ECD">
              <w:rPr>
                <w:rFonts w:asciiTheme="minorHAnsi" w:hAnsiTheme="minorHAnsi" w:cstheme="minorHAnsi"/>
                <w:sz w:val="22"/>
                <w:szCs w:val="22"/>
                <w:vertAlign w:val="superscript"/>
              </w:rPr>
              <w:t>th</w:t>
            </w:r>
            <w:r w:rsidRPr="00B77ECD">
              <w:rPr>
                <w:rFonts w:asciiTheme="minorHAnsi" w:hAnsiTheme="minorHAnsi" w:cstheme="minorHAnsi"/>
                <w:sz w:val="22"/>
                <w:szCs w:val="22"/>
              </w:rPr>
              <w:t xml:space="preserve"> - Oct 28</w:t>
            </w:r>
            <w:r w:rsidRPr="00B77ECD">
              <w:rPr>
                <w:rFonts w:asciiTheme="minorHAnsi" w:hAnsiTheme="minorHAnsi" w:cstheme="minorHAnsi"/>
                <w:sz w:val="22"/>
                <w:szCs w:val="22"/>
                <w:vertAlign w:val="superscript"/>
              </w:rPr>
              <w:t>th</w:t>
            </w:r>
            <w:r w:rsidRPr="00B77ECD">
              <w:rPr>
                <w:rFonts w:asciiTheme="minorHAnsi" w:hAnsiTheme="minorHAnsi" w:cstheme="minorHAnsi"/>
                <w:sz w:val="22"/>
                <w:szCs w:val="22"/>
              </w:rPr>
              <w:t xml:space="preserve"> ,2024</w:t>
            </w:r>
          </w:p>
        </w:tc>
        <w:tc>
          <w:tcPr>
            <w:tcW w:w="4871" w:type="dxa"/>
            <w:shd w:val="clear" w:color="auto" w:fill="auto"/>
          </w:tcPr>
          <w:p w14:paraId="0B170D7B" w14:textId="1FDD3D0B" w:rsidR="00561C81" w:rsidRPr="00B77ECD" w:rsidRDefault="00561C81" w:rsidP="00C83BE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77ECD">
              <w:rPr>
                <w:rFonts w:asciiTheme="minorHAnsi" w:hAnsiTheme="minorHAnsi" w:cstheme="minorHAnsi"/>
                <w:sz w:val="22"/>
                <w:szCs w:val="22"/>
              </w:rPr>
              <w:t>Evaluation period for submitted bids. Verify all the answers provided by TD and request further information if needed</w:t>
            </w:r>
            <w:r w:rsidR="00121DB8" w:rsidRPr="00B77ECD">
              <w:rPr>
                <w:rFonts w:asciiTheme="minorHAnsi" w:hAnsiTheme="minorHAnsi" w:cstheme="minorHAnsi"/>
                <w:sz w:val="22"/>
                <w:szCs w:val="22"/>
              </w:rPr>
              <w:t>.</w:t>
            </w:r>
          </w:p>
        </w:tc>
      </w:tr>
      <w:tr w:rsidR="00561C81" w:rsidRPr="00B77ECD" w14:paraId="4B8D20DC" w14:textId="77777777" w:rsidTr="00FE4567">
        <w:trPr>
          <w:trHeight w:val="834"/>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448413B" w14:textId="77777777" w:rsidR="00561C81" w:rsidRPr="00B77ECD" w:rsidRDefault="00561C81" w:rsidP="00C83BE7">
            <w:pPr>
              <w:spacing w:line="276" w:lineRule="auto"/>
              <w:rPr>
                <w:rFonts w:asciiTheme="minorHAnsi" w:hAnsiTheme="minorHAnsi" w:cstheme="minorHAnsi"/>
                <w:b w:val="0"/>
                <w:bCs w:val="0"/>
                <w:sz w:val="22"/>
                <w:szCs w:val="22"/>
              </w:rPr>
            </w:pPr>
            <w:r w:rsidRPr="00B77ECD">
              <w:rPr>
                <w:rFonts w:asciiTheme="minorHAnsi" w:hAnsiTheme="minorHAnsi" w:cstheme="minorHAnsi"/>
                <w:b w:val="0"/>
                <w:bCs w:val="0"/>
                <w:sz w:val="22"/>
                <w:szCs w:val="22"/>
              </w:rPr>
              <w:t>Next Stage</w:t>
            </w:r>
          </w:p>
        </w:tc>
        <w:tc>
          <w:tcPr>
            <w:tcW w:w="2977" w:type="dxa"/>
          </w:tcPr>
          <w:p w14:paraId="62FB2057" w14:textId="77777777" w:rsidR="00561C81" w:rsidRPr="00B77ECD" w:rsidRDefault="00561C81" w:rsidP="00C83BE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77ECD">
              <w:rPr>
                <w:rFonts w:asciiTheme="minorHAnsi" w:hAnsiTheme="minorHAnsi" w:cstheme="minorHAnsi"/>
                <w:sz w:val="22"/>
                <w:szCs w:val="22"/>
              </w:rPr>
              <w:t>Nov 6</w:t>
            </w:r>
            <w:r w:rsidRPr="00B77ECD">
              <w:rPr>
                <w:rFonts w:asciiTheme="minorHAnsi" w:hAnsiTheme="minorHAnsi" w:cstheme="minorHAnsi"/>
                <w:sz w:val="22"/>
                <w:szCs w:val="22"/>
                <w:vertAlign w:val="superscript"/>
              </w:rPr>
              <w:t>th</w:t>
            </w:r>
            <w:r w:rsidRPr="00B77ECD">
              <w:rPr>
                <w:rFonts w:asciiTheme="minorHAnsi" w:hAnsiTheme="minorHAnsi" w:cstheme="minorHAnsi"/>
                <w:sz w:val="22"/>
                <w:szCs w:val="22"/>
              </w:rPr>
              <w:t>, 2024</w:t>
            </w:r>
          </w:p>
        </w:tc>
        <w:tc>
          <w:tcPr>
            <w:tcW w:w="4871" w:type="dxa"/>
            <w:shd w:val="clear" w:color="auto" w:fill="auto"/>
          </w:tcPr>
          <w:p w14:paraId="57149461" w14:textId="77777777" w:rsidR="00561C81" w:rsidRPr="00B77ECD" w:rsidRDefault="00561C81" w:rsidP="00C83BE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77ECD">
              <w:rPr>
                <w:rFonts w:asciiTheme="minorHAnsi" w:hAnsiTheme="minorHAnsi" w:cstheme="minorHAnsi"/>
                <w:sz w:val="22"/>
                <w:szCs w:val="22"/>
              </w:rPr>
              <w:t>Decision to proceed to the next stage</w:t>
            </w:r>
          </w:p>
        </w:tc>
      </w:tr>
    </w:tbl>
    <w:p w14:paraId="47AC45D2" w14:textId="77777777" w:rsidR="00561C81" w:rsidRPr="00C912C2" w:rsidRDefault="00561C81" w:rsidP="00947AC0">
      <w:pPr>
        <w:rPr>
          <w:rFonts w:asciiTheme="minorHAnsi" w:hAnsiTheme="minorHAnsi" w:cstheme="minorHAnsi"/>
        </w:rPr>
      </w:pPr>
    </w:p>
    <w:p w14:paraId="443E03C0" w14:textId="7583E00F" w:rsidR="00CA5E77" w:rsidRPr="00C912C2" w:rsidRDefault="00CA5E77" w:rsidP="00947AC0">
      <w:pPr>
        <w:pStyle w:val="Heading2"/>
        <w:rPr>
          <w:rFonts w:asciiTheme="minorHAnsi" w:hAnsiTheme="minorHAnsi" w:cstheme="minorHAnsi"/>
          <w:sz w:val="28"/>
          <w:szCs w:val="28"/>
        </w:rPr>
      </w:pPr>
      <w:bookmarkStart w:id="15" w:name="_Toc178944970"/>
      <w:bookmarkStart w:id="16" w:name="_Toc178976950"/>
      <w:r w:rsidRPr="00C912C2">
        <w:rPr>
          <w:rFonts w:asciiTheme="minorHAnsi" w:hAnsiTheme="minorHAnsi" w:cstheme="minorHAnsi"/>
          <w:sz w:val="28"/>
          <w:szCs w:val="28"/>
        </w:rPr>
        <w:t>RFI R</w:t>
      </w:r>
      <w:r w:rsidR="0030306A" w:rsidRPr="00C912C2">
        <w:rPr>
          <w:rFonts w:asciiTheme="minorHAnsi" w:hAnsiTheme="minorHAnsi" w:cstheme="minorHAnsi"/>
          <w:sz w:val="28"/>
          <w:szCs w:val="28"/>
        </w:rPr>
        <w:t>elated</w:t>
      </w:r>
      <w:r w:rsidRPr="00C912C2">
        <w:rPr>
          <w:rFonts w:asciiTheme="minorHAnsi" w:hAnsiTheme="minorHAnsi" w:cstheme="minorHAnsi"/>
          <w:sz w:val="28"/>
          <w:szCs w:val="28"/>
        </w:rPr>
        <w:t xml:space="preserve"> Q</w:t>
      </w:r>
      <w:r w:rsidR="0030306A" w:rsidRPr="00C912C2">
        <w:rPr>
          <w:rFonts w:asciiTheme="minorHAnsi" w:hAnsiTheme="minorHAnsi" w:cstheme="minorHAnsi"/>
          <w:sz w:val="28"/>
          <w:szCs w:val="28"/>
        </w:rPr>
        <w:t>uestions</w:t>
      </w:r>
      <w:r w:rsidRPr="00C912C2">
        <w:rPr>
          <w:rFonts w:asciiTheme="minorHAnsi" w:hAnsiTheme="minorHAnsi" w:cstheme="minorHAnsi"/>
          <w:sz w:val="28"/>
          <w:szCs w:val="28"/>
        </w:rPr>
        <w:t xml:space="preserve"> / C</w:t>
      </w:r>
      <w:r w:rsidR="0030306A" w:rsidRPr="00C912C2">
        <w:rPr>
          <w:rFonts w:asciiTheme="minorHAnsi" w:hAnsiTheme="minorHAnsi" w:cstheme="minorHAnsi"/>
          <w:sz w:val="28"/>
          <w:szCs w:val="28"/>
        </w:rPr>
        <w:t>larifications</w:t>
      </w:r>
      <w:r w:rsidRPr="00C912C2">
        <w:rPr>
          <w:rFonts w:asciiTheme="minorHAnsi" w:hAnsiTheme="minorHAnsi" w:cstheme="minorHAnsi"/>
          <w:sz w:val="28"/>
          <w:szCs w:val="28"/>
        </w:rPr>
        <w:t xml:space="preserve"> / S</w:t>
      </w:r>
      <w:r w:rsidR="0030306A" w:rsidRPr="00C912C2">
        <w:rPr>
          <w:rFonts w:asciiTheme="minorHAnsi" w:hAnsiTheme="minorHAnsi" w:cstheme="minorHAnsi"/>
          <w:sz w:val="28"/>
          <w:szCs w:val="28"/>
        </w:rPr>
        <w:t>ubmission</w:t>
      </w:r>
      <w:bookmarkEnd w:id="15"/>
      <w:bookmarkEnd w:id="16"/>
    </w:p>
    <w:p w14:paraId="1A22A2D0" w14:textId="77777777" w:rsidR="00CA5E77" w:rsidRPr="00C912C2" w:rsidRDefault="00CA5E77" w:rsidP="00C83BE7">
      <w:pPr>
        <w:spacing w:after="0" w:line="276" w:lineRule="auto"/>
        <w:rPr>
          <w:rFonts w:asciiTheme="minorHAnsi" w:hAnsiTheme="minorHAnsi" w:cstheme="minorHAnsi"/>
        </w:rPr>
      </w:pPr>
      <w:r w:rsidRPr="00C912C2">
        <w:rPr>
          <w:rFonts w:asciiTheme="minorHAnsi" w:hAnsiTheme="minorHAnsi" w:cstheme="minorHAnsi"/>
        </w:rPr>
        <w:t>For all queries or clarifications related to this RFI, TD Bank should reach out to:</w:t>
      </w:r>
    </w:p>
    <w:p w14:paraId="3DCCB2AB" w14:textId="77777777" w:rsidR="00CA5E77" w:rsidRPr="00C912C2" w:rsidRDefault="00CA5E77" w:rsidP="00C83BE7">
      <w:pPr>
        <w:spacing w:after="0" w:line="276" w:lineRule="auto"/>
        <w:rPr>
          <w:rFonts w:asciiTheme="minorHAnsi" w:hAnsiTheme="minorHAnsi" w:cstheme="minorHAnsi"/>
        </w:rPr>
      </w:pPr>
    </w:p>
    <w:p w14:paraId="70EF314B" w14:textId="32946A63" w:rsidR="00CA5E77" w:rsidRPr="00C912C2" w:rsidRDefault="00CA5E77" w:rsidP="00C83BE7">
      <w:pPr>
        <w:spacing w:after="0" w:line="276" w:lineRule="auto"/>
        <w:rPr>
          <w:rFonts w:asciiTheme="minorHAnsi" w:hAnsiTheme="minorHAnsi" w:cstheme="minorHAnsi"/>
          <w:b/>
          <w:bCs/>
          <w:i/>
          <w:iCs/>
        </w:rPr>
      </w:pPr>
      <w:r w:rsidRPr="00C912C2">
        <w:rPr>
          <w:rFonts w:asciiTheme="minorHAnsi" w:hAnsiTheme="minorHAnsi" w:cstheme="minorHAnsi"/>
          <w:b/>
          <w:bCs/>
          <w:i/>
          <w:iCs/>
        </w:rPr>
        <w:t>RFI Project Manager</w:t>
      </w:r>
    </w:p>
    <w:p w14:paraId="23430F05" w14:textId="77777777" w:rsidR="00CA5E77" w:rsidRPr="00C912C2" w:rsidRDefault="00CA5E77" w:rsidP="00C83BE7">
      <w:pPr>
        <w:spacing w:after="0" w:line="276" w:lineRule="auto"/>
        <w:rPr>
          <w:rFonts w:asciiTheme="minorHAnsi" w:hAnsiTheme="minorHAnsi" w:cstheme="minorHAnsi"/>
        </w:rPr>
      </w:pPr>
      <w:r w:rsidRPr="00C912C2">
        <w:rPr>
          <w:rFonts w:asciiTheme="minorHAnsi" w:hAnsiTheme="minorHAnsi" w:cstheme="minorHAnsi"/>
        </w:rPr>
        <w:t>Name: Prachi Arora</w:t>
      </w:r>
    </w:p>
    <w:p w14:paraId="5EA4078F" w14:textId="77777777" w:rsidR="00CA5E77" w:rsidRPr="00C912C2" w:rsidRDefault="00CA5E77" w:rsidP="00C83BE7">
      <w:pPr>
        <w:spacing w:after="0" w:line="276" w:lineRule="auto"/>
        <w:rPr>
          <w:rFonts w:asciiTheme="minorHAnsi" w:hAnsiTheme="minorHAnsi" w:cstheme="minorHAnsi"/>
        </w:rPr>
      </w:pPr>
      <w:r w:rsidRPr="00C912C2">
        <w:rPr>
          <w:rFonts w:asciiTheme="minorHAnsi" w:hAnsiTheme="minorHAnsi" w:cstheme="minorHAnsi"/>
        </w:rPr>
        <w:t xml:space="preserve">Email: </w:t>
      </w:r>
      <w:hyperlink r:id="rId15" w:history="1">
        <w:r w:rsidRPr="00C912C2">
          <w:rPr>
            <w:rStyle w:val="Hyperlink"/>
            <w:rFonts w:asciiTheme="minorHAnsi" w:hAnsiTheme="minorHAnsi" w:cstheme="minorHAnsi"/>
          </w:rPr>
          <w:t>parora6849@conestogac.on.ca</w:t>
        </w:r>
      </w:hyperlink>
    </w:p>
    <w:p w14:paraId="55C2E37F" w14:textId="7CD14B48" w:rsidR="00CA5E77" w:rsidRPr="00C912C2" w:rsidRDefault="00CA5E77" w:rsidP="00C83BE7">
      <w:pPr>
        <w:spacing w:after="0" w:line="276" w:lineRule="auto"/>
        <w:rPr>
          <w:rFonts w:asciiTheme="minorHAnsi" w:hAnsiTheme="minorHAnsi" w:cstheme="minorHAnsi"/>
        </w:rPr>
      </w:pPr>
      <w:r w:rsidRPr="00C912C2">
        <w:rPr>
          <w:rFonts w:asciiTheme="minorHAnsi" w:hAnsiTheme="minorHAnsi" w:cstheme="minorHAnsi"/>
        </w:rPr>
        <w:t xml:space="preserve">TD Bank must submit its proposal to the following address before </w:t>
      </w:r>
      <w:r w:rsidR="00121DB8" w:rsidRPr="00C912C2">
        <w:rPr>
          <w:rFonts w:asciiTheme="minorHAnsi" w:hAnsiTheme="minorHAnsi" w:cstheme="minorHAnsi"/>
        </w:rPr>
        <w:t>closing,</w:t>
      </w:r>
      <w:r w:rsidRPr="00C912C2">
        <w:rPr>
          <w:rFonts w:asciiTheme="minorHAnsi" w:hAnsiTheme="minorHAnsi" w:cstheme="minorHAnsi"/>
        </w:rPr>
        <w:t xml:space="preserve"> i.e., Oct 24th, 2024, 12:00 PM.</w:t>
      </w:r>
    </w:p>
    <w:p w14:paraId="309E6437" w14:textId="77777777" w:rsidR="00CA5E77" w:rsidRPr="00C912C2" w:rsidRDefault="00CA5E77" w:rsidP="00C83BE7">
      <w:pPr>
        <w:spacing w:after="0" w:line="276" w:lineRule="auto"/>
        <w:rPr>
          <w:rFonts w:asciiTheme="minorHAnsi" w:hAnsiTheme="minorHAnsi" w:cstheme="minorHAnsi"/>
        </w:rPr>
      </w:pPr>
    </w:p>
    <w:p w14:paraId="47776D18" w14:textId="2D04F76A" w:rsidR="00CA5E77" w:rsidRPr="00C912C2" w:rsidRDefault="00CA5E77" w:rsidP="00C83BE7">
      <w:pPr>
        <w:spacing w:after="0" w:line="276" w:lineRule="auto"/>
        <w:rPr>
          <w:rFonts w:asciiTheme="minorHAnsi" w:hAnsiTheme="minorHAnsi" w:cstheme="minorHAnsi"/>
          <w:b/>
          <w:bCs/>
          <w:i/>
          <w:iCs/>
        </w:rPr>
      </w:pPr>
      <w:r w:rsidRPr="00C912C2">
        <w:rPr>
          <w:rFonts w:asciiTheme="minorHAnsi" w:hAnsiTheme="minorHAnsi" w:cstheme="minorHAnsi"/>
          <w:b/>
          <w:bCs/>
          <w:i/>
          <w:iCs/>
        </w:rPr>
        <w:t>Contact for Submissions</w:t>
      </w:r>
    </w:p>
    <w:p w14:paraId="4BA106C3" w14:textId="77777777" w:rsidR="00CA5E77" w:rsidRPr="00C912C2" w:rsidRDefault="00CA5E77" w:rsidP="00C83BE7">
      <w:pPr>
        <w:spacing w:after="0" w:line="276" w:lineRule="auto"/>
        <w:rPr>
          <w:rFonts w:asciiTheme="minorHAnsi" w:hAnsiTheme="minorHAnsi" w:cstheme="minorHAnsi"/>
        </w:rPr>
      </w:pPr>
      <w:r w:rsidRPr="00C912C2">
        <w:rPr>
          <w:rFonts w:asciiTheme="minorHAnsi" w:hAnsiTheme="minorHAnsi" w:cstheme="minorHAnsi"/>
        </w:rPr>
        <w:t>Name: Sandra Marya</w:t>
      </w:r>
    </w:p>
    <w:p w14:paraId="7B8D46E5" w14:textId="78AAD519" w:rsidR="00CA5E77" w:rsidRPr="00C912C2" w:rsidRDefault="000D382F" w:rsidP="00C83BE7">
      <w:pPr>
        <w:spacing w:after="0" w:line="276" w:lineRule="auto"/>
        <w:rPr>
          <w:rFonts w:asciiTheme="minorHAnsi" w:hAnsiTheme="minorHAnsi" w:cstheme="minorHAnsi"/>
        </w:rPr>
      </w:pPr>
      <w:r>
        <w:rPr>
          <w:rFonts w:asciiTheme="minorHAnsi" w:hAnsiTheme="minorHAnsi" w:cstheme="minorHAnsi"/>
        </w:rPr>
        <w:t>Email</w:t>
      </w:r>
      <w:r w:rsidR="00CA5E77" w:rsidRPr="00C912C2">
        <w:rPr>
          <w:rFonts w:asciiTheme="minorHAnsi" w:hAnsiTheme="minorHAnsi" w:cstheme="minorHAnsi"/>
        </w:rPr>
        <w:t xml:space="preserve">: </w:t>
      </w:r>
      <w:hyperlink r:id="rId16" w:history="1">
        <w:r w:rsidR="00CA5E77" w:rsidRPr="00C912C2">
          <w:rPr>
            <w:rStyle w:val="Hyperlink"/>
            <w:rFonts w:asciiTheme="minorHAnsi" w:hAnsiTheme="minorHAnsi" w:cstheme="minorHAnsi"/>
          </w:rPr>
          <w:t>sandramarya4187@conestogac.on.ca</w:t>
        </w:r>
      </w:hyperlink>
    </w:p>
    <w:p w14:paraId="75E5BA25" w14:textId="77777777" w:rsidR="00CA5E77" w:rsidRPr="00C912C2" w:rsidRDefault="00CA5E77" w:rsidP="00C83BE7">
      <w:pPr>
        <w:spacing w:after="0" w:line="276" w:lineRule="auto"/>
        <w:rPr>
          <w:rFonts w:asciiTheme="minorHAnsi" w:hAnsiTheme="minorHAnsi" w:cstheme="minorHAnsi"/>
        </w:rPr>
      </w:pPr>
    </w:p>
    <w:p w14:paraId="0923207F" w14:textId="714344A3" w:rsidR="00CA5E77" w:rsidRPr="00C912C2" w:rsidRDefault="00121DB8" w:rsidP="00C83BE7">
      <w:pPr>
        <w:spacing w:after="0" w:line="276" w:lineRule="auto"/>
        <w:rPr>
          <w:rFonts w:asciiTheme="minorHAnsi" w:hAnsiTheme="minorHAnsi" w:cstheme="minorHAnsi"/>
        </w:rPr>
      </w:pPr>
      <w:r w:rsidRPr="00C912C2">
        <w:rPr>
          <w:rFonts w:asciiTheme="minorHAnsi" w:hAnsiTheme="minorHAnsi" w:cstheme="minorHAnsi"/>
        </w:rPr>
        <w:t>All</w:t>
      </w:r>
      <w:r w:rsidR="00CA5E77" w:rsidRPr="00C912C2">
        <w:rPr>
          <w:rFonts w:asciiTheme="minorHAnsi" w:hAnsiTheme="minorHAnsi" w:cstheme="minorHAnsi"/>
        </w:rPr>
        <w:t xml:space="preserve"> notices or correspondence </w:t>
      </w:r>
      <w:r w:rsidRPr="00C912C2">
        <w:rPr>
          <w:rFonts w:asciiTheme="minorHAnsi" w:hAnsiTheme="minorHAnsi" w:cstheme="minorHAnsi"/>
        </w:rPr>
        <w:t>concerning</w:t>
      </w:r>
      <w:r w:rsidR="00CA5E77" w:rsidRPr="00C912C2">
        <w:rPr>
          <w:rFonts w:asciiTheme="minorHAnsi" w:hAnsiTheme="minorHAnsi" w:cstheme="minorHAnsi"/>
        </w:rPr>
        <w:t xml:space="preserve"> the RFI must be mailed to the above contact and address.</w:t>
      </w:r>
      <w:r w:rsidR="00CA5E77" w:rsidRPr="00C912C2">
        <w:rPr>
          <w:rFonts w:asciiTheme="minorHAnsi" w:hAnsiTheme="minorHAnsi" w:cstheme="minorHAnsi"/>
        </w:rPr>
        <w:br/>
      </w:r>
    </w:p>
    <w:p w14:paraId="23A24FC7" w14:textId="6FED0275" w:rsidR="00CA5E77" w:rsidRPr="00C912C2" w:rsidRDefault="00CA5E77" w:rsidP="00947AC0">
      <w:pPr>
        <w:pStyle w:val="Heading2"/>
        <w:rPr>
          <w:rFonts w:asciiTheme="minorHAnsi" w:hAnsiTheme="minorHAnsi" w:cstheme="minorHAnsi"/>
          <w:sz w:val="28"/>
          <w:szCs w:val="28"/>
        </w:rPr>
      </w:pPr>
      <w:bookmarkStart w:id="17" w:name="_Toc178944971"/>
      <w:bookmarkStart w:id="18" w:name="_Toc178976951"/>
      <w:r w:rsidRPr="00C912C2">
        <w:rPr>
          <w:rFonts w:asciiTheme="minorHAnsi" w:hAnsiTheme="minorHAnsi" w:cstheme="minorHAnsi"/>
          <w:sz w:val="28"/>
          <w:szCs w:val="28"/>
        </w:rPr>
        <w:t>RFI T</w:t>
      </w:r>
      <w:r w:rsidR="0030306A" w:rsidRPr="00C912C2">
        <w:rPr>
          <w:rFonts w:asciiTheme="minorHAnsi" w:hAnsiTheme="minorHAnsi" w:cstheme="minorHAnsi"/>
          <w:sz w:val="28"/>
          <w:szCs w:val="28"/>
        </w:rPr>
        <w:t>erms</w:t>
      </w:r>
      <w:r w:rsidRPr="00C912C2">
        <w:rPr>
          <w:rFonts w:asciiTheme="minorHAnsi" w:hAnsiTheme="minorHAnsi" w:cstheme="minorHAnsi"/>
          <w:sz w:val="28"/>
          <w:szCs w:val="28"/>
        </w:rPr>
        <w:t xml:space="preserve"> &amp; C</w:t>
      </w:r>
      <w:r w:rsidR="0030306A" w:rsidRPr="00C912C2">
        <w:rPr>
          <w:rFonts w:asciiTheme="minorHAnsi" w:hAnsiTheme="minorHAnsi" w:cstheme="minorHAnsi"/>
          <w:sz w:val="28"/>
          <w:szCs w:val="28"/>
        </w:rPr>
        <w:t>onditions</w:t>
      </w:r>
      <w:bookmarkEnd w:id="17"/>
      <w:bookmarkEnd w:id="18"/>
    </w:p>
    <w:p w14:paraId="099F096C" w14:textId="4AC59E9B" w:rsidR="00CA5E77" w:rsidRPr="00C912C2" w:rsidRDefault="00CA5E77" w:rsidP="00C83BE7">
      <w:pPr>
        <w:spacing w:after="0" w:line="276" w:lineRule="auto"/>
        <w:rPr>
          <w:rFonts w:asciiTheme="minorHAnsi" w:hAnsiTheme="minorHAnsi" w:cstheme="minorHAnsi"/>
        </w:rPr>
      </w:pPr>
      <w:r w:rsidRPr="00C912C2">
        <w:rPr>
          <w:rFonts w:asciiTheme="minorHAnsi" w:hAnsiTheme="minorHAnsi" w:cstheme="minorHAnsi"/>
        </w:rPr>
        <w:t>The terms and conditions section outlines the rules governing the RFI process. It also includes detailed expectations from the participants.</w:t>
      </w:r>
      <w:r w:rsidR="004C2A91" w:rsidRPr="00C912C2">
        <w:rPr>
          <w:rFonts w:asciiTheme="minorHAnsi" w:hAnsiTheme="minorHAnsi" w:cstheme="minorHAnsi"/>
        </w:rPr>
        <w:br/>
      </w:r>
    </w:p>
    <w:p w14:paraId="6D985892" w14:textId="79DDBDC1" w:rsidR="00CA5E77" w:rsidRPr="00C912C2" w:rsidRDefault="00CA5E77" w:rsidP="0008470D">
      <w:pPr>
        <w:pStyle w:val="ListParagraph"/>
        <w:numPr>
          <w:ilvl w:val="0"/>
          <w:numId w:val="2"/>
        </w:numPr>
        <w:spacing w:after="0" w:line="276" w:lineRule="auto"/>
        <w:jc w:val="both"/>
        <w:rPr>
          <w:rFonts w:cstheme="minorHAnsi"/>
        </w:rPr>
      </w:pPr>
      <w:r w:rsidRPr="00C912C2">
        <w:rPr>
          <w:rFonts w:cstheme="minorHAnsi"/>
          <w:b/>
          <w:bCs/>
        </w:rPr>
        <w:t>No Contractual Obligation:</w:t>
      </w:r>
      <w:r w:rsidRPr="00C912C2">
        <w:rPr>
          <w:rFonts w:cstheme="minorHAnsi"/>
        </w:rPr>
        <w:t xml:space="preserve"> This RFI is exclusively a request for information regarding potential products and services. There are no binding contractual obligations on ProcessPro Partners arising from this RFI process.</w:t>
      </w:r>
    </w:p>
    <w:p w14:paraId="088AC623" w14:textId="314421AC" w:rsidR="00CA5E77" w:rsidRPr="00C912C2" w:rsidRDefault="00CA5E77" w:rsidP="0008470D">
      <w:pPr>
        <w:pStyle w:val="ListParagraph"/>
        <w:numPr>
          <w:ilvl w:val="0"/>
          <w:numId w:val="2"/>
        </w:numPr>
        <w:spacing w:after="0" w:line="276" w:lineRule="auto"/>
        <w:jc w:val="both"/>
        <w:rPr>
          <w:rFonts w:cstheme="minorHAnsi"/>
        </w:rPr>
      </w:pPr>
      <w:r w:rsidRPr="00C912C2">
        <w:rPr>
          <w:rFonts w:cstheme="minorHAnsi"/>
          <w:b/>
          <w:bCs/>
        </w:rPr>
        <w:t>Preparation Costs:</w:t>
      </w:r>
      <w:r w:rsidRPr="00C912C2">
        <w:rPr>
          <w:rFonts w:cstheme="minorHAnsi"/>
        </w:rPr>
        <w:t xml:space="preserve"> ProcessPro Partners is not responsible for any costs incurred by TD Bank in preparing or submitting a response to this RFI.</w:t>
      </w:r>
    </w:p>
    <w:p w14:paraId="4EDFF22C" w14:textId="77777777" w:rsidR="00CA5E77" w:rsidRPr="00C912C2" w:rsidRDefault="00CA5E77" w:rsidP="00947AC0">
      <w:pPr>
        <w:spacing w:after="0"/>
        <w:rPr>
          <w:rFonts w:asciiTheme="minorHAnsi" w:hAnsiTheme="minorHAnsi" w:cstheme="minorHAnsi"/>
        </w:rPr>
      </w:pPr>
    </w:p>
    <w:p w14:paraId="005A6A70" w14:textId="77777777" w:rsidR="00CA5E77" w:rsidRPr="00C912C2" w:rsidRDefault="00CA5E77" w:rsidP="00947AC0">
      <w:pPr>
        <w:pStyle w:val="Heading2"/>
        <w:rPr>
          <w:rFonts w:asciiTheme="minorHAnsi" w:hAnsiTheme="minorHAnsi" w:cstheme="minorHAnsi"/>
          <w:sz w:val="28"/>
          <w:szCs w:val="28"/>
        </w:rPr>
      </w:pPr>
      <w:bookmarkStart w:id="19" w:name="_Toc178944972"/>
      <w:bookmarkStart w:id="20" w:name="_Toc178976952"/>
      <w:r w:rsidRPr="00C912C2">
        <w:rPr>
          <w:rFonts w:asciiTheme="minorHAnsi" w:hAnsiTheme="minorHAnsi" w:cstheme="minorHAnsi"/>
          <w:sz w:val="28"/>
          <w:szCs w:val="28"/>
        </w:rPr>
        <w:lastRenderedPageBreak/>
        <w:t>Liabilities of the Ministry/Agency</w:t>
      </w:r>
      <w:bookmarkEnd w:id="19"/>
      <w:bookmarkEnd w:id="20"/>
    </w:p>
    <w:p w14:paraId="27B2061C" w14:textId="77777777" w:rsidR="00CA5E77" w:rsidRPr="00C912C2" w:rsidRDefault="00CA5E77" w:rsidP="00C83BE7">
      <w:pPr>
        <w:spacing w:after="0" w:line="276" w:lineRule="auto"/>
        <w:rPr>
          <w:rFonts w:asciiTheme="minorHAnsi" w:hAnsiTheme="minorHAnsi" w:cstheme="minorHAnsi"/>
        </w:rPr>
      </w:pPr>
      <w:r w:rsidRPr="00C912C2">
        <w:rPr>
          <w:rFonts w:asciiTheme="minorHAnsi" w:hAnsiTheme="minorHAnsi" w:cstheme="minorHAnsi"/>
        </w:rPr>
        <w:t>ProcessPro Partners does not assume any liability as part of this RFI process. No contractual relationship will be formed between ProcessPro Partners and TD Bank solely based on the RFI response.</w:t>
      </w:r>
    </w:p>
    <w:p w14:paraId="73A11538" w14:textId="77777777" w:rsidR="00CA5E77" w:rsidRPr="00C912C2" w:rsidRDefault="00CA5E77" w:rsidP="00C83BE7">
      <w:pPr>
        <w:spacing w:after="0" w:line="276" w:lineRule="auto"/>
        <w:rPr>
          <w:rFonts w:asciiTheme="minorHAnsi" w:hAnsiTheme="minorHAnsi" w:cstheme="minorHAnsi"/>
        </w:rPr>
      </w:pPr>
    </w:p>
    <w:p w14:paraId="05B804A7" w14:textId="77777777" w:rsidR="00CA5E77" w:rsidRPr="00C912C2" w:rsidRDefault="00CA5E77" w:rsidP="00947AC0">
      <w:pPr>
        <w:pStyle w:val="Heading2"/>
        <w:rPr>
          <w:rFonts w:asciiTheme="minorHAnsi" w:hAnsiTheme="minorHAnsi" w:cstheme="minorHAnsi"/>
          <w:sz w:val="28"/>
          <w:szCs w:val="28"/>
        </w:rPr>
      </w:pPr>
      <w:bookmarkStart w:id="21" w:name="_Toc178944973"/>
      <w:bookmarkStart w:id="22" w:name="_Toc178976953"/>
      <w:r w:rsidRPr="00C912C2">
        <w:rPr>
          <w:rFonts w:asciiTheme="minorHAnsi" w:hAnsiTheme="minorHAnsi" w:cstheme="minorHAnsi"/>
          <w:sz w:val="28"/>
          <w:szCs w:val="28"/>
        </w:rPr>
        <w:t>Confidentiality and RFI Ownership</w:t>
      </w:r>
      <w:bookmarkEnd w:id="21"/>
      <w:bookmarkEnd w:id="22"/>
    </w:p>
    <w:p w14:paraId="7F971F28" w14:textId="77777777" w:rsidR="00CA5E77" w:rsidRPr="00C912C2" w:rsidRDefault="00CA5E77" w:rsidP="00C83BE7">
      <w:pPr>
        <w:spacing w:after="0" w:line="276" w:lineRule="auto"/>
        <w:rPr>
          <w:rFonts w:asciiTheme="minorHAnsi" w:hAnsiTheme="minorHAnsi" w:cstheme="minorHAnsi"/>
        </w:rPr>
      </w:pPr>
      <w:r w:rsidRPr="00C912C2">
        <w:rPr>
          <w:rFonts w:asciiTheme="minorHAnsi" w:hAnsiTheme="minorHAnsi" w:cstheme="minorHAnsi"/>
        </w:rPr>
        <w:t>The confidentiality and ownership of the RFI must be strictly adhered to:</w:t>
      </w:r>
    </w:p>
    <w:p w14:paraId="63932CFA" w14:textId="77777777" w:rsidR="00CA5E77" w:rsidRPr="00C912C2" w:rsidRDefault="00CA5E77" w:rsidP="00C83BE7">
      <w:pPr>
        <w:spacing w:after="0" w:line="276" w:lineRule="auto"/>
        <w:rPr>
          <w:rFonts w:asciiTheme="minorHAnsi" w:hAnsiTheme="minorHAnsi" w:cstheme="minorHAnsi"/>
        </w:rPr>
      </w:pPr>
    </w:p>
    <w:p w14:paraId="21142183" w14:textId="5FFB509A" w:rsidR="00CA5E77" w:rsidRPr="00C912C2" w:rsidRDefault="00CA5E77" w:rsidP="0008470D">
      <w:pPr>
        <w:pStyle w:val="ListParagraph"/>
        <w:numPr>
          <w:ilvl w:val="0"/>
          <w:numId w:val="14"/>
        </w:numPr>
        <w:spacing w:after="0" w:line="276" w:lineRule="auto"/>
        <w:jc w:val="both"/>
        <w:rPr>
          <w:rFonts w:cstheme="minorHAnsi"/>
        </w:rPr>
      </w:pPr>
      <w:r w:rsidRPr="00C912C2">
        <w:rPr>
          <w:rFonts w:cstheme="minorHAnsi"/>
          <w:b/>
          <w:bCs/>
        </w:rPr>
        <w:t>Confidentiality:</w:t>
      </w:r>
      <w:r w:rsidRPr="00C912C2">
        <w:rPr>
          <w:rFonts w:cstheme="minorHAnsi"/>
        </w:rPr>
        <w:t xml:space="preserve"> This RFI is proprietary and confidential to ProcessPro Partners. TD Bank agrees that the document or any part of RFI document will not be duplicated, distributed or disseminated without written consent from ProcessPro Partners.</w:t>
      </w:r>
    </w:p>
    <w:p w14:paraId="739F604B" w14:textId="15B9E6A4" w:rsidR="00CA5E77" w:rsidRPr="00C912C2" w:rsidRDefault="00CA5E77" w:rsidP="0008470D">
      <w:pPr>
        <w:pStyle w:val="ListParagraph"/>
        <w:numPr>
          <w:ilvl w:val="0"/>
          <w:numId w:val="14"/>
        </w:numPr>
        <w:spacing w:after="0" w:line="276" w:lineRule="auto"/>
        <w:jc w:val="both"/>
        <w:rPr>
          <w:rFonts w:cstheme="minorHAnsi"/>
        </w:rPr>
      </w:pPr>
      <w:r w:rsidRPr="00C912C2">
        <w:rPr>
          <w:rFonts w:cstheme="minorHAnsi"/>
          <w:b/>
          <w:bCs/>
        </w:rPr>
        <w:t>RFI Ownership:</w:t>
      </w:r>
      <w:r w:rsidRPr="00C912C2">
        <w:rPr>
          <w:rFonts w:cstheme="minorHAnsi"/>
        </w:rPr>
        <w:t xml:space="preserve"> Once submitted, the responses to the RFI will become the property of ProcessPro Partners and will not be returned to TD Bank. TD Bank may not use this RFI or its content for publicity or marketing purposes without prior written consent from the consulting company.</w:t>
      </w:r>
    </w:p>
    <w:p w14:paraId="69ECC264" w14:textId="7B7FCB0E" w:rsidR="00C912C2" w:rsidRDefault="005B4DB2" w:rsidP="00947AC0">
      <w:pPr>
        <w:pStyle w:val="Heading1"/>
        <w:rPr>
          <w:rFonts w:asciiTheme="minorHAnsi" w:hAnsiTheme="minorHAnsi" w:cstheme="minorHAnsi"/>
          <w:sz w:val="36"/>
          <w:szCs w:val="36"/>
        </w:rPr>
      </w:pPr>
      <w:bookmarkStart w:id="23" w:name="_Toc178976954"/>
      <w:r w:rsidRPr="00765488">
        <w:rPr>
          <w:rFonts w:asciiTheme="minorHAnsi" w:eastAsia="Aptos" w:hAnsiTheme="minorHAnsi" w:cstheme="minorHAnsi"/>
          <w:sz w:val="36"/>
          <w:szCs w:val="36"/>
        </w:rPr>
        <w:t>High-Level Business Requirements</w:t>
      </w:r>
      <w:r w:rsidR="00947AC0" w:rsidRPr="00765488">
        <w:rPr>
          <w:rFonts w:asciiTheme="minorHAnsi" w:eastAsia="Aptos" w:hAnsiTheme="minorHAnsi" w:cstheme="minorHAnsi"/>
          <w:sz w:val="36"/>
          <w:szCs w:val="36"/>
        </w:rPr>
        <w:t xml:space="preserve"> for </w:t>
      </w:r>
      <w:r w:rsidR="00C912C2" w:rsidRPr="00765488">
        <w:rPr>
          <w:rFonts w:asciiTheme="minorHAnsi" w:hAnsiTheme="minorHAnsi" w:cstheme="minorHAnsi"/>
          <w:sz w:val="36"/>
          <w:szCs w:val="36"/>
        </w:rPr>
        <w:t>Strategic Acquisition of WiTricity by TD Bank</w:t>
      </w:r>
      <w:bookmarkEnd w:id="23"/>
    </w:p>
    <w:p w14:paraId="31E9E4B9" w14:textId="77777777" w:rsidR="000D382F" w:rsidRPr="000D382F" w:rsidRDefault="000D382F" w:rsidP="000D382F"/>
    <w:p w14:paraId="3AEA75B5" w14:textId="77777777" w:rsidR="00C912C2" w:rsidRPr="00C912C2" w:rsidRDefault="00C912C2" w:rsidP="0008470D">
      <w:pPr>
        <w:numPr>
          <w:ilvl w:val="0"/>
          <w:numId w:val="4"/>
        </w:numPr>
        <w:spacing w:after="0" w:line="276" w:lineRule="auto"/>
        <w:rPr>
          <w:rFonts w:asciiTheme="minorHAnsi" w:hAnsiTheme="minorHAnsi" w:cstheme="minorHAnsi"/>
        </w:rPr>
      </w:pPr>
      <w:r w:rsidRPr="00C912C2">
        <w:rPr>
          <w:rFonts w:asciiTheme="minorHAnsi" w:hAnsiTheme="minorHAnsi" w:cstheme="minorHAnsi"/>
          <w:b/>
          <w:bCs/>
        </w:rPr>
        <w:t>Objective: Expansion into EV Market and Green Finance</w:t>
      </w:r>
    </w:p>
    <w:p w14:paraId="4FB27280" w14:textId="77777777" w:rsidR="00C912C2" w:rsidRPr="00C912C2" w:rsidRDefault="00C912C2" w:rsidP="0008470D">
      <w:pPr>
        <w:pStyle w:val="ListParagraph"/>
        <w:numPr>
          <w:ilvl w:val="0"/>
          <w:numId w:val="5"/>
        </w:numPr>
        <w:spacing w:after="0" w:line="276" w:lineRule="auto"/>
        <w:jc w:val="both"/>
        <w:rPr>
          <w:rFonts w:cstheme="minorHAnsi"/>
        </w:rPr>
      </w:pPr>
      <w:r w:rsidRPr="00C912C2">
        <w:rPr>
          <w:rFonts w:cstheme="minorHAnsi"/>
          <w:b/>
          <w:bCs/>
        </w:rPr>
        <w:t>BR-1.1</w:t>
      </w:r>
      <w:r w:rsidRPr="00C912C2">
        <w:rPr>
          <w:rFonts w:cstheme="minorHAnsi"/>
        </w:rPr>
        <w:t>: TD Bank must acquire WiTricity to align with its strategic objectives of expanding into the green finance and EV infrastructure markets.</w:t>
      </w:r>
    </w:p>
    <w:p w14:paraId="0BDF78DC" w14:textId="74F85A61" w:rsidR="00C912C2" w:rsidRPr="00C912C2" w:rsidRDefault="00C912C2" w:rsidP="0008470D">
      <w:pPr>
        <w:pStyle w:val="ListParagraph"/>
        <w:numPr>
          <w:ilvl w:val="0"/>
          <w:numId w:val="5"/>
        </w:numPr>
        <w:spacing w:after="0" w:line="276" w:lineRule="auto"/>
        <w:jc w:val="both"/>
        <w:rPr>
          <w:rFonts w:cstheme="minorHAnsi"/>
        </w:rPr>
      </w:pPr>
      <w:r w:rsidRPr="00C912C2">
        <w:rPr>
          <w:rFonts w:cstheme="minorHAnsi"/>
          <w:b/>
          <w:bCs/>
        </w:rPr>
        <w:t>BR-1.2</w:t>
      </w:r>
      <w:r w:rsidRPr="00C912C2">
        <w:rPr>
          <w:rFonts w:cstheme="minorHAnsi"/>
        </w:rPr>
        <w:t>: The acquisition must enhance TD’s technological innovation and sustainability offerings particularly in wireless EV charging solutions.</w:t>
      </w:r>
      <w:r w:rsidR="000D382F">
        <w:rPr>
          <w:rFonts w:cstheme="minorHAnsi"/>
        </w:rPr>
        <w:br/>
      </w:r>
    </w:p>
    <w:p w14:paraId="172C5A07" w14:textId="77777777" w:rsidR="00C912C2" w:rsidRPr="00C912C2" w:rsidRDefault="00C912C2" w:rsidP="0008470D">
      <w:pPr>
        <w:numPr>
          <w:ilvl w:val="0"/>
          <w:numId w:val="4"/>
        </w:numPr>
        <w:spacing w:after="0" w:line="276" w:lineRule="auto"/>
        <w:rPr>
          <w:rFonts w:asciiTheme="minorHAnsi" w:hAnsiTheme="minorHAnsi" w:cstheme="minorHAnsi"/>
        </w:rPr>
      </w:pPr>
      <w:r w:rsidRPr="00C912C2">
        <w:rPr>
          <w:rFonts w:asciiTheme="minorHAnsi" w:hAnsiTheme="minorHAnsi" w:cstheme="minorHAnsi"/>
          <w:b/>
          <w:bCs/>
        </w:rPr>
        <w:t>Revenue Growth and Profitability</w:t>
      </w:r>
    </w:p>
    <w:p w14:paraId="1B868AAC" w14:textId="77777777" w:rsidR="00C912C2" w:rsidRPr="00F22748" w:rsidRDefault="00C912C2" w:rsidP="0008470D">
      <w:pPr>
        <w:pStyle w:val="ListParagraph"/>
        <w:numPr>
          <w:ilvl w:val="0"/>
          <w:numId w:val="15"/>
        </w:numPr>
        <w:spacing w:after="0" w:line="276" w:lineRule="auto"/>
        <w:rPr>
          <w:rFonts w:cstheme="minorHAnsi"/>
        </w:rPr>
      </w:pPr>
      <w:r w:rsidRPr="00F22748">
        <w:rPr>
          <w:rFonts w:cstheme="minorHAnsi"/>
          <w:b/>
          <w:bCs/>
        </w:rPr>
        <w:t>BR-2.1</w:t>
      </w:r>
      <w:r w:rsidRPr="00F22748">
        <w:rPr>
          <w:rFonts w:cstheme="minorHAnsi"/>
        </w:rPr>
        <w:t>: TD Bank must generate between $500 million and $700 million annually from its investment in WiTricity by 2030.</w:t>
      </w:r>
    </w:p>
    <w:p w14:paraId="1382B0F1" w14:textId="77777777" w:rsidR="00C912C2" w:rsidRPr="00C912C2" w:rsidRDefault="00C912C2" w:rsidP="0008470D">
      <w:pPr>
        <w:pStyle w:val="ListParagraph"/>
        <w:numPr>
          <w:ilvl w:val="0"/>
          <w:numId w:val="6"/>
        </w:numPr>
        <w:spacing w:after="0" w:line="276" w:lineRule="auto"/>
        <w:jc w:val="both"/>
        <w:rPr>
          <w:rFonts w:cstheme="minorHAnsi"/>
        </w:rPr>
      </w:pPr>
      <w:r w:rsidRPr="00C912C2">
        <w:rPr>
          <w:rFonts w:cstheme="minorHAnsi"/>
          <w:b/>
          <w:bCs/>
        </w:rPr>
        <w:t>BR-2.2</w:t>
      </w:r>
      <w:r w:rsidRPr="00C912C2">
        <w:rPr>
          <w:rFonts w:cstheme="minorHAnsi"/>
        </w:rPr>
        <w:t>: TD Bank must diversify its revenue streams by offering</w:t>
      </w:r>
    </w:p>
    <w:p w14:paraId="17CAD9D5" w14:textId="77777777" w:rsidR="00C912C2" w:rsidRPr="00C912C2" w:rsidRDefault="00C912C2" w:rsidP="0008470D">
      <w:pPr>
        <w:pStyle w:val="ListParagraph"/>
        <w:numPr>
          <w:ilvl w:val="0"/>
          <w:numId w:val="7"/>
        </w:numPr>
        <w:spacing w:after="0" w:line="276" w:lineRule="auto"/>
        <w:jc w:val="both"/>
        <w:rPr>
          <w:rFonts w:cstheme="minorHAnsi"/>
        </w:rPr>
      </w:pPr>
      <w:r w:rsidRPr="00C912C2">
        <w:rPr>
          <w:rFonts w:cstheme="minorHAnsi"/>
          <w:b/>
          <w:bCs/>
        </w:rPr>
        <w:t>BR-2.2.1</w:t>
      </w:r>
      <w:r w:rsidRPr="00C912C2">
        <w:rPr>
          <w:rFonts w:cstheme="minorHAnsi"/>
        </w:rPr>
        <w:t>: Licensing WiTricity’s wireless charging technology to automakers, municipalities and private entities.</w:t>
      </w:r>
    </w:p>
    <w:p w14:paraId="5C137068" w14:textId="77777777" w:rsidR="00C912C2" w:rsidRPr="00C912C2" w:rsidRDefault="00C912C2" w:rsidP="0008470D">
      <w:pPr>
        <w:pStyle w:val="ListParagraph"/>
        <w:numPr>
          <w:ilvl w:val="0"/>
          <w:numId w:val="7"/>
        </w:numPr>
        <w:spacing w:after="0" w:line="276" w:lineRule="auto"/>
        <w:jc w:val="both"/>
        <w:rPr>
          <w:rFonts w:cstheme="minorHAnsi"/>
        </w:rPr>
      </w:pPr>
      <w:r w:rsidRPr="00C912C2">
        <w:rPr>
          <w:rFonts w:cstheme="minorHAnsi"/>
          <w:b/>
          <w:bCs/>
        </w:rPr>
        <w:t>BR-2.2.2</w:t>
      </w:r>
      <w:r w:rsidRPr="00C912C2">
        <w:rPr>
          <w:rFonts w:cstheme="minorHAnsi"/>
        </w:rPr>
        <w:t>: Financing for EV infrastructure projects including public and private wireless charging hubs.</w:t>
      </w:r>
    </w:p>
    <w:p w14:paraId="70CC302D" w14:textId="76B03EE2" w:rsidR="00C912C2" w:rsidRPr="00C912C2" w:rsidRDefault="00C912C2" w:rsidP="0008470D">
      <w:pPr>
        <w:pStyle w:val="ListParagraph"/>
        <w:numPr>
          <w:ilvl w:val="0"/>
          <w:numId w:val="7"/>
        </w:numPr>
        <w:spacing w:after="0" w:line="276" w:lineRule="auto"/>
        <w:jc w:val="both"/>
        <w:rPr>
          <w:rFonts w:cstheme="minorHAnsi"/>
        </w:rPr>
      </w:pPr>
      <w:r w:rsidRPr="00C912C2">
        <w:rPr>
          <w:rFonts w:cstheme="minorHAnsi"/>
          <w:b/>
          <w:bCs/>
        </w:rPr>
        <w:t>BR-2.2.3</w:t>
      </w:r>
      <w:r w:rsidRPr="00C912C2">
        <w:rPr>
          <w:rFonts w:cstheme="minorHAnsi"/>
        </w:rPr>
        <w:t>: EV-specific financial products such as loans, insurance and green energy investments.</w:t>
      </w:r>
      <w:r w:rsidR="000D382F">
        <w:rPr>
          <w:rFonts w:cstheme="minorHAnsi"/>
        </w:rPr>
        <w:br/>
      </w:r>
    </w:p>
    <w:p w14:paraId="64612BDA" w14:textId="77777777" w:rsidR="00C912C2" w:rsidRPr="00C912C2" w:rsidRDefault="00C912C2" w:rsidP="0008470D">
      <w:pPr>
        <w:numPr>
          <w:ilvl w:val="0"/>
          <w:numId w:val="4"/>
        </w:numPr>
        <w:spacing w:after="0" w:line="276" w:lineRule="auto"/>
        <w:rPr>
          <w:rFonts w:asciiTheme="minorHAnsi" w:hAnsiTheme="minorHAnsi" w:cstheme="minorHAnsi"/>
        </w:rPr>
      </w:pPr>
      <w:r w:rsidRPr="00C912C2">
        <w:rPr>
          <w:rFonts w:asciiTheme="minorHAnsi" w:hAnsiTheme="minorHAnsi" w:cstheme="minorHAnsi"/>
          <w:b/>
          <w:bCs/>
        </w:rPr>
        <w:t>Technological Integration</w:t>
      </w:r>
    </w:p>
    <w:p w14:paraId="7EDC2D9F" w14:textId="77777777" w:rsidR="00C912C2" w:rsidRPr="00C912C2" w:rsidRDefault="00C912C2" w:rsidP="0008470D">
      <w:pPr>
        <w:pStyle w:val="ListParagraph"/>
        <w:numPr>
          <w:ilvl w:val="0"/>
          <w:numId w:val="8"/>
        </w:numPr>
        <w:spacing w:after="0" w:line="276" w:lineRule="auto"/>
        <w:jc w:val="both"/>
        <w:rPr>
          <w:rFonts w:cstheme="minorHAnsi"/>
        </w:rPr>
      </w:pPr>
      <w:r w:rsidRPr="00C912C2">
        <w:rPr>
          <w:rFonts w:cstheme="minorHAnsi"/>
          <w:b/>
          <w:bCs/>
        </w:rPr>
        <w:t>BR-3.1</w:t>
      </w:r>
      <w:r w:rsidRPr="00C912C2">
        <w:rPr>
          <w:rFonts w:cstheme="minorHAnsi"/>
        </w:rPr>
        <w:t>: TD Bank must integrate WiTricity’s wireless charging technology into its financial products and services.</w:t>
      </w:r>
    </w:p>
    <w:p w14:paraId="5FCF2E63" w14:textId="73F62139" w:rsidR="00C912C2" w:rsidRPr="00C912C2" w:rsidRDefault="00C912C2" w:rsidP="0008470D">
      <w:pPr>
        <w:pStyle w:val="ListParagraph"/>
        <w:numPr>
          <w:ilvl w:val="0"/>
          <w:numId w:val="8"/>
        </w:numPr>
        <w:spacing w:after="0" w:line="276" w:lineRule="auto"/>
        <w:jc w:val="both"/>
        <w:rPr>
          <w:rFonts w:cstheme="minorHAnsi"/>
        </w:rPr>
      </w:pPr>
      <w:r w:rsidRPr="00C912C2">
        <w:rPr>
          <w:rFonts w:cstheme="minorHAnsi"/>
          <w:b/>
          <w:bCs/>
        </w:rPr>
        <w:t>BR-3.2</w:t>
      </w:r>
      <w:r w:rsidRPr="00C912C2">
        <w:rPr>
          <w:rFonts w:cstheme="minorHAnsi"/>
        </w:rPr>
        <w:t xml:space="preserve">: TD Bank must </w:t>
      </w:r>
      <w:r w:rsidR="002E04B8">
        <w:rPr>
          <w:rFonts w:cstheme="minorHAnsi"/>
        </w:rPr>
        <w:t>partner</w:t>
      </w:r>
      <w:r w:rsidRPr="00C912C2">
        <w:rPr>
          <w:rFonts w:cstheme="minorHAnsi"/>
        </w:rPr>
        <w:t xml:space="preserve"> with automakers to incorporate wireless charging into new EV models.</w:t>
      </w:r>
    </w:p>
    <w:p w14:paraId="2A336F19" w14:textId="626969D9" w:rsidR="00C912C2" w:rsidRPr="00C912C2" w:rsidRDefault="00C912C2" w:rsidP="0008470D">
      <w:pPr>
        <w:pStyle w:val="ListParagraph"/>
        <w:numPr>
          <w:ilvl w:val="0"/>
          <w:numId w:val="8"/>
        </w:numPr>
        <w:spacing w:after="0" w:line="276" w:lineRule="auto"/>
        <w:jc w:val="both"/>
        <w:rPr>
          <w:rFonts w:cstheme="minorHAnsi"/>
        </w:rPr>
      </w:pPr>
      <w:r w:rsidRPr="00C912C2">
        <w:rPr>
          <w:rFonts w:cstheme="minorHAnsi"/>
          <w:b/>
          <w:bCs/>
        </w:rPr>
        <w:lastRenderedPageBreak/>
        <w:t>BR-3.3</w:t>
      </w:r>
      <w:r w:rsidRPr="00C912C2">
        <w:rPr>
          <w:rFonts w:cstheme="minorHAnsi"/>
        </w:rPr>
        <w:t>: TD Bank must incorporate wireless EV charging solutions into smart city initiatives and public infrastructure projects.</w:t>
      </w:r>
      <w:r w:rsidR="000D382F">
        <w:rPr>
          <w:rFonts w:cstheme="minorHAnsi"/>
        </w:rPr>
        <w:br/>
      </w:r>
    </w:p>
    <w:p w14:paraId="1239D179" w14:textId="77777777" w:rsidR="00C912C2" w:rsidRPr="00C912C2" w:rsidRDefault="00C912C2" w:rsidP="0008470D">
      <w:pPr>
        <w:numPr>
          <w:ilvl w:val="0"/>
          <w:numId w:val="4"/>
        </w:numPr>
        <w:spacing w:after="0" w:line="276" w:lineRule="auto"/>
        <w:rPr>
          <w:rFonts w:asciiTheme="minorHAnsi" w:hAnsiTheme="minorHAnsi" w:cstheme="minorHAnsi"/>
        </w:rPr>
      </w:pPr>
      <w:r w:rsidRPr="00C912C2">
        <w:rPr>
          <w:rFonts w:asciiTheme="minorHAnsi" w:hAnsiTheme="minorHAnsi" w:cstheme="minorHAnsi"/>
          <w:b/>
          <w:bCs/>
        </w:rPr>
        <w:t>Digital Banking and Customer Experience</w:t>
      </w:r>
    </w:p>
    <w:p w14:paraId="4F25DC0F" w14:textId="010E8C84" w:rsidR="00C912C2" w:rsidRPr="00C912C2" w:rsidRDefault="00C912C2" w:rsidP="0008470D">
      <w:pPr>
        <w:pStyle w:val="ListParagraph"/>
        <w:numPr>
          <w:ilvl w:val="0"/>
          <w:numId w:val="9"/>
        </w:numPr>
        <w:spacing w:after="0" w:line="276" w:lineRule="auto"/>
        <w:jc w:val="both"/>
        <w:rPr>
          <w:rFonts w:cstheme="minorHAnsi"/>
        </w:rPr>
      </w:pPr>
      <w:r w:rsidRPr="00C912C2">
        <w:rPr>
          <w:rFonts w:cstheme="minorHAnsi"/>
          <w:b/>
          <w:bCs/>
        </w:rPr>
        <w:t>BR-4.1</w:t>
      </w:r>
      <w:r w:rsidRPr="00C912C2">
        <w:rPr>
          <w:rFonts w:cstheme="minorHAnsi"/>
        </w:rPr>
        <w:t>: TD Bank must integrate WiTricity’s technology into its digital banking ecosystem enabling customers to locate and pay for wireless EV charging using TD’s mobile app or digital banking platform.</w:t>
      </w:r>
      <w:r w:rsidR="000D382F">
        <w:rPr>
          <w:rFonts w:cstheme="minorHAnsi"/>
        </w:rPr>
        <w:br/>
      </w:r>
    </w:p>
    <w:p w14:paraId="7A7801C3" w14:textId="77777777" w:rsidR="00C912C2" w:rsidRPr="00C912C2" w:rsidRDefault="00C912C2" w:rsidP="0008470D">
      <w:pPr>
        <w:numPr>
          <w:ilvl w:val="0"/>
          <w:numId w:val="4"/>
        </w:numPr>
        <w:spacing w:after="0" w:line="276" w:lineRule="auto"/>
        <w:rPr>
          <w:rFonts w:asciiTheme="minorHAnsi" w:hAnsiTheme="minorHAnsi" w:cstheme="minorHAnsi"/>
        </w:rPr>
      </w:pPr>
      <w:r w:rsidRPr="00C912C2">
        <w:rPr>
          <w:rFonts w:asciiTheme="minorHAnsi" w:hAnsiTheme="minorHAnsi" w:cstheme="minorHAnsi"/>
          <w:b/>
          <w:bCs/>
        </w:rPr>
        <w:t>Market Expansion and Positioning</w:t>
      </w:r>
    </w:p>
    <w:p w14:paraId="68E89FA1" w14:textId="77777777" w:rsidR="00C912C2" w:rsidRPr="00C912C2" w:rsidRDefault="00C912C2" w:rsidP="0008470D">
      <w:pPr>
        <w:pStyle w:val="ListParagraph"/>
        <w:numPr>
          <w:ilvl w:val="0"/>
          <w:numId w:val="9"/>
        </w:numPr>
        <w:spacing w:after="0" w:line="276" w:lineRule="auto"/>
        <w:jc w:val="both"/>
        <w:rPr>
          <w:rFonts w:cstheme="minorHAnsi"/>
        </w:rPr>
      </w:pPr>
      <w:r w:rsidRPr="00C912C2">
        <w:rPr>
          <w:rFonts w:cstheme="minorHAnsi"/>
          <w:b/>
          <w:bCs/>
        </w:rPr>
        <w:t>BR-5.1</w:t>
      </w:r>
      <w:r w:rsidRPr="00C912C2">
        <w:rPr>
          <w:rFonts w:cstheme="minorHAnsi"/>
        </w:rPr>
        <w:t>: TD Bank must capture a 10-15% share of the North American wireless charging market by 2030.</w:t>
      </w:r>
    </w:p>
    <w:p w14:paraId="3F40E531" w14:textId="77777777" w:rsidR="00C912C2" w:rsidRPr="00C912C2" w:rsidRDefault="00C912C2" w:rsidP="0008470D">
      <w:pPr>
        <w:pStyle w:val="ListParagraph"/>
        <w:numPr>
          <w:ilvl w:val="0"/>
          <w:numId w:val="9"/>
        </w:numPr>
        <w:spacing w:after="0" w:line="276" w:lineRule="auto"/>
        <w:jc w:val="both"/>
        <w:rPr>
          <w:rFonts w:cstheme="minorHAnsi"/>
        </w:rPr>
      </w:pPr>
      <w:r w:rsidRPr="00C912C2">
        <w:rPr>
          <w:rFonts w:cstheme="minorHAnsi"/>
          <w:b/>
          <w:bCs/>
        </w:rPr>
        <w:t>BR-5.2</w:t>
      </w:r>
      <w:r w:rsidRPr="00C912C2">
        <w:rPr>
          <w:rFonts w:cstheme="minorHAnsi"/>
        </w:rPr>
        <w:t>: TD Bank must leverage WiTricity’s technology to expand globally particularly in emerging markets focused on green infrastructure.</w:t>
      </w:r>
    </w:p>
    <w:p w14:paraId="37A54C63" w14:textId="26315FE6" w:rsidR="00C912C2" w:rsidRPr="00C912C2" w:rsidRDefault="00C912C2" w:rsidP="0008470D">
      <w:pPr>
        <w:pStyle w:val="ListParagraph"/>
        <w:numPr>
          <w:ilvl w:val="0"/>
          <w:numId w:val="9"/>
        </w:numPr>
        <w:spacing w:after="0" w:line="276" w:lineRule="auto"/>
        <w:jc w:val="both"/>
        <w:rPr>
          <w:rFonts w:cstheme="minorHAnsi"/>
        </w:rPr>
      </w:pPr>
      <w:r w:rsidRPr="00C912C2">
        <w:rPr>
          <w:rFonts w:cstheme="minorHAnsi"/>
          <w:b/>
          <w:bCs/>
        </w:rPr>
        <w:t>BR-5.3</w:t>
      </w:r>
      <w:r w:rsidRPr="00C912C2">
        <w:rPr>
          <w:rFonts w:cstheme="minorHAnsi"/>
        </w:rPr>
        <w:t>: TD Bank must generate between $270 million and $400 million annually in profits from the wireless charging market by 2030.</w:t>
      </w:r>
      <w:r w:rsidR="000D382F">
        <w:rPr>
          <w:rFonts w:cstheme="minorHAnsi"/>
        </w:rPr>
        <w:br/>
      </w:r>
    </w:p>
    <w:p w14:paraId="5B7045A9" w14:textId="77777777" w:rsidR="00C912C2" w:rsidRPr="00C912C2" w:rsidRDefault="00C912C2" w:rsidP="0008470D">
      <w:pPr>
        <w:numPr>
          <w:ilvl w:val="0"/>
          <w:numId w:val="4"/>
        </w:numPr>
        <w:spacing w:after="0" w:line="276" w:lineRule="auto"/>
        <w:rPr>
          <w:rFonts w:asciiTheme="minorHAnsi" w:hAnsiTheme="minorHAnsi" w:cstheme="minorHAnsi"/>
        </w:rPr>
      </w:pPr>
      <w:r w:rsidRPr="00C912C2">
        <w:rPr>
          <w:rFonts w:asciiTheme="minorHAnsi" w:hAnsiTheme="minorHAnsi" w:cstheme="minorHAnsi"/>
          <w:b/>
          <w:bCs/>
        </w:rPr>
        <w:t>Sustainability and ESG Alignment</w:t>
      </w:r>
    </w:p>
    <w:p w14:paraId="7D2D3A1C" w14:textId="77777777" w:rsidR="00C912C2" w:rsidRPr="00C912C2" w:rsidRDefault="00C912C2" w:rsidP="0008470D">
      <w:pPr>
        <w:pStyle w:val="ListParagraph"/>
        <w:numPr>
          <w:ilvl w:val="0"/>
          <w:numId w:val="10"/>
        </w:numPr>
        <w:spacing w:after="0" w:line="276" w:lineRule="auto"/>
        <w:jc w:val="both"/>
        <w:rPr>
          <w:rFonts w:cstheme="minorHAnsi"/>
        </w:rPr>
      </w:pPr>
      <w:r w:rsidRPr="00C912C2">
        <w:rPr>
          <w:rFonts w:cstheme="minorHAnsi"/>
          <w:b/>
          <w:bCs/>
        </w:rPr>
        <w:t>BR-6.1</w:t>
      </w:r>
      <w:r w:rsidRPr="00C912C2">
        <w:rPr>
          <w:rFonts w:cstheme="minorHAnsi"/>
        </w:rPr>
        <w:t>: The acquisition must support TD’s goal of achieving net-zero emissions by 2050.</w:t>
      </w:r>
    </w:p>
    <w:p w14:paraId="4B1B3C95" w14:textId="77777777" w:rsidR="00C912C2" w:rsidRPr="00C912C2" w:rsidRDefault="00C912C2" w:rsidP="0008470D">
      <w:pPr>
        <w:pStyle w:val="ListParagraph"/>
        <w:numPr>
          <w:ilvl w:val="0"/>
          <w:numId w:val="10"/>
        </w:numPr>
        <w:spacing w:after="0" w:line="276" w:lineRule="auto"/>
        <w:jc w:val="both"/>
        <w:rPr>
          <w:rFonts w:cstheme="minorHAnsi"/>
        </w:rPr>
      </w:pPr>
      <w:r w:rsidRPr="00C912C2">
        <w:rPr>
          <w:rFonts w:cstheme="minorHAnsi"/>
          <w:b/>
          <w:bCs/>
        </w:rPr>
        <w:t>BR-6.2</w:t>
      </w:r>
      <w:r w:rsidRPr="00C912C2">
        <w:rPr>
          <w:rFonts w:cstheme="minorHAnsi"/>
        </w:rPr>
        <w:t>: TD Bank must enhance its ESG credentials by promoting sustainable technologies such as wireless EV charging.</w:t>
      </w:r>
    </w:p>
    <w:p w14:paraId="6EEFF612" w14:textId="12E35232" w:rsidR="00C912C2" w:rsidRPr="00C912C2" w:rsidRDefault="00C912C2" w:rsidP="0008470D">
      <w:pPr>
        <w:pStyle w:val="ListParagraph"/>
        <w:numPr>
          <w:ilvl w:val="0"/>
          <w:numId w:val="10"/>
        </w:numPr>
        <w:spacing w:after="0" w:line="276" w:lineRule="auto"/>
        <w:jc w:val="both"/>
        <w:rPr>
          <w:rFonts w:cstheme="minorHAnsi"/>
        </w:rPr>
      </w:pPr>
      <w:r w:rsidRPr="00C912C2">
        <w:rPr>
          <w:rFonts w:cstheme="minorHAnsi"/>
          <w:b/>
          <w:bCs/>
        </w:rPr>
        <w:t>BR-6.3</w:t>
      </w:r>
      <w:r w:rsidRPr="00C912C2">
        <w:rPr>
          <w:rFonts w:cstheme="minorHAnsi"/>
        </w:rPr>
        <w:t>: TD Bank must contribute to its $500 billion green finance goal by 2030 through investments in clean energy projects.</w:t>
      </w:r>
      <w:r w:rsidR="000D382F">
        <w:rPr>
          <w:rFonts w:cstheme="minorHAnsi"/>
        </w:rPr>
        <w:br/>
      </w:r>
    </w:p>
    <w:p w14:paraId="06BFF77F" w14:textId="77777777" w:rsidR="00C912C2" w:rsidRPr="00C912C2" w:rsidRDefault="00C912C2" w:rsidP="0008470D">
      <w:pPr>
        <w:numPr>
          <w:ilvl w:val="0"/>
          <w:numId w:val="4"/>
        </w:numPr>
        <w:spacing w:after="0" w:line="276" w:lineRule="auto"/>
        <w:rPr>
          <w:rFonts w:asciiTheme="minorHAnsi" w:hAnsiTheme="minorHAnsi" w:cstheme="minorHAnsi"/>
        </w:rPr>
      </w:pPr>
      <w:r w:rsidRPr="00C912C2">
        <w:rPr>
          <w:rFonts w:asciiTheme="minorHAnsi" w:hAnsiTheme="minorHAnsi" w:cstheme="minorHAnsi"/>
          <w:b/>
          <w:bCs/>
        </w:rPr>
        <w:t>Financial Monitoring and Returns</w:t>
      </w:r>
    </w:p>
    <w:p w14:paraId="0D86666E" w14:textId="77777777" w:rsidR="00C912C2" w:rsidRPr="00C912C2" w:rsidRDefault="00C912C2" w:rsidP="0008470D">
      <w:pPr>
        <w:pStyle w:val="ListParagraph"/>
        <w:numPr>
          <w:ilvl w:val="0"/>
          <w:numId w:val="11"/>
        </w:numPr>
        <w:spacing w:after="0" w:line="276" w:lineRule="auto"/>
        <w:jc w:val="both"/>
        <w:rPr>
          <w:rFonts w:cstheme="minorHAnsi"/>
        </w:rPr>
      </w:pPr>
      <w:r w:rsidRPr="00C912C2">
        <w:rPr>
          <w:rFonts w:cstheme="minorHAnsi"/>
          <w:b/>
          <w:bCs/>
        </w:rPr>
        <w:t>BR-7.1</w:t>
      </w:r>
      <w:r w:rsidRPr="00C912C2">
        <w:rPr>
          <w:rFonts w:cstheme="minorHAnsi"/>
        </w:rPr>
        <w:t>: TD Bank must achieve a return of 2x to 5x on its investment in WiTricity by 2030.</w:t>
      </w:r>
    </w:p>
    <w:p w14:paraId="781452A3" w14:textId="77777777" w:rsidR="00C912C2" w:rsidRPr="00C912C2" w:rsidRDefault="00C912C2" w:rsidP="0008470D">
      <w:pPr>
        <w:pStyle w:val="ListParagraph"/>
        <w:numPr>
          <w:ilvl w:val="0"/>
          <w:numId w:val="11"/>
        </w:numPr>
        <w:spacing w:after="0" w:line="276" w:lineRule="auto"/>
        <w:jc w:val="both"/>
        <w:rPr>
          <w:rFonts w:cstheme="minorHAnsi"/>
        </w:rPr>
      </w:pPr>
      <w:r w:rsidRPr="00C912C2">
        <w:rPr>
          <w:rFonts w:cstheme="minorHAnsi"/>
          <w:b/>
          <w:bCs/>
        </w:rPr>
        <w:t>BR-7.2</w:t>
      </w:r>
      <w:r w:rsidRPr="00C912C2">
        <w:rPr>
          <w:rFonts w:cstheme="minorHAnsi"/>
        </w:rPr>
        <w:t>: TD Bank must monitor financial returns through licensing, revenue-sharing and EV-specific financial products.</w:t>
      </w:r>
    </w:p>
    <w:p w14:paraId="3EB33EC3" w14:textId="35D51604" w:rsidR="00C912C2" w:rsidRPr="00C912C2" w:rsidRDefault="00C912C2" w:rsidP="0008470D">
      <w:pPr>
        <w:pStyle w:val="ListParagraph"/>
        <w:numPr>
          <w:ilvl w:val="0"/>
          <w:numId w:val="11"/>
        </w:numPr>
        <w:spacing w:after="0" w:line="276" w:lineRule="auto"/>
        <w:jc w:val="both"/>
        <w:rPr>
          <w:rFonts w:cstheme="minorHAnsi"/>
        </w:rPr>
      </w:pPr>
      <w:r w:rsidRPr="00C912C2">
        <w:rPr>
          <w:rFonts w:cstheme="minorHAnsi"/>
          <w:b/>
          <w:bCs/>
        </w:rPr>
        <w:t>BR-7.3</w:t>
      </w:r>
      <w:r w:rsidRPr="00C912C2">
        <w:rPr>
          <w:rFonts w:cstheme="minorHAnsi"/>
        </w:rPr>
        <w:t>: The bank must evaluate exit strategies for its stake in WiTricity such as an IPO or company sale.</w:t>
      </w:r>
      <w:r w:rsidR="000D382F">
        <w:rPr>
          <w:rFonts w:cstheme="minorHAnsi"/>
        </w:rPr>
        <w:br/>
      </w:r>
    </w:p>
    <w:p w14:paraId="7D7B88F1" w14:textId="77777777" w:rsidR="00C912C2" w:rsidRPr="00C912C2" w:rsidRDefault="00C912C2" w:rsidP="0008470D">
      <w:pPr>
        <w:numPr>
          <w:ilvl w:val="0"/>
          <w:numId w:val="4"/>
        </w:numPr>
        <w:spacing w:after="0" w:line="276" w:lineRule="auto"/>
        <w:rPr>
          <w:rFonts w:asciiTheme="minorHAnsi" w:hAnsiTheme="minorHAnsi" w:cstheme="minorHAnsi"/>
        </w:rPr>
      </w:pPr>
      <w:r w:rsidRPr="00C912C2">
        <w:rPr>
          <w:rFonts w:asciiTheme="minorHAnsi" w:hAnsiTheme="minorHAnsi" w:cstheme="minorHAnsi"/>
          <w:b/>
          <w:bCs/>
        </w:rPr>
        <w:t>Risk Management and Compliance</w:t>
      </w:r>
    </w:p>
    <w:p w14:paraId="0741780C" w14:textId="77777777" w:rsidR="00C912C2" w:rsidRPr="00C912C2" w:rsidRDefault="00C912C2" w:rsidP="0008470D">
      <w:pPr>
        <w:pStyle w:val="ListParagraph"/>
        <w:numPr>
          <w:ilvl w:val="0"/>
          <w:numId w:val="12"/>
        </w:numPr>
        <w:spacing w:after="0" w:line="276" w:lineRule="auto"/>
        <w:jc w:val="both"/>
        <w:rPr>
          <w:rFonts w:cstheme="minorHAnsi"/>
        </w:rPr>
      </w:pPr>
      <w:r w:rsidRPr="00C912C2">
        <w:rPr>
          <w:rFonts w:cstheme="minorHAnsi"/>
          <w:b/>
          <w:bCs/>
        </w:rPr>
        <w:t>BR-8.1</w:t>
      </w:r>
      <w:r w:rsidRPr="00C912C2">
        <w:rPr>
          <w:rFonts w:cstheme="minorHAnsi"/>
        </w:rPr>
        <w:t>: TD Bank must mitigate financial risks associated with EV market volatility and green technology adoption.</w:t>
      </w:r>
    </w:p>
    <w:p w14:paraId="75A70673" w14:textId="3147BFAB" w:rsidR="00C912C2" w:rsidRPr="00C912C2" w:rsidRDefault="00C912C2" w:rsidP="0008470D">
      <w:pPr>
        <w:pStyle w:val="ListParagraph"/>
        <w:numPr>
          <w:ilvl w:val="0"/>
          <w:numId w:val="12"/>
        </w:numPr>
        <w:spacing w:after="0" w:line="276" w:lineRule="auto"/>
        <w:jc w:val="both"/>
        <w:rPr>
          <w:rFonts w:cstheme="minorHAnsi"/>
        </w:rPr>
      </w:pPr>
      <w:r w:rsidRPr="00C912C2">
        <w:rPr>
          <w:rFonts w:cstheme="minorHAnsi"/>
          <w:b/>
          <w:bCs/>
        </w:rPr>
        <w:t>BR-8.2</w:t>
      </w:r>
      <w:r w:rsidRPr="00C912C2">
        <w:rPr>
          <w:rFonts w:cstheme="minorHAnsi"/>
        </w:rPr>
        <w:t>: TD Bank must prepare for potential credit losses (PCL) from $50 million to $100 million annually.</w:t>
      </w:r>
    </w:p>
    <w:p w14:paraId="23AF5C6B" w14:textId="4ABA66BA" w:rsidR="00C912C2" w:rsidRPr="00C912C2" w:rsidRDefault="00C912C2" w:rsidP="0008470D">
      <w:pPr>
        <w:pStyle w:val="ListParagraph"/>
        <w:numPr>
          <w:ilvl w:val="0"/>
          <w:numId w:val="12"/>
        </w:numPr>
        <w:spacing w:after="0" w:line="276" w:lineRule="auto"/>
        <w:jc w:val="both"/>
        <w:rPr>
          <w:rFonts w:cstheme="minorHAnsi"/>
        </w:rPr>
      </w:pPr>
      <w:r w:rsidRPr="00C912C2">
        <w:rPr>
          <w:rFonts w:cstheme="minorHAnsi"/>
          <w:b/>
          <w:bCs/>
        </w:rPr>
        <w:t>BR-8.3</w:t>
      </w:r>
      <w:r w:rsidRPr="00C912C2">
        <w:rPr>
          <w:rFonts w:cstheme="minorHAnsi"/>
        </w:rPr>
        <w:t>: TD Bank must ensure compliance with international and government regulations regarding EV infrastructure.</w:t>
      </w:r>
      <w:r w:rsidR="000D382F">
        <w:rPr>
          <w:rFonts w:cstheme="minorHAnsi"/>
        </w:rPr>
        <w:br/>
      </w:r>
    </w:p>
    <w:p w14:paraId="19794B6A" w14:textId="77777777" w:rsidR="00C912C2" w:rsidRPr="00C912C2" w:rsidRDefault="00C912C2" w:rsidP="0008470D">
      <w:pPr>
        <w:numPr>
          <w:ilvl w:val="0"/>
          <w:numId w:val="4"/>
        </w:numPr>
        <w:spacing w:after="0" w:line="276" w:lineRule="auto"/>
        <w:rPr>
          <w:rFonts w:asciiTheme="minorHAnsi" w:hAnsiTheme="minorHAnsi" w:cstheme="minorHAnsi"/>
        </w:rPr>
      </w:pPr>
      <w:r w:rsidRPr="00C912C2">
        <w:rPr>
          <w:rFonts w:asciiTheme="minorHAnsi" w:hAnsiTheme="minorHAnsi" w:cstheme="minorHAnsi"/>
          <w:b/>
          <w:bCs/>
        </w:rPr>
        <w:t>Brand and Public Awareness</w:t>
      </w:r>
    </w:p>
    <w:p w14:paraId="5D4EF37A" w14:textId="77777777" w:rsidR="00C912C2" w:rsidRPr="00C912C2" w:rsidRDefault="00C912C2" w:rsidP="0008470D">
      <w:pPr>
        <w:pStyle w:val="ListParagraph"/>
        <w:numPr>
          <w:ilvl w:val="0"/>
          <w:numId w:val="13"/>
        </w:numPr>
        <w:spacing w:after="0" w:line="276" w:lineRule="auto"/>
        <w:jc w:val="both"/>
        <w:rPr>
          <w:rFonts w:cstheme="minorHAnsi"/>
        </w:rPr>
      </w:pPr>
      <w:r w:rsidRPr="00C912C2">
        <w:rPr>
          <w:rFonts w:cstheme="minorHAnsi"/>
          <w:b/>
          <w:bCs/>
        </w:rPr>
        <w:t>BR-9.1</w:t>
      </w:r>
      <w:r w:rsidRPr="00C912C2">
        <w:rPr>
          <w:rFonts w:cstheme="minorHAnsi"/>
        </w:rPr>
        <w:t>: TD Bank must position itself as a leader in sustainability and innovation through its involvement in wireless EV charging.</w:t>
      </w:r>
    </w:p>
    <w:p w14:paraId="4C97FBB0" w14:textId="6C03CE27" w:rsidR="00C912C2" w:rsidRPr="00C912C2" w:rsidRDefault="00C912C2" w:rsidP="0008470D">
      <w:pPr>
        <w:pStyle w:val="ListParagraph"/>
        <w:numPr>
          <w:ilvl w:val="0"/>
          <w:numId w:val="13"/>
        </w:numPr>
        <w:spacing w:after="0" w:line="276" w:lineRule="auto"/>
        <w:jc w:val="both"/>
        <w:rPr>
          <w:rFonts w:cstheme="minorHAnsi"/>
        </w:rPr>
      </w:pPr>
      <w:r w:rsidRPr="00C912C2">
        <w:rPr>
          <w:rFonts w:cstheme="minorHAnsi"/>
          <w:b/>
          <w:bCs/>
        </w:rPr>
        <w:lastRenderedPageBreak/>
        <w:t>BR-9.2</w:t>
      </w:r>
      <w:r w:rsidRPr="00C912C2">
        <w:rPr>
          <w:rFonts w:cstheme="minorHAnsi"/>
        </w:rPr>
        <w:t xml:space="preserve">: TD must launch public awareness campaigns to highlight its commitment to green technologies and attract environmentally conscious customers </w:t>
      </w:r>
      <w:r w:rsidR="002E04B8">
        <w:rPr>
          <w:rFonts w:cstheme="minorHAnsi"/>
        </w:rPr>
        <w:t>and</w:t>
      </w:r>
      <w:r w:rsidRPr="00C912C2">
        <w:rPr>
          <w:rFonts w:cstheme="minorHAnsi"/>
        </w:rPr>
        <w:t xml:space="preserve"> investors.</w:t>
      </w:r>
      <w:r w:rsidRPr="00C912C2">
        <w:rPr>
          <w:rFonts w:cstheme="minorHAnsi"/>
          <w:vanish/>
        </w:rPr>
        <w:t>Top of FormBottom of Form</w:t>
      </w:r>
      <w:r w:rsidR="000D382F">
        <w:rPr>
          <w:rFonts w:cstheme="minorHAnsi"/>
        </w:rPr>
        <w:br/>
      </w:r>
    </w:p>
    <w:p w14:paraId="157E4981" w14:textId="65711DD7" w:rsidR="005B4DB2" w:rsidRPr="00C912C2" w:rsidRDefault="005B4DB2" w:rsidP="00947AC0">
      <w:pPr>
        <w:pStyle w:val="Heading1"/>
        <w:rPr>
          <w:rFonts w:asciiTheme="minorHAnsi" w:eastAsia="Aptos" w:hAnsiTheme="minorHAnsi" w:cstheme="minorHAnsi"/>
          <w:sz w:val="36"/>
          <w:szCs w:val="36"/>
        </w:rPr>
      </w:pPr>
      <w:bookmarkStart w:id="24" w:name="_Toc178976955"/>
      <w:r w:rsidRPr="00C912C2">
        <w:rPr>
          <w:rFonts w:asciiTheme="minorHAnsi" w:eastAsia="Aptos" w:hAnsiTheme="minorHAnsi" w:cstheme="minorHAnsi"/>
          <w:sz w:val="36"/>
          <w:szCs w:val="36"/>
        </w:rPr>
        <w:t>Response Format</w:t>
      </w:r>
      <w:bookmarkEnd w:id="24"/>
    </w:p>
    <w:tbl>
      <w:tblPr>
        <w:tblStyle w:val="TableGrid"/>
        <w:tblW w:w="0" w:type="auto"/>
        <w:tblLook w:val="04A0" w:firstRow="1" w:lastRow="0" w:firstColumn="1" w:lastColumn="0" w:noHBand="0" w:noVBand="1"/>
      </w:tblPr>
      <w:tblGrid>
        <w:gridCol w:w="4675"/>
        <w:gridCol w:w="4675"/>
      </w:tblGrid>
      <w:tr w:rsidR="00BB4341" w:rsidRPr="00C912C2" w14:paraId="147E403F" w14:textId="77777777" w:rsidTr="00FE4567">
        <w:trPr>
          <w:trHeight w:val="514"/>
        </w:trPr>
        <w:tc>
          <w:tcPr>
            <w:tcW w:w="4675" w:type="dxa"/>
          </w:tcPr>
          <w:p w14:paraId="3BAA4579" w14:textId="072C2D8E" w:rsidR="00BB4341" w:rsidRPr="00C912C2" w:rsidRDefault="00121DB8" w:rsidP="00C83BE7">
            <w:pPr>
              <w:spacing w:line="276" w:lineRule="auto"/>
              <w:rPr>
                <w:rFonts w:asciiTheme="minorHAnsi" w:hAnsiTheme="minorHAnsi" w:cstheme="minorHAnsi"/>
                <w:b/>
                <w:bCs/>
              </w:rPr>
            </w:pPr>
            <w:r w:rsidRPr="00C912C2">
              <w:rPr>
                <w:rFonts w:asciiTheme="minorHAnsi" w:hAnsiTheme="minorHAnsi" w:cstheme="minorHAnsi"/>
                <w:b/>
                <w:bCs/>
              </w:rPr>
              <w:t>Question</w:t>
            </w:r>
          </w:p>
        </w:tc>
        <w:tc>
          <w:tcPr>
            <w:tcW w:w="4675" w:type="dxa"/>
          </w:tcPr>
          <w:p w14:paraId="0E37F9FE" w14:textId="099AC48C" w:rsidR="00BB4341" w:rsidRPr="00C912C2" w:rsidRDefault="00121DB8" w:rsidP="00C83BE7">
            <w:pPr>
              <w:spacing w:line="276" w:lineRule="auto"/>
              <w:rPr>
                <w:rFonts w:asciiTheme="minorHAnsi" w:hAnsiTheme="minorHAnsi" w:cstheme="minorHAnsi"/>
                <w:b/>
                <w:bCs/>
              </w:rPr>
            </w:pPr>
            <w:r w:rsidRPr="00C912C2">
              <w:rPr>
                <w:rFonts w:asciiTheme="minorHAnsi" w:hAnsiTheme="minorHAnsi" w:cstheme="minorHAnsi"/>
                <w:b/>
                <w:bCs/>
              </w:rPr>
              <w:t>Response</w:t>
            </w:r>
          </w:p>
        </w:tc>
      </w:tr>
      <w:tr w:rsidR="00BB4341" w:rsidRPr="00C912C2" w14:paraId="5FB2CF18" w14:textId="77777777" w:rsidTr="00FE4567">
        <w:trPr>
          <w:trHeight w:val="514"/>
        </w:trPr>
        <w:tc>
          <w:tcPr>
            <w:tcW w:w="4675" w:type="dxa"/>
          </w:tcPr>
          <w:p w14:paraId="75E56337" w14:textId="77777777" w:rsidR="00BB4341" w:rsidRPr="00C912C2" w:rsidRDefault="00BB4341" w:rsidP="0008470D">
            <w:pPr>
              <w:pStyle w:val="ListParagraph"/>
              <w:numPr>
                <w:ilvl w:val="0"/>
                <w:numId w:val="3"/>
              </w:numPr>
              <w:spacing w:line="276" w:lineRule="auto"/>
              <w:jc w:val="both"/>
              <w:rPr>
                <w:rFonts w:cstheme="minorHAnsi"/>
              </w:rPr>
            </w:pPr>
            <w:r w:rsidRPr="00C912C2">
              <w:rPr>
                <w:rFonts w:cstheme="minorHAnsi"/>
              </w:rPr>
              <w:t>What other critical variables should TD Bank consider when building the financial model for this investment excluding Revenue, Expenses, Gross Profits, Net Profits and ROI?</w:t>
            </w:r>
          </w:p>
        </w:tc>
        <w:tc>
          <w:tcPr>
            <w:tcW w:w="4675" w:type="dxa"/>
          </w:tcPr>
          <w:p w14:paraId="7C1C2B37" w14:textId="77777777" w:rsidR="00BB4341" w:rsidRPr="00C912C2" w:rsidRDefault="00BB4341" w:rsidP="00C83BE7">
            <w:pPr>
              <w:spacing w:line="276" w:lineRule="auto"/>
              <w:rPr>
                <w:rFonts w:asciiTheme="minorHAnsi" w:hAnsiTheme="minorHAnsi" w:cstheme="minorHAnsi"/>
              </w:rPr>
            </w:pPr>
          </w:p>
        </w:tc>
      </w:tr>
      <w:tr w:rsidR="00BB4341" w:rsidRPr="00C912C2" w14:paraId="7570C949" w14:textId="77777777" w:rsidTr="00FE4567">
        <w:trPr>
          <w:trHeight w:val="514"/>
        </w:trPr>
        <w:tc>
          <w:tcPr>
            <w:tcW w:w="4675" w:type="dxa"/>
          </w:tcPr>
          <w:p w14:paraId="69BFBE22" w14:textId="77777777" w:rsidR="00BB4341" w:rsidRPr="00C912C2" w:rsidRDefault="00BB4341" w:rsidP="0008470D">
            <w:pPr>
              <w:pStyle w:val="ListParagraph"/>
              <w:numPr>
                <w:ilvl w:val="0"/>
                <w:numId w:val="3"/>
              </w:numPr>
              <w:spacing w:line="276" w:lineRule="auto"/>
              <w:jc w:val="both"/>
              <w:rPr>
                <w:rFonts w:cstheme="minorHAnsi"/>
              </w:rPr>
            </w:pPr>
            <w:r w:rsidRPr="00C912C2">
              <w:rPr>
                <w:rFonts w:cstheme="minorHAnsi"/>
              </w:rPr>
              <w:t>How does TD Bank plan to manage any reputational risk if the technology fails to meet public or industry expectations?</w:t>
            </w:r>
          </w:p>
        </w:tc>
        <w:tc>
          <w:tcPr>
            <w:tcW w:w="4675" w:type="dxa"/>
          </w:tcPr>
          <w:p w14:paraId="7BEE0633" w14:textId="77777777" w:rsidR="00BB4341" w:rsidRPr="00C912C2" w:rsidRDefault="00BB4341" w:rsidP="00C83BE7">
            <w:pPr>
              <w:spacing w:line="276" w:lineRule="auto"/>
              <w:rPr>
                <w:rFonts w:asciiTheme="minorHAnsi" w:hAnsiTheme="minorHAnsi" w:cstheme="minorHAnsi"/>
              </w:rPr>
            </w:pPr>
          </w:p>
        </w:tc>
      </w:tr>
      <w:tr w:rsidR="00BB4341" w:rsidRPr="00C912C2" w14:paraId="08DE4179" w14:textId="77777777" w:rsidTr="00FE4567">
        <w:trPr>
          <w:trHeight w:val="514"/>
        </w:trPr>
        <w:tc>
          <w:tcPr>
            <w:tcW w:w="4675" w:type="dxa"/>
          </w:tcPr>
          <w:p w14:paraId="02E6F1FB" w14:textId="77777777" w:rsidR="00BB4341" w:rsidRPr="00C912C2" w:rsidRDefault="00BB4341" w:rsidP="0008470D">
            <w:pPr>
              <w:pStyle w:val="ListParagraph"/>
              <w:numPr>
                <w:ilvl w:val="0"/>
                <w:numId w:val="3"/>
              </w:numPr>
              <w:spacing w:line="276" w:lineRule="auto"/>
              <w:jc w:val="both"/>
              <w:rPr>
                <w:rFonts w:cstheme="minorHAnsi"/>
              </w:rPr>
            </w:pPr>
            <w:r w:rsidRPr="00C912C2">
              <w:rPr>
                <w:rFonts w:cstheme="minorHAnsi"/>
              </w:rPr>
              <w:t>How should TD Bank prepare for potential shifts in regulatory frameworks around green energy investments that could affect our involvement in this sector?</w:t>
            </w:r>
          </w:p>
        </w:tc>
        <w:tc>
          <w:tcPr>
            <w:tcW w:w="4675" w:type="dxa"/>
          </w:tcPr>
          <w:p w14:paraId="70DDD26B" w14:textId="77777777" w:rsidR="00BB4341" w:rsidRPr="00C912C2" w:rsidRDefault="00BB4341" w:rsidP="00C83BE7">
            <w:pPr>
              <w:spacing w:line="276" w:lineRule="auto"/>
              <w:rPr>
                <w:rFonts w:asciiTheme="minorHAnsi" w:hAnsiTheme="minorHAnsi" w:cstheme="minorHAnsi"/>
              </w:rPr>
            </w:pPr>
          </w:p>
        </w:tc>
      </w:tr>
      <w:tr w:rsidR="00BB4341" w:rsidRPr="00C912C2" w14:paraId="35BE79A5" w14:textId="77777777" w:rsidTr="00FE4567">
        <w:tc>
          <w:tcPr>
            <w:tcW w:w="4675" w:type="dxa"/>
          </w:tcPr>
          <w:p w14:paraId="5182670B" w14:textId="444A5731" w:rsidR="00BB4341" w:rsidRPr="00C912C2" w:rsidRDefault="00BB4341" w:rsidP="0008470D">
            <w:pPr>
              <w:pStyle w:val="ListParagraph"/>
              <w:numPr>
                <w:ilvl w:val="0"/>
                <w:numId w:val="3"/>
              </w:numPr>
              <w:spacing w:line="276" w:lineRule="auto"/>
              <w:jc w:val="both"/>
              <w:rPr>
                <w:rFonts w:cstheme="minorHAnsi"/>
              </w:rPr>
            </w:pPr>
            <w:r w:rsidRPr="00C912C2">
              <w:rPr>
                <w:rFonts w:cstheme="minorHAnsi"/>
              </w:rPr>
              <w:t xml:space="preserve">How would deploying wireless charging stations affect TD Bank’s risk management strategies </w:t>
            </w:r>
            <w:r w:rsidR="00121DB8" w:rsidRPr="00C912C2">
              <w:rPr>
                <w:rFonts w:cstheme="minorHAnsi"/>
              </w:rPr>
              <w:t>regarding</w:t>
            </w:r>
            <w:r w:rsidRPr="00C912C2">
              <w:rPr>
                <w:rFonts w:cstheme="minorHAnsi"/>
              </w:rPr>
              <w:t xml:space="preserve"> operational and market risks?</w:t>
            </w:r>
          </w:p>
        </w:tc>
        <w:tc>
          <w:tcPr>
            <w:tcW w:w="4675" w:type="dxa"/>
          </w:tcPr>
          <w:p w14:paraId="12B7F1A8" w14:textId="77777777" w:rsidR="00BB4341" w:rsidRPr="00C912C2" w:rsidRDefault="00BB4341" w:rsidP="00C83BE7">
            <w:pPr>
              <w:spacing w:line="276" w:lineRule="auto"/>
              <w:rPr>
                <w:rFonts w:asciiTheme="minorHAnsi" w:hAnsiTheme="minorHAnsi" w:cstheme="minorHAnsi"/>
              </w:rPr>
            </w:pPr>
          </w:p>
        </w:tc>
      </w:tr>
      <w:tr w:rsidR="00BB4341" w:rsidRPr="00C912C2" w14:paraId="18E3AFFD" w14:textId="77777777" w:rsidTr="00FE4567">
        <w:tc>
          <w:tcPr>
            <w:tcW w:w="4675" w:type="dxa"/>
          </w:tcPr>
          <w:p w14:paraId="674D90F2" w14:textId="70099974" w:rsidR="00BB4341" w:rsidRPr="00C912C2" w:rsidRDefault="00BB4341" w:rsidP="0008470D">
            <w:pPr>
              <w:pStyle w:val="ListParagraph"/>
              <w:numPr>
                <w:ilvl w:val="0"/>
                <w:numId w:val="3"/>
              </w:numPr>
              <w:spacing w:line="276" w:lineRule="auto"/>
              <w:jc w:val="both"/>
              <w:rPr>
                <w:rFonts w:cstheme="minorHAnsi"/>
              </w:rPr>
            </w:pPr>
            <w:r w:rsidRPr="00C912C2">
              <w:rPr>
                <w:rFonts w:cstheme="minorHAnsi"/>
              </w:rPr>
              <w:t xml:space="preserve">How should </w:t>
            </w:r>
            <w:r w:rsidR="00121DB8" w:rsidRPr="00C912C2">
              <w:rPr>
                <w:rFonts w:cstheme="minorHAnsi"/>
              </w:rPr>
              <w:t xml:space="preserve">the exit strategy be approached </w:t>
            </w:r>
            <w:r w:rsidRPr="00C912C2">
              <w:rPr>
                <w:rFonts w:cstheme="minorHAnsi"/>
              </w:rPr>
              <w:t xml:space="preserve">if the investment in </w:t>
            </w:r>
            <w:r w:rsidR="00121DB8" w:rsidRPr="00C912C2">
              <w:rPr>
                <w:rFonts w:cstheme="minorHAnsi"/>
              </w:rPr>
              <w:t>WiTricity</w:t>
            </w:r>
            <w:r w:rsidRPr="00C912C2">
              <w:rPr>
                <w:rFonts w:cstheme="minorHAnsi"/>
              </w:rPr>
              <w:t xml:space="preserve"> does not deliver </w:t>
            </w:r>
            <w:r w:rsidR="00121DB8" w:rsidRPr="00C912C2">
              <w:rPr>
                <w:rFonts w:cstheme="minorHAnsi"/>
              </w:rPr>
              <w:t xml:space="preserve">the </w:t>
            </w:r>
            <w:r w:rsidRPr="00C912C2">
              <w:rPr>
                <w:rFonts w:cstheme="minorHAnsi"/>
              </w:rPr>
              <w:t>expected returns?</w:t>
            </w:r>
          </w:p>
        </w:tc>
        <w:tc>
          <w:tcPr>
            <w:tcW w:w="4675" w:type="dxa"/>
          </w:tcPr>
          <w:p w14:paraId="25BE843C" w14:textId="77777777" w:rsidR="00BB4341" w:rsidRPr="00C912C2" w:rsidRDefault="00BB4341" w:rsidP="00C83BE7">
            <w:pPr>
              <w:spacing w:line="276" w:lineRule="auto"/>
              <w:rPr>
                <w:rFonts w:asciiTheme="minorHAnsi" w:hAnsiTheme="minorHAnsi" w:cstheme="minorHAnsi"/>
              </w:rPr>
            </w:pPr>
          </w:p>
        </w:tc>
      </w:tr>
      <w:tr w:rsidR="006E1E3E" w:rsidRPr="00C912C2" w14:paraId="62F9F49D" w14:textId="77777777" w:rsidTr="00FE4567">
        <w:tc>
          <w:tcPr>
            <w:tcW w:w="4675" w:type="dxa"/>
          </w:tcPr>
          <w:p w14:paraId="03D6E32F" w14:textId="28A7A32B" w:rsidR="006E1E3E" w:rsidRPr="006A7180" w:rsidRDefault="006E1E3E" w:rsidP="0008470D">
            <w:pPr>
              <w:pStyle w:val="ListParagraph"/>
              <w:numPr>
                <w:ilvl w:val="0"/>
                <w:numId w:val="3"/>
              </w:numPr>
              <w:spacing w:line="276" w:lineRule="auto"/>
              <w:rPr>
                <w:rFonts w:cstheme="minorHAnsi"/>
              </w:rPr>
            </w:pPr>
            <w:r w:rsidRPr="006A7180">
              <w:rPr>
                <w:rFonts w:cstheme="minorHAnsi"/>
              </w:rPr>
              <w:t>What sustainability and ESG metrics do TD Bank plan to use to measure the success of its investments in WiTricity and EV infrastructure?</w:t>
            </w:r>
          </w:p>
        </w:tc>
        <w:tc>
          <w:tcPr>
            <w:tcW w:w="4675" w:type="dxa"/>
          </w:tcPr>
          <w:p w14:paraId="65D62297" w14:textId="77777777" w:rsidR="006E1E3E" w:rsidRPr="00C912C2" w:rsidRDefault="006E1E3E" w:rsidP="00C83BE7">
            <w:pPr>
              <w:spacing w:line="276" w:lineRule="auto"/>
              <w:rPr>
                <w:rFonts w:asciiTheme="minorHAnsi" w:hAnsiTheme="minorHAnsi" w:cstheme="minorHAnsi"/>
              </w:rPr>
            </w:pPr>
          </w:p>
        </w:tc>
      </w:tr>
      <w:tr w:rsidR="006E1E3E" w:rsidRPr="00C912C2" w14:paraId="33FFEBF0" w14:textId="77777777" w:rsidTr="00FE4567">
        <w:tc>
          <w:tcPr>
            <w:tcW w:w="4675" w:type="dxa"/>
          </w:tcPr>
          <w:p w14:paraId="16ECE975" w14:textId="33D71F83" w:rsidR="006E1E3E" w:rsidRPr="00E93216" w:rsidRDefault="006E1E3E" w:rsidP="0008470D">
            <w:pPr>
              <w:pStyle w:val="ListParagraph"/>
              <w:numPr>
                <w:ilvl w:val="0"/>
                <w:numId w:val="3"/>
              </w:numPr>
              <w:spacing w:line="276" w:lineRule="auto"/>
              <w:jc w:val="both"/>
              <w:rPr>
                <w:rFonts w:cstheme="minorHAnsi"/>
              </w:rPr>
            </w:pPr>
            <w:r w:rsidRPr="00C912C2">
              <w:rPr>
                <w:rFonts w:cstheme="minorHAnsi"/>
              </w:rPr>
              <w:t>What contingency plans are in place if the projected financial returns from WiTricity fall short of expectations?</w:t>
            </w:r>
          </w:p>
        </w:tc>
        <w:tc>
          <w:tcPr>
            <w:tcW w:w="4675" w:type="dxa"/>
          </w:tcPr>
          <w:p w14:paraId="19C4F537" w14:textId="77777777" w:rsidR="006E1E3E" w:rsidRPr="00C912C2" w:rsidRDefault="006E1E3E" w:rsidP="00C83BE7">
            <w:pPr>
              <w:spacing w:line="276" w:lineRule="auto"/>
              <w:rPr>
                <w:rFonts w:asciiTheme="minorHAnsi" w:hAnsiTheme="minorHAnsi" w:cstheme="minorHAnsi"/>
              </w:rPr>
            </w:pPr>
          </w:p>
        </w:tc>
      </w:tr>
      <w:tr w:rsidR="006E1E3E" w:rsidRPr="00C912C2" w14:paraId="1C4CD71F" w14:textId="77777777" w:rsidTr="00FE4567">
        <w:tc>
          <w:tcPr>
            <w:tcW w:w="4675" w:type="dxa"/>
          </w:tcPr>
          <w:p w14:paraId="6DDEF91B" w14:textId="7E82849B" w:rsidR="006E1E3E" w:rsidRPr="00C912C2" w:rsidRDefault="006E1E3E" w:rsidP="0008470D">
            <w:pPr>
              <w:pStyle w:val="ListParagraph"/>
              <w:numPr>
                <w:ilvl w:val="0"/>
                <w:numId w:val="3"/>
              </w:numPr>
              <w:spacing w:line="276" w:lineRule="auto"/>
              <w:jc w:val="both"/>
              <w:rPr>
                <w:rFonts w:cstheme="minorHAnsi"/>
              </w:rPr>
            </w:pPr>
            <w:r w:rsidRPr="00C912C2">
              <w:rPr>
                <w:rFonts w:cstheme="minorHAnsi"/>
              </w:rPr>
              <w:t>How will TD Bank ensure alignment between WiTricity’s innovation-driven culture and its financial services operations?</w:t>
            </w:r>
          </w:p>
        </w:tc>
        <w:tc>
          <w:tcPr>
            <w:tcW w:w="4675" w:type="dxa"/>
          </w:tcPr>
          <w:p w14:paraId="1E076225" w14:textId="77777777" w:rsidR="006E1E3E" w:rsidRPr="00C912C2" w:rsidRDefault="006E1E3E" w:rsidP="00C83BE7">
            <w:pPr>
              <w:spacing w:line="276" w:lineRule="auto"/>
              <w:rPr>
                <w:rFonts w:asciiTheme="minorHAnsi" w:hAnsiTheme="minorHAnsi" w:cstheme="minorHAnsi"/>
              </w:rPr>
            </w:pPr>
          </w:p>
        </w:tc>
      </w:tr>
      <w:tr w:rsidR="00653A46" w:rsidRPr="00C912C2" w14:paraId="346CC5D8" w14:textId="77777777" w:rsidTr="00FE4567">
        <w:tc>
          <w:tcPr>
            <w:tcW w:w="4675" w:type="dxa"/>
          </w:tcPr>
          <w:p w14:paraId="01EF2A2B" w14:textId="697993EA" w:rsidR="00C8591A" w:rsidRPr="00B1041F" w:rsidRDefault="00B1041F" w:rsidP="0008470D">
            <w:pPr>
              <w:pStyle w:val="ListParagraph"/>
              <w:numPr>
                <w:ilvl w:val="0"/>
                <w:numId w:val="3"/>
              </w:numPr>
              <w:spacing w:line="276" w:lineRule="auto"/>
              <w:jc w:val="both"/>
              <w:rPr>
                <w:rFonts w:cstheme="minorHAnsi"/>
              </w:rPr>
            </w:pPr>
            <w:r w:rsidRPr="00B1041F">
              <w:rPr>
                <w:rFonts w:cstheme="minorHAnsi"/>
              </w:rPr>
              <w:t>Which legal or regulatory requirements need to be considered when buying a business that sells EV wireless charging equipment?</w:t>
            </w:r>
          </w:p>
        </w:tc>
        <w:tc>
          <w:tcPr>
            <w:tcW w:w="4675" w:type="dxa"/>
          </w:tcPr>
          <w:p w14:paraId="4F316140" w14:textId="77777777" w:rsidR="00653A46" w:rsidRPr="00C912C2" w:rsidRDefault="00653A46" w:rsidP="00C83BE7">
            <w:pPr>
              <w:spacing w:line="276" w:lineRule="auto"/>
              <w:rPr>
                <w:rFonts w:asciiTheme="minorHAnsi" w:hAnsiTheme="minorHAnsi" w:cstheme="minorHAnsi"/>
              </w:rPr>
            </w:pPr>
          </w:p>
        </w:tc>
      </w:tr>
      <w:tr w:rsidR="001C7A06" w:rsidRPr="00C912C2" w14:paraId="045B50BA" w14:textId="77777777" w:rsidTr="00FE4567">
        <w:tc>
          <w:tcPr>
            <w:tcW w:w="4675" w:type="dxa"/>
          </w:tcPr>
          <w:p w14:paraId="238F5F87" w14:textId="458FF737" w:rsidR="001C7A06" w:rsidRPr="00483A48" w:rsidRDefault="00483A48" w:rsidP="0008470D">
            <w:pPr>
              <w:pStyle w:val="ListParagraph"/>
              <w:numPr>
                <w:ilvl w:val="0"/>
                <w:numId w:val="3"/>
              </w:numPr>
              <w:spacing w:line="276" w:lineRule="auto"/>
              <w:jc w:val="both"/>
              <w:rPr>
                <w:rFonts w:cstheme="minorHAnsi"/>
              </w:rPr>
            </w:pPr>
            <w:r w:rsidRPr="00483A48">
              <w:rPr>
                <w:rFonts w:cstheme="minorHAnsi"/>
              </w:rPr>
              <w:t>What issues pertaining to patents or intellectual property (IP) need to be addressed during the acquisition process?</w:t>
            </w:r>
          </w:p>
        </w:tc>
        <w:tc>
          <w:tcPr>
            <w:tcW w:w="4675" w:type="dxa"/>
          </w:tcPr>
          <w:p w14:paraId="4E50946F" w14:textId="77777777" w:rsidR="001C7A06" w:rsidRPr="00C912C2" w:rsidRDefault="001C7A06" w:rsidP="00C83BE7">
            <w:pPr>
              <w:spacing w:line="276" w:lineRule="auto"/>
              <w:rPr>
                <w:rFonts w:asciiTheme="minorHAnsi" w:hAnsiTheme="minorHAnsi" w:cstheme="minorHAnsi"/>
              </w:rPr>
            </w:pPr>
          </w:p>
        </w:tc>
      </w:tr>
    </w:tbl>
    <w:p w14:paraId="0ACD9EEC" w14:textId="2911B43E" w:rsidR="007D5CDA" w:rsidRPr="00C912C2" w:rsidRDefault="007D5CDA" w:rsidP="007D5CDA">
      <w:pPr>
        <w:pStyle w:val="Heading1"/>
        <w:rPr>
          <w:rFonts w:asciiTheme="minorHAnsi" w:eastAsia="Aptos" w:hAnsiTheme="minorHAnsi" w:cstheme="minorHAnsi"/>
          <w:sz w:val="36"/>
          <w:szCs w:val="36"/>
        </w:rPr>
      </w:pPr>
      <w:bookmarkStart w:id="25" w:name="_Toc178976956"/>
      <w:r w:rsidRPr="00C912C2">
        <w:rPr>
          <w:rFonts w:asciiTheme="minorHAnsi" w:eastAsia="Aptos" w:hAnsiTheme="minorHAnsi" w:cstheme="minorHAnsi"/>
          <w:sz w:val="36"/>
          <w:szCs w:val="36"/>
        </w:rPr>
        <w:lastRenderedPageBreak/>
        <w:t>News</w:t>
      </w:r>
      <w:r>
        <w:rPr>
          <w:rFonts w:asciiTheme="minorHAnsi" w:eastAsia="Aptos" w:hAnsiTheme="minorHAnsi" w:cstheme="minorHAnsi"/>
          <w:sz w:val="36"/>
          <w:szCs w:val="36"/>
        </w:rPr>
        <w:t xml:space="preserve"> Board</w:t>
      </w:r>
      <w:bookmarkEnd w:id="25"/>
    </w:p>
    <w:p w14:paraId="02F0871F" w14:textId="0A6490DC" w:rsidR="00C42DE3" w:rsidRPr="005B0B63" w:rsidRDefault="00C42DE3" w:rsidP="005B0B63">
      <w:pPr>
        <w:spacing w:after="0" w:line="276" w:lineRule="auto"/>
        <w:rPr>
          <w:rFonts w:cstheme="minorHAnsi"/>
          <w:b/>
          <w:bCs/>
        </w:rPr>
      </w:pPr>
      <w:r w:rsidRPr="005B0B63">
        <w:rPr>
          <w:rFonts w:cstheme="minorHAnsi"/>
          <w:b/>
          <w:bCs/>
        </w:rPr>
        <w:t>Bank of Canada lowers interest rate to 4.25%</w:t>
      </w:r>
    </w:p>
    <w:p w14:paraId="607C7485" w14:textId="77777777" w:rsidR="00C42DE3" w:rsidRPr="00C42DE3" w:rsidRDefault="00C42DE3" w:rsidP="00C42DE3">
      <w:pPr>
        <w:spacing w:after="0" w:line="276" w:lineRule="auto"/>
        <w:rPr>
          <w:rFonts w:asciiTheme="minorHAnsi" w:hAnsiTheme="minorHAnsi" w:cstheme="minorHAnsi"/>
        </w:rPr>
      </w:pPr>
      <w:r w:rsidRPr="00C42DE3">
        <w:rPr>
          <w:rFonts w:asciiTheme="minorHAnsi" w:hAnsiTheme="minorHAnsi" w:cstheme="minorHAnsi"/>
        </w:rPr>
        <w:t>The Bank of Canada has lowered its interest rate by 25 basis points (bps) to 4.25% in September 2024. There is a reduction of 75 basis points since June, when the rate was 5.0%. Governor Tiff Macklem highlighted that while inflation is currently under control Bank of Canada remains cautious about external threats to the Canadian economy. This includes geopolitical tensions and global economic uncertainties. The central bank seeks to strike a balance between supporting ongoing economic recovery and preventing inflation from exceeding its target.</w:t>
      </w:r>
    </w:p>
    <w:p w14:paraId="218EFE5E" w14:textId="2A946F46" w:rsidR="00C42DE3" w:rsidRPr="00C42DE3" w:rsidRDefault="00C42DE3" w:rsidP="00C42DE3">
      <w:pPr>
        <w:spacing w:after="0" w:line="276" w:lineRule="auto"/>
        <w:rPr>
          <w:rFonts w:asciiTheme="minorHAnsi" w:hAnsiTheme="minorHAnsi" w:cstheme="minorHAnsi"/>
        </w:rPr>
      </w:pPr>
      <w:r w:rsidRPr="00C42DE3">
        <w:rPr>
          <w:rFonts w:asciiTheme="minorHAnsi" w:hAnsiTheme="minorHAnsi" w:cstheme="minorHAnsi"/>
        </w:rPr>
        <w:t xml:space="preserve">The central bank's upcoming meeting is scheduled for </w:t>
      </w:r>
      <w:r w:rsidR="006D5027">
        <w:rPr>
          <w:rFonts w:asciiTheme="minorHAnsi" w:hAnsiTheme="minorHAnsi" w:cstheme="minorHAnsi"/>
        </w:rPr>
        <w:t>23</w:t>
      </w:r>
      <w:r w:rsidR="006D5027" w:rsidRPr="006D5027">
        <w:rPr>
          <w:rFonts w:asciiTheme="minorHAnsi" w:hAnsiTheme="minorHAnsi" w:cstheme="minorHAnsi"/>
          <w:vertAlign w:val="superscript"/>
        </w:rPr>
        <w:t>rd</w:t>
      </w:r>
      <w:r w:rsidR="006D5027">
        <w:rPr>
          <w:rFonts w:asciiTheme="minorHAnsi" w:hAnsiTheme="minorHAnsi" w:cstheme="minorHAnsi"/>
        </w:rPr>
        <w:t xml:space="preserve"> October 2024, </w:t>
      </w:r>
      <w:r w:rsidRPr="00C42DE3">
        <w:rPr>
          <w:rFonts w:asciiTheme="minorHAnsi" w:hAnsiTheme="minorHAnsi" w:cstheme="minorHAnsi"/>
        </w:rPr>
        <w:t>where it will reassess the economic situation and consider further adjustments to the interest rate. Analysts suggest that if inflation continues to stabilize additional rate cuts may be implemented. Analysts anticipate further cuts with expectations for two more reductions of 25 basis points each in October and December. This will potentially bring the rate down to 4.00%​.  The rationale behind these cuts is largely due to declining inflation which has recently hit the Bank of Canada's target rate of 2.0%. Economic growth has been modest with the GDP growth rate recorded at 0.5%. Experts believe that if the inflation trends continue positively the Bank of Canada might proceed with further easing measures to stimulate the economy.</w:t>
      </w:r>
      <w:r w:rsidR="006D5027">
        <w:rPr>
          <w:rFonts w:asciiTheme="minorHAnsi" w:hAnsiTheme="minorHAnsi" w:cstheme="minorHAnsi"/>
        </w:rPr>
        <w:br/>
      </w:r>
    </w:p>
    <w:p w14:paraId="05C123C9" w14:textId="77777777" w:rsidR="00C42DE3" w:rsidRPr="00C42DE3" w:rsidRDefault="00C42DE3" w:rsidP="00C42DE3">
      <w:pPr>
        <w:spacing w:after="0" w:line="276" w:lineRule="auto"/>
        <w:rPr>
          <w:rFonts w:asciiTheme="minorHAnsi" w:hAnsiTheme="minorHAnsi" w:cstheme="minorHAnsi"/>
        </w:rPr>
      </w:pPr>
      <w:r w:rsidRPr="00C42DE3">
        <w:rPr>
          <w:rFonts w:asciiTheme="minorHAnsi" w:hAnsiTheme="minorHAnsi" w:cstheme="minorHAnsi"/>
          <w:b/>
          <w:bCs/>
        </w:rPr>
        <w:t>Impact on TD Bank</w:t>
      </w:r>
    </w:p>
    <w:p w14:paraId="5D867C02" w14:textId="1B7D9212" w:rsidR="00C42DE3" w:rsidRPr="00C42DE3" w:rsidRDefault="00C42DE3" w:rsidP="00C42DE3">
      <w:pPr>
        <w:spacing w:after="0" w:line="276" w:lineRule="auto"/>
        <w:rPr>
          <w:rFonts w:asciiTheme="minorHAnsi" w:hAnsiTheme="minorHAnsi" w:cstheme="minorHAnsi"/>
          <w:b/>
          <w:bCs/>
        </w:rPr>
      </w:pPr>
      <w:r w:rsidRPr="00C42DE3">
        <w:rPr>
          <w:rFonts w:asciiTheme="minorHAnsi" w:hAnsiTheme="minorHAnsi" w:cstheme="minorHAnsi"/>
        </w:rPr>
        <w:t>The Bank of Canada's interest rate cuts are expected to have a significant impact on TD Bank's operations and profitability. Lower interest rates may lead to more attractive mortgage rates stimulating demand in the housing market and increasing mortgage applications. Reduced interest rates may encourage businesses and consumers to borrow more leading to higher demand for personal loans, auto loans and business loans. This will contribute positively to TD Bank's lending portfolio. While lower interest rates can compress profit margins for banks increased loan volumes may help offset this impact. Lower interest rates are expected to boost economic activity prompting businesses to invest and grow. This could lead to an increase in commercial loan demand at TD Bank. With analysts predicting two more rate cuts in October and December potentially lowering the rate to 4.00%. The lending environment is likely to remain favorable for TD Bank supporting continued growth in its loan portfolios.</w:t>
      </w:r>
      <w:r w:rsidR="006D5027">
        <w:rPr>
          <w:rFonts w:asciiTheme="minorHAnsi" w:hAnsiTheme="minorHAnsi" w:cstheme="minorHAnsi"/>
        </w:rPr>
        <w:br/>
      </w:r>
    </w:p>
    <w:p w14:paraId="0B503617" w14:textId="77777777" w:rsidR="00C42DE3" w:rsidRPr="00C42DE3" w:rsidRDefault="00C42DE3" w:rsidP="00C42DE3">
      <w:pPr>
        <w:spacing w:after="0" w:line="276" w:lineRule="auto"/>
        <w:rPr>
          <w:rFonts w:asciiTheme="minorHAnsi" w:hAnsiTheme="minorHAnsi" w:cstheme="minorHAnsi"/>
          <w:b/>
          <w:bCs/>
        </w:rPr>
      </w:pPr>
      <w:r w:rsidRPr="00C42DE3">
        <w:rPr>
          <w:rFonts w:asciiTheme="minorHAnsi" w:hAnsiTheme="minorHAnsi" w:cstheme="minorHAnsi"/>
          <w:b/>
          <w:bCs/>
        </w:rPr>
        <w:t>Impact on the acquisition of WiTricity</w:t>
      </w:r>
    </w:p>
    <w:p w14:paraId="1F37D046" w14:textId="77777777" w:rsidR="00C42DE3" w:rsidRPr="00C42DE3" w:rsidRDefault="00C42DE3" w:rsidP="00C42DE3">
      <w:pPr>
        <w:spacing w:after="0" w:line="276" w:lineRule="auto"/>
        <w:rPr>
          <w:rFonts w:asciiTheme="minorHAnsi" w:hAnsiTheme="minorHAnsi" w:cstheme="minorHAnsi"/>
        </w:rPr>
      </w:pPr>
      <w:r w:rsidRPr="00C42DE3">
        <w:rPr>
          <w:rFonts w:asciiTheme="minorHAnsi" w:hAnsiTheme="minorHAnsi" w:cstheme="minorHAnsi"/>
        </w:rPr>
        <w:t xml:space="preserve">The Bank of Canada's interest rate cuts could have a favourable environment on TD Bank's acquisition of WiTricity. With lower borrowing costs, TD Bank can finance mergers and acquisitions at a reduced expense making it a strategically advantageous time to invest. If interest rates continue to fall TD Bank can consider accelerating its acquisition plans taking advantage of the lower costs. The declining interest rates could lead to an increase in WiTricity's market valuation making it an attractive opportunity for TD Bank. The acquisition aligns with the Bank of Canada's focus on fostering economic growth and stabilizing inflation. This could lead to increased investment in sectors like electric vehicles and renewable energy. TD Bank must remain competitive in pursuing this acquisition as the current economic environment could intensify competition for high-potential targets like WiTricity. The acquisition of WiTricity could position TD Bank favorably in the growing electric vehicle sector. This will enhance its offerings creating synergies between </w:t>
      </w:r>
      <w:r w:rsidRPr="00C42DE3">
        <w:rPr>
          <w:rFonts w:asciiTheme="minorHAnsi" w:hAnsiTheme="minorHAnsi" w:cstheme="minorHAnsi"/>
        </w:rPr>
        <w:lastRenderedPageBreak/>
        <w:t xml:space="preserve">its financial services and WiTricity's wireless charging technology. Overall, the current economic climate and potential future rate cuts have created a positive environment for TD Bank's acquisition strategy. </w:t>
      </w:r>
    </w:p>
    <w:p w14:paraId="3B3DBE95" w14:textId="77777777" w:rsidR="00C42DE3" w:rsidRPr="00C42DE3" w:rsidRDefault="00C42DE3" w:rsidP="00C42DE3">
      <w:pPr>
        <w:spacing w:after="0" w:line="276" w:lineRule="auto"/>
        <w:rPr>
          <w:rFonts w:asciiTheme="minorHAnsi" w:hAnsiTheme="minorHAnsi" w:cstheme="minorHAnsi"/>
        </w:rPr>
      </w:pPr>
      <w:r w:rsidRPr="00C42DE3">
        <w:rPr>
          <w:rFonts w:asciiTheme="minorHAnsi" w:hAnsiTheme="minorHAnsi" w:cstheme="minorHAnsi"/>
        </w:rPr>
        <w:br/>
      </w:r>
      <w:r w:rsidRPr="00C42DE3">
        <w:rPr>
          <w:rFonts w:asciiTheme="minorHAnsi" w:hAnsiTheme="minorHAnsi" w:cstheme="minorHAnsi"/>
          <w:b/>
          <w:bCs/>
        </w:rPr>
        <w:t>TD Bank Group Awarded Best Consumer Digital Bank in North America for Fourth Consecutive Year</w:t>
      </w:r>
    </w:p>
    <w:p w14:paraId="4AC539F6" w14:textId="3B597483" w:rsidR="00C42DE3" w:rsidRPr="00C42DE3" w:rsidRDefault="00C42DE3" w:rsidP="00C42DE3">
      <w:pPr>
        <w:spacing w:after="0" w:line="276" w:lineRule="auto"/>
        <w:rPr>
          <w:rFonts w:asciiTheme="minorHAnsi" w:hAnsiTheme="minorHAnsi" w:cstheme="minorHAnsi"/>
        </w:rPr>
      </w:pPr>
      <w:r w:rsidRPr="00C42DE3">
        <w:rPr>
          <w:rFonts w:asciiTheme="minorHAnsi" w:hAnsiTheme="minorHAnsi" w:cstheme="minorHAnsi"/>
        </w:rPr>
        <w:t>On October 2, 2024, TD Bank Group (TD) has been recognized as the "Best Consumer Digital Bank in North America" for the fourth year in a row by Global Finance magazine in their World's Best Digital Banks Awards for 2024. This achievement reflects TD's commitment to digital innovation and exceptional customer experience in the financial sector. The award recognizes TD's ongoing efforts to improve its digital services, making banking easier, more convenient and safer for customers. It also highlights TD's expertise in using technology to offer the best financial solutions keeping up with the changing needs of its customers across North America.</w:t>
      </w:r>
      <w:r w:rsidR="006D5027">
        <w:rPr>
          <w:rFonts w:asciiTheme="minorHAnsi" w:hAnsiTheme="minorHAnsi" w:cstheme="minorHAnsi"/>
        </w:rPr>
        <w:br/>
      </w:r>
    </w:p>
    <w:p w14:paraId="0B4D786C" w14:textId="77777777" w:rsidR="00C42DE3" w:rsidRPr="00C42DE3" w:rsidRDefault="00C42DE3" w:rsidP="00C42DE3">
      <w:pPr>
        <w:spacing w:after="0" w:line="276" w:lineRule="auto"/>
        <w:rPr>
          <w:rFonts w:asciiTheme="minorHAnsi" w:hAnsiTheme="minorHAnsi" w:cstheme="minorHAnsi"/>
          <w:b/>
          <w:bCs/>
        </w:rPr>
      </w:pPr>
      <w:r w:rsidRPr="00C42DE3">
        <w:rPr>
          <w:rFonts w:asciiTheme="minorHAnsi" w:hAnsiTheme="minorHAnsi" w:cstheme="minorHAnsi"/>
          <w:b/>
          <w:bCs/>
        </w:rPr>
        <w:t>Impact on TD Bank</w:t>
      </w:r>
    </w:p>
    <w:p w14:paraId="361189D9" w14:textId="71D7935D" w:rsidR="00C42DE3" w:rsidRPr="00C42DE3" w:rsidRDefault="00C42DE3" w:rsidP="00C42DE3">
      <w:pPr>
        <w:spacing w:after="0" w:line="276" w:lineRule="auto"/>
        <w:rPr>
          <w:rFonts w:asciiTheme="minorHAnsi" w:hAnsiTheme="minorHAnsi" w:cstheme="minorHAnsi"/>
        </w:rPr>
      </w:pPr>
      <w:r w:rsidRPr="00C42DE3">
        <w:rPr>
          <w:rFonts w:asciiTheme="minorHAnsi" w:hAnsiTheme="minorHAnsi" w:cstheme="minorHAnsi"/>
        </w:rPr>
        <w:t xml:space="preserve">TD Bank's fourth consecutive win as "Best Consumer Digital Bank in North America" from Global Finance has a major positive impact on its reputation and competitive standing. This award reinforces TD's brand image as a leader in digital banking and customer service. This will help in building trust and loyalty with existing customers. This will also assist in attracting new ones who value advanced digital services. TD can retain its customers by showcasing its ability to use technology to provide a seamless and user-friendly experience. The award also boosts TD's market value and investor confidence. This helps in demonstrating its ability to innovate and adapt in a rapidly changing digital financial landscape. </w:t>
      </w:r>
      <w:r w:rsidR="006D5027">
        <w:rPr>
          <w:rFonts w:asciiTheme="minorHAnsi" w:hAnsiTheme="minorHAnsi" w:cstheme="minorHAnsi"/>
        </w:rPr>
        <w:br/>
      </w:r>
    </w:p>
    <w:p w14:paraId="59E20FAA" w14:textId="77777777" w:rsidR="00C42DE3" w:rsidRPr="00C42DE3" w:rsidRDefault="00C42DE3" w:rsidP="00C42DE3">
      <w:pPr>
        <w:spacing w:after="0" w:line="276" w:lineRule="auto"/>
        <w:rPr>
          <w:rFonts w:asciiTheme="minorHAnsi" w:hAnsiTheme="minorHAnsi" w:cstheme="minorHAnsi"/>
          <w:b/>
          <w:bCs/>
        </w:rPr>
      </w:pPr>
      <w:r w:rsidRPr="00C42DE3">
        <w:rPr>
          <w:rFonts w:asciiTheme="minorHAnsi" w:hAnsiTheme="minorHAnsi" w:cstheme="minorHAnsi"/>
          <w:b/>
          <w:bCs/>
        </w:rPr>
        <w:t>Impact on the acquisition of WiTricity</w:t>
      </w:r>
    </w:p>
    <w:p w14:paraId="507FD1AF" w14:textId="77777777" w:rsidR="00C42DE3" w:rsidRDefault="00C42DE3" w:rsidP="00C42DE3">
      <w:pPr>
        <w:spacing w:after="0" w:line="276" w:lineRule="auto"/>
        <w:rPr>
          <w:rFonts w:asciiTheme="minorHAnsi" w:hAnsiTheme="minorHAnsi" w:cstheme="minorHAnsi"/>
        </w:rPr>
      </w:pPr>
      <w:r w:rsidRPr="00C42DE3">
        <w:rPr>
          <w:rFonts w:asciiTheme="minorHAnsi" w:hAnsiTheme="minorHAnsi" w:cstheme="minorHAnsi"/>
        </w:rPr>
        <w:t>TD Bank's recognition as the "Best Consumer Digital Bank in North America" can have several benefits for its acquisition of WiTricity. The award reinforces TD's strong brand reputation making it a more attractive partner for WiTricity and facilitating smoother negotiations. The recognition can boost investor confidence in TD's strategic plans including the acquisition and attract more capital to support it. The award highlights TD's focus on technology and innovation. This aligns with the acquisition of WiTricity and its sustainable energy technology. By acquiring WiTricity TD can position itself as a leader in supporting sustainable practices within the banking industry. The recognition as a top digital bank strengthens TD's competitive positioning. This will make the acquisition more relevant in the context of a growing focus on sustainability and innovation.</w:t>
      </w:r>
    </w:p>
    <w:p w14:paraId="6C6203F8" w14:textId="77777777" w:rsidR="00C60732" w:rsidRDefault="00C60732" w:rsidP="00C42DE3">
      <w:pPr>
        <w:spacing w:after="0" w:line="276" w:lineRule="auto"/>
        <w:rPr>
          <w:rFonts w:asciiTheme="minorHAnsi" w:hAnsiTheme="minorHAnsi" w:cstheme="minorHAnsi"/>
        </w:rPr>
      </w:pPr>
    </w:p>
    <w:p w14:paraId="56FA779F" w14:textId="0365FFCF" w:rsidR="009D45A0" w:rsidRPr="009D45A0" w:rsidRDefault="009D45A0" w:rsidP="009D45A0">
      <w:pPr>
        <w:spacing w:after="0" w:line="276" w:lineRule="auto"/>
        <w:rPr>
          <w:rFonts w:asciiTheme="minorHAnsi" w:hAnsiTheme="minorHAnsi" w:cstheme="minorHAnsi"/>
          <w:b/>
          <w:bCs/>
        </w:rPr>
      </w:pPr>
      <w:r w:rsidRPr="009D45A0">
        <w:rPr>
          <w:rFonts w:asciiTheme="minorHAnsi" w:hAnsiTheme="minorHAnsi" w:cstheme="minorHAnsi"/>
          <w:b/>
          <w:bCs/>
        </w:rPr>
        <w:t>Scaling Up U.S. Electric Vehicle Production: Opportunities &amp; Challenges</w:t>
      </w:r>
    </w:p>
    <w:p w14:paraId="61CBEE85" w14:textId="77777777" w:rsidR="009D45A0" w:rsidRPr="009D45A0" w:rsidRDefault="009D45A0" w:rsidP="009D45A0">
      <w:pPr>
        <w:spacing w:after="0" w:line="276" w:lineRule="auto"/>
        <w:rPr>
          <w:rFonts w:asciiTheme="minorHAnsi" w:hAnsiTheme="minorHAnsi" w:cstheme="minorHAnsi"/>
        </w:rPr>
      </w:pPr>
      <w:r w:rsidRPr="009D45A0">
        <w:rPr>
          <w:rFonts w:asciiTheme="minorHAnsi" w:hAnsiTheme="minorHAnsi" w:cstheme="minorHAnsi"/>
        </w:rPr>
        <w:t>The report Scaling Up U.S. Electric Vehicle Production: Opportunities &amp; Challenges by TD Economics outlines significant projections for the electric vehicle (EV) market, forecasting a substantial increase in EV penetration in the coming years. This growth presents TD Bank with a critical opportunity to align its financial products with the evolving needs of consumers and businesses investing in sustainable technologies. By focusing on innovative financing solutions for EV purchases and charging infrastructure, TD Bank can enhance its role in green finance, reinforcing its commitment to sustainability and attracting eco-conscious customers.</w:t>
      </w:r>
    </w:p>
    <w:p w14:paraId="678A4366" w14:textId="77777777" w:rsidR="009D45A0" w:rsidRPr="009D45A0" w:rsidRDefault="009D45A0" w:rsidP="009D45A0">
      <w:pPr>
        <w:spacing w:after="0" w:line="276" w:lineRule="auto"/>
        <w:rPr>
          <w:rFonts w:asciiTheme="minorHAnsi" w:hAnsiTheme="minorHAnsi" w:cstheme="minorHAnsi"/>
        </w:rPr>
      </w:pPr>
    </w:p>
    <w:p w14:paraId="3E488D27" w14:textId="77777777" w:rsidR="009D45A0" w:rsidRPr="009D45A0" w:rsidRDefault="009D45A0" w:rsidP="009D45A0">
      <w:pPr>
        <w:spacing w:after="0" w:line="276" w:lineRule="auto"/>
        <w:rPr>
          <w:rFonts w:asciiTheme="minorHAnsi" w:hAnsiTheme="minorHAnsi" w:cstheme="minorHAnsi"/>
        </w:rPr>
      </w:pPr>
      <w:r w:rsidRPr="009D45A0">
        <w:rPr>
          <w:rFonts w:asciiTheme="minorHAnsi" w:hAnsiTheme="minorHAnsi" w:cstheme="minorHAnsi"/>
        </w:rPr>
        <w:lastRenderedPageBreak/>
        <w:t>For the partnership with WiTricity, the insights from this report indicate a favorable landscape for deploying wireless charging technology as the demand for EV infrastructure escalates. With the projected need for robust charging solutions, WiTricity’s technology can play a pivotal role in meeting this demand. The collaboration with TD Bank provides financial backing for expanding wireless charging networks and positions both entities as key players in the rapidly growing EV ecosystem. This strategic partnership aligns with broader market trends and supports the transition towards electrified mobility.</w:t>
      </w:r>
    </w:p>
    <w:p w14:paraId="005BD6A1" w14:textId="77777777" w:rsidR="009D45A0" w:rsidRPr="009D45A0" w:rsidRDefault="009D45A0" w:rsidP="009D45A0">
      <w:pPr>
        <w:spacing w:after="0" w:line="276" w:lineRule="auto"/>
        <w:rPr>
          <w:rFonts w:asciiTheme="minorHAnsi" w:hAnsiTheme="minorHAnsi" w:cstheme="minorHAnsi"/>
        </w:rPr>
      </w:pPr>
    </w:p>
    <w:p w14:paraId="5E45A093" w14:textId="31A5C6AA" w:rsidR="009D45A0" w:rsidRPr="009D45A0" w:rsidRDefault="009D45A0" w:rsidP="009D45A0">
      <w:pPr>
        <w:spacing w:after="0" w:line="276" w:lineRule="auto"/>
        <w:rPr>
          <w:rFonts w:asciiTheme="minorHAnsi" w:hAnsiTheme="minorHAnsi" w:cstheme="minorHAnsi"/>
          <w:b/>
          <w:bCs/>
        </w:rPr>
      </w:pPr>
      <w:r w:rsidRPr="009D45A0">
        <w:rPr>
          <w:rFonts w:asciiTheme="minorHAnsi" w:hAnsiTheme="minorHAnsi" w:cstheme="minorHAnsi"/>
          <w:b/>
          <w:bCs/>
        </w:rPr>
        <w:t>What You Need to Know About Electric Cars</w:t>
      </w:r>
    </w:p>
    <w:p w14:paraId="712339DF" w14:textId="27A08B3A" w:rsidR="009D45A0" w:rsidRPr="009D45A0" w:rsidRDefault="009D45A0" w:rsidP="009D45A0">
      <w:pPr>
        <w:spacing w:after="0" w:line="276" w:lineRule="auto"/>
        <w:rPr>
          <w:rFonts w:asciiTheme="minorHAnsi" w:hAnsiTheme="minorHAnsi" w:cstheme="minorHAnsi"/>
        </w:rPr>
      </w:pPr>
      <w:r w:rsidRPr="009D45A0">
        <w:rPr>
          <w:rFonts w:asciiTheme="minorHAnsi" w:hAnsiTheme="minorHAnsi" w:cstheme="minorHAnsi"/>
        </w:rPr>
        <w:t>The insights provided in the TD article about electric vehicles (EVs) highlight significant trends and considerations that directly affect TD Bank’s strategy in the EV market. As EV sales continue to rise, the demand for accessible charging infrastructure is becoming increasingly important. TD Bank has an opportunity to develop tailored financial products and services catering to consumers and businesses investing in EVs and charging solutions. By offering financing options for EV purchases and charging station installations, TD Bank can position itself as a leader in green financing, appealing to environmentally conscious customers and bolstering its reputation in the sustainable finance sector.</w:t>
      </w:r>
    </w:p>
    <w:p w14:paraId="6F700C21" w14:textId="77777777" w:rsidR="009D45A0" w:rsidRPr="009D45A0" w:rsidRDefault="009D45A0" w:rsidP="009D45A0">
      <w:pPr>
        <w:spacing w:after="0" w:line="276" w:lineRule="auto"/>
        <w:rPr>
          <w:rFonts w:asciiTheme="minorHAnsi" w:hAnsiTheme="minorHAnsi" w:cstheme="minorHAnsi"/>
        </w:rPr>
      </w:pPr>
      <w:r w:rsidRPr="009D45A0">
        <w:rPr>
          <w:rFonts w:asciiTheme="minorHAnsi" w:hAnsiTheme="minorHAnsi" w:cstheme="minorHAnsi"/>
        </w:rPr>
        <w:t>For WiTricity, the growing emphasis on efficient charging solutions aligns perfectly with its wireless charging technology. As the article points out, the existing charging infrastructure is still developing, which creates a gap that WiTricity can fill with its innovative offerings. The collaboration with TD Bank can facilitate the financial backing necessary for expanding WiTricity’s wireless charging networks, enabling broader adoption among consumers and businesses. The increasing awareness of the need for reliable and convenient charging options positions WiTricity favorably within the evolving EV landscape, further supported by TD Bank’s financial products designed to make the transition to electric mobility easier for consumers. The insights provided in the TD article about electric vehicles (EVs) highlight significant trends and considerations that directly affect TD Bank’s strategy in the EV market. As EV sales continue to rise, the demand for accessible charging infrastructure is becoming increasingly important. TD Bank has an opportunity to develop tailored financial products and services catering to consumers and businesses investing in EVs and charging solutions. By offering financing options for EV purchases and charging station installations, TD Bank can position itself as a leader in green financing, appealing to environmentally conscious customers and bolstering its reputation in the sustainable finance sector.</w:t>
      </w:r>
    </w:p>
    <w:p w14:paraId="6E3D5D0D" w14:textId="388E5263" w:rsidR="009D45A0" w:rsidRPr="00C42DE3" w:rsidRDefault="009D45A0" w:rsidP="009D45A0">
      <w:pPr>
        <w:spacing w:after="0" w:line="276" w:lineRule="auto"/>
        <w:rPr>
          <w:rFonts w:asciiTheme="minorHAnsi" w:hAnsiTheme="minorHAnsi" w:cstheme="minorHAnsi"/>
        </w:rPr>
      </w:pPr>
      <w:r w:rsidRPr="009D45A0">
        <w:rPr>
          <w:rFonts w:asciiTheme="minorHAnsi" w:hAnsiTheme="minorHAnsi" w:cstheme="minorHAnsi"/>
        </w:rPr>
        <w:t>For WiTricity, the growing emphasis on efficient charging solutions aligns perfectly with its wireless charging technology. As the article points out, the existing charging infrastructure is still developing, which creates a gap that WiTricity can fill with its innovative offerings. The collaboration with TD Bank can facilitate the financial backing necessary for expanding WiTricity’s wireless charging networks, enabling broader adoption among consumers and businesses. The increasing awareness of the need for reliable and convenient charging options positions WiTricity favorably within the evolving EV landscape, further supported by TD Bank’s financial products designed to make the transition to electric mobility easier for consumers.</w:t>
      </w:r>
    </w:p>
    <w:p w14:paraId="406F3AE0" w14:textId="77777777" w:rsidR="00470021" w:rsidRDefault="00470021" w:rsidP="00470021">
      <w:pPr>
        <w:spacing w:after="0" w:line="276" w:lineRule="auto"/>
        <w:rPr>
          <w:rFonts w:asciiTheme="minorHAnsi" w:hAnsiTheme="minorHAnsi" w:cstheme="minorHAnsi"/>
        </w:rPr>
      </w:pPr>
    </w:p>
    <w:p w14:paraId="29C2D5B2" w14:textId="77777777" w:rsidR="00470021" w:rsidRDefault="00470021" w:rsidP="00470021">
      <w:pPr>
        <w:spacing w:after="0" w:line="276" w:lineRule="auto"/>
        <w:rPr>
          <w:rFonts w:asciiTheme="minorHAnsi" w:hAnsiTheme="minorHAnsi" w:cstheme="minorHAnsi"/>
        </w:rPr>
      </w:pPr>
    </w:p>
    <w:p w14:paraId="09441C9A" w14:textId="77777777" w:rsidR="00470021" w:rsidRDefault="00470021" w:rsidP="00470021">
      <w:pPr>
        <w:spacing w:after="0" w:line="276" w:lineRule="auto"/>
        <w:rPr>
          <w:rFonts w:asciiTheme="minorHAnsi" w:hAnsiTheme="minorHAnsi" w:cstheme="minorHAnsi"/>
        </w:rPr>
      </w:pPr>
    </w:p>
    <w:p w14:paraId="31C828A2" w14:textId="77777777" w:rsidR="00470021" w:rsidRDefault="00470021" w:rsidP="00470021">
      <w:pPr>
        <w:spacing w:after="0" w:line="276" w:lineRule="auto"/>
        <w:rPr>
          <w:rFonts w:asciiTheme="minorHAnsi" w:hAnsiTheme="minorHAnsi" w:cstheme="minorHAnsi"/>
        </w:rPr>
      </w:pPr>
    </w:p>
    <w:p w14:paraId="0E806CA5" w14:textId="77777777" w:rsidR="00AD59D2" w:rsidRDefault="00AD59D2" w:rsidP="00470021">
      <w:pPr>
        <w:spacing w:after="0" w:line="276" w:lineRule="auto"/>
        <w:rPr>
          <w:rFonts w:asciiTheme="minorHAnsi" w:hAnsiTheme="minorHAnsi" w:cstheme="minorHAnsi"/>
          <w:b/>
          <w:bCs/>
        </w:rPr>
      </w:pPr>
    </w:p>
    <w:p w14:paraId="0A1B63B7" w14:textId="77777777" w:rsidR="00AD59D2" w:rsidRPr="00470021" w:rsidRDefault="00AD59D2" w:rsidP="00470021">
      <w:pPr>
        <w:spacing w:after="0" w:line="276" w:lineRule="auto"/>
        <w:rPr>
          <w:rFonts w:asciiTheme="minorHAnsi" w:hAnsiTheme="minorHAnsi" w:cstheme="minorHAnsi"/>
          <w:b/>
          <w:bCs/>
        </w:rPr>
      </w:pPr>
    </w:p>
    <w:p w14:paraId="7A5CB8E5" w14:textId="267E7F8D" w:rsidR="005B4DB2" w:rsidRPr="00C912C2" w:rsidRDefault="005B4DB2" w:rsidP="00947AC0">
      <w:pPr>
        <w:pStyle w:val="Heading1"/>
        <w:rPr>
          <w:rFonts w:asciiTheme="minorHAnsi" w:eastAsia="Aptos" w:hAnsiTheme="minorHAnsi" w:cstheme="minorHAnsi"/>
          <w:sz w:val="36"/>
          <w:szCs w:val="36"/>
        </w:rPr>
      </w:pPr>
      <w:bookmarkStart w:id="26" w:name="_Toc178976957"/>
      <w:r w:rsidRPr="00C912C2">
        <w:rPr>
          <w:rFonts w:asciiTheme="minorHAnsi" w:eastAsia="Aptos" w:hAnsiTheme="minorHAnsi" w:cstheme="minorHAnsi"/>
          <w:sz w:val="36"/>
          <w:szCs w:val="36"/>
        </w:rPr>
        <w:t>Conclusion</w:t>
      </w:r>
      <w:bookmarkEnd w:id="26"/>
    </w:p>
    <w:p w14:paraId="733DCEDC" w14:textId="2C02AB6F" w:rsidR="008D3DF0" w:rsidRDefault="008D3DF0" w:rsidP="00C83BE7">
      <w:pPr>
        <w:spacing w:after="0" w:line="276" w:lineRule="auto"/>
        <w:rPr>
          <w:rFonts w:asciiTheme="minorHAnsi" w:hAnsiTheme="minorHAnsi" w:cstheme="minorHAnsi"/>
        </w:rPr>
      </w:pPr>
      <w:r w:rsidRPr="00C912C2">
        <w:rPr>
          <w:rFonts w:asciiTheme="minorHAnsi" w:hAnsiTheme="minorHAnsi" w:cstheme="minorHAnsi"/>
        </w:rPr>
        <w:t xml:space="preserve">TD Bank's strategic acquisition of WiTricity technology marks a transformative step in advancing electric vehicle (EV) wireless charging technology in Canada. As part of TD Bank's ongoing commitment to sustainability and innovation, this initiative will position the bank as a </w:t>
      </w:r>
      <w:r w:rsidR="0040045D" w:rsidRPr="00C912C2">
        <w:rPr>
          <w:rFonts w:asciiTheme="minorHAnsi" w:hAnsiTheme="minorHAnsi" w:cstheme="minorHAnsi"/>
        </w:rPr>
        <w:t>critical</w:t>
      </w:r>
      <w:r w:rsidRPr="00C912C2">
        <w:rPr>
          <w:rFonts w:asciiTheme="minorHAnsi" w:hAnsiTheme="minorHAnsi" w:cstheme="minorHAnsi"/>
        </w:rPr>
        <w:t xml:space="preserve"> leader in green technology by strengthening its role in the evolving EV ecosystem. By leveraging WiTricity's latest wireless charging solutions</w:t>
      </w:r>
      <w:r w:rsidR="00D05B36" w:rsidRPr="00C912C2">
        <w:rPr>
          <w:rFonts w:asciiTheme="minorHAnsi" w:hAnsiTheme="minorHAnsi" w:cstheme="minorHAnsi"/>
        </w:rPr>
        <w:t xml:space="preserve">, </w:t>
      </w:r>
      <w:r w:rsidRPr="00C912C2">
        <w:rPr>
          <w:rFonts w:asciiTheme="minorHAnsi" w:hAnsiTheme="minorHAnsi" w:cstheme="minorHAnsi"/>
        </w:rPr>
        <w:t xml:space="preserve">TD Bank </w:t>
      </w:r>
      <w:r w:rsidR="0040045D" w:rsidRPr="00C912C2">
        <w:rPr>
          <w:rFonts w:asciiTheme="minorHAnsi" w:hAnsiTheme="minorHAnsi" w:cstheme="minorHAnsi"/>
        </w:rPr>
        <w:t xml:space="preserve">contributes to the growth of cleaner and more efficient transportation systems while </w:t>
      </w:r>
      <w:r w:rsidRPr="00C912C2">
        <w:rPr>
          <w:rFonts w:asciiTheme="minorHAnsi" w:hAnsiTheme="minorHAnsi" w:cstheme="minorHAnsi"/>
        </w:rPr>
        <w:t>supporting the transition to a greener future.</w:t>
      </w:r>
      <w:r w:rsidRPr="00C912C2">
        <w:rPr>
          <w:rFonts w:asciiTheme="minorHAnsi" w:hAnsiTheme="minorHAnsi" w:cstheme="minorHAnsi"/>
        </w:rPr>
        <w:br/>
        <w:t xml:space="preserve">Through this Request for Information (RFI), we, the ProcessPro Partners, intend to gather critical information from TD Bank regarding the infrastructure, technical requirements and potential challenges associated with the acquisition. The information </w:t>
      </w:r>
      <w:r w:rsidR="0040045D" w:rsidRPr="00C912C2">
        <w:rPr>
          <w:rFonts w:asciiTheme="minorHAnsi" w:hAnsiTheme="minorHAnsi" w:cstheme="minorHAnsi"/>
        </w:rPr>
        <w:t>collected</w:t>
      </w:r>
      <w:r w:rsidRPr="00C912C2">
        <w:rPr>
          <w:rFonts w:asciiTheme="minorHAnsi" w:hAnsiTheme="minorHAnsi" w:cstheme="minorHAnsi"/>
        </w:rPr>
        <w:t xml:space="preserve"> is </w:t>
      </w:r>
      <w:r w:rsidR="0040045D" w:rsidRPr="00C912C2">
        <w:rPr>
          <w:rFonts w:asciiTheme="minorHAnsi" w:hAnsiTheme="minorHAnsi" w:cstheme="minorHAnsi"/>
        </w:rPr>
        <w:t>essential to</w:t>
      </w:r>
      <w:r w:rsidRPr="00C912C2">
        <w:rPr>
          <w:rFonts w:asciiTheme="minorHAnsi" w:hAnsiTheme="minorHAnsi" w:cstheme="minorHAnsi"/>
        </w:rPr>
        <w:t xml:space="preserve"> defining synergies between TD Bank's existing operations and WiTricity's advanced technology for a smooth integration process. This effort will pave the way for developing an effective implementation plan that maximizes the value of wireless charging solutions for TD Bank and its customers.</w:t>
      </w:r>
      <w:r w:rsidRPr="00C912C2">
        <w:rPr>
          <w:rFonts w:asciiTheme="minorHAnsi" w:hAnsiTheme="minorHAnsi" w:cstheme="minorHAnsi"/>
        </w:rPr>
        <w:br/>
        <w:t xml:space="preserve">The RFI process </w:t>
      </w:r>
      <w:r w:rsidR="0040045D" w:rsidRPr="00C912C2">
        <w:rPr>
          <w:rFonts w:asciiTheme="minorHAnsi" w:hAnsiTheme="minorHAnsi" w:cstheme="minorHAnsi"/>
        </w:rPr>
        <w:t>assesses</w:t>
      </w:r>
      <w:r w:rsidRPr="00C912C2">
        <w:rPr>
          <w:rFonts w:asciiTheme="minorHAnsi" w:hAnsiTheme="minorHAnsi" w:cstheme="minorHAnsi"/>
        </w:rPr>
        <w:t xml:space="preserve"> the high-level business, functional and technical requirements necessary </w:t>
      </w:r>
      <w:r w:rsidR="0040045D" w:rsidRPr="00C912C2">
        <w:rPr>
          <w:rFonts w:asciiTheme="minorHAnsi" w:hAnsiTheme="minorHAnsi" w:cstheme="minorHAnsi"/>
        </w:rPr>
        <w:t>to implement WiTricity's technology successfully</w:t>
      </w:r>
      <w:r w:rsidRPr="00C912C2">
        <w:rPr>
          <w:rFonts w:asciiTheme="minorHAnsi" w:hAnsiTheme="minorHAnsi" w:cstheme="minorHAnsi"/>
        </w:rPr>
        <w:t>. TD Bank can ensure that the new charging infrastructure meets and exceeds industry standards by meeting these requirements. This move is expected to improve customer satisfaction, promote wider adoption of electric vehicles</w:t>
      </w:r>
      <w:r w:rsidR="0040045D" w:rsidRPr="00C912C2">
        <w:rPr>
          <w:rFonts w:asciiTheme="minorHAnsi" w:hAnsiTheme="minorHAnsi" w:cstheme="minorHAnsi"/>
        </w:rPr>
        <w:t xml:space="preserve"> and strengthen TD Bank's leadership in Canada's sustainability sector</w:t>
      </w:r>
      <w:r w:rsidRPr="00C912C2">
        <w:rPr>
          <w:rFonts w:asciiTheme="minorHAnsi" w:hAnsiTheme="minorHAnsi" w:cstheme="minorHAnsi"/>
        </w:rPr>
        <w:t>.</w:t>
      </w:r>
      <w:r w:rsidRPr="00C912C2">
        <w:rPr>
          <w:rFonts w:asciiTheme="minorHAnsi" w:hAnsiTheme="minorHAnsi" w:cstheme="minorHAnsi"/>
        </w:rPr>
        <w:br/>
        <w:t xml:space="preserve">It is </w:t>
      </w:r>
      <w:r w:rsidR="0040045D" w:rsidRPr="00C912C2">
        <w:rPr>
          <w:rFonts w:asciiTheme="minorHAnsi" w:hAnsiTheme="minorHAnsi" w:cstheme="minorHAnsi"/>
        </w:rPr>
        <w:t>essential</w:t>
      </w:r>
      <w:r w:rsidRPr="00C912C2">
        <w:rPr>
          <w:rFonts w:asciiTheme="minorHAnsi" w:hAnsiTheme="minorHAnsi" w:cstheme="minorHAnsi"/>
        </w:rPr>
        <w:t xml:space="preserve"> to ensure the confidentiality of the information provided by TD Bank throughout this process. All shared data will be treated strictly confidential and will only be used to evaluate the feasibility of acquiring WiTricity. This transparency fosters trust and collaboration between TD Bank and ProcessPro Partners as we work toward a mutually beneficial outcome.</w:t>
      </w:r>
      <w:r w:rsidRPr="00C912C2">
        <w:rPr>
          <w:rFonts w:asciiTheme="minorHAnsi" w:hAnsiTheme="minorHAnsi" w:cstheme="minorHAnsi"/>
        </w:rPr>
        <w:br/>
        <w:t>To conclude TD Bank's acquisition of WiTricity technology represents a project approach that will shape the future of electric vehicle charging infrastructure in Canada. This strategic investment reinforces TD Bank's commitment to sustainability by expanding its green technology portfolio. We encourage TD Bank's active participation in the RFI process to help develop a comprehensive and well-informed implementation strategy that delivers value to the bank and its customers.</w:t>
      </w:r>
    </w:p>
    <w:p w14:paraId="2DB6075D" w14:textId="77777777" w:rsidR="00470021" w:rsidRDefault="00470021" w:rsidP="00C83BE7">
      <w:pPr>
        <w:spacing w:after="0" w:line="276" w:lineRule="auto"/>
        <w:rPr>
          <w:rFonts w:asciiTheme="minorHAnsi" w:hAnsiTheme="minorHAnsi" w:cstheme="minorHAnsi"/>
        </w:rPr>
      </w:pPr>
    </w:p>
    <w:p w14:paraId="3127E583" w14:textId="77777777" w:rsidR="00470021" w:rsidRDefault="00470021" w:rsidP="00C83BE7">
      <w:pPr>
        <w:spacing w:after="0" w:line="276" w:lineRule="auto"/>
        <w:rPr>
          <w:rFonts w:asciiTheme="minorHAnsi" w:hAnsiTheme="minorHAnsi" w:cstheme="minorHAnsi"/>
        </w:rPr>
      </w:pPr>
    </w:p>
    <w:p w14:paraId="10583A56" w14:textId="77777777" w:rsidR="00470021" w:rsidRDefault="00470021" w:rsidP="00C83BE7">
      <w:pPr>
        <w:spacing w:after="0" w:line="276" w:lineRule="auto"/>
        <w:rPr>
          <w:rFonts w:asciiTheme="minorHAnsi" w:hAnsiTheme="minorHAnsi" w:cstheme="minorHAnsi"/>
        </w:rPr>
      </w:pPr>
    </w:p>
    <w:p w14:paraId="62597F68" w14:textId="77777777" w:rsidR="00470021" w:rsidRDefault="00470021" w:rsidP="00C83BE7">
      <w:pPr>
        <w:spacing w:after="0" w:line="276" w:lineRule="auto"/>
        <w:rPr>
          <w:rFonts w:asciiTheme="minorHAnsi" w:hAnsiTheme="minorHAnsi" w:cstheme="minorHAnsi"/>
        </w:rPr>
      </w:pPr>
    </w:p>
    <w:p w14:paraId="61713CCF" w14:textId="77777777" w:rsidR="00470021" w:rsidRDefault="00470021" w:rsidP="00C83BE7">
      <w:pPr>
        <w:spacing w:after="0" w:line="276" w:lineRule="auto"/>
        <w:rPr>
          <w:rFonts w:asciiTheme="minorHAnsi" w:hAnsiTheme="minorHAnsi" w:cstheme="minorHAnsi"/>
        </w:rPr>
      </w:pPr>
    </w:p>
    <w:p w14:paraId="47276F7E" w14:textId="77777777" w:rsidR="00470021" w:rsidRDefault="00470021" w:rsidP="00C83BE7">
      <w:pPr>
        <w:spacing w:after="0" w:line="276" w:lineRule="auto"/>
        <w:rPr>
          <w:rFonts w:asciiTheme="minorHAnsi" w:hAnsiTheme="minorHAnsi" w:cstheme="minorHAnsi"/>
        </w:rPr>
      </w:pPr>
    </w:p>
    <w:p w14:paraId="2CAEADC5" w14:textId="77777777" w:rsidR="00470021" w:rsidRDefault="00470021" w:rsidP="00C83BE7">
      <w:pPr>
        <w:spacing w:after="0" w:line="276" w:lineRule="auto"/>
        <w:rPr>
          <w:rFonts w:asciiTheme="minorHAnsi" w:hAnsiTheme="minorHAnsi" w:cstheme="minorHAnsi"/>
        </w:rPr>
      </w:pPr>
    </w:p>
    <w:p w14:paraId="2A832E36" w14:textId="77777777" w:rsidR="00470021" w:rsidRDefault="00470021" w:rsidP="00C83BE7">
      <w:pPr>
        <w:spacing w:after="0" w:line="276" w:lineRule="auto"/>
        <w:rPr>
          <w:rFonts w:asciiTheme="minorHAnsi" w:hAnsiTheme="minorHAnsi" w:cstheme="minorHAnsi"/>
        </w:rPr>
      </w:pPr>
    </w:p>
    <w:p w14:paraId="42F323B1" w14:textId="77777777" w:rsidR="00470021" w:rsidRDefault="00470021" w:rsidP="00C83BE7">
      <w:pPr>
        <w:spacing w:after="0" w:line="276" w:lineRule="auto"/>
        <w:rPr>
          <w:rFonts w:asciiTheme="minorHAnsi" w:hAnsiTheme="minorHAnsi" w:cstheme="minorHAnsi"/>
        </w:rPr>
      </w:pPr>
    </w:p>
    <w:p w14:paraId="7DD845AC" w14:textId="77777777" w:rsidR="00470021" w:rsidRDefault="00470021" w:rsidP="00C83BE7">
      <w:pPr>
        <w:spacing w:after="0" w:line="276" w:lineRule="auto"/>
        <w:rPr>
          <w:rFonts w:asciiTheme="minorHAnsi" w:hAnsiTheme="minorHAnsi" w:cstheme="minorHAnsi"/>
        </w:rPr>
      </w:pPr>
    </w:p>
    <w:p w14:paraId="7BAABA89" w14:textId="77777777" w:rsidR="00470021" w:rsidRDefault="00470021" w:rsidP="00C83BE7">
      <w:pPr>
        <w:spacing w:after="0" w:line="276" w:lineRule="auto"/>
        <w:rPr>
          <w:rFonts w:asciiTheme="minorHAnsi" w:hAnsiTheme="minorHAnsi" w:cstheme="minorHAnsi"/>
        </w:rPr>
      </w:pPr>
    </w:p>
    <w:p w14:paraId="07388E3B" w14:textId="77777777" w:rsidR="00470021" w:rsidRPr="00C912C2" w:rsidRDefault="00470021" w:rsidP="00C83BE7">
      <w:pPr>
        <w:spacing w:after="0" w:line="276" w:lineRule="auto"/>
        <w:rPr>
          <w:rFonts w:asciiTheme="minorHAnsi" w:hAnsiTheme="minorHAnsi" w:cstheme="minorHAnsi"/>
        </w:rPr>
      </w:pPr>
    </w:p>
    <w:p w14:paraId="4251EBA3" w14:textId="54861C8A" w:rsidR="005B4DB2" w:rsidRDefault="005B4DB2" w:rsidP="00947AC0">
      <w:pPr>
        <w:pStyle w:val="Heading1"/>
        <w:rPr>
          <w:rFonts w:asciiTheme="minorHAnsi" w:eastAsia="Aptos" w:hAnsiTheme="minorHAnsi" w:cstheme="minorHAnsi"/>
          <w:sz w:val="36"/>
          <w:szCs w:val="36"/>
        </w:rPr>
      </w:pPr>
      <w:bookmarkStart w:id="27" w:name="_Toc178976958"/>
      <w:r w:rsidRPr="00C912C2">
        <w:rPr>
          <w:rFonts w:asciiTheme="minorHAnsi" w:eastAsia="Aptos" w:hAnsiTheme="minorHAnsi" w:cstheme="minorHAnsi"/>
          <w:sz w:val="36"/>
          <w:szCs w:val="36"/>
        </w:rPr>
        <w:lastRenderedPageBreak/>
        <w:t>Call of Action</w:t>
      </w:r>
      <w:bookmarkEnd w:id="27"/>
    </w:p>
    <w:p w14:paraId="1AD42240" w14:textId="77777777" w:rsidR="0008748A" w:rsidRPr="0008748A" w:rsidRDefault="0008748A" w:rsidP="0008748A">
      <w:pPr>
        <w:spacing w:after="0" w:line="276" w:lineRule="auto"/>
        <w:rPr>
          <w:rFonts w:eastAsia="Aptos" w:cs="Calibri"/>
          <w:b/>
          <w:bCs/>
        </w:rPr>
      </w:pPr>
      <w:r w:rsidRPr="0008748A">
        <w:rPr>
          <w:rFonts w:eastAsia="Aptos" w:cs="Calibri"/>
          <w:b/>
          <w:bCs/>
        </w:rPr>
        <w:t>Call of Action</w:t>
      </w:r>
      <w:r w:rsidRPr="0008748A">
        <w:rPr>
          <w:rFonts w:eastAsia="Aptos" w:cs="Calibri"/>
          <w:b/>
          <w:bCs/>
        </w:rPr>
        <w:br/>
        <w:t>Power the Future: TD Bank’s Wireless Revolution with WiTricity!</w:t>
      </w:r>
    </w:p>
    <w:p w14:paraId="5732BAC1" w14:textId="77777777" w:rsidR="0008748A" w:rsidRPr="0008748A" w:rsidRDefault="0008748A" w:rsidP="0008748A">
      <w:pPr>
        <w:spacing w:after="0" w:line="276" w:lineRule="auto"/>
        <w:rPr>
          <w:rFonts w:eastAsia="Aptos" w:cs="Calibri"/>
        </w:rPr>
      </w:pPr>
      <w:r w:rsidRPr="0008748A">
        <w:rPr>
          <w:rFonts w:eastAsia="Aptos" w:cs="Calibri"/>
        </w:rPr>
        <w:t>Process Pro Partners is excited to introduce a game-changing opportunity for TD Bank to lead the future of sustainable innovation. Acquire WiTricity, the global leader in wireless charging technology. This is more than a strategic acquisition. It’s your chance to lead the EV revolution, drive sustainability and create potential growth in a rapidly evolving market.</w:t>
      </w:r>
    </w:p>
    <w:p w14:paraId="50335F38" w14:textId="77777777" w:rsidR="0008748A" w:rsidRPr="0008748A" w:rsidRDefault="0008748A" w:rsidP="0008748A">
      <w:pPr>
        <w:spacing w:after="0" w:line="276" w:lineRule="auto"/>
        <w:rPr>
          <w:rFonts w:eastAsia="Aptos" w:cs="Calibri"/>
        </w:rPr>
      </w:pPr>
      <w:r w:rsidRPr="0008748A">
        <w:rPr>
          <w:rFonts w:eastAsia="Aptos" w:cs="Calibri"/>
        </w:rPr>
        <w:t>With WiTricity’s breakthrough wireless energy transfer solutions TD Bank can be at the forefront of powering the next generation of green technology. This acquisition perfectly aligns with TD Bank’s vision of innovation and environmental leadership. This will offer a sustainable growth and open new financial horizons.</w:t>
      </w:r>
    </w:p>
    <w:p w14:paraId="5DD8D0C4" w14:textId="77777777" w:rsidR="0008748A" w:rsidRPr="0008748A" w:rsidRDefault="0008748A" w:rsidP="0008748A">
      <w:pPr>
        <w:spacing w:after="0" w:line="276" w:lineRule="auto"/>
        <w:rPr>
          <w:rFonts w:eastAsia="Aptos" w:cs="Calibri"/>
          <w:b/>
          <w:bCs/>
        </w:rPr>
      </w:pPr>
      <w:r w:rsidRPr="0008748A">
        <w:rPr>
          <w:rFonts w:eastAsia="Aptos" w:cs="Calibri"/>
          <w:b/>
          <w:bCs/>
        </w:rPr>
        <w:t>Impact for TD Bank:</w:t>
      </w:r>
    </w:p>
    <w:p w14:paraId="61CDDED8" w14:textId="77777777" w:rsidR="0008748A" w:rsidRPr="0008748A" w:rsidRDefault="0008748A" w:rsidP="0008470D">
      <w:pPr>
        <w:numPr>
          <w:ilvl w:val="0"/>
          <w:numId w:val="39"/>
        </w:numPr>
        <w:spacing w:after="0" w:line="276" w:lineRule="auto"/>
        <w:rPr>
          <w:rFonts w:eastAsia="Aptos" w:cs="Calibri"/>
          <w:b/>
          <w:bCs/>
        </w:rPr>
      </w:pPr>
      <w:r w:rsidRPr="0008748A">
        <w:rPr>
          <w:rFonts w:eastAsia="Aptos" w:cs="Calibri"/>
          <w:b/>
          <w:bCs/>
        </w:rPr>
        <w:t xml:space="preserve">Pioneer a New Era: </w:t>
      </w:r>
      <w:r w:rsidRPr="0008748A">
        <w:rPr>
          <w:rFonts w:eastAsia="Aptos" w:cs="Calibri"/>
        </w:rPr>
        <w:t>Establish TD Bank as the financial partner of choice for green technology and sustainable innovation</w:t>
      </w:r>
      <w:r w:rsidRPr="0008748A">
        <w:rPr>
          <w:rFonts w:eastAsia="Aptos" w:cs="Calibri"/>
          <w:b/>
          <w:bCs/>
        </w:rPr>
        <w:t>.</w:t>
      </w:r>
    </w:p>
    <w:p w14:paraId="31EAF709" w14:textId="77777777" w:rsidR="0008748A" w:rsidRPr="0008748A" w:rsidRDefault="0008748A" w:rsidP="0008470D">
      <w:pPr>
        <w:numPr>
          <w:ilvl w:val="0"/>
          <w:numId w:val="39"/>
        </w:numPr>
        <w:spacing w:after="0" w:line="276" w:lineRule="auto"/>
        <w:rPr>
          <w:rFonts w:eastAsia="Aptos" w:cs="Calibri"/>
        </w:rPr>
      </w:pPr>
      <w:r w:rsidRPr="0008748A">
        <w:rPr>
          <w:rFonts w:eastAsia="Aptos" w:cs="Calibri"/>
          <w:b/>
          <w:bCs/>
        </w:rPr>
        <w:t xml:space="preserve">Lead the EV Charge: </w:t>
      </w:r>
      <w:r w:rsidRPr="0008748A">
        <w:rPr>
          <w:rFonts w:eastAsia="Aptos" w:cs="Calibri"/>
        </w:rPr>
        <w:t>Enter the fast-growing electric vehicle market with a disruptive technology that eliminates charging barriers and redefines mobility.</w:t>
      </w:r>
    </w:p>
    <w:p w14:paraId="1E13E3B2" w14:textId="77777777" w:rsidR="0008748A" w:rsidRPr="0008748A" w:rsidRDefault="0008748A" w:rsidP="0008470D">
      <w:pPr>
        <w:numPr>
          <w:ilvl w:val="0"/>
          <w:numId w:val="39"/>
        </w:numPr>
        <w:spacing w:after="0" w:line="276" w:lineRule="auto"/>
        <w:rPr>
          <w:rFonts w:eastAsia="Aptos" w:cs="Calibri"/>
        </w:rPr>
      </w:pPr>
      <w:r w:rsidRPr="0008748A">
        <w:rPr>
          <w:rFonts w:eastAsia="Aptos" w:cs="Calibri"/>
          <w:b/>
          <w:bCs/>
        </w:rPr>
        <w:t xml:space="preserve">Empower Green Finance: </w:t>
      </w:r>
      <w:r w:rsidRPr="0008748A">
        <w:rPr>
          <w:rFonts w:eastAsia="Aptos" w:cs="Calibri"/>
        </w:rPr>
        <w:t>Expand TD Bank’s product offerings with innovative financial solutions tailored to support the booming EV ecosystem and energy transformation.</w:t>
      </w:r>
    </w:p>
    <w:p w14:paraId="7C12EBD1" w14:textId="77777777" w:rsidR="0008748A" w:rsidRPr="0008748A" w:rsidRDefault="0008748A" w:rsidP="0008470D">
      <w:pPr>
        <w:numPr>
          <w:ilvl w:val="0"/>
          <w:numId w:val="39"/>
        </w:numPr>
        <w:spacing w:after="0" w:line="276" w:lineRule="auto"/>
        <w:rPr>
          <w:rFonts w:eastAsia="Aptos" w:cs="Calibri"/>
        </w:rPr>
      </w:pPr>
      <w:r w:rsidRPr="0008748A">
        <w:rPr>
          <w:rFonts w:eastAsia="Aptos" w:cs="Calibri"/>
          <w:b/>
          <w:bCs/>
        </w:rPr>
        <w:t xml:space="preserve">Market Expansion: </w:t>
      </w:r>
      <w:r w:rsidRPr="0008748A">
        <w:rPr>
          <w:rFonts w:eastAsia="Aptos" w:cs="Calibri"/>
        </w:rPr>
        <w:t xml:space="preserve">Tap into new business sectors and collaborations in a rapidly growing tech space. </w:t>
      </w:r>
    </w:p>
    <w:p w14:paraId="7CEDAE0D" w14:textId="77777777" w:rsidR="0008748A" w:rsidRPr="0008748A" w:rsidRDefault="0008748A" w:rsidP="0008748A">
      <w:pPr>
        <w:spacing w:after="0" w:line="276" w:lineRule="auto"/>
        <w:rPr>
          <w:rFonts w:eastAsia="Aptos" w:cs="Calibri"/>
          <w:b/>
          <w:bCs/>
        </w:rPr>
      </w:pPr>
      <w:r w:rsidRPr="0008748A">
        <w:rPr>
          <w:rFonts w:eastAsia="Aptos" w:cs="Calibri"/>
          <w:b/>
          <w:bCs/>
        </w:rPr>
        <w:t>Why Act Now?</w:t>
      </w:r>
    </w:p>
    <w:p w14:paraId="453B361D" w14:textId="3B4C7F42" w:rsidR="0008748A" w:rsidRPr="0008748A" w:rsidRDefault="0008748A" w:rsidP="0008748A">
      <w:pPr>
        <w:spacing w:after="0" w:line="276" w:lineRule="auto"/>
        <w:rPr>
          <w:rFonts w:eastAsia="Aptos" w:cs="Calibri"/>
        </w:rPr>
      </w:pPr>
      <w:r w:rsidRPr="0008748A">
        <w:rPr>
          <w:rFonts w:eastAsia="Aptos" w:cs="Calibri"/>
        </w:rPr>
        <w:t xml:space="preserve">The global shift toward electric mobility and renewable energy is accelerating and TD Bank </w:t>
      </w:r>
      <w:r w:rsidRPr="00F01401">
        <w:rPr>
          <w:rFonts w:eastAsia="Aptos" w:cs="Calibri"/>
        </w:rPr>
        <w:t>can</w:t>
      </w:r>
      <w:r w:rsidRPr="0008748A">
        <w:rPr>
          <w:rFonts w:eastAsia="Aptos" w:cs="Calibri"/>
        </w:rPr>
        <w:t xml:space="preserve"> drive this transformation. This acquisition will fuel innovation, enhance customer value and elevate TD Bank as a global leader in the technology-driven future</w:t>
      </w:r>
    </w:p>
    <w:p w14:paraId="0B97C716" w14:textId="77777777" w:rsidR="0008748A" w:rsidRPr="0008748A" w:rsidRDefault="0008748A" w:rsidP="0008748A">
      <w:pPr>
        <w:spacing w:after="0" w:line="276" w:lineRule="auto"/>
        <w:rPr>
          <w:rFonts w:eastAsia="Aptos" w:cs="Calibri"/>
          <w:b/>
          <w:bCs/>
        </w:rPr>
      </w:pPr>
      <w:r w:rsidRPr="0008748A">
        <w:rPr>
          <w:rFonts w:eastAsia="Aptos" w:cs="Calibri"/>
          <w:b/>
          <w:bCs/>
        </w:rPr>
        <w:t>This is your moment to lead.</w:t>
      </w:r>
    </w:p>
    <w:p w14:paraId="58BD5495" w14:textId="77777777" w:rsidR="0008748A" w:rsidRPr="0008748A" w:rsidRDefault="0008748A" w:rsidP="0008748A">
      <w:pPr>
        <w:spacing w:after="0" w:line="276" w:lineRule="auto"/>
        <w:rPr>
          <w:rFonts w:eastAsia="Aptos" w:cs="Calibri"/>
        </w:rPr>
      </w:pPr>
      <w:r w:rsidRPr="0008748A">
        <w:rPr>
          <w:rFonts w:eastAsia="Aptos" w:cs="Calibri"/>
        </w:rPr>
        <w:t>Process Pro Partners is here to guide TD Bank through this monumental step. Together we can position TD Bank as the financial leader in the age of wireless energy and sustainable innovation.</w:t>
      </w:r>
      <w:r w:rsidRPr="0008748A">
        <w:rPr>
          <w:rFonts w:eastAsia="Aptos" w:cs="Calibri"/>
        </w:rPr>
        <w:br/>
        <w:t> </w:t>
      </w:r>
    </w:p>
    <w:p w14:paraId="2F6DFCCB" w14:textId="3BEC2EAE" w:rsidR="00F01401" w:rsidRPr="0008748A" w:rsidRDefault="0008748A" w:rsidP="0008748A">
      <w:pPr>
        <w:spacing w:after="0" w:line="276" w:lineRule="auto"/>
        <w:rPr>
          <w:rFonts w:eastAsia="Aptos" w:cs="Calibri"/>
          <w:b/>
          <w:bCs/>
        </w:rPr>
      </w:pPr>
      <w:r w:rsidRPr="0008748A">
        <w:rPr>
          <w:rFonts w:eastAsia="Aptos" w:cs="Calibri"/>
          <w:b/>
          <w:bCs/>
        </w:rPr>
        <w:t>Partner with ProcessPro Partners today and embark on a journey of transformative acquisition</w:t>
      </w:r>
      <w:r w:rsidR="00F01401">
        <w:rPr>
          <w:rFonts w:eastAsia="Aptos" w:cs="Calibri"/>
          <w:b/>
          <w:bCs/>
        </w:rPr>
        <w:t>.</w:t>
      </w:r>
    </w:p>
    <w:p w14:paraId="51187455" w14:textId="77777777" w:rsidR="0008748A" w:rsidRPr="0008748A" w:rsidRDefault="0008748A" w:rsidP="0008748A">
      <w:pPr>
        <w:spacing w:after="0" w:line="276" w:lineRule="auto"/>
        <w:rPr>
          <w:rFonts w:eastAsia="Aptos" w:cs="Calibri"/>
          <w:b/>
          <w:bCs/>
        </w:rPr>
      </w:pPr>
      <w:r w:rsidRPr="0008748A">
        <w:rPr>
          <w:rFonts w:eastAsia="Aptos" w:cs="Calibri"/>
          <w:b/>
          <w:bCs/>
        </w:rPr>
        <w:t>Let’s connect to make it happen. Contact us today and let's ignite the revolution.</w:t>
      </w:r>
    </w:p>
    <w:p w14:paraId="3233BB52" w14:textId="77777777" w:rsidR="0008748A" w:rsidRPr="0008748A" w:rsidRDefault="0008748A" w:rsidP="0008748A">
      <w:pPr>
        <w:spacing w:after="0" w:line="276" w:lineRule="auto"/>
        <w:rPr>
          <w:rFonts w:eastAsia="Aptos" w:cs="Calibri"/>
          <w:b/>
          <w:bCs/>
        </w:rPr>
      </w:pPr>
    </w:p>
    <w:p w14:paraId="6A1E956F" w14:textId="77777777" w:rsidR="002E04C9" w:rsidRDefault="002E04C9" w:rsidP="00CB034B">
      <w:pPr>
        <w:spacing w:after="0" w:line="276" w:lineRule="auto"/>
        <w:rPr>
          <w:rFonts w:eastAsia="Aptos" w:cs="Calibri"/>
          <w:b/>
          <w:bCs/>
        </w:rPr>
        <w:sectPr w:rsidR="002E04C9" w:rsidSect="002E04C9">
          <w:pgSz w:w="12240" w:h="15840"/>
          <w:pgMar w:top="1440" w:right="1440" w:bottom="1440" w:left="1440" w:header="708" w:footer="708" w:gutter="0"/>
          <w:pgNumType w:start="3"/>
          <w:cols w:space="708"/>
          <w:titlePg/>
          <w:docGrid w:linePitch="360"/>
        </w:sectPr>
      </w:pPr>
    </w:p>
    <w:p w14:paraId="25BFF4EB" w14:textId="77777777" w:rsidR="002326DB" w:rsidRPr="00CB034B" w:rsidRDefault="002326DB" w:rsidP="00CB034B">
      <w:pPr>
        <w:spacing w:after="0" w:line="276" w:lineRule="auto"/>
        <w:rPr>
          <w:rFonts w:eastAsia="Aptos" w:cs="Calibri"/>
          <w:b/>
          <w:bCs/>
        </w:rPr>
      </w:pPr>
    </w:p>
    <w:p w14:paraId="7282C2B3" w14:textId="6AD02D31" w:rsidR="00121DB8" w:rsidRPr="00C912C2" w:rsidRDefault="00121DB8" w:rsidP="00947AC0">
      <w:pPr>
        <w:pStyle w:val="Heading1"/>
        <w:rPr>
          <w:rFonts w:asciiTheme="minorHAnsi" w:eastAsia="Aptos" w:hAnsiTheme="minorHAnsi" w:cstheme="minorHAnsi"/>
          <w:sz w:val="36"/>
          <w:szCs w:val="36"/>
        </w:rPr>
      </w:pPr>
      <w:bookmarkStart w:id="28" w:name="_Toc178976959"/>
      <w:r w:rsidRPr="00C912C2">
        <w:rPr>
          <w:rFonts w:asciiTheme="minorHAnsi" w:eastAsia="Aptos" w:hAnsiTheme="minorHAnsi" w:cstheme="minorHAnsi"/>
          <w:sz w:val="36"/>
          <w:szCs w:val="36"/>
        </w:rPr>
        <w:t>References</w:t>
      </w:r>
      <w:bookmarkEnd w:id="28"/>
    </w:p>
    <w:p w14:paraId="07C5A0DE" w14:textId="34D9750D" w:rsidR="00121DB8" w:rsidRPr="00C912C2" w:rsidRDefault="00121DB8" w:rsidP="00FF2BB2">
      <w:pPr>
        <w:spacing w:line="276" w:lineRule="auto"/>
        <w:rPr>
          <w:rFonts w:asciiTheme="minorHAnsi" w:hAnsiTheme="minorHAnsi" w:cstheme="minorHAnsi"/>
        </w:rPr>
      </w:pPr>
      <w:r w:rsidRPr="00C912C2">
        <w:rPr>
          <w:rFonts w:asciiTheme="minorHAnsi" w:hAnsiTheme="minorHAnsi" w:cstheme="minorHAnsi"/>
        </w:rPr>
        <w:t xml:space="preserve">TD Bank. (n.d.). Our Roots. </w:t>
      </w:r>
      <w:hyperlink r:id="rId17" w:history="1">
        <w:r w:rsidR="00732812" w:rsidRPr="008B6AD4">
          <w:rPr>
            <w:rStyle w:val="Hyperlink"/>
            <w:rFonts w:asciiTheme="minorHAnsi" w:hAnsiTheme="minorHAnsi" w:cstheme="minorHAnsi"/>
          </w:rPr>
          <w:t>https://www.td.com/ca/en/about-td/corporate-profile/tds-history/our-roots</w:t>
        </w:r>
      </w:hyperlink>
      <w:r w:rsidRPr="00C912C2">
        <w:rPr>
          <w:rFonts w:asciiTheme="minorHAnsi" w:hAnsiTheme="minorHAnsi" w:cstheme="minorHAnsi"/>
        </w:rPr>
        <w:t xml:space="preserve"> </w:t>
      </w:r>
    </w:p>
    <w:p w14:paraId="038AF27C" w14:textId="2FE9369F" w:rsidR="002E04B8" w:rsidRPr="00732812" w:rsidRDefault="00121DB8" w:rsidP="00FF2BB2">
      <w:pPr>
        <w:spacing w:line="276" w:lineRule="auto"/>
        <w:jc w:val="left"/>
        <w:rPr>
          <w:rFonts w:asciiTheme="minorHAnsi" w:hAnsiTheme="minorHAnsi" w:cstheme="minorHAnsi"/>
          <w:lang w:val="fr-FR"/>
        </w:rPr>
      </w:pPr>
      <w:r w:rsidRPr="00C912C2">
        <w:rPr>
          <w:rFonts w:asciiTheme="minorHAnsi" w:hAnsiTheme="minorHAnsi" w:cstheme="minorHAnsi"/>
        </w:rPr>
        <w:t xml:space="preserve">Conestoga College. </w:t>
      </w:r>
      <w:r w:rsidRPr="00732812">
        <w:rPr>
          <w:rFonts w:asciiTheme="minorHAnsi" w:hAnsiTheme="minorHAnsi" w:cstheme="minorHAnsi"/>
          <w:lang w:val="fr-FR"/>
        </w:rPr>
        <w:t>(n.d.). RFI Template.</w:t>
      </w:r>
      <w:r w:rsidR="00732812" w:rsidRPr="00732812">
        <w:rPr>
          <w:rFonts w:asciiTheme="minorHAnsi" w:hAnsiTheme="minorHAnsi" w:cstheme="minorHAnsi"/>
          <w:lang w:val="fr-FR"/>
        </w:rPr>
        <w:t xml:space="preserve"> </w:t>
      </w:r>
      <w:hyperlink r:id="rId18" w:history="1">
        <w:r w:rsidR="00732812" w:rsidRPr="008B6AD4">
          <w:rPr>
            <w:rStyle w:val="Hyperlink"/>
            <w:rFonts w:asciiTheme="minorHAnsi" w:hAnsiTheme="minorHAnsi" w:cstheme="minorHAnsi"/>
            <w:lang w:val="fr-FR"/>
          </w:rPr>
          <w:t>https://conestoga.desire2learn.com/d2l/le/content/1252307/viewContent/26791455/View</w:t>
        </w:r>
      </w:hyperlink>
      <w:r w:rsidRPr="00732812">
        <w:rPr>
          <w:rFonts w:asciiTheme="minorHAnsi" w:hAnsiTheme="minorHAnsi" w:cstheme="minorHAnsi"/>
          <w:lang w:val="fr-FR"/>
        </w:rPr>
        <w:t xml:space="preserve"> </w:t>
      </w:r>
    </w:p>
    <w:p w14:paraId="7F28B71C" w14:textId="7A79ECFF" w:rsidR="002326DB" w:rsidRPr="002326DB" w:rsidRDefault="002326DB" w:rsidP="002326DB">
      <w:pPr>
        <w:spacing w:line="276" w:lineRule="auto"/>
        <w:jc w:val="left"/>
        <w:rPr>
          <w:rFonts w:asciiTheme="minorHAnsi" w:hAnsiTheme="minorHAnsi" w:cstheme="minorHAnsi"/>
        </w:rPr>
      </w:pPr>
      <w:r w:rsidRPr="002326DB">
        <w:rPr>
          <w:rFonts w:asciiTheme="minorHAnsi" w:hAnsiTheme="minorHAnsi" w:cstheme="minorHAnsi"/>
        </w:rPr>
        <w:t xml:space="preserve">TD Economics. (n.d.). Scaling up U.S. electric vehicle production: Opportunities &amp; challenges. TD Economics. </w:t>
      </w:r>
      <w:hyperlink r:id="rId19" w:history="1">
        <w:r w:rsidRPr="008572B5">
          <w:rPr>
            <w:rStyle w:val="Hyperlink"/>
            <w:rFonts w:asciiTheme="minorHAnsi" w:hAnsiTheme="minorHAnsi" w:cstheme="minorHAnsi"/>
          </w:rPr>
          <w:t>https://economics.td.com/us-scaling-up-electric-vehicle-production</w:t>
        </w:r>
      </w:hyperlink>
      <w:r>
        <w:rPr>
          <w:rFonts w:asciiTheme="minorHAnsi" w:hAnsiTheme="minorHAnsi" w:cstheme="minorHAnsi"/>
        </w:rPr>
        <w:t xml:space="preserve"> </w:t>
      </w:r>
    </w:p>
    <w:p w14:paraId="2DB40CB1" w14:textId="2C8A995C" w:rsidR="002326DB" w:rsidRDefault="002326DB" w:rsidP="002326DB">
      <w:pPr>
        <w:spacing w:line="276" w:lineRule="auto"/>
        <w:jc w:val="left"/>
        <w:rPr>
          <w:rFonts w:asciiTheme="minorHAnsi" w:hAnsiTheme="minorHAnsi" w:cstheme="minorHAnsi"/>
        </w:rPr>
      </w:pPr>
      <w:r w:rsidRPr="002326DB">
        <w:rPr>
          <w:rFonts w:asciiTheme="minorHAnsi" w:hAnsiTheme="minorHAnsi" w:cstheme="minorHAnsi"/>
        </w:rPr>
        <w:t>TD Bank Group. (2024). What you need to know about electric cars. TD Stories.</w:t>
      </w:r>
      <w:r w:rsidR="00732812">
        <w:rPr>
          <w:rFonts w:asciiTheme="minorHAnsi" w:hAnsiTheme="minorHAnsi" w:cstheme="minorHAnsi"/>
        </w:rPr>
        <w:t xml:space="preserve"> </w:t>
      </w:r>
      <w:hyperlink r:id="rId20" w:history="1">
        <w:r w:rsidR="00732812" w:rsidRPr="008B6AD4">
          <w:rPr>
            <w:rStyle w:val="Hyperlink"/>
            <w:rFonts w:asciiTheme="minorHAnsi" w:hAnsiTheme="minorHAnsi" w:cstheme="minorHAnsi"/>
          </w:rPr>
          <w:t>https://stories.td.com/us/en/article/what-you-need-to-know-about-electric-cars</w:t>
        </w:r>
      </w:hyperlink>
      <w:r>
        <w:rPr>
          <w:rFonts w:asciiTheme="minorHAnsi" w:hAnsiTheme="minorHAnsi" w:cstheme="minorHAnsi"/>
        </w:rPr>
        <w:t xml:space="preserve"> </w:t>
      </w:r>
    </w:p>
    <w:p w14:paraId="1780C15D" w14:textId="2E585F02" w:rsidR="00FB1D41" w:rsidRPr="00FB1D41" w:rsidRDefault="00FB1D41" w:rsidP="00FB1D41">
      <w:pPr>
        <w:spacing w:line="276" w:lineRule="auto"/>
        <w:jc w:val="left"/>
        <w:rPr>
          <w:rFonts w:asciiTheme="minorHAnsi" w:hAnsiTheme="minorHAnsi" w:cstheme="minorHAnsi"/>
        </w:rPr>
      </w:pPr>
      <w:r w:rsidRPr="00FB1D41">
        <w:rPr>
          <w:rFonts w:asciiTheme="minorHAnsi" w:hAnsiTheme="minorHAnsi" w:cstheme="minorHAnsi"/>
        </w:rPr>
        <w:t>Leadvent Group. (n.d.). The economics of EV charging: Exploring business models and revenue streams. Leadvent Group.</w:t>
      </w:r>
      <w:r w:rsidR="00707308">
        <w:rPr>
          <w:rFonts w:asciiTheme="minorHAnsi" w:hAnsiTheme="minorHAnsi" w:cstheme="minorHAnsi"/>
        </w:rPr>
        <w:t xml:space="preserve"> </w:t>
      </w:r>
      <w:hyperlink r:id="rId21" w:history="1">
        <w:r w:rsidR="00707308" w:rsidRPr="00150878">
          <w:rPr>
            <w:rStyle w:val="Hyperlink"/>
            <w:rFonts w:asciiTheme="minorHAnsi" w:hAnsiTheme="minorHAnsi" w:cstheme="minorHAnsi"/>
          </w:rPr>
          <w:t>https://www.leadventgrp.com/blog/the-economics-of-ev-charging-exploring-business-models-and-revenue-streams</w:t>
        </w:r>
      </w:hyperlink>
    </w:p>
    <w:p w14:paraId="4186C2E2" w14:textId="583A868B" w:rsidR="00FB1D41" w:rsidRPr="00FB1D41" w:rsidRDefault="00FB1D41" w:rsidP="00FB1D41">
      <w:pPr>
        <w:spacing w:line="276" w:lineRule="auto"/>
        <w:jc w:val="left"/>
        <w:rPr>
          <w:rFonts w:asciiTheme="minorHAnsi" w:hAnsiTheme="minorHAnsi" w:cstheme="minorHAnsi"/>
        </w:rPr>
      </w:pPr>
      <w:r w:rsidRPr="00FB1D41">
        <w:rPr>
          <w:rFonts w:asciiTheme="minorHAnsi" w:hAnsiTheme="minorHAnsi" w:cstheme="minorHAnsi"/>
        </w:rPr>
        <w:t>EVBox. (n.d.). 3 DC revenue models: Public EV charging pricing explained. EVBox Blog.</w:t>
      </w:r>
      <w:r w:rsidR="00707308">
        <w:rPr>
          <w:rFonts w:asciiTheme="minorHAnsi" w:hAnsiTheme="minorHAnsi" w:cstheme="minorHAnsi"/>
        </w:rPr>
        <w:t xml:space="preserve"> </w:t>
      </w:r>
      <w:hyperlink r:id="rId22" w:history="1">
        <w:r w:rsidR="00707308" w:rsidRPr="00150878">
          <w:rPr>
            <w:rStyle w:val="Hyperlink"/>
            <w:rFonts w:asciiTheme="minorHAnsi" w:hAnsiTheme="minorHAnsi" w:cstheme="minorHAnsi"/>
          </w:rPr>
          <w:t>https://blog.evbox.com/3-dc-revenue-models</w:t>
        </w:r>
      </w:hyperlink>
    </w:p>
    <w:p w14:paraId="0CA571C6" w14:textId="7631133E" w:rsidR="00483A48" w:rsidRDefault="00FB1D41" w:rsidP="00FB1D41">
      <w:pPr>
        <w:spacing w:line="276" w:lineRule="auto"/>
        <w:jc w:val="left"/>
        <w:rPr>
          <w:rStyle w:val="Hyperlink"/>
          <w:rFonts w:asciiTheme="minorHAnsi" w:hAnsiTheme="minorHAnsi" w:cstheme="minorHAnsi"/>
        </w:rPr>
      </w:pPr>
      <w:r w:rsidRPr="00FB1D41">
        <w:rPr>
          <w:rFonts w:asciiTheme="minorHAnsi" w:hAnsiTheme="minorHAnsi" w:cstheme="minorHAnsi"/>
        </w:rPr>
        <w:t xml:space="preserve">Electrify America. (n.d.). Pricing. Electrify America. </w:t>
      </w:r>
      <w:hyperlink r:id="rId23" w:history="1">
        <w:r w:rsidR="007C565F" w:rsidRPr="00150878">
          <w:rPr>
            <w:rStyle w:val="Hyperlink"/>
            <w:rFonts w:asciiTheme="minorHAnsi" w:hAnsiTheme="minorHAnsi" w:cstheme="minorHAnsi"/>
          </w:rPr>
          <w:t>https://www.electrifyamerica.com/pricing/</w:t>
        </w:r>
      </w:hyperlink>
    </w:p>
    <w:p w14:paraId="5CCB3586" w14:textId="7DDACD62" w:rsidR="00E5024A" w:rsidRPr="00E5024A" w:rsidRDefault="00E5024A" w:rsidP="00E5024A">
      <w:pPr>
        <w:spacing w:line="276" w:lineRule="auto"/>
        <w:jc w:val="left"/>
        <w:rPr>
          <w:rFonts w:asciiTheme="minorHAnsi" w:hAnsiTheme="minorHAnsi" w:cstheme="minorHAnsi"/>
        </w:rPr>
      </w:pPr>
      <w:r w:rsidRPr="00E5024A">
        <w:rPr>
          <w:rFonts w:asciiTheme="minorHAnsi" w:hAnsiTheme="minorHAnsi" w:cstheme="minorHAnsi"/>
        </w:rPr>
        <w:t xml:space="preserve">CBC News. (n.d.). Bank of Canada holds interest rate steady, but warns of potential cuts. </w:t>
      </w:r>
      <w:hyperlink r:id="rId24" w:history="1">
        <w:r w:rsidRPr="00E5024A">
          <w:rPr>
            <w:rStyle w:val="Hyperlink"/>
            <w:rFonts w:asciiTheme="minorHAnsi" w:hAnsiTheme="minorHAnsi" w:cstheme="minorHAnsi"/>
          </w:rPr>
          <w:t>https://www.cbc.ca/news/business/bank-interest-rate-1.7312774</w:t>
        </w:r>
      </w:hyperlink>
    </w:p>
    <w:p w14:paraId="3483059A" w14:textId="4EC21555" w:rsidR="00E5024A" w:rsidRDefault="00E5024A" w:rsidP="00E5024A">
      <w:pPr>
        <w:spacing w:line="276" w:lineRule="auto"/>
        <w:jc w:val="left"/>
        <w:rPr>
          <w:rFonts w:asciiTheme="minorHAnsi" w:hAnsiTheme="minorHAnsi" w:cstheme="minorHAnsi"/>
        </w:rPr>
      </w:pPr>
      <w:r w:rsidRPr="00E5024A">
        <w:rPr>
          <w:rFonts w:asciiTheme="minorHAnsi" w:hAnsiTheme="minorHAnsi" w:cstheme="minorHAnsi"/>
        </w:rPr>
        <w:t xml:space="preserve">TD Bank. (2024, October 2). TD named Best Consumer Digital Bank in North America for fourth consecutive year by Global Finance. </w:t>
      </w:r>
      <w:hyperlink r:id="rId25" w:history="1">
        <w:r w:rsidRPr="00732812">
          <w:rPr>
            <w:rStyle w:val="Hyperlink"/>
            <w:rFonts w:asciiTheme="minorHAnsi" w:hAnsiTheme="minorHAnsi" w:cstheme="minorHAnsi"/>
          </w:rPr>
          <w:t>https://td.mediaroom.com/2024-10-02-TD-named-Best-Consumer-Digital-Bank-in-North-America-for-fourth-consecutive-year-by-Global-Finance</w:t>
        </w:r>
      </w:hyperlink>
    </w:p>
    <w:p w14:paraId="4FC2114A" w14:textId="77777777" w:rsidR="002326DB" w:rsidRDefault="002326DB" w:rsidP="00FF2BB2">
      <w:pPr>
        <w:spacing w:line="276" w:lineRule="auto"/>
        <w:jc w:val="left"/>
        <w:rPr>
          <w:rFonts w:asciiTheme="minorHAnsi" w:hAnsiTheme="minorHAnsi" w:cstheme="minorHAnsi"/>
        </w:rPr>
      </w:pPr>
    </w:p>
    <w:p w14:paraId="542F21D3" w14:textId="77777777" w:rsidR="00FA77F2" w:rsidRDefault="00FA77F2" w:rsidP="00FF2BB2">
      <w:pPr>
        <w:spacing w:line="276" w:lineRule="auto"/>
        <w:jc w:val="left"/>
        <w:rPr>
          <w:rFonts w:asciiTheme="minorHAnsi" w:hAnsiTheme="minorHAnsi" w:cstheme="minorHAnsi"/>
        </w:rPr>
      </w:pPr>
    </w:p>
    <w:p w14:paraId="1D0ADEA7" w14:textId="1F00FA31" w:rsidR="00121DB8" w:rsidRPr="00C912C2" w:rsidRDefault="00121DB8" w:rsidP="00FF2BB2">
      <w:pPr>
        <w:spacing w:line="276" w:lineRule="auto"/>
        <w:jc w:val="left"/>
        <w:rPr>
          <w:rFonts w:asciiTheme="minorHAnsi" w:hAnsiTheme="minorHAnsi" w:cstheme="minorHAnsi"/>
        </w:rPr>
      </w:pPr>
      <w:r w:rsidRPr="00C912C2">
        <w:rPr>
          <w:rFonts w:asciiTheme="minorHAnsi" w:hAnsiTheme="minorHAnsi" w:cstheme="minorHAnsi"/>
        </w:rPr>
        <w:br/>
      </w:r>
    </w:p>
    <w:p w14:paraId="46120AFC" w14:textId="77777777" w:rsidR="005B4DB2" w:rsidRPr="00C912C2" w:rsidRDefault="005B4DB2" w:rsidP="00FF2BB2">
      <w:pPr>
        <w:spacing w:line="276" w:lineRule="auto"/>
        <w:rPr>
          <w:rFonts w:asciiTheme="minorHAnsi" w:hAnsiTheme="minorHAnsi" w:cstheme="minorHAnsi"/>
          <w:sz w:val="20"/>
          <w:szCs w:val="20"/>
        </w:rPr>
      </w:pPr>
    </w:p>
    <w:p w14:paraId="6D7B1B34" w14:textId="77777777" w:rsidR="004C5F87" w:rsidRPr="00C912C2" w:rsidRDefault="004C5F87" w:rsidP="00947AC0">
      <w:pPr>
        <w:ind w:left="2880"/>
        <w:rPr>
          <w:rFonts w:asciiTheme="minorHAnsi" w:hAnsiTheme="minorHAnsi" w:cstheme="minorHAnsi"/>
        </w:rPr>
      </w:pPr>
    </w:p>
    <w:sectPr w:rsidR="004C5F87" w:rsidRPr="00C912C2" w:rsidSect="002E04C9">
      <w:pgSz w:w="12240" w:h="15840"/>
      <w:pgMar w:top="1440" w:right="1440" w:bottom="1440" w:left="1440" w:header="708" w:footer="708" w:gutter="0"/>
      <w:pgNumType w:fmt="lowerRoman"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4B68A" w14:textId="77777777" w:rsidR="00AD4AF1" w:rsidRDefault="00AD4AF1" w:rsidP="00121DB8">
      <w:pPr>
        <w:spacing w:after="0" w:line="240" w:lineRule="auto"/>
      </w:pPr>
      <w:r>
        <w:separator/>
      </w:r>
    </w:p>
  </w:endnote>
  <w:endnote w:type="continuationSeparator" w:id="0">
    <w:p w14:paraId="08C86F53" w14:textId="77777777" w:rsidR="00AD4AF1" w:rsidRDefault="00AD4AF1" w:rsidP="00121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6961119"/>
      <w:docPartObj>
        <w:docPartGallery w:val="Page Numbers (Bottom of Page)"/>
        <w:docPartUnique/>
      </w:docPartObj>
    </w:sdtPr>
    <w:sdtEndPr>
      <w:rPr>
        <w:noProof/>
      </w:rPr>
    </w:sdtEndPr>
    <w:sdtContent>
      <w:p w14:paraId="0C2C2E48" w14:textId="2862EF97" w:rsidR="00B66893" w:rsidRDefault="00B668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114AB7" w14:textId="77777777" w:rsidR="00121DB8" w:rsidRDefault="00121D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4090345"/>
      <w:docPartObj>
        <w:docPartGallery w:val="Page Numbers (Bottom of Page)"/>
        <w:docPartUnique/>
      </w:docPartObj>
    </w:sdtPr>
    <w:sdtEndPr>
      <w:rPr>
        <w:noProof/>
      </w:rPr>
    </w:sdtEndPr>
    <w:sdtContent>
      <w:p w14:paraId="2C6996F6" w14:textId="436680CB" w:rsidR="002E04C9" w:rsidRDefault="002E04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14CFCB" w14:textId="77777777" w:rsidR="002E04C9" w:rsidRDefault="002E0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C157F" w14:textId="77777777" w:rsidR="00AD4AF1" w:rsidRDefault="00AD4AF1" w:rsidP="00121DB8">
      <w:pPr>
        <w:spacing w:after="0" w:line="240" w:lineRule="auto"/>
      </w:pPr>
      <w:r>
        <w:separator/>
      </w:r>
    </w:p>
  </w:footnote>
  <w:footnote w:type="continuationSeparator" w:id="0">
    <w:p w14:paraId="4EB09941" w14:textId="77777777" w:rsidR="00AD4AF1" w:rsidRDefault="00AD4AF1" w:rsidP="00121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D946C" w14:textId="371F8696" w:rsidR="00121DB8" w:rsidRDefault="00121DB8">
    <w:pPr>
      <w:pStyle w:val="Header"/>
    </w:pPr>
    <w:r w:rsidRPr="00BD797E">
      <w:rPr>
        <w:rFonts w:cs="Calibri"/>
        <w:noProof/>
      </w:rPr>
      <w:drawing>
        <wp:anchor distT="0" distB="0" distL="114300" distR="114300" simplePos="0" relativeHeight="251659264" behindDoc="1" locked="0" layoutInCell="1" allowOverlap="1" wp14:anchorId="4F7B0241" wp14:editId="122BB7A3">
          <wp:simplePos x="0" y="0"/>
          <wp:positionH relativeFrom="margin">
            <wp:posOffset>6144491</wp:posOffset>
          </wp:positionH>
          <wp:positionV relativeFrom="page">
            <wp:posOffset>213591</wp:posOffset>
          </wp:positionV>
          <wp:extent cx="445135" cy="457200"/>
          <wp:effectExtent l="0" t="0" r="0" b="0"/>
          <wp:wrapThrough wrapText="bothSides">
            <wp:wrapPolygon edited="0">
              <wp:start x="0" y="0"/>
              <wp:lineTo x="0" y="20700"/>
              <wp:lineTo x="20337" y="20700"/>
              <wp:lineTo x="20337" y="0"/>
              <wp:lineTo x="0" y="0"/>
            </wp:wrapPolygon>
          </wp:wrapThrough>
          <wp:docPr id="759757431"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24092" name="Picture 2" descr="A logo for a company&#10;&#10;Description automatically generated"/>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7064" t="15948" r="16496" b="15944"/>
                  <a:stretch/>
                </pic:blipFill>
                <pic:spPr bwMode="auto">
                  <a:xfrm>
                    <a:off x="0" y="0"/>
                    <a:ext cx="445135"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4EA1"/>
    <w:multiLevelType w:val="hybridMultilevel"/>
    <w:tmpl w:val="8110D2F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B6D0EC3"/>
    <w:multiLevelType w:val="hybridMultilevel"/>
    <w:tmpl w:val="A9BE8A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2669B6"/>
    <w:multiLevelType w:val="hybridMultilevel"/>
    <w:tmpl w:val="529EFC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C757B1D"/>
    <w:multiLevelType w:val="hybridMultilevel"/>
    <w:tmpl w:val="9044F7F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20964A5A"/>
    <w:multiLevelType w:val="hybridMultilevel"/>
    <w:tmpl w:val="23BE71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20982BCE"/>
    <w:multiLevelType w:val="hybridMultilevel"/>
    <w:tmpl w:val="97E809B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23215BE3"/>
    <w:multiLevelType w:val="multilevel"/>
    <w:tmpl w:val="8C98141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FC70D9"/>
    <w:multiLevelType w:val="hybridMultilevel"/>
    <w:tmpl w:val="E7CE8B9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2C376C62"/>
    <w:multiLevelType w:val="hybridMultilevel"/>
    <w:tmpl w:val="557E40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D677678"/>
    <w:multiLevelType w:val="hybridMultilevel"/>
    <w:tmpl w:val="4A5613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2D96153C"/>
    <w:multiLevelType w:val="hybridMultilevel"/>
    <w:tmpl w:val="8F0C30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32C97C38"/>
    <w:multiLevelType w:val="hybridMultilevel"/>
    <w:tmpl w:val="721AB21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33E05835"/>
    <w:multiLevelType w:val="hybridMultilevel"/>
    <w:tmpl w:val="3E327FD0"/>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37D80D9C"/>
    <w:multiLevelType w:val="hybridMultilevel"/>
    <w:tmpl w:val="B5B6B65E"/>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38D862AB"/>
    <w:multiLevelType w:val="hybridMultilevel"/>
    <w:tmpl w:val="2D604234"/>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39A4072F"/>
    <w:multiLevelType w:val="hybridMultilevel"/>
    <w:tmpl w:val="9D3EE1F2"/>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3B3D5B51"/>
    <w:multiLevelType w:val="hybridMultilevel"/>
    <w:tmpl w:val="1C04498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3EDC45A0"/>
    <w:multiLevelType w:val="hybridMultilevel"/>
    <w:tmpl w:val="B27A98A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401C44AF"/>
    <w:multiLevelType w:val="hybridMultilevel"/>
    <w:tmpl w:val="7480DAF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41C73EC1"/>
    <w:multiLevelType w:val="hybridMultilevel"/>
    <w:tmpl w:val="4B8C8900"/>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1D82A55"/>
    <w:multiLevelType w:val="hybridMultilevel"/>
    <w:tmpl w:val="FDAC46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29C2257"/>
    <w:multiLevelType w:val="hybridMultilevel"/>
    <w:tmpl w:val="52D05B4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43E0247C"/>
    <w:multiLevelType w:val="hybridMultilevel"/>
    <w:tmpl w:val="2DB4AE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4413061"/>
    <w:multiLevelType w:val="hybridMultilevel"/>
    <w:tmpl w:val="6D20E15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447B59FD"/>
    <w:multiLevelType w:val="hybridMultilevel"/>
    <w:tmpl w:val="3B14F3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6031934"/>
    <w:multiLevelType w:val="hybridMultilevel"/>
    <w:tmpl w:val="3EA47B7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497F5C12"/>
    <w:multiLevelType w:val="hybridMultilevel"/>
    <w:tmpl w:val="E9C85C18"/>
    <w:lvl w:ilvl="0" w:tplc="7F42AE8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9C541F2"/>
    <w:multiLevelType w:val="multilevel"/>
    <w:tmpl w:val="238E7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3A57D0"/>
    <w:multiLevelType w:val="hybridMultilevel"/>
    <w:tmpl w:val="315010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9" w15:restartNumberingAfterBreak="0">
    <w:nsid w:val="4DA901B2"/>
    <w:multiLevelType w:val="hybridMultilevel"/>
    <w:tmpl w:val="87A8C650"/>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4F0A746F"/>
    <w:multiLevelType w:val="hybridMultilevel"/>
    <w:tmpl w:val="90EEA87A"/>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1" w15:restartNumberingAfterBreak="0">
    <w:nsid w:val="4FD975F0"/>
    <w:multiLevelType w:val="hybridMultilevel"/>
    <w:tmpl w:val="A76091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2" w15:restartNumberingAfterBreak="0">
    <w:nsid w:val="5A675C0B"/>
    <w:multiLevelType w:val="hybridMultilevel"/>
    <w:tmpl w:val="1C7E7684"/>
    <w:lvl w:ilvl="0" w:tplc="465EDC5A">
      <w:start w:val="1"/>
      <w:numFmt w:val="bullet"/>
      <w:lvlText w:val=""/>
      <w:lvlJc w:val="left"/>
      <w:pPr>
        <w:ind w:left="1440" w:hanging="360"/>
      </w:pPr>
      <w:rPr>
        <w:rFonts w:ascii="Symbol" w:hAnsi="Symbol" w:hint="default"/>
        <w:sz w:val="22"/>
        <w:szCs w:val="22"/>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3" w15:restartNumberingAfterBreak="0">
    <w:nsid w:val="5C526D4C"/>
    <w:multiLevelType w:val="hybridMultilevel"/>
    <w:tmpl w:val="AB742FA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4" w15:restartNumberingAfterBreak="0">
    <w:nsid w:val="5E1928AB"/>
    <w:multiLevelType w:val="hybridMultilevel"/>
    <w:tmpl w:val="6FC087B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5" w15:restartNumberingAfterBreak="0">
    <w:nsid w:val="60321CE3"/>
    <w:multiLevelType w:val="hybridMultilevel"/>
    <w:tmpl w:val="BCC8BBE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6" w15:restartNumberingAfterBreak="0">
    <w:nsid w:val="623B4870"/>
    <w:multiLevelType w:val="hybridMultilevel"/>
    <w:tmpl w:val="7354F13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7" w15:restartNumberingAfterBreak="0">
    <w:nsid w:val="6412620F"/>
    <w:multiLevelType w:val="hybridMultilevel"/>
    <w:tmpl w:val="F39EBC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FDE7239"/>
    <w:multiLevelType w:val="hybridMultilevel"/>
    <w:tmpl w:val="5404A1D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9" w15:restartNumberingAfterBreak="0">
    <w:nsid w:val="71A46BBC"/>
    <w:multiLevelType w:val="hybridMultilevel"/>
    <w:tmpl w:val="EAB6F978"/>
    <w:lvl w:ilvl="0" w:tplc="32904426">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6FE42E9"/>
    <w:multiLevelType w:val="hybridMultilevel"/>
    <w:tmpl w:val="4E8E007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1" w15:restartNumberingAfterBreak="0">
    <w:nsid w:val="7F5647B0"/>
    <w:multiLevelType w:val="hybridMultilevel"/>
    <w:tmpl w:val="F33853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447159869">
    <w:abstractNumId w:val="39"/>
  </w:num>
  <w:num w:numId="2" w16cid:durableId="1714844067">
    <w:abstractNumId w:val="17"/>
  </w:num>
  <w:num w:numId="3" w16cid:durableId="849879027">
    <w:abstractNumId w:val="40"/>
  </w:num>
  <w:num w:numId="4" w16cid:durableId="2057463707">
    <w:abstractNumId w:val="6"/>
  </w:num>
  <w:num w:numId="5" w16cid:durableId="2036421681">
    <w:abstractNumId w:val="12"/>
  </w:num>
  <w:num w:numId="6" w16cid:durableId="890389183">
    <w:abstractNumId w:val="36"/>
  </w:num>
  <w:num w:numId="7" w16cid:durableId="524249490">
    <w:abstractNumId w:val="32"/>
  </w:num>
  <w:num w:numId="8" w16cid:durableId="1477062737">
    <w:abstractNumId w:val="29"/>
  </w:num>
  <w:num w:numId="9" w16cid:durableId="1199926721">
    <w:abstractNumId w:val="30"/>
  </w:num>
  <w:num w:numId="10" w16cid:durableId="177698318">
    <w:abstractNumId w:val="19"/>
  </w:num>
  <w:num w:numId="11" w16cid:durableId="165361621">
    <w:abstractNumId w:val="13"/>
  </w:num>
  <w:num w:numId="12" w16cid:durableId="772288179">
    <w:abstractNumId w:val="15"/>
  </w:num>
  <w:num w:numId="13" w16cid:durableId="1050377846">
    <w:abstractNumId w:val="21"/>
  </w:num>
  <w:num w:numId="14" w16cid:durableId="1644432590">
    <w:abstractNumId w:val="26"/>
  </w:num>
  <w:num w:numId="15" w16cid:durableId="1703282052">
    <w:abstractNumId w:val="14"/>
  </w:num>
  <w:num w:numId="16" w16cid:durableId="486555928">
    <w:abstractNumId w:val="20"/>
  </w:num>
  <w:num w:numId="17" w16cid:durableId="558367835">
    <w:abstractNumId w:val="16"/>
  </w:num>
  <w:num w:numId="18" w16cid:durableId="1305811307">
    <w:abstractNumId w:val="23"/>
  </w:num>
  <w:num w:numId="19" w16cid:durableId="1527791654">
    <w:abstractNumId w:val="9"/>
  </w:num>
  <w:num w:numId="20" w16cid:durableId="300311126">
    <w:abstractNumId w:val="31"/>
  </w:num>
  <w:num w:numId="21" w16cid:durableId="1773351757">
    <w:abstractNumId w:val="1"/>
  </w:num>
  <w:num w:numId="22" w16cid:durableId="1495759954">
    <w:abstractNumId w:val="24"/>
  </w:num>
  <w:num w:numId="23" w16cid:durableId="1712265928">
    <w:abstractNumId w:val="8"/>
  </w:num>
  <w:num w:numId="24" w16cid:durableId="574778031">
    <w:abstractNumId w:val="37"/>
  </w:num>
  <w:num w:numId="25" w16cid:durableId="1197112195">
    <w:abstractNumId w:val="2"/>
  </w:num>
  <w:num w:numId="26" w16cid:durableId="1476217631">
    <w:abstractNumId w:val="10"/>
  </w:num>
  <w:num w:numId="27" w16cid:durableId="743184136">
    <w:abstractNumId w:val="28"/>
  </w:num>
  <w:num w:numId="28" w16cid:durableId="1420640293">
    <w:abstractNumId w:val="22"/>
  </w:num>
  <w:num w:numId="29" w16cid:durableId="1657301663">
    <w:abstractNumId w:val="4"/>
  </w:num>
  <w:num w:numId="30" w16cid:durableId="309016608">
    <w:abstractNumId w:val="35"/>
  </w:num>
  <w:num w:numId="31" w16cid:durableId="83689624">
    <w:abstractNumId w:val="38"/>
  </w:num>
  <w:num w:numId="32" w16cid:durableId="725447559">
    <w:abstractNumId w:val="34"/>
  </w:num>
  <w:num w:numId="33" w16cid:durableId="327829242">
    <w:abstractNumId w:val="5"/>
  </w:num>
  <w:num w:numId="34" w16cid:durableId="1031616134">
    <w:abstractNumId w:val="41"/>
  </w:num>
  <w:num w:numId="35" w16cid:durableId="446313410">
    <w:abstractNumId w:val="33"/>
  </w:num>
  <w:num w:numId="36" w16cid:durableId="963316993">
    <w:abstractNumId w:val="3"/>
  </w:num>
  <w:num w:numId="37" w16cid:durableId="353387091">
    <w:abstractNumId w:val="7"/>
  </w:num>
  <w:num w:numId="38" w16cid:durableId="73213521">
    <w:abstractNumId w:val="11"/>
  </w:num>
  <w:num w:numId="39" w16cid:durableId="974065281">
    <w:abstractNumId w:val="27"/>
  </w:num>
  <w:num w:numId="40" w16cid:durableId="713114095">
    <w:abstractNumId w:val="18"/>
  </w:num>
  <w:num w:numId="41" w16cid:durableId="745298080">
    <w:abstractNumId w:val="25"/>
  </w:num>
  <w:num w:numId="42" w16cid:durableId="1799059663">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B2"/>
    <w:rsid w:val="00031815"/>
    <w:rsid w:val="00032126"/>
    <w:rsid w:val="00037D4C"/>
    <w:rsid w:val="00060F0A"/>
    <w:rsid w:val="0008470D"/>
    <w:rsid w:val="0008748A"/>
    <w:rsid w:val="000D382F"/>
    <w:rsid w:val="000E4406"/>
    <w:rsid w:val="0010547F"/>
    <w:rsid w:val="00121DB8"/>
    <w:rsid w:val="00147BA8"/>
    <w:rsid w:val="00152835"/>
    <w:rsid w:val="00174880"/>
    <w:rsid w:val="001758D7"/>
    <w:rsid w:val="001B3191"/>
    <w:rsid w:val="001C2199"/>
    <w:rsid w:val="001C7A06"/>
    <w:rsid w:val="001C7FDB"/>
    <w:rsid w:val="001D2732"/>
    <w:rsid w:val="00204F2D"/>
    <w:rsid w:val="002326DB"/>
    <w:rsid w:val="002B5303"/>
    <w:rsid w:val="002C252E"/>
    <w:rsid w:val="002C2AB0"/>
    <w:rsid w:val="002E04B8"/>
    <w:rsid w:val="002E04C9"/>
    <w:rsid w:val="002E7273"/>
    <w:rsid w:val="0030306A"/>
    <w:rsid w:val="00351C0C"/>
    <w:rsid w:val="00354843"/>
    <w:rsid w:val="00381B88"/>
    <w:rsid w:val="003B49CC"/>
    <w:rsid w:val="003C02EF"/>
    <w:rsid w:val="003E2E4C"/>
    <w:rsid w:val="003F461B"/>
    <w:rsid w:val="003F6C20"/>
    <w:rsid w:val="0040045D"/>
    <w:rsid w:val="00405320"/>
    <w:rsid w:val="0042574F"/>
    <w:rsid w:val="0042694B"/>
    <w:rsid w:val="00434678"/>
    <w:rsid w:val="004378F1"/>
    <w:rsid w:val="0044433F"/>
    <w:rsid w:val="00445888"/>
    <w:rsid w:val="00453FC4"/>
    <w:rsid w:val="00470021"/>
    <w:rsid w:val="004774B2"/>
    <w:rsid w:val="00483A48"/>
    <w:rsid w:val="004906C3"/>
    <w:rsid w:val="004C0113"/>
    <w:rsid w:val="004C2A91"/>
    <w:rsid w:val="004C57E9"/>
    <w:rsid w:val="004C5F87"/>
    <w:rsid w:val="004C7135"/>
    <w:rsid w:val="004D4484"/>
    <w:rsid w:val="004F23CE"/>
    <w:rsid w:val="00517814"/>
    <w:rsid w:val="00543DEC"/>
    <w:rsid w:val="00561C81"/>
    <w:rsid w:val="00575CBE"/>
    <w:rsid w:val="00593F82"/>
    <w:rsid w:val="005979DD"/>
    <w:rsid w:val="005A711B"/>
    <w:rsid w:val="005B0B63"/>
    <w:rsid w:val="005B4DB2"/>
    <w:rsid w:val="005C4569"/>
    <w:rsid w:val="005F7F2F"/>
    <w:rsid w:val="00610C01"/>
    <w:rsid w:val="00637860"/>
    <w:rsid w:val="00653A46"/>
    <w:rsid w:val="00655B9E"/>
    <w:rsid w:val="006600B1"/>
    <w:rsid w:val="006670EA"/>
    <w:rsid w:val="00672854"/>
    <w:rsid w:val="006A7180"/>
    <w:rsid w:val="006D5027"/>
    <w:rsid w:val="006E1E3E"/>
    <w:rsid w:val="006F785F"/>
    <w:rsid w:val="00705CAB"/>
    <w:rsid w:val="00707308"/>
    <w:rsid w:val="00717CDF"/>
    <w:rsid w:val="00732812"/>
    <w:rsid w:val="00735592"/>
    <w:rsid w:val="00741551"/>
    <w:rsid w:val="007422FB"/>
    <w:rsid w:val="0075400F"/>
    <w:rsid w:val="007575CA"/>
    <w:rsid w:val="00765488"/>
    <w:rsid w:val="007A5B92"/>
    <w:rsid w:val="007C565F"/>
    <w:rsid w:val="007D511A"/>
    <w:rsid w:val="007D5CDA"/>
    <w:rsid w:val="007F4AA5"/>
    <w:rsid w:val="00805541"/>
    <w:rsid w:val="00806D5D"/>
    <w:rsid w:val="00827948"/>
    <w:rsid w:val="00832C92"/>
    <w:rsid w:val="00843B36"/>
    <w:rsid w:val="00852872"/>
    <w:rsid w:val="00864CC4"/>
    <w:rsid w:val="008A0EE7"/>
    <w:rsid w:val="008A3BBD"/>
    <w:rsid w:val="008B3754"/>
    <w:rsid w:val="008B5C7B"/>
    <w:rsid w:val="008B7340"/>
    <w:rsid w:val="008C499C"/>
    <w:rsid w:val="008D3DF0"/>
    <w:rsid w:val="008E6D36"/>
    <w:rsid w:val="00913BBC"/>
    <w:rsid w:val="00924389"/>
    <w:rsid w:val="00934074"/>
    <w:rsid w:val="00942271"/>
    <w:rsid w:val="00947AC0"/>
    <w:rsid w:val="009876F9"/>
    <w:rsid w:val="009C1EC5"/>
    <w:rsid w:val="009D45A0"/>
    <w:rsid w:val="009F54F8"/>
    <w:rsid w:val="00A10268"/>
    <w:rsid w:val="00A3544F"/>
    <w:rsid w:val="00A3598B"/>
    <w:rsid w:val="00A5021D"/>
    <w:rsid w:val="00A855DA"/>
    <w:rsid w:val="00AB23D3"/>
    <w:rsid w:val="00AD4AF1"/>
    <w:rsid w:val="00AD59D2"/>
    <w:rsid w:val="00AE420E"/>
    <w:rsid w:val="00AF2997"/>
    <w:rsid w:val="00B1041F"/>
    <w:rsid w:val="00B136FA"/>
    <w:rsid w:val="00B30D5F"/>
    <w:rsid w:val="00B31D83"/>
    <w:rsid w:val="00B55B39"/>
    <w:rsid w:val="00B6156F"/>
    <w:rsid w:val="00B66893"/>
    <w:rsid w:val="00B77ECD"/>
    <w:rsid w:val="00BB4341"/>
    <w:rsid w:val="00C16A09"/>
    <w:rsid w:val="00C42DE3"/>
    <w:rsid w:val="00C60732"/>
    <w:rsid w:val="00C60EA2"/>
    <w:rsid w:val="00C63CE1"/>
    <w:rsid w:val="00C645CB"/>
    <w:rsid w:val="00C703DB"/>
    <w:rsid w:val="00C7442B"/>
    <w:rsid w:val="00C7489E"/>
    <w:rsid w:val="00C75372"/>
    <w:rsid w:val="00C761E3"/>
    <w:rsid w:val="00C83BE7"/>
    <w:rsid w:val="00C8591A"/>
    <w:rsid w:val="00C912C2"/>
    <w:rsid w:val="00C94C4C"/>
    <w:rsid w:val="00CA5E77"/>
    <w:rsid w:val="00CB034B"/>
    <w:rsid w:val="00CB0CEA"/>
    <w:rsid w:val="00CF726C"/>
    <w:rsid w:val="00CF7E58"/>
    <w:rsid w:val="00D0093C"/>
    <w:rsid w:val="00D05B36"/>
    <w:rsid w:val="00D27566"/>
    <w:rsid w:val="00D33676"/>
    <w:rsid w:val="00D35F10"/>
    <w:rsid w:val="00D42017"/>
    <w:rsid w:val="00D7258E"/>
    <w:rsid w:val="00DA1FF4"/>
    <w:rsid w:val="00DD13CA"/>
    <w:rsid w:val="00E12EB6"/>
    <w:rsid w:val="00E177BB"/>
    <w:rsid w:val="00E24757"/>
    <w:rsid w:val="00E5024A"/>
    <w:rsid w:val="00E60931"/>
    <w:rsid w:val="00E6250F"/>
    <w:rsid w:val="00E74BBD"/>
    <w:rsid w:val="00E93216"/>
    <w:rsid w:val="00EE7905"/>
    <w:rsid w:val="00F01401"/>
    <w:rsid w:val="00F06B91"/>
    <w:rsid w:val="00F11796"/>
    <w:rsid w:val="00F13872"/>
    <w:rsid w:val="00F22748"/>
    <w:rsid w:val="00F2339C"/>
    <w:rsid w:val="00F273FD"/>
    <w:rsid w:val="00F44433"/>
    <w:rsid w:val="00F53FBB"/>
    <w:rsid w:val="00F86E69"/>
    <w:rsid w:val="00FA77F2"/>
    <w:rsid w:val="00FB1D41"/>
    <w:rsid w:val="00FC76AA"/>
    <w:rsid w:val="00FF2B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7D9457"/>
  <w15:chartTrackingRefBased/>
  <w15:docId w15:val="{6D71AAD4-D2CF-4E71-908B-05BB1C05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DB2"/>
    <w:pPr>
      <w:jc w:val="both"/>
    </w:pPr>
    <w:rPr>
      <w:rFonts w:ascii="Calibri" w:hAnsi="Calibri"/>
    </w:rPr>
  </w:style>
  <w:style w:type="paragraph" w:styleId="Heading1">
    <w:name w:val="heading 1"/>
    <w:basedOn w:val="Normal"/>
    <w:next w:val="Normal"/>
    <w:link w:val="Heading1Char"/>
    <w:uiPriority w:val="9"/>
    <w:qFormat/>
    <w:rsid w:val="005B4D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36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61C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D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4DB2"/>
    <w:pPr>
      <w:jc w:val="left"/>
      <w:outlineLvl w:val="9"/>
    </w:pPr>
    <w:rPr>
      <w:kern w:val="0"/>
      <w:lang w:val="en-US"/>
      <w14:ligatures w14:val="none"/>
    </w:rPr>
  </w:style>
  <w:style w:type="paragraph" w:styleId="TOC1">
    <w:name w:val="toc 1"/>
    <w:basedOn w:val="Normal"/>
    <w:next w:val="Normal"/>
    <w:autoRedefine/>
    <w:uiPriority w:val="39"/>
    <w:unhideWhenUsed/>
    <w:rsid w:val="005B4DB2"/>
    <w:pPr>
      <w:spacing w:after="100"/>
    </w:pPr>
  </w:style>
  <w:style w:type="character" w:styleId="Hyperlink">
    <w:name w:val="Hyperlink"/>
    <w:basedOn w:val="DefaultParagraphFont"/>
    <w:uiPriority w:val="99"/>
    <w:unhideWhenUsed/>
    <w:rsid w:val="005B4DB2"/>
    <w:rPr>
      <w:color w:val="0563C1" w:themeColor="hyperlink"/>
      <w:u w:val="single"/>
    </w:rPr>
  </w:style>
  <w:style w:type="character" w:customStyle="1" w:styleId="Heading2Char">
    <w:name w:val="Heading 2 Char"/>
    <w:basedOn w:val="DefaultParagraphFont"/>
    <w:link w:val="Heading2"/>
    <w:uiPriority w:val="9"/>
    <w:rsid w:val="00B136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61C81"/>
    <w:pPr>
      <w:ind w:left="720"/>
      <w:contextualSpacing/>
      <w:jc w:val="left"/>
    </w:pPr>
    <w:rPr>
      <w:rFonts w:asciiTheme="minorHAnsi" w:hAnsiTheme="minorHAnsi"/>
    </w:rPr>
  </w:style>
  <w:style w:type="character" w:customStyle="1" w:styleId="Heading3Char">
    <w:name w:val="Heading 3 Char"/>
    <w:basedOn w:val="DefaultParagraphFont"/>
    <w:link w:val="Heading3"/>
    <w:uiPriority w:val="9"/>
    <w:semiHidden/>
    <w:rsid w:val="00561C81"/>
    <w:rPr>
      <w:rFonts w:asciiTheme="majorHAnsi" w:eastAsiaTheme="majorEastAsia" w:hAnsiTheme="majorHAnsi" w:cstheme="majorBidi"/>
      <w:color w:val="1F3763" w:themeColor="accent1" w:themeShade="7F"/>
      <w:sz w:val="24"/>
      <w:szCs w:val="24"/>
    </w:rPr>
  </w:style>
  <w:style w:type="table" w:styleId="PlainTable4">
    <w:name w:val="Plain Table 4"/>
    <w:basedOn w:val="TableNormal"/>
    <w:uiPriority w:val="44"/>
    <w:rsid w:val="00561C81"/>
    <w:pPr>
      <w:spacing w:after="0" w:line="240" w:lineRule="auto"/>
    </w:pPr>
    <w:rPr>
      <w:sz w:val="24"/>
      <w:szCs w:val="24"/>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BB4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21DB8"/>
    <w:pPr>
      <w:spacing w:after="100"/>
      <w:ind w:left="220"/>
    </w:pPr>
  </w:style>
  <w:style w:type="character" w:styleId="UnresolvedMention">
    <w:name w:val="Unresolved Mention"/>
    <w:basedOn w:val="DefaultParagraphFont"/>
    <w:uiPriority w:val="99"/>
    <w:semiHidden/>
    <w:unhideWhenUsed/>
    <w:rsid w:val="00121DB8"/>
    <w:rPr>
      <w:color w:val="605E5C"/>
      <w:shd w:val="clear" w:color="auto" w:fill="E1DFDD"/>
    </w:rPr>
  </w:style>
  <w:style w:type="paragraph" w:styleId="Header">
    <w:name w:val="header"/>
    <w:basedOn w:val="Normal"/>
    <w:link w:val="HeaderChar"/>
    <w:uiPriority w:val="99"/>
    <w:unhideWhenUsed/>
    <w:rsid w:val="00121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DB8"/>
    <w:rPr>
      <w:rFonts w:ascii="Calibri" w:hAnsi="Calibri"/>
    </w:rPr>
  </w:style>
  <w:style w:type="paragraph" w:styleId="Footer">
    <w:name w:val="footer"/>
    <w:basedOn w:val="Normal"/>
    <w:link w:val="FooterChar"/>
    <w:uiPriority w:val="99"/>
    <w:unhideWhenUsed/>
    <w:rsid w:val="00121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DB8"/>
    <w:rPr>
      <w:rFonts w:ascii="Calibri" w:hAnsi="Calibri"/>
    </w:rPr>
  </w:style>
  <w:style w:type="character" w:styleId="FollowedHyperlink">
    <w:name w:val="FollowedHyperlink"/>
    <w:basedOn w:val="DefaultParagraphFont"/>
    <w:uiPriority w:val="99"/>
    <w:semiHidden/>
    <w:unhideWhenUsed/>
    <w:rsid w:val="00FB1D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08605">
      <w:bodyDiv w:val="1"/>
      <w:marLeft w:val="0"/>
      <w:marRight w:val="0"/>
      <w:marTop w:val="0"/>
      <w:marBottom w:val="0"/>
      <w:divBdr>
        <w:top w:val="none" w:sz="0" w:space="0" w:color="auto"/>
        <w:left w:val="none" w:sz="0" w:space="0" w:color="auto"/>
        <w:bottom w:val="none" w:sz="0" w:space="0" w:color="auto"/>
        <w:right w:val="none" w:sz="0" w:space="0" w:color="auto"/>
      </w:divBdr>
    </w:div>
    <w:div w:id="85731028">
      <w:bodyDiv w:val="1"/>
      <w:marLeft w:val="0"/>
      <w:marRight w:val="0"/>
      <w:marTop w:val="0"/>
      <w:marBottom w:val="0"/>
      <w:divBdr>
        <w:top w:val="none" w:sz="0" w:space="0" w:color="auto"/>
        <w:left w:val="none" w:sz="0" w:space="0" w:color="auto"/>
        <w:bottom w:val="none" w:sz="0" w:space="0" w:color="auto"/>
        <w:right w:val="none" w:sz="0" w:space="0" w:color="auto"/>
      </w:divBdr>
    </w:div>
    <w:div w:id="93406334">
      <w:bodyDiv w:val="1"/>
      <w:marLeft w:val="0"/>
      <w:marRight w:val="0"/>
      <w:marTop w:val="0"/>
      <w:marBottom w:val="0"/>
      <w:divBdr>
        <w:top w:val="none" w:sz="0" w:space="0" w:color="auto"/>
        <w:left w:val="none" w:sz="0" w:space="0" w:color="auto"/>
        <w:bottom w:val="none" w:sz="0" w:space="0" w:color="auto"/>
        <w:right w:val="none" w:sz="0" w:space="0" w:color="auto"/>
      </w:divBdr>
    </w:div>
    <w:div w:id="102573415">
      <w:bodyDiv w:val="1"/>
      <w:marLeft w:val="0"/>
      <w:marRight w:val="0"/>
      <w:marTop w:val="0"/>
      <w:marBottom w:val="0"/>
      <w:divBdr>
        <w:top w:val="none" w:sz="0" w:space="0" w:color="auto"/>
        <w:left w:val="none" w:sz="0" w:space="0" w:color="auto"/>
        <w:bottom w:val="none" w:sz="0" w:space="0" w:color="auto"/>
        <w:right w:val="none" w:sz="0" w:space="0" w:color="auto"/>
      </w:divBdr>
    </w:div>
    <w:div w:id="139812547">
      <w:bodyDiv w:val="1"/>
      <w:marLeft w:val="0"/>
      <w:marRight w:val="0"/>
      <w:marTop w:val="0"/>
      <w:marBottom w:val="0"/>
      <w:divBdr>
        <w:top w:val="none" w:sz="0" w:space="0" w:color="auto"/>
        <w:left w:val="none" w:sz="0" w:space="0" w:color="auto"/>
        <w:bottom w:val="none" w:sz="0" w:space="0" w:color="auto"/>
        <w:right w:val="none" w:sz="0" w:space="0" w:color="auto"/>
      </w:divBdr>
    </w:div>
    <w:div w:id="173109284">
      <w:bodyDiv w:val="1"/>
      <w:marLeft w:val="0"/>
      <w:marRight w:val="0"/>
      <w:marTop w:val="0"/>
      <w:marBottom w:val="0"/>
      <w:divBdr>
        <w:top w:val="none" w:sz="0" w:space="0" w:color="auto"/>
        <w:left w:val="none" w:sz="0" w:space="0" w:color="auto"/>
        <w:bottom w:val="none" w:sz="0" w:space="0" w:color="auto"/>
        <w:right w:val="none" w:sz="0" w:space="0" w:color="auto"/>
      </w:divBdr>
    </w:div>
    <w:div w:id="287902042">
      <w:bodyDiv w:val="1"/>
      <w:marLeft w:val="0"/>
      <w:marRight w:val="0"/>
      <w:marTop w:val="0"/>
      <w:marBottom w:val="0"/>
      <w:divBdr>
        <w:top w:val="none" w:sz="0" w:space="0" w:color="auto"/>
        <w:left w:val="none" w:sz="0" w:space="0" w:color="auto"/>
        <w:bottom w:val="none" w:sz="0" w:space="0" w:color="auto"/>
        <w:right w:val="none" w:sz="0" w:space="0" w:color="auto"/>
      </w:divBdr>
    </w:div>
    <w:div w:id="347954251">
      <w:bodyDiv w:val="1"/>
      <w:marLeft w:val="0"/>
      <w:marRight w:val="0"/>
      <w:marTop w:val="0"/>
      <w:marBottom w:val="0"/>
      <w:divBdr>
        <w:top w:val="none" w:sz="0" w:space="0" w:color="auto"/>
        <w:left w:val="none" w:sz="0" w:space="0" w:color="auto"/>
        <w:bottom w:val="none" w:sz="0" w:space="0" w:color="auto"/>
        <w:right w:val="none" w:sz="0" w:space="0" w:color="auto"/>
      </w:divBdr>
    </w:div>
    <w:div w:id="364140999">
      <w:bodyDiv w:val="1"/>
      <w:marLeft w:val="0"/>
      <w:marRight w:val="0"/>
      <w:marTop w:val="0"/>
      <w:marBottom w:val="0"/>
      <w:divBdr>
        <w:top w:val="none" w:sz="0" w:space="0" w:color="auto"/>
        <w:left w:val="none" w:sz="0" w:space="0" w:color="auto"/>
        <w:bottom w:val="none" w:sz="0" w:space="0" w:color="auto"/>
        <w:right w:val="none" w:sz="0" w:space="0" w:color="auto"/>
      </w:divBdr>
    </w:div>
    <w:div w:id="412314110">
      <w:bodyDiv w:val="1"/>
      <w:marLeft w:val="0"/>
      <w:marRight w:val="0"/>
      <w:marTop w:val="0"/>
      <w:marBottom w:val="0"/>
      <w:divBdr>
        <w:top w:val="none" w:sz="0" w:space="0" w:color="auto"/>
        <w:left w:val="none" w:sz="0" w:space="0" w:color="auto"/>
        <w:bottom w:val="none" w:sz="0" w:space="0" w:color="auto"/>
        <w:right w:val="none" w:sz="0" w:space="0" w:color="auto"/>
      </w:divBdr>
    </w:div>
    <w:div w:id="444927248">
      <w:bodyDiv w:val="1"/>
      <w:marLeft w:val="0"/>
      <w:marRight w:val="0"/>
      <w:marTop w:val="0"/>
      <w:marBottom w:val="0"/>
      <w:divBdr>
        <w:top w:val="none" w:sz="0" w:space="0" w:color="auto"/>
        <w:left w:val="none" w:sz="0" w:space="0" w:color="auto"/>
        <w:bottom w:val="none" w:sz="0" w:space="0" w:color="auto"/>
        <w:right w:val="none" w:sz="0" w:space="0" w:color="auto"/>
      </w:divBdr>
    </w:div>
    <w:div w:id="454983115">
      <w:bodyDiv w:val="1"/>
      <w:marLeft w:val="0"/>
      <w:marRight w:val="0"/>
      <w:marTop w:val="0"/>
      <w:marBottom w:val="0"/>
      <w:divBdr>
        <w:top w:val="none" w:sz="0" w:space="0" w:color="auto"/>
        <w:left w:val="none" w:sz="0" w:space="0" w:color="auto"/>
        <w:bottom w:val="none" w:sz="0" w:space="0" w:color="auto"/>
        <w:right w:val="none" w:sz="0" w:space="0" w:color="auto"/>
      </w:divBdr>
    </w:div>
    <w:div w:id="526216760">
      <w:bodyDiv w:val="1"/>
      <w:marLeft w:val="0"/>
      <w:marRight w:val="0"/>
      <w:marTop w:val="0"/>
      <w:marBottom w:val="0"/>
      <w:divBdr>
        <w:top w:val="none" w:sz="0" w:space="0" w:color="auto"/>
        <w:left w:val="none" w:sz="0" w:space="0" w:color="auto"/>
        <w:bottom w:val="none" w:sz="0" w:space="0" w:color="auto"/>
        <w:right w:val="none" w:sz="0" w:space="0" w:color="auto"/>
      </w:divBdr>
    </w:div>
    <w:div w:id="526985268">
      <w:bodyDiv w:val="1"/>
      <w:marLeft w:val="0"/>
      <w:marRight w:val="0"/>
      <w:marTop w:val="0"/>
      <w:marBottom w:val="0"/>
      <w:divBdr>
        <w:top w:val="none" w:sz="0" w:space="0" w:color="auto"/>
        <w:left w:val="none" w:sz="0" w:space="0" w:color="auto"/>
        <w:bottom w:val="none" w:sz="0" w:space="0" w:color="auto"/>
        <w:right w:val="none" w:sz="0" w:space="0" w:color="auto"/>
      </w:divBdr>
    </w:div>
    <w:div w:id="551504685">
      <w:bodyDiv w:val="1"/>
      <w:marLeft w:val="0"/>
      <w:marRight w:val="0"/>
      <w:marTop w:val="0"/>
      <w:marBottom w:val="0"/>
      <w:divBdr>
        <w:top w:val="none" w:sz="0" w:space="0" w:color="auto"/>
        <w:left w:val="none" w:sz="0" w:space="0" w:color="auto"/>
        <w:bottom w:val="none" w:sz="0" w:space="0" w:color="auto"/>
        <w:right w:val="none" w:sz="0" w:space="0" w:color="auto"/>
      </w:divBdr>
    </w:div>
    <w:div w:id="577440024">
      <w:bodyDiv w:val="1"/>
      <w:marLeft w:val="0"/>
      <w:marRight w:val="0"/>
      <w:marTop w:val="0"/>
      <w:marBottom w:val="0"/>
      <w:divBdr>
        <w:top w:val="none" w:sz="0" w:space="0" w:color="auto"/>
        <w:left w:val="none" w:sz="0" w:space="0" w:color="auto"/>
        <w:bottom w:val="none" w:sz="0" w:space="0" w:color="auto"/>
        <w:right w:val="none" w:sz="0" w:space="0" w:color="auto"/>
      </w:divBdr>
    </w:div>
    <w:div w:id="584384524">
      <w:bodyDiv w:val="1"/>
      <w:marLeft w:val="0"/>
      <w:marRight w:val="0"/>
      <w:marTop w:val="0"/>
      <w:marBottom w:val="0"/>
      <w:divBdr>
        <w:top w:val="none" w:sz="0" w:space="0" w:color="auto"/>
        <w:left w:val="none" w:sz="0" w:space="0" w:color="auto"/>
        <w:bottom w:val="none" w:sz="0" w:space="0" w:color="auto"/>
        <w:right w:val="none" w:sz="0" w:space="0" w:color="auto"/>
      </w:divBdr>
    </w:div>
    <w:div w:id="613630722">
      <w:bodyDiv w:val="1"/>
      <w:marLeft w:val="0"/>
      <w:marRight w:val="0"/>
      <w:marTop w:val="0"/>
      <w:marBottom w:val="0"/>
      <w:divBdr>
        <w:top w:val="none" w:sz="0" w:space="0" w:color="auto"/>
        <w:left w:val="none" w:sz="0" w:space="0" w:color="auto"/>
        <w:bottom w:val="none" w:sz="0" w:space="0" w:color="auto"/>
        <w:right w:val="none" w:sz="0" w:space="0" w:color="auto"/>
      </w:divBdr>
    </w:div>
    <w:div w:id="641542502">
      <w:bodyDiv w:val="1"/>
      <w:marLeft w:val="0"/>
      <w:marRight w:val="0"/>
      <w:marTop w:val="0"/>
      <w:marBottom w:val="0"/>
      <w:divBdr>
        <w:top w:val="none" w:sz="0" w:space="0" w:color="auto"/>
        <w:left w:val="none" w:sz="0" w:space="0" w:color="auto"/>
        <w:bottom w:val="none" w:sz="0" w:space="0" w:color="auto"/>
        <w:right w:val="none" w:sz="0" w:space="0" w:color="auto"/>
      </w:divBdr>
    </w:div>
    <w:div w:id="649792167">
      <w:bodyDiv w:val="1"/>
      <w:marLeft w:val="0"/>
      <w:marRight w:val="0"/>
      <w:marTop w:val="0"/>
      <w:marBottom w:val="0"/>
      <w:divBdr>
        <w:top w:val="none" w:sz="0" w:space="0" w:color="auto"/>
        <w:left w:val="none" w:sz="0" w:space="0" w:color="auto"/>
        <w:bottom w:val="none" w:sz="0" w:space="0" w:color="auto"/>
        <w:right w:val="none" w:sz="0" w:space="0" w:color="auto"/>
      </w:divBdr>
    </w:div>
    <w:div w:id="682124470">
      <w:bodyDiv w:val="1"/>
      <w:marLeft w:val="0"/>
      <w:marRight w:val="0"/>
      <w:marTop w:val="0"/>
      <w:marBottom w:val="0"/>
      <w:divBdr>
        <w:top w:val="none" w:sz="0" w:space="0" w:color="auto"/>
        <w:left w:val="none" w:sz="0" w:space="0" w:color="auto"/>
        <w:bottom w:val="none" w:sz="0" w:space="0" w:color="auto"/>
        <w:right w:val="none" w:sz="0" w:space="0" w:color="auto"/>
      </w:divBdr>
    </w:div>
    <w:div w:id="699017229">
      <w:bodyDiv w:val="1"/>
      <w:marLeft w:val="0"/>
      <w:marRight w:val="0"/>
      <w:marTop w:val="0"/>
      <w:marBottom w:val="0"/>
      <w:divBdr>
        <w:top w:val="none" w:sz="0" w:space="0" w:color="auto"/>
        <w:left w:val="none" w:sz="0" w:space="0" w:color="auto"/>
        <w:bottom w:val="none" w:sz="0" w:space="0" w:color="auto"/>
        <w:right w:val="none" w:sz="0" w:space="0" w:color="auto"/>
      </w:divBdr>
    </w:div>
    <w:div w:id="718480290">
      <w:bodyDiv w:val="1"/>
      <w:marLeft w:val="0"/>
      <w:marRight w:val="0"/>
      <w:marTop w:val="0"/>
      <w:marBottom w:val="0"/>
      <w:divBdr>
        <w:top w:val="none" w:sz="0" w:space="0" w:color="auto"/>
        <w:left w:val="none" w:sz="0" w:space="0" w:color="auto"/>
        <w:bottom w:val="none" w:sz="0" w:space="0" w:color="auto"/>
        <w:right w:val="none" w:sz="0" w:space="0" w:color="auto"/>
      </w:divBdr>
    </w:div>
    <w:div w:id="768937385">
      <w:bodyDiv w:val="1"/>
      <w:marLeft w:val="0"/>
      <w:marRight w:val="0"/>
      <w:marTop w:val="0"/>
      <w:marBottom w:val="0"/>
      <w:divBdr>
        <w:top w:val="none" w:sz="0" w:space="0" w:color="auto"/>
        <w:left w:val="none" w:sz="0" w:space="0" w:color="auto"/>
        <w:bottom w:val="none" w:sz="0" w:space="0" w:color="auto"/>
        <w:right w:val="none" w:sz="0" w:space="0" w:color="auto"/>
      </w:divBdr>
    </w:div>
    <w:div w:id="775633171">
      <w:bodyDiv w:val="1"/>
      <w:marLeft w:val="0"/>
      <w:marRight w:val="0"/>
      <w:marTop w:val="0"/>
      <w:marBottom w:val="0"/>
      <w:divBdr>
        <w:top w:val="none" w:sz="0" w:space="0" w:color="auto"/>
        <w:left w:val="none" w:sz="0" w:space="0" w:color="auto"/>
        <w:bottom w:val="none" w:sz="0" w:space="0" w:color="auto"/>
        <w:right w:val="none" w:sz="0" w:space="0" w:color="auto"/>
      </w:divBdr>
    </w:div>
    <w:div w:id="797796898">
      <w:bodyDiv w:val="1"/>
      <w:marLeft w:val="0"/>
      <w:marRight w:val="0"/>
      <w:marTop w:val="0"/>
      <w:marBottom w:val="0"/>
      <w:divBdr>
        <w:top w:val="none" w:sz="0" w:space="0" w:color="auto"/>
        <w:left w:val="none" w:sz="0" w:space="0" w:color="auto"/>
        <w:bottom w:val="none" w:sz="0" w:space="0" w:color="auto"/>
        <w:right w:val="none" w:sz="0" w:space="0" w:color="auto"/>
      </w:divBdr>
    </w:div>
    <w:div w:id="817963450">
      <w:bodyDiv w:val="1"/>
      <w:marLeft w:val="0"/>
      <w:marRight w:val="0"/>
      <w:marTop w:val="0"/>
      <w:marBottom w:val="0"/>
      <w:divBdr>
        <w:top w:val="none" w:sz="0" w:space="0" w:color="auto"/>
        <w:left w:val="none" w:sz="0" w:space="0" w:color="auto"/>
        <w:bottom w:val="none" w:sz="0" w:space="0" w:color="auto"/>
        <w:right w:val="none" w:sz="0" w:space="0" w:color="auto"/>
      </w:divBdr>
    </w:div>
    <w:div w:id="893547359">
      <w:bodyDiv w:val="1"/>
      <w:marLeft w:val="0"/>
      <w:marRight w:val="0"/>
      <w:marTop w:val="0"/>
      <w:marBottom w:val="0"/>
      <w:divBdr>
        <w:top w:val="none" w:sz="0" w:space="0" w:color="auto"/>
        <w:left w:val="none" w:sz="0" w:space="0" w:color="auto"/>
        <w:bottom w:val="none" w:sz="0" w:space="0" w:color="auto"/>
        <w:right w:val="none" w:sz="0" w:space="0" w:color="auto"/>
      </w:divBdr>
    </w:div>
    <w:div w:id="1028137231">
      <w:bodyDiv w:val="1"/>
      <w:marLeft w:val="0"/>
      <w:marRight w:val="0"/>
      <w:marTop w:val="0"/>
      <w:marBottom w:val="0"/>
      <w:divBdr>
        <w:top w:val="none" w:sz="0" w:space="0" w:color="auto"/>
        <w:left w:val="none" w:sz="0" w:space="0" w:color="auto"/>
        <w:bottom w:val="none" w:sz="0" w:space="0" w:color="auto"/>
        <w:right w:val="none" w:sz="0" w:space="0" w:color="auto"/>
      </w:divBdr>
    </w:div>
    <w:div w:id="1033770548">
      <w:bodyDiv w:val="1"/>
      <w:marLeft w:val="0"/>
      <w:marRight w:val="0"/>
      <w:marTop w:val="0"/>
      <w:marBottom w:val="0"/>
      <w:divBdr>
        <w:top w:val="none" w:sz="0" w:space="0" w:color="auto"/>
        <w:left w:val="none" w:sz="0" w:space="0" w:color="auto"/>
        <w:bottom w:val="none" w:sz="0" w:space="0" w:color="auto"/>
        <w:right w:val="none" w:sz="0" w:space="0" w:color="auto"/>
      </w:divBdr>
    </w:div>
    <w:div w:id="1060591162">
      <w:bodyDiv w:val="1"/>
      <w:marLeft w:val="0"/>
      <w:marRight w:val="0"/>
      <w:marTop w:val="0"/>
      <w:marBottom w:val="0"/>
      <w:divBdr>
        <w:top w:val="none" w:sz="0" w:space="0" w:color="auto"/>
        <w:left w:val="none" w:sz="0" w:space="0" w:color="auto"/>
        <w:bottom w:val="none" w:sz="0" w:space="0" w:color="auto"/>
        <w:right w:val="none" w:sz="0" w:space="0" w:color="auto"/>
      </w:divBdr>
    </w:div>
    <w:div w:id="1102338553">
      <w:bodyDiv w:val="1"/>
      <w:marLeft w:val="0"/>
      <w:marRight w:val="0"/>
      <w:marTop w:val="0"/>
      <w:marBottom w:val="0"/>
      <w:divBdr>
        <w:top w:val="none" w:sz="0" w:space="0" w:color="auto"/>
        <w:left w:val="none" w:sz="0" w:space="0" w:color="auto"/>
        <w:bottom w:val="none" w:sz="0" w:space="0" w:color="auto"/>
        <w:right w:val="none" w:sz="0" w:space="0" w:color="auto"/>
      </w:divBdr>
    </w:div>
    <w:div w:id="1175070811">
      <w:bodyDiv w:val="1"/>
      <w:marLeft w:val="0"/>
      <w:marRight w:val="0"/>
      <w:marTop w:val="0"/>
      <w:marBottom w:val="0"/>
      <w:divBdr>
        <w:top w:val="none" w:sz="0" w:space="0" w:color="auto"/>
        <w:left w:val="none" w:sz="0" w:space="0" w:color="auto"/>
        <w:bottom w:val="none" w:sz="0" w:space="0" w:color="auto"/>
        <w:right w:val="none" w:sz="0" w:space="0" w:color="auto"/>
      </w:divBdr>
    </w:div>
    <w:div w:id="1181166570">
      <w:bodyDiv w:val="1"/>
      <w:marLeft w:val="0"/>
      <w:marRight w:val="0"/>
      <w:marTop w:val="0"/>
      <w:marBottom w:val="0"/>
      <w:divBdr>
        <w:top w:val="none" w:sz="0" w:space="0" w:color="auto"/>
        <w:left w:val="none" w:sz="0" w:space="0" w:color="auto"/>
        <w:bottom w:val="none" w:sz="0" w:space="0" w:color="auto"/>
        <w:right w:val="none" w:sz="0" w:space="0" w:color="auto"/>
      </w:divBdr>
    </w:div>
    <w:div w:id="1211070018">
      <w:bodyDiv w:val="1"/>
      <w:marLeft w:val="0"/>
      <w:marRight w:val="0"/>
      <w:marTop w:val="0"/>
      <w:marBottom w:val="0"/>
      <w:divBdr>
        <w:top w:val="none" w:sz="0" w:space="0" w:color="auto"/>
        <w:left w:val="none" w:sz="0" w:space="0" w:color="auto"/>
        <w:bottom w:val="none" w:sz="0" w:space="0" w:color="auto"/>
        <w:right w:val="none" w:sz="0" w:space="0" w:color="auto"/>
      </w:divBdr>
    </w:div>
    <w:div w:id="1216114179">
      <w:bodyDiv w:val="1"/>
      <w:marLeft w:val="0"/>
      <w:marRight w:val="0"/>
      <w:marTop w:val="0"/>
      <w:marBottom w:val="0"/>
      <w:divBdr>
        <w:top w:val="none" w:sz="0" w:space="0" w:color="auto"/>
        <w:left w:val="none" w:sz="0" w:space="0" w:color="auto"/>
        <w:bottom w:val="none" w:sz="0" w:space="0" w:color="auto"/>
        <w:right w:val="none" w:sz="0" w:space="0" w:color="auto"/>
      </w:divBdr>
    </w:div>
    <w:div w:id="1224831197">
      <w:bodyDiv w:val="1"/>
      <w:marLeft w:val="0"/>
      <w:marRight w:val="0"/>
      <w:marTop w:val="0"/>
      <w:marBottom w:val="0"/>
      <w:divBdr>
        <w:top w:val="none" w:sz="0" w:space="0" w:color="auto"/>
        <w:left w:val="none" w:sz="0" w:space="0" w:color="auto"/>
        <w:bottom w:val="none" w:sz="0" w:space="0" w:color="auto"/>
        <w:right w:val="none" w:sz="0" w:space="0" w:color="auto"/>
      </w:divBdr>
    </w:div>
    <w:div w:id="1327005451">
      <w:bodyDiv w:val="1"/>
      <w:marLeft w:val="0"/>
      <w:marRight w:val="0"/>
      <w:marTop w:val="0"/>
      <w:marBottom w:val="0"/>
      <w:divBdr>
        <w:top w:val="none" w:sz="0" w:space="0" w:color="auto"/>
        <w:left w:val="none" w:sz="0" w:space="0" w:color="auto"/>
        <w:bottom w:val="none" w:sz="0" w:space="0" w:color="auto"/>
        <w:right w:val="none" w:sz="0" w:space="0" w:color="auto"/>
      </w:divBdr>
    </w:div>
    <w:div w:id="1330716529">
      <w:bodyDiv w:val="1"/>
      <w:marLeft w:val="0"/>
      <w:marRight w:val="0"/>
      <w:marTop w:val="0"/>
      <w:marBottom w:val="0"/>
      <w:divBdr>
        <w:top w:val="none" w:sz="0" w:space="0" w:color="auto"/>
        <w:left w:val="none" w:sz="0" w:space="0" w:color="auto"/>
        <w:bottom w:val="none" w:sz="0" w:space="0" w:color="auto"/>
        <w:right w:val="none" w:sz="0" w:space="0" w:color="auto"/>
      </w:divBdr>
    </w:div>
    <w:div w:id="1359310011">
      <w:bodyDiv w:val="1"/>
      <w:marLeft w:val="0"/>
      <w:marRight w:val="0"/>
      <w:marTop w:val="0"/>
      <w:marBottom w:val="0"/>
      <w:divBdr>
        <w:top w:val="none" w:sz="0" w:space="0" w:color="auto"/>
        <w:left w:val="none" w:sz="0" w:space="0" w:color="auto"/>
        <w:bottom w:val="none" w:sz="0" w:space="0" w:color="auto"/>
        <w:right w:val="none" w:sz="0" w:space="0" w:color="auto"/>
      </w:divBdr>
    </w:div>
    <w:div w:id="1398550858">
      <w:bodyDiv w:val="1"/>
      <w:marLeft w:val="0"/>
      <w:marRight w:val="0"/>
      <w:marTop w:val="0"/>
      <w:marBottom w:val="0"/>
      <w:divBdr>
        <w:top w:val="none" w:sz="0" w:space="0" w:color="auto"/>
        <w:left w:val="none" w:sz="0" w:space="0" w:color="auto"/>
        <w:bottom w:val="none" w:sz="0" w:space="0" w:color="auto"/>
        <w:right w:val="none" w:sz="0" w:space="0" w:color="auto"/>
      </w:divBdr>
    </w:div>
    <w:div w:id="1445415727">
      <w:bodyDiv w:val="1"/>
      <w:marLeft w:val="0"/>
      <w:marRight w:val="0"/>
      <w:marTop w:val="0"/>
      <w:marBottom w:val="0"/>
      <w:divBdr>
        <w:top w:val="none" w:sz="0" w:space="0" w:color="auto"/>
        <w:left w:val="none" w:sz="0" w:space="0" w:color="auto"/>
        <w:bottom w:val="none" w:sz="0" w:space="0" w:color="auto"/>
        <w:right w:val="none" w:sz="0" w:space="0" w:color="auto"/>
      </w:divBdr>
    </w:div>
    <w:div w:id="1490947206">
      <w:bodyDiv w:val="1"/>
      <w:marLeft w:val="0"/>
      <w:marRight w:val="0"/>
      <w:marTop w:val="0"/>
      <w:marBottom w:val="0"/>
      <w:divBdr>
        <w:top w:val="none" w:sz="0" w:space="0" w:color="auto"/>
        <w:left w:val="none" w:sz="0" w:space="0" w:color="auto"/>
        <w:bottom w:val="none" w:sz="0" w:space="0" w:color="auto"/>
        <w:right w:val="none" w:sz="0" w:space="0" w:color="auto"/>
      </w:divBdr>
    </w:div>
    <w:div w:id="1529296509">
      <w:bodyDiv w:val="1"/>
      <w:marLeft w:val="0"/>
      <w:marRight w:val="0"/>
      <w:marTop w:val="0"/>
      <w:marBottom w:val="0"/>
      <w:divBdr>
        <w:top w:val="none" w:sz="0" w:space="0" w:color="auto"/>
        <w:left w:val="none" w:sz="0" w:space="0" w:color="auto"/>
        <w:bottom w:val="none" w:sz="0" w:space="0" w:color="auto"/>
        <w:right w:val="none" w:sz="0" w:space="0" w:color="auto"/>
      </w:divBdr>
    </w:div>
    <w:div w:id="1532182281">
      <w:bodyDiv w:val="1"/>
      <w:marLeft w:val="0"/>
      <w:marRight w:val="0"/>
      <w:marTop w:val="0"/>
      <w:marBottom w:val="0"/>
      <w:divBdr>
        <w:top w:val="none" w:sz="0" w:space="0" w:color="auto"/>
        <w:left w:val="none" w:sz="0" w:space="0" w:color="auto"/>
        <w:bottom w:val="none" w:sz="0" w:space="0" w:color="auto"/>
        <w:right w:val="none" w:sz="0" w:space="0" w:color="auto"/>
      </w:divBdr>
    </w:div>
    <w:div w:id="1640260433">
      <w:bodyDiv w:val="1"/>
      <w:marLeft w:val="0"/>
      <w:marRight w:val="0"/>
      <w:marTop w:val="0"/>
      <w:marBottom w:val="0"/>
      <w:divBdr>
        <w:top w:val="none" w:sz="0" w:space="0" w:color="auto"/>
        <w:left w:val="none" w:sz="0" w:space="0" w:color="auto"/>
        <w:bottom w:val="none" w:sz="0" w:space="0" w:color="auto"/>
        <w:right w:val="none" w:sz="0" w:space="0" w:color="auto"/>
      </w:divBdr>
    </w:div>
    <w:div w:id="1661232075">
      <w:bodyDiv w:val="1"/>
      <w:marLeft w:val="0"/>
      <w:marRight w:val="0"/>
      <w:marTop w:val="0"/>
      <w:marBottom w:val="0"/>
      <w:divBdr>
        <w:top w:val="none" w:sz="0" w:space="0" w:color="auto"/>
        <w:left w:val="none" w:sz="0" w:space="0" w:color="auto"/>
        <w:bottom w:val="none" w:sz="0" w:space="0" w:color="auto"/>
        <w:right w:val="none" w:sz="0" w:space="0" w:color="auto"/>
      </w:divBdr>
    </w:div>
    <w:div w:id="1710688795">
      <w:bodyDiv w:val="1"/>
      <w:marLeft w:val="0"/>
      <w:marRight w:val="0"/>
      <w:marTop w:val="0"/>
      <w:marBottom w:val="0"/>
      <w:divBdr>
        <w:top w:val="none" w:sz="0" w:space="0" w:color="auto"/>
        <w:left w:val="none" w:sz="0" w:space="0" w:color="auto"/>
        <w:bottom w:val="none" w:sz="0" w:space="0" w:color="auto"/>
        <w:right w:val="none" w:sz="0" w:space="0" w:color="auto"/>
      </w:divBdr>
    </w:div>
    <w:div w:id="1763338557">
      <w:bodyDiv w:val="1"/>
      <w:marLeft w:val="0"/>
      <w:marRight w:val="0"/>
      <w:marTop w:val="0"/>
      <w:marBottom w:val="0"/>
      <w:divBdr>
        <w:top w:val="none" w:sz="0" w:space="0" w:color="auto"/>
        <w:left w:val="none" w:sz="0" w:space="0" w:color="auto"/>
        <w:bottom w:val="none" w:sz="0" w:space="0" w:color="auto"/>
        <w:right w:val="none" w:sz="0" w:space="0" w:color="auto"/>
      </w:divBdr>
    </w:div>
    <w:div w:id="1782525942">
      <w:bodyDiv w:val="1"/>
      <w:marLeft w:val="0"/>
      <w:marRight w:val="0"/>
      <w:marTop w:val="0"/>
      <w:marBottom w:val="0"/>
      <w:divBdr>
        <w:top w:val="none" w:sz="0" w:space="0" w:color="auto"/>
        <w:left w:val="none" w:sz="0" w:space="0" w:color="auto"/>
        <w:bottom w:val="none" w:sz="0" w:space="0" w:color="auto"/>
        <w:right w:val="none" w:sz="0" w:space="0" w:color="auto"/>
      </w:divBdr>
    </w:div>
    <w:div w:id="1786272402">
      <w:bodyDiv w:val="1"/>
      <w:marLeft w:val="0"/>
      <w:marRight w:val="0"/>
      <w:marTop w:val="0"/>
      <w:marBottom w:val="0"/>
      <w:divBdr>
        <w:top w:val="none" w:sz="0" w:space="0" w:color="auto"/>
        <w:left w:val="none" w:sz="0" w:space="0" w:color="auto"/>
        <w:bottom w:val="none" w:sz="0" w:space="0" w:color="auto"/>
        <w:right w:val="none" w:sz="0" w:space="0" w:color="auto"/>
      </w:divBdr>
    </w:div>
    <w:div w:id="1786921779">
      <w:bodyDiv w:val="1"/>
      <w:marLeft w:val="0"/>
      <w:marRight w:val="0"/>
      <w:marTop w:val="0"/>
      <w:marBottom w:val="0"/>
      <w:divBdr>
        <w:top w:val="none" w:sz="0" w:space="0" w:color="auto"/>
        <w:left w:val="none" w:sz="0" w:space="0" w:color="auto"/>
        <w:bottom w:val="none" w:sz="0" w:space="0" w:color="auto"/>
        <w:right w:val="none" w:sz="0" w:space="0" w:color="auto"/>
      </w:divBdr>
    </w:div>
    <w:div w:id="1809056834">
      <w:bodyDiv w:val="1"/>
      <w:marLeft w:val="0"/>
      <w:marRight w:val="0"/>
      <w:marTop w:val="0"/>
      <w:marBottom w:val="0"/>
      <w:divBdr>
        <w:top w:val="none" w:sz="0" w:space="0" w:color="auto"/>
        <w:left w:val="none" w:sz="0" w:space="0" w:color="auto"/>
        <w:bottom w:val="none" w:sz="0" w:space="0" w:color="auto"/>
        <w:right w:val="none" w:sz="0" w:space="0" w:color="auto"/>
      </w:divBdr>
    </w:div>
    <w:div w:id="1826235218">
      <w:bodyDiv w:val="1"/>
      <w:marLeft w:val="0"/>
      <w:marRight w:val="0"/>
      <w:marTop w:val="0"/>
      <w:marBottom w:val="0"/>
      <w:divBdr>
        <w:top w:val="none" w:sz="0" w:space="0" w:color="auto"/>
        <w:left w:val="none" w:sz="0" w:space="0" w:color="auto"/>
        <w:bottom w:val="none" w:sz="0" w:space="0" w:color="auto"/>
        <w:right w:val="none" w:sz="0" w:space="0" w:color="auto"/>
      </w:divBdr>
    </w:div>
    <w:div w:id="1957985639">
      <w:bodyDiv w:val="1"/>
      <w:marLeft w:val="0"/>
      <w:marRight w:val="0"/>
      <w:marTop w:val="0"/>
      <w:marBottom w:val="0"/>
      <w:divBdr>
        <w:top w:val="none" w:sz="0" w:space="0" w:color="auto"/>
        <w:left w:val="none" w:sz="0" w:space="0" w:color="auto"/>
        <w:bottom w:val="none" w:sz="0" w:space="0" w:color="auto"/>
        <w:right w:val="none" w:sz="0" w:space="0" w:color="auto"/>
      </w:divBdr>
    </w:div>
    <w:div w:id="2064913346">
      <w:bodyDiv w:val="1"/>
      <w:marLeft w:val="0"/>
      <w:marRight w:val="0"/>
      <w:marTop w:val="0"/>
      <w:marBottom w:val="0"/>
      <w:divBdr>
        <w:top w:val="none" w:sz="0" w:space="0" w:color="auto"/>
        <w:left w:val="none" w:sz="0" w:space="0" w:color="auto"/>
        <w:bottom w:val="none" w:sz="0" w:space="0" w:color="auto"/>
        <w:right w:val="none" w:sz="0" w:space="0" w:color="auto"/>
      </w:divBdr>
    </w:div>
    <w:div w:id="213983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conestoga.desire2learn.com/d2l/le/content/1252307/viewContent/26791455/View"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leadventgrp.com/blog/the-economics-of-ev-charging-exploring-business-models-and-revenue-stream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td.com/ca/en/about-td/corporate-profile/tds-history/our-roots" TargetMode="External"/><Relationship Id="rId25" Type="http://schemas.openxmlformats.org/officeDocument/2006/relationships/hyperlink" Target="https://td.mediaroom.com/2024-10-02-TD-named-Best-Consumer-Digital-Bank-in-North-America-for-fourth-consecutive-year-by-Global-Finance" TargetMode="External"/><Relationship Id="rId2" Type="http://schemas.openxmlformats.org/officeDocument/2006/relationships/numbering" Target="numbering.xml"/><Relationship Id="rId16" Type="http://schemas.openxmlformats.org/officeDocument/2006/relationships/hyperlink" Target="mailto:sandramarya4187@conestogac.on.ca" TargetMode="External"/><Relationship Id="rId20" Type="http://schemas.openxmlformats.org/officeDocument/2006/relationships/hyperlink" Target="https://stories.td.com/us/en/article/what-you-need-to-know-about-electric-ca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cbc.ca/news/business/bank-interest-rate-1.7312774" TargetMode="External"/><Relationship Id="rId5" Type="http://schemas.openxmlformats.org/officeDocument/2006/relationships/webSettings" Target="webSettings.xml"/><Relationship Id="rId15" Type="http://schemas.openxmlformats.org/officeDocument/2006/relationships/hyperlink" Target="mailto:parora6849@conestogac.on.ca" TargetMode="External"/><Relationship Id="rId23" Type="http://schemas.openxmlformats.org/officeDocument/2006/relationships/hyperlink" Target="https://www.electrifyamerica.com/pricing/" TargetMode="External"/><Relationship Id="rId10" Type="http://schemas.openxmlformats.org/officeDocument/2006/relationships/image" Target="media/image3.png"/><Relationship Id="rId19" Type="http://schemas.openxmlformats.org/officeDocument/2006/relationships/hyperlink" Target="https://economics.td.com/us-scaling-up-electric-vehicle-production"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parora6849@conestogac.on.ca" TargetMode="External"/><Relationship Id="rId22" Type="http://schemas.openxmlformats.org/officeDocument/2006/relationships/hyperlink" Target="https://blog.evbox.com/3-dc-revenue-model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61264-1E5A-4924-8BAA-628DB82B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22</Pages>
  <Words>7623</Words>
  <Characters>43457</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Murthy Varahabhatla Karthik Venkata</dc:creator>
  <cp:keywords/>
  <dc:description/>
  <cp:lastModifiedBy>Prachi Arora</cp:lastModifiedBy>
  <cp:revision>104</cp:revision>
  <dcterms:created xsi:type="dcterms:W3CDTF">2024-10-05T00:52:00Z</dcterms:created>
  <dcterms:modified xsi:type="dcterms:W3CDTF">2024-10-05T03:36:00Z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13d3d5d9-380f-4a95-8bbb-507cffeb38c6</vt:lpwstr>
  </property>
</Properties>
</file>