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File 51: Hyper-Scale 90-Day Sprint &amp; 10-Person Team Scaling Playbook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**Strict Scaling Policy**: In accordance with executive instructions, **this hyper-scale roadmap operates under our local staging policy**. All recruitment sourcing, structured interview schedules, and 90-day time-blocked hiring pipelines are fully staged and prepared for immediate deployment to scale our team from 1 to 10 people.</w:t>
      </w:r>
    </w:p>
    <w:p>
      <w:pPr>
        <w:spacing w:before="360" w:after="120"/>
      </w:pPr>
      <w:r>
        <w:rPr>
          <w:b/>
          <w:color w:val="2E75B6"/>
          <w:sz w:val="32"/>
        </w:rPr>
        <w:t>I. The Hyper-Scale 90-Day Sprint Roadmap</w:t>
      </w:r>
    </w:p>
    <w:p>
      <w:r>
        <w:t xml:space="preserve">To take Blue Ridge Stream Restoration from a single-operator startup to a dominant 10-person geomorphic engineering and mitigation capital powerhouse, we establish </w:t>
      </w:r>
      <w:r>
        <w:rPr>
          <w:b/>
        </w:rPr>
        <w:t>The Hyper-Scale 90-Day Sprint</w:t>
      </w:r>
      <w:r>
        <w:t>. This roadmap leverages parallel workstreams to compress standard 12-month development timelines into tight, highly accountable 30-day blocks:</w:t>
      </w:r>
    </w:p>
    <w:p>
      <w:pPr>
        <w:spacing w:before="240" w:after="80"/>
      </w:pPr>
      <w:r>
        <w:rPr>
          <w:b/>
          <w:color w:val="595959"/>
          <w:sz w:val="26"/>
        </w:rPr>
        <w:t>1. Days 1–30: The Sourcing Sprint (Target Team: 1 to 3 People)</w:t>
      </w:r>
    </w:p>
    <w:p>
      <w:pPr>
        <w:pStyle w:val="ListBullet"/>
        <w:spacing w:after="60"/>
      </w:pPr>
      <w:r/>
      <w:r>
        <w:rPr>
          <w:b/>
        </w:rPr>
        <w:t>Primary Focus</w:t>
      </w:r>
      <w:r>
        <w:t>: Build the transaction engine, secure initial land options, and segment the CRM prospecting pipelines.</w:t>
      </w:r>
    </w:p>
    <w:p>
      <w:pPr>
        <w:pStyle w:val="ListBullet"/>
        <w:spacing w:after="60"/>
      </w:pPr>
      <w:r/>
      <w:r>
        <w:rPr>
          <w:b/>
        </w:rPr>
        <w:t>Hiring Milestones</w:t>
      </w:r>
      <w:r>
        <w:t>: Managing Director (Hunter Morris), Sourcing Director, and rotating UGA Warnell GIS Intern.</w:t>
      </w:r>
    </w:p>
    <w:p>
      <w:pPr>
        <w:pStyle w:val="ListBullet"/>
        <w:spacing w:after="60"/>
      </w:pPr>
      <w:r/>
      <w:r>
        <w:rPr>
          <w:b/>
        </w:rPr>
        <w:t>Weekly Sourcing Rhythms</w:t>
      </w:r>
      <w:r>
        <w:t>:</w:t>
      </w:r>
    </w:p>
    <w:p>
      <w:pPr>
        <w:pStyle w:val="ListBullet"/>
        <w:spacing w:after="60"/>
      </w:pPr>
      <w:r>
        <w:t>*Monday Morning CRM Import*: Segment and upload all 1,000 prospects and 100 Large River Tracts into self-hosted Corteza CRM.</w:t>
      </w:r>
    </w:p>
    <w:p>
      <w:pPr>
        <w:pStyle w:val="ListBullet"/>
        <w:spacing w:after="60"/>
      </w:pPr>
      <w:r>
        <w:t>*15 Sourcing Calls/Day*: Target priority landowners near Hunter's cabin (e.g. Tract `LT-006` Boardtown Creek, `LT-048` Fightingtown Creek).</w:t>
      </w:r>
    </w:p>
    <w:p>
      <w:pPr>
        <w:pStyle w:val="ListBullet"/>
        <w:spacing w:after="60"/>
      </w:pPr>
      <w:r>
        <w:t>*SEO Outreach*: Send backlink pitches to target Trout chapters (.org) and exurban banking blogs (.com) to establish organic site authority (File 49).</w:t>
      </w:r>
    </w:p>
    <w:p>
      <w:pPr>
        <w:pStyle w:val="ListBullet"/>
        <w:spacing w:after="60"/>
      </w:pPr>
      <w:r/>
      <w:r>
        <w:rPr>
          <w:b/>
        </w:rPr>
        <w:t>Success Target</w:t>
      </w:r>
      <w:r>
        <w:t xml:space="preserve">: </w:t>
      </w:r>
      <w:r>
        <w:rPr>
          <w:b/>
        </w:rPr>
        <w:t>Five (5) signed 70/30 Landowner Joint-Venture Option Agreements</w:t>
      </w:r>
      <w:r>
        <w:t>; live segmented CRM dashboard; completed high-authority do-follow backlink placements.</w:t>
      </w:r>
    </w:p>
    <w:p>
      <w:pPr>
        <w:spacing w:before="240" w:after="80"/>
      </w:pPr>
      <w:r>
        <w:rPr>
          <w:b/>
          <w:color w:val="595959"/>
          <w:sz w:val="26"/>
        </w:rPr>
        <w:t>2. Days 31–60: The Fluvial Engineering Sprint (Target Team: 3 to 6 People)</w:t>
      </w:r>
    </w:p>
    <w:p>
      <w:pPr>
        <w:pStyle w:val="ListBullet"/>
        <w:spacing w:after="60"/>
      </w:pPr>
      <w:r/>
      <w:r>
        <w:rPr>
          <w:b/>
        </w:rPr>
        <w:t>Primary Focus</w:t>
      </w:r>
      <w:r>
        <w:t>: Transition from sourcing into high-speed technical permitting and geomorphic Natural Channel Design (NCD).</w:t>
      </w:r>
    </w:p>
    <w:p>
      <w:pPr>
        <w:pStyle w:val="ListBullet"/>
        <w:spacing w:after="60"/>
      </w:pPr>
      <w:r/>
      <w:r>
        <w:rPr>
          <w:b/>
        </w:rPr>
        <w:t>Hiring Milestones</w:t>
      </w:r>
      <w:r>
        <w:t>: Onboard Fluvial Engineer (PE), UAS Drone Photogrammetry Specialist, and Restoration Biologist (UGA/GT graduates).</w:t>
      </w:r>
    </w:p>
    <w:p>
      <w:pPr>
        <w:pStyle w:val="ListBullet"/>
        <w:spacing w:after="60"/>
      </w:pPr>
      <w:r/>
      <w:r>
        <w:rPr>
          <w:b/>
        </w:rPr>
        <w:t>Weekly Engineering Rhythms</w:t>
      </w:r>
      <w:r>
        <w:t>:</w:t>
      </w:r>
    </w:p>
    <w:p>
      <w:pPr>
        <w:pStyle w:val="ListBullet"/>
        <w:spacing w:after="60"/>
      </w:pPr>
      <w:r>
        <w:t>*LiDAR Drone Surveys*: Run Mavic 3 Enterprise photogrammetry wades over signed tracts, establishing QGIS NDVI canopy benchmarks.</w:t>
      </w:r>
    </w:p>
    <w:p>
      <w:pPr>
        <w:pStyle w:val="ListBullet"/>
        <w:spacing w:after="60"/>
      </w:pPr>
      <w:r>
        <w:t>*HEC-RAS 2D Siting*: Model 100-year storm floodway shear stresses (</w:t>
      </w:r>
      <w:r>
        <w:rPr>
          <w:rFonts w:ascii="Georgia" w:hAnsi="Georgia"/>
          <w:i/>
        </w:rPr>
        <w:t>1.46\text{ N/m}^2 &lt; \tau &lt; 21.85\text{ N/m}^2</w:t>
      </w:r>
      <w:r>
        <w:t>) to prove gravel stability (File 33).</w:t>
      </w:r>
    </w:p>
    <w:p>
      <w:pPr>
        <w:pStyle w:val="ListBullet"/>
        <w:spacing w:after="60"/>
      </w:pPr>
      <w:r>
        <w:t>*USACE PCN Permitting*: Submit Section 404 Nationwide Permit 27 narratives and DNR trout buffer variances.</w:t>
      </w:r>
    </w:p>
    <w:p>
      <w:pPr>
        <w:pStyle w:val="ListBullet"/>
        <w:spacing w:after="60"/>
      </w:pPr>
      <w:r>
        <w:t>*LinkedIn Video Launch*: Distribute cinematic trout legacy documentaries (File 47) targeting data center ESG managers and developers.</w:t>
      </w:r>
    </w:p>
    <w:p>
      <w:pPr>
        <w:pStyle w:val="ListBullet"/>
        <w:spacing w:after="60"/>
      </w:pPr>
      <w:r/>
      <w:r>
        <w:rPr>
          <w:b/>
        </w:rPr>
        <w:t>Success Target</w:t>
      </w:r>
      <w:r>
        <w:t xml:space="preserve">: </w:t>
      </w:r>
      <w:r>
        <w:rPr>
          <w:b/>
        </w:rPr>
        <w:t>Three (3) submitted USACE NWP 27 Pre-Construction Notifications</w:t>
      </w:r>
      <w:r>
        <w:t>; completed 3D AutoCAD NCD bioengineered designs for J-hook vanes; completed brand video distributions.</w:t>
      </w:r>
    </w:p>
    <w:p>
      <w:pPr>
        <w:spacing w:before="240" w:after="80"/>
      </w:pPr>
      <w:r>
        <w:rPr>
          <w:b/>
          <w:color w:val="595959"/>
          <w:sz w:val="26"/>
        </w:rPr>
        <w:t>3. Days 61–90: The Siting &amp; Capital Sprint (Target Team: 6 to 10 People)</w:t>
      </w:r>
    </w:p>
    <w:p>
      <w:pPr>
        <w:pStyle w:val="ListBullet"/>
        <w:spacing w:after="60"/>
      </w:pPr>
      <w:r/>
      <w:r>
        <w:rPr>
          <w:b/>
        </w:rPr>
        <w:t>Primary Focus</w:t>
      </w:r>
      <w:r>
        <w:t>: Scale heavy civil construction, close wholesale credit pre-sales, and formalize board governance.</w:t>
      </w:r>
    </w:p>
    <w:p>
      <w:pPr>
        <w:pStyle w:val="ListBullet"/>
        <w:spacing w:after="60"/>
      </w:pPr>
      <w:r/>
      <w:r>
        <w:rPr>
          <w:b/>
        </w:rPr>
        <w:t>Hiring Milestones</w:t>
      </w:r>
      <w:r>
        <w:t>: Onboard instream Grading Foreman, heavy equipment field hand, Office Controller/Bookkeeper, and Clemson Finance Intern.</w:t>
      </w:r>
    </w:p>
    <w:p>
      <w:pPr>
        <w:pStyle w:val="ListBullet"/>
        <w:spacing w:after="60"/>
      </w:pPr>
      <w:r/>
      <w:r>
        <w:rPr>
          <w:b/>
        </w:rPr>
        <w:t>Weekly Operations Rhythms</w:t>
      </w:r>
      <w:r>
        <w:t>:</w:t>
      </w:r>
    </w:p>
    <w:p>
      <w:pPr>
        <w:pStyle w:val="ListBullet"/>
        <w:spacing w:after="60"/>
      </w:pPr>
      <w:r>
        <w:t>*Excavation Grading*: Mobilize John Deere 130G excavators to install toe-wood bank stabilization layers and J-hook riffles.</w:t>
      </w:r>
    </w:p>
    <w:p>
      <w:pPr>
        <w:pStyle w:val="ListBullet"/>
        <w:spacing w:after="60"/>
      </w:pPr>
      <w:r>
        <w:t>*Wholesale Credit Presales*: Close direct watershed transactions with QTS Data Centers, Microsoft Cloud, and Georgia DOT.</w:t>
      </w:r>
    </w:p>
    <w:p>
      <w:pPr>
        <w:pStyle w:val="ListBullet"/>
        <w:spacing w:after="60"/>
      </w:pPr>
      <w:r>
        <w:t>*QuickBooks Accounting Sync*: Establish 10% Escrow Working Capital reserves and distribute initial JV splits (File 37).</w:t>
      </w:r>
    </w:p>
    <w:p>
      <w:pPr>
        <w:pStyle w:val="ListBullet"/>
        <w:spacing w:after="60"/>
      </w:pPr>
      <w:r>
        <w:t>*EOS L10 Board Meetings*: Conduct bi-monthly board accountability cycles utilizing Vern Harnish's *Scaling Up* cash stress-testing models.</w:t>
      </w:r>
    </w:p>
    <w:p>
      <w:pPr>
        <w:pStyle w:val="ListBullet"/>
        <w:spacing w:after="60"/>
      </w:pPr>
      <w:r/>
      <w:r>
        <w:rPr>
          <w:b/>
        </w:rPr>
        <w:t>Success Target</w:t>
      </w:r>
      <w:r>
        <w:t xml:space="preserve">: </w:t>
      </w:r>
      <w:r>
        <w:rPr>
          <w:b/>
        </w:rPr>
        <w:t>$500,000+ credit pre-sale contracts executed</w:t>
      </w:r>
      <w:r>
        <w:t>; heavy excavators active on two sites; fully synchronized QuickBooks Online chart of accounts; completed first intern rotation.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II. The 10-Person Recruitment &amp; Hiring Funnel</w:t>
      </w:r>
    </w:p>
    <w:p>
      <w:r>
        <w:t xml:space="preserve">To scale our team with high-caliber talent without burning cash, we establish a </w:t>
      </w:r>
      <w:r>
        <w:rPr>
          <w:b/>
        </w:rPr>
        <w:t>Structured, Non-Union Recruitment Funnel</w:t>
      </w:r>
      <w:r>
        <w:t xml:space="preserve"> targeting Georgia's elite academic institutions and specialized grading networks:</w:t>
      </w:r>
    </w:p>
    <w:p>
      <w:pPr>
        <w:spacing w:before="240" w:after="80"/>
      </w:pPr>
      <w:r>
        <w:rPr>
          <w:b/>
          <w:color w:val="595959"/>
          <w:sz w:val="26"/>
        </w:rPr>
        <w:t>1. Recruiting Channels &amp; Target Degrees</w:t>
      </w:r>
    </w:p>
    <w:p>
      <w:pPr>
        <w:pStyle w:val="ListNumber"/>
        <w:spacing w:after="60"/>
      </w:pPr>
      <w:r/>
      <w:r>
        <w:rPr>
          <w:b/>
        </w:rPr>
        <w:t>Fluvial Engineer PE (Month 2)</w:t>
      </w:r>
      <w:r>
        <w:t>: Target Georgia Tech School of Civil &amp; Environmental Engineering (ce.gatech.edu). Look for candidates with 4+ years of HEC-RAS 2D modeling and USACE Section 404 permitting experience.</w:t>
      </w:r>
    </w:p>
    <w:p>
      <w:pPr>
        <w:pStyle w:val="ListNumber"/>
        <w:spacing w:after="60"/>
      </w:pPr>
      <w:r/>
      <w:r>
        <w:rPr>
          <w:b/>
        </w:rPr>
        <w:t>Restoration Biologist (Month 2)</w:t>
      </w:r>
      <w:r>
        <w:t>: Target University of Georgia Warnell School of Forestry &amp; Natural Resources (warnell.uga.edu). Focus on EPA Rapid Bioassessment Protocols (RBP) III and benthic EPT taxonomic index expertise.</w:t>
      </w:r>
    </w:p>
    <w:p>
      <w:pPr>
        <w:pStyle w:val="ListNumber"/>
        <w:spacing w:after="60"/>
      </w:pPr>
      <w:r/>
      <w:r>
        <w:rPr>
          <w:b/>
        </w:rPr>
        <w:t>Stewardship &amp; Sourcing Interns (Month 1/3)</w:t>
      </w:r>
      <w:r>
        <w:t>: Target Clemson Master of Real Estate Development (MRED) and agricultural wealth programs to manage RIBITS market sourcing and bank option agreements.</w:t>
      </w:r>
    </w:p>
    <w:p>
      <w:pPr>
        <w:pStyle w:val="ListNumber"/>
        <w:spacing w:after="60"/>
      </w:pPr>
      <w:r/>
      <w:r>
        <w:rPr>
          <w:b/>
        </w:rPr>
        <w:t>Instream Grading Foreman (Month 3)</w:t>
      </w:r>
      <w:r>
        <w:t>: Recruited directly from local Fannin/Gilmer county heavy civil contracting databases (Yancey Caterpillar logistics reps, forestry clearing foremen).</w:t>
      </w:r>
    </w:p>
    <w:p>
      <w:pPr>
        <w:spacing w:before="240" w:after="80"/>
      </w:pPr>
      <w:r>
        <w:rPr>
          <w:b/>
          <w:color w:val="595959"/>
          <w:sz w:val="26"/>
        </w:rPr>
        <w:t>2. Structured 3-Step Interview Funnel</w:t>
      </w:r>
    </w:p>
    <w:p>
      <w:pPr>
        <w:pStyle w:val="ListBullet"/>
        <w:spacing w:after="60"/>
      </w:pPr>
      <w:r/>
      <w:r>
        <w:rPr>
          <w:b/>
        </w:rPr>
        <w:t>Step 1: Geomorphic Screen (Hunter Morris)</w:t>
      </w:r>
      <w:r>
        <w:t>: 30-minute phone call assessing alignment with local mountain trout ecosystems and geomorphic conservation values.</w:t>
      </w:r>
    </w:p>
    <w:p>
      <w:pPr>
        <w:pStyle w:val="ListBullet"/>
        <w:spacing w:after="60"/>
      </w:pPr>
      <w:r/>
      <w:r>
        <w:rPr>
          <w:b/>
        </w:rPr>
        <w:t>Step 2: Technical Geomorphic Test</w:t>
      </w:r>
      <w:r>
        <w:t>: Candidate is given raw GIS/elevation coordinates of a degraded reach (e.g. Roya's Cabin Boardtown Creek scours) and must calculate the Entrenchment Ratio (</w:t>
      </w:r>
      <w:r>
        <w:rPr>
          <w:rFonts w:ascii="Georgia" w:hAnsi="Georgia"/>
          <w:i/>
        </w:rPr>
        <w:t>ER</w:t>
      </w:r>
      <w:r>
        <w:t>) and recommend J-hook structures within 48 hours.</w:t>
      </w:r>
    </w:p>
    <w:p>
      <w:pPr>
        <w:pStyle w:val="ListBullet"/>
        <w:spacing w:after="60"/>
      </w:pPr>
      <w:r/>
      <w:r>
        <w:rPr>
          <w:b/>
        </w:rPr>
        <w:t>Step 3: Board Alignment (Hunter &amp; Hadi Irvani)</w:t>
      </w:r>
      <w:r>
        <w:t>: In-person alignment review at the operations office, assessing cultural fit, EOS scorecard metrics, and long-term legacy commitments.</w:t>
      </w:r>
    </w:p>
    <w:p>
      <w:pPr>
        <w:spacing w:before="240" w:after="80"/>
      </w:pPr>
      <w:r>
        <w:rPr>
          <w:b/>
          <w:color w:val="595959"/>
          <w:sz w:val="26"/>
        </w:rPr>
        <w:t>3. Roles and Responsibilities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6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Employee ID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 / Seat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Responsibilities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Performance KPI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**EM-01**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Managing Director (Hunter Morris)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Geomorphic design-build lead; Board relationship banking; direct credit sells.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Project IRR ($\ge 30\%$); JV contracts signed.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**EM-02**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Sourcing Director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Sourcing rural mountain landowner wades; exurban real estate broker relationships.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Landowner options signed ($\ge 3$/month).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**EM-03**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Fluvial Engineer 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AutoCAD Civil 3D NCD structure designs; 1D/2D HEC-RAS hydraulic modeling.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USACE PCN permit approvals; zero design errors.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**EM-04**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Restoration Biologist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Benthic macroinvertebrate sorting; EPA Rapid Bioassessments; EPD variance filings.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Annual RIBITS monitoring reports submitted on-time.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**EM-05**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UAS Drone Specialist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photogrammetry demo mapping flight paths; GCP placements; WebODM processing.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LiDAR Dem mapping accuracy ($\ge 98\%$).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**EM-06**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instream Grading Foreman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John Deere excavator bankfull grading; toe-wood placement; step-pool installations.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Instream grading execution within budget.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**EM-07**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Heavy Equipment Field Hand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Silt fence setups; pump-around water bypass installations; cedar root-wad logging.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Worksite safety and GSWCC compliance ratings.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**EM-08**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Office Controller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QuickBooks Online chart of accounts; Docuseal signatures; Escrow reserves tracking.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Account balancing within 24 hours of close.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**EM-09**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UGA Warnell Intern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Macroinvertebrate sorting quadrants; HOBO logger temperature readings.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Complete vegetative quadrants surveys ($\ge 10$/week).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**EM-10**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Clemson Real Estate Intern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RIBITS database audit; exurban land zoning scans; exurban B2B database follow-ups.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Segmented target lead acquisitions ($\ge 50$/week).</w:t>
            </w:r>
          </w:p>
        </w:tc>
      </w:tr>
    </w:tbl>
    <w:p>
      <w:pPr>
        <w:spacing w:before="160"/>
      </w:pP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III. High-Velocity EOS Scorecards &amp; Alignment Rhythms</w:t>
      </w:r>
    </w:p>
    <w:p>
      <w:r>
        <w:t xml:space="preserve">To ensure our scaled team operates at peak velocity without misalignments, we implement the </w:t>
      </w:r>
      <w:r>
        <w:rPr>
          <w:b/>
        </w:rPr>
        <w:t>Traction EOS Weekly Alignment Rhythm</w:t>
      </w:r>
      <w:r>
        <w:t>:</w:t>
      </w:r>
    </w:p>
    <w:p>
      <w:pPr>
        <w:spacing w:before="240" w:after="80"/>
      </w:pPr>
      <w:r>
        <w:rPr>
          <w:b/>
          <w:color w:val="595959"/>
          <w:sz w:val="26"/>
        </w:rPr>
        <w:t>1. High-Velocity Scorecard Metrics</w:t>
      </w:r>
    </w:p>
    <w:p>
      <w:pPr>
        <w:pStyle w:val="ListBullet"/>
        <w:spacing w:after="60"/>
      </w:pPr>
      <w:r/>
      <w:r>
        <w:rPr>
          <w:b/>
        </w:rPr>
        <w:t>Weekly Sourcing Scorecard</w:t>
      </w:r>
      <w:r>
        <w:t>: Track the exact volume of landowner calls (</w:t>
      </w:r>
      <w:r>
        <w:rPr>
          <w:rFonts w:ascii="Georgia" w:hAnsi="Georgia"/>
          <w:i/>
        </w:rPr>
        <w:t>\ge 75</w:t>
      </w:r>
      <w:r>
        <w:t>/week), completed stream walks (</w:t>
      </w:r>
      <w:r>
        <w:rPr>
          <w:rFonts w:ascii="Georgia" w:hAnsi="Georgia"/>
          <w:i/>
        </w:rPr>
        <w:t>\ge 5</w:t>
      </w:r>
      <w:r>
        <w:t>/week), and signed JV options (</w:t>
      </w:r>
      <w:r>
        <w:rPr>
          <w:rFonts w:ascii="Georgia" w:hAnsi="Georgia"/>
          <w:i/>
        </w:rPr>
        <w:t>\ge 1</w:t>
      </w:r>
      <w:r>
        <w:t>/week) to maintain a healthy sourcing pipeline.</w:t>
      </w:r>
    </w:p>
    <w:p>
      <w:pPr>
        <w:pStyle w:val="ListBullet"/>
        <w:spacing w:after="60"/>
      </w:pPr>
      <w:r/>
      <w:r>
        <w:rPr>
          <w:b/>
        </w:rPr>
        <w:t>Weekly Engineering Scorecard</w:t>
      </w:r>
      <w:r>
        <w:t>: Track the volume of AutoCAD sheets completed (</w:t>
      </w:r>
      <w:r>
        <w:rPr>
          <w:rFonts w:ascii="Georgia" w:hAnsi="Georgia"/>
          <w:i/>
        </w:rPr>
        <w:t>\ge 4</w:t>
      </w:r>
      <w:r>
        <w:t>/week), LiDAR drone acres processed (</w:t>
      </w:r>
      <w:r>
        <w:rPr>
          <w:rFonts w:ascii="Georgia" w:hAnsi="Georgia"/>
          <w:i/>
        </w:rPr>
        <w:t>\ge 100</w:t>
      </w:r>
      <w:r>
        <w:t xml:space="preserve"> acres/week), and regulatory submissions (</w:t>
      </w:r>
      <w:r>
        <w:rPr>
          <w:rFonts w:ascii="Georgia" w:hAnsi="Georgia"/>
          <w:i/>
        </w:rPr>
        <w:t>\ge 1</w:t>
      </w:r>
      <w:r>
        <w:t>/month).</w:t>
      </w:r>
    </w:p>
    <w:p>
      <w:pPr>
        <w:pStyle w:val="ListBullet"/>
        <w:spacing w:after="60"/>
      </w:pPr>
      <w:r/>
      <w:r>
        <w:rPr>
          <w:b/>
        </w:rPr>
        <w:t>Weekly Capital &amp; Siting Scorecard</w:t>
      </w:r>
      <w:r>
        <w:t>: Track cash runway stress-testing, wholesale pre-sales pipeline (Target: $250k pending), andEscrow capital allocations (12.5% target balance).</w:t>
      </w:r>
    </w:p>
    <w:p>
      <w:pPr>
        <w:spacing w:before="240" w:after="80"/>
      </w:pPr>
      <w:r>
        <w:rPr>
          <w:b/>
          <w:color w:val="595959"/>
          <w:sz w:val="26"/>
        </w:rPr>
        <w:t>2. High-Velocity Level 10 Board Meeting Agenda (90 Minutes)</w:t>
      </w:r>
    </w:p>
    <w:p>
      <w:pPr>
        <w:pStyle w:val="ListNumber"/>
        <w:spacing w:after="60"/>
      </w:pPr>
      <w:r/>
      <w:r>
        <w:rPr>
          <w:b/>
        </w:rPr>
        <w:t>The Segue (5 Min)</w:t>
      </w:r>
      <w:r>
        <w:t>: Share one personal and one professional win to set a positive, collaborative tone.</w:t>
      </w:r>
    </w:p>
    <w:p>
      <w:pPr>
        <w:pStyle w:val="ListNumber"/>
        <w:spacing w:after="60"/>
      </w:pPr>
      <w:r/>
      <w:r>
        <w:rPr>
          <w:b/>
        </w:rPr>
        <w:t>The Scorecard (10 Min)</w:t>
      </w:r>
      <w:r>
        <w:t>: Review the 10 role-based metrics to ensure all parameters are on-track.</w:t>
      </w:r>
    </w:p>
    <w:p>
      <w:pPr>
        <w:pStyle w:val="ListNumber"/>
        <w:spacing w:after="60"/>
      </w:pPr>
      <w:r/>
      <w:r>
        <w:rPr>
          <w:b/>
        </w:rPr>
        <w:t>Rock Review (15 Min)</w:t>
      </w:r>
      <w:r>
        <w:t>: Check progress on our high-priority 90-day sprint targets (Sign 5 JV options, submit 3 permits, secure pre-sales).</w:t>
      </w:r>
    </w:p>
    <w:p>
      <w:pPr>
        <w:pStyle w:val="ListNumber"/>
        <w:spacing w:after="60"/>
      </w:pPr>
      <w:r/>
      <w:r>
        <w:rPr>
          <w:b/>
        </w:rPr>
        <w:t>Employee &amp; Customer Headlines (5 Min)</w:t>
      </w:r>
      <w:r>
        <w:t>: Share feedback from landowners, brokers, or regulatory inspectors.</w:t>
      </w:r>
    </w:p>
    <w:p>
      <w:pPr>
        <w:pStyle w:val="ListNumber"/>
        <w:spacing w:after="60"/>
      </w:pPr>
      <w:r/>
      <w:r>
        <w:rPr>
          <w:b/>
        </w:rPr>
        <w:t>To-Do List (5 Min)</w:t>
      </w:r>
      <w:r>
        <w:t>: Ensure last week's operational commitments are 100% completed.</w:t>
      </w:r>
    </w:p>
    <w:p>
      <w:pPr>
        <w:pStyle w:val="ListNumber"/>
        <w:spacing w:after="60"/>
      </w:pPr>
      <w:r/>
      <w:r>
        <w:rPr>
          <w:b/>
        </w:rPr>
        <w:t>IDS - Identify, Discuss, Solve (45 Min)</w:t>
      </w:r>
      <w:r>
        <w:t>: Deeply analyze and resolve the week's biggest roadblocks (e.g. a delayed EPD trout buffer variance or an exurban land mortgage bank subordination delay).</w:t>
      </w:r>
    </w:p>
    <w:p>
      <w:pPr>
        <w:pStyle w:val="ListNumber"/>
        <w:spacing w:after="60"/>
      </w:pPr>
      <w:r/>
      <w:r>
        <w:rPr>
          <w:b/>
        </w:rPr>
        <w:t>Conclude &amp; Rate (5 Min)</w:t>
      </w:r>
      <w:r>
        <w:t xml:space="preserve">: Summarize new To-Dos, define external messaging limits, and rate the meeting on a scale of 1-10 (target: </w:t>
      </w:r>
      <w:r>
        <w:rPr>
          <w:rFonts w:ascii="Georgia" w:hAnsi="Georgia"/>
          <w:i/>
        </w:rPr>
        <w:t>\ge 8.5</w:t>
      </w:r>
      <w:r>
        <w:t>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