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28: UGA Intern Workstream — Page 1: Stream Field Sampling Protocols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**Ecology &amp; Biological Monitoring Training Manual**</w:t>
        <w:br/>
        <w:t>**Target School**: University of Georgia (UGA) Odum School of Ecology / Warnell School of Forestry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Introduction &amp; Scientific Objective</w:t>
      </w:r>
    </w:p>
    <w:p>
      <w:r>
        <w:t>As a Stream Ecology Intern from the University of Georgia, your primary responsibility is to execute and document field-level ecological appraisals across our showcase mitigation reaches (e.g., Anderson Creek at Roya's Cabin and Goldmine Hollow at Hunter's Cabin).</w:t>
      </w:r>
    </w:p>
    <w:p>
      <w:r>
        <w:t xml:space="preserve">Degraded mountain streams in the Southern Blue Ridge ecoregion suffer from historic timber logging and cattle-grazing impacts, resulting in collapsed bank clays, high turbidity, and siltation. By trapping these fine silts and regrading the channel into stable meanders, we expose the underlying gravel-cobble substrate. Your biological audits must prove to the </w:t>
      </w:r>
      <w:r>
        <w:rPr>
          <w:b/>
        </w:rPr>
        <w:t>USACE Savannah District Interagency Review Team (IRT)</w:t>
      </w:r>
      <w:r>
        <w:t xml:space="preserve"> that our physical geomorphic restorations result in a quantifiable ecological lift (a direct boost in freshwater biodiversity and wild trout habitat stability).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Benthic Macroinvertebrate Kick-Net Sampling (EPA RBP III)</w:t>
      </w:r>
    </w:p>
    <w:p>
      <w:r>
        <w:t xml:space="preserve">Benthic macroinvertebrates are excellent indicators of long-term water quality because they are sedentary, sensitive to siltation, and serve as the primary food source for wild brook and brown trout. You will utilize the </w:t>
      </w:r>
      <w:r>
        <w:rPr>
          <w:b/>
        </w:rPr>
        <w:t>EPA Rapid Bioassessment Protocols (RBP) III</w:t>
      </w:r>
      <w:r>
        <w:t xml:space="preserve"> for wadeable, high-gradient streams.</w:t>
      </w:r>
    </w:p>
    <w:p>
      <w:pPr>
        <w:spacing w:before="240" w:after="80"/>
      </w:pPr>
      <w:r>
        <w:rPr>
          <w:b/>
          <w:color w:val="595959"/>
          <w:sz w:val="26"/>
        </w:rPr>
        <w:t>A. Field Equipment Checklist</w:t>
      </w:r>
    </w:p>
    <w:p>
      <w:pPr>
        <w:pStyle w:val="ListBullet"/>
        <w:spacing w:after="60"/>
      </w:pPr>
      <w:r>
        <w:t>1-meter square kick-net (</w:t>
      </w:r>
      <w:r>
        <w:rPr>
          <w:rFonts w:ascii="Georgia" w:hAnsi="Georgia"/>
          <w:i/>
        </w:rPr>
        <w:t>500\,\mu\text{m}</w:t>
      </w:r>
      <w:r>
        <w:t xml:space="preserve"> mesh)</w:t>
      </w:r>
    </w:p>
    <w:p>
      <w:pPr>
        <w:pStyle w:val="ListBullet"/>
        <w:spacing w:after="60"/>
      </w:pPr>
      <w:r>
        <w:t>D-frame dip net (</w:t>
      </w:r>
      <w:r>
        <w:rPr>
          <w:rFonts w:ascii="Georgia" w:hAnsi="Georgia"/>
          <w:i/>
        </w:rPr>
        <w:t>500\,\mu\text{m}</w:t>
      </w:r>
      <w:r>
        <w:t xml:space="preserve"> mesh, for bank margins)</w:t>
      </w:r>
    </w:p>
    <w:p>
      <w:pPr>
        <w:pStyle w:val="ListBullet"/>
        <w:spacing w:after="60"/>
      </w:pPr>
      <w:r>
        <w:t>Stainless steel forceps and white sorting trays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95\%</w:t>
      </w:r>
      <w:r>
        <w:t xml:space="preserve"> Denatured Ethanol (preservation fluid)</w:t>
      </w:r>
    </w:p>
    <w:p>
      <w:pPr>
        <w:pStyle w:val="ListBullet"/>
        <w:spacing w:after="60"/>
      </w:pPr>
      <w:r>
        <w:t>Nalgene sample jars (</w:t>
      </w:r>
      <w:r>
        <w:rPr>
          <w:rFonts w:ascii="Georgia" w:hAnsi="Georgia"/>
          <w:i/>
        </w:rPr>
        <w:t>500\text{ ml}</w:t>
      </w:r>
      <w:r>
        <w:t xml:space="preserve"> and </w:t>
      </w:r>
      <w:r>
        <w:rPr>
          <w:rFonts w:ascii="Georgia" w:hAnsi="Georgia"/>
          <w:i/>
        </w:rPr>
        <w:t>1000\text{ ml}</w:t>
      </w:r>
      <w:r>
        <w:t>)</w:t>
      </w:r>
    </w:p>
    <w:p>
      <w:pPr>
        <w:pStyle w:val="ListBullet"/>
        <w:spacing w:after="60"/>
      </w:pPr>
      <w:r>
        <w:t>Waterproof rite-in-the-rain sample labels and field sheets</w:t>
      </w:r>
    </w:p>
    <w:p>
      <w:pPr>
        <w:pStyle w:val="ListBullet"/>
        <w:spacing w:after="60"/>
      </w:pPr>
      <w:r>
        <w:t>Handheld magnifying loupe (</w:t>
      </w:r>
      <w:r>
        <w:rPr>
          <w:rFonts w:ascii="Georgia" w:hAnsi="Georgia"/>
          <w:i/>
        </w:rPr>
        <w:t>10\text{x}</w:t>
      </w:r>
      <w:r>
        <w:t>)</w:t>
      </w:r>
    </w:p>
    <w:p>
      <w:pPr>
        <w:spacing w:before="240" w:after="80"/>
      </w:pPr>
      <w:r>
        <w:rPr>
          <w:b/>
          <w:color w:val="595959"/>
          <w:sz w:val="26"/>
        </w:rPr>
        <w:t>B. Standard Operating Procedure (SOP)</w:t>
      </w:r>
    </w:p>
    <w:p>
      <w:pPr>
        <w:pStyle w:val="ListNumber"/>
        <w:spacing w:after="60"/>
      </w:pPr>
      <w:r/>
      <w:r>
        <w:rPr>
          <w:b/>
        </w:rPr>
        <w:t>Station Selection</w:t>
      </w:r>
      <w:r>
        <w:t xml:space="preserve">: Select a representative </w:t>
      </w:r>
      <w:r>
        <w:rPr>
          <w:rFonts w:ascii="Georgia" w:hAnsi="Georgia"/>
          <w:i/>
        </w:rPr>
        <w:t>100\text{-meter}</w:t>
      </w:r>
      <w:r>
        <w:t xml:space="preserve"> reach containing at least three distinct riffle-pool sequences. Always sample from downstream to upstream to prevent sediment disturbance from contaminating subsequent samples.</w:t>
      </w:r>
    </w:p>
    <w:p>
      <w:pPr>
        <w:pStyle w:val="ListNumber"/>
        <w:spacing w:after="60"/>
      </w:pPr>
      <w:r/>
      <w:r>
        <w:rPr>
          <w:b/>
        </w:rPr>
        <w:t>Kick-Net Placement</w:t>
      </w:r>
      <w:r>
        <w:t>: Position the kick-net securely on the stream bed within a fast-flowing riffle area. Ensure the bottom apron of the net is weighted down with heavy cobbles to prevent macroinvertebrates from escaping underneath the net frame.</w:t>
      </w:r>
    </w:p>
    <w:p>
      <w:pPr>
        <w:pStyle w:val="ListNumber"/>
        <w:spacing w:after="60"/>
      </w:pPr>
      <w:r/>
      <w:r>
        <w:rPr>
          <w:b/>
        </w:rPr>
        <w:t>Substrate Agitation</w:t>
      </w:r>
      <w:r>
        <w:t xml:space="preserve">: One intern will hold the net poles at a </w:t>
      </w:r>
      <w:r>
        <w:rPr>
          <w:rFonts w:ascii="Georgia" w:hAnsi="Georgia"/>
          <w:i/>
        </w:rPr>
        <w:t>45\text{-degree}</w:t>
      </w:r>
      <w:r>
        <w:t xml:space="preserve"> angle, while the second intern stands directly upstream in a </w:t>
      </w:r>
      <w:r>
        <w:rPr>
          <w:rFonts w:ascii="Georgia" w:hAnsi="Georgia"/>
          <w:i/>
        </w:rPr>
        <w:t>1\text{m} \times 1\text{m}</w:t>
      </w:r>
      <w:r>
        <w:t xml:space="preserve"> sampling quadrat. For exactly </w:t>
      </w:r>
      <w:r>
        <w:rPr>
          <w:b/>
        </w:rPr>
        <w:t>60 seconds</w:t>
      </w:r>
      <w:r>
        <w:t xml:space="preserve">, vigorously scrub all large cobbles and rocks by hand within the quadrat to dislodge clinging organisms, followed by foot-kicking to a depth of </w:t>
      </w:r>
      <w:r>
        <w:rPr>
          <w:rFonts w:ascii="Georgia" w:hAnsi="Georgia"/>
          <w:i/>
        </w:rPr>
        <w:t>5\text{--}10\text{ cm}</w:t>
      </w:r>
      <w:r>
        <w:t xml:space="preserve"> in the gravel-sand substrate.</w:t>
      </w:r>
    </w:p>
    <w:p>
      <w:pPr>
        <w:pStyle w:val="ListNumber"/>
        <w:spacing w:after="60"/>
      </w:pPr>
      <w:r/>
      <w:r>
        <w:rPr>
          <w:b/>
        </w:rPr>
        <w:t>Net Wash &amp; Transfer</w:t>
      </w:r>
      <w:r>
        <w:t>: Lift the net with a forward scooping motion to keep the sample contained. Wash the net debris into a shallow white sorting tray filled with clean creek water. Use forceps to pick all visible organisms and transfer them into the ethanol-filled Nalgene jars.</w:t>
      </w:r>
    </w:p>
    <w:p>
      <w:pPr>
        <w:pStyle w:val="ListNumber"/>
        <w:spacing w:after="60"/>
      </w:pPr>
      <w:r/>
      <w:r>
        <w:rPr>
          <w:b/>
        </w:rPr>
        <w:t>Labeling</w:t>
      </w:r>
      <w:r>
        <w:t xml:space="preserve">: Place a waterproof label </w:t>
      </w:r>
      <w:r>
        <w:rPr>
          <w:b/>
        </w:rPr>
        <w:t>inside</w:t>
      </w:r>
      <w:r>
        <w:t xml:space="preserve"> the jar written in pencil indicating: *Date, Time, Stream Name, Station ID (Latitude/Longitude), and Intern Names*.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Substrate Composition &amp; Wolman Pebble Counts</w:t>
      </w:r>
    </w:p>
    <w:p>
      <w:r>
        <w:t xml:space="preserve">To correlate macroinvertebrate density with physical stream bed changes, you must perform a geomorphic </w:t>
      </w:r>
      <w:r>
        <w:rPr>
          <w:b/>
        </w:rPr>
        <w:t>Wolman Pebble Count</w:t>
      </w:r>
      <w:r>
        <w:t xml:space="preserve"> alongside your biological kick samples. This determines if our sediment-trapping structures are successfully flushing out fine clays and exposing spawning gravels.</w:t>
      </w:r>
    </w:p>
    <w:p>
      <w:pPr>
        <w:spacing w:before="240" w:after="80"/>
      </w:pPr>
      <w:r>
        <w:rPr>
          <w:b/>
          <w:color w:val="595959"/>
          <w:sz w:val="26"/>
        </w:rPr>
        <w:t>A. Wolman Pebble Count Protocol</w:t>
      </w:r>
    </w:p>
    <w:p>
      <w:pPr>
        <w:pStyle w:val="ListNumber"/>
        <w:spacing w:after="60"/>
      </w:pPr>
      <w:r/>
      <w:r>
        <w:rPr>
          <w:b/>
        </w:rPr>
        <w:t>Grid Setup</w:t>
      </w:r>
      <w:r>
        <w:t>: Delineate a transect across the bankfull width of the channel, starting at the water's edge.</w:t>
      </w:r>
    </w:p>
    <w:p>
      <w:pPr>
        <w:pStyle w:val="ListNumber"/>
        <w:spacing w:after="60"/>
      </w:pPr>
      <w:r/>
      <w:r>
        <w:rPr>
          <w:b/>
        </w:rPr>
        <w:t>Blind Selection</w:t>
      </w:r>
      <w:r>
        <w:t>: Walk across the transect. At every step, look away and touch the stream bed at the tip of your wading boot. Pick up the first particle your index finger contacts.</w:t>
      </w:r>
    </w:p>
    <w:p>
      <w:pPr>
        <w:pStyle w:val="ListNumber"/>
        <w:spacing w:after="60"/>
      </w:pPr>
      <w:r/>
      <w:r>
        <w:rPr>
          <w:b/>
        </w:rPr>
        <w:t>Measurement</w:t>
      </w:r>
      <w:r>
        <w:t xml:space="preserve">: Measure the </w:t>
      </w:r>
      <w:r>
        <w:rPr>
          <w:b/>
        </w:rPr>
        <w:t>intermediate axis (B-axis)</w:t>
      </w:r>
      <w:r>
        <w:t xml:space="preserve"> of the particle using a standard gravelometer (in millimeters).</w:t>
      </w:r>
    </w:p>
    <w:p>
      <w:pPr>
        <w:pStyle w:val="ListNumber"/>
        <w:spacing w:after="60"/>
      </w:pPr>
      <w:r/>
      <w:r>
        <w:rPr>
          <w:b/>
        </w:rPr>
        <w:t>Tally</w:t>
      </w:r>
      <w:r>
        <w:t xml:space="preserve">: Log the particle size into the standard size categories (e.g., Silt/Clay </w:t>
      </w:r>
      <w:r>
        <w:rPr>
          <w:rFonts w:ascii="Georgia" w:hAnsi="Georgia"/>
          <w:i/>
        </w:rPr>
        <w:t>&lt;0.062\text{ mm}</w:t>
      </w:r>
      <w:r>
        <w:t xml:space="preserve">, Sand </w:t>
      </w:r>
      <w:r>
        <w:rPr>
          <w:rFonts w:ascii="Georgia" w:hAnsi="Georgia"/>
          <w:i/>
        </w:rPr>
        <w:t>0.062\text{--}2\text{ mm}</w:t>
      </w:r>
      <w:r>
        <w:t xml:space="preserve">, Gravel </w:t>
      </w:r>
      <w:r>
        <w:rPr>
          <w:rFonts w:ascii="Georgia" w:hAnsi="Georgia"/>
          <w:i/>
        </w:rPr>
        <w:t>2\text{--}64\text{ mm}</w:t>
      </w:r>
      <w:r>
        <w:t xml:space="preserve">, Cobble </w:t>
      </w:r>
      <w:r>
        <w:rPr>
          <w:rFonts w:ascii="Georgia" w:hAnsi="Georgia"/>
          <w:i/>
        </w:rPr>
        <w:t>64\text{--}256\text{ mm}</w:t>
      </w:r>
      <w:r>
        <w:t xml:space="preserve">, Boulder </w:t>
      </w:r>
      <w:r>
        <w:rPr>
          <w:rFonts w:ascii="Georgia" w:hAnsi="Georgia"/>
          <w:i/>
        </w:rPr>
        <w:t>&gt;256\text{ mm}</w:t>
      </w:r>
      <w:r>
        <w:t>).</w:t>
      </w:r>
    </w:p>
    <w:p>
      <w:pPr>
        <w:pStyle w:val="ListNumber"/>
        <w:spacing w:after="60"/>
      </w:pPr>
      <w:r/>
      <w:r>
        <w:rPr>
          <w:b/>
        </w:rPr>
        <w:t>Sample Size</w:t>
      </w:r>
      <w:r>
        <w:t xml:space="preserve">: Repeat until you have collected exactly </w:t>
      </w:r>
      <w:r>
        <w:rPr>
          <w:b/>
        </w:rPr>
        <w:t>100 random particles</w:t>
      </w:r>
      <w:r>
        <w:t xml:space="preserve"> across the reach cross-sections.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Physical Habitat Parameter Rating</w:t>
      </w:r>
    </w:p>
    <w:p>
      <w:r>
        <w:t xml:space="preserve">You will fill out the EPA RBP High-Gradient Physical Habitat Assessment Sheet at every station. Score the following ten parameters from </w:t>
      </w:r>
      <w:r>
        <w:rPr>
          <w:b/>
        </w:rPr>
        <w:t>0 (Poor)</w:t>
      </w:r>
      <w:r>
        <w:t xml:space="preserve"> to </w:t>
      </w:r>
      <w:r>
        <w:rPr>
          <w:b/>
        </w:rPr>
        <w:t>20 (Optimal)</w:t>
      </w:r>
      <w:r>
        <w:t xml:space="preserve"> to track physical habitat lifting: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Habitat Parameter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Scoring Range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Ecological Description &amp; Field Indicator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**1. Epifaunal Substrate**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Relative abundance of natural cobble, gravel, and woody logs. Spawning and colonization shelter.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**2. Embeddedness**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The degree to which gravel and cobble are buried in fine sand/silt. Excellent is $&lt;25\%$ embedded.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**3. Velocity-Depth Regimes**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Presence of four patterns: Slow-Deep (pools), Slow-Shallow (runs), Fast-Deep (glides), Fast-Shallow (riffles).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**4. Sediment Deposition**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Formation of mid-channel sand bars or aggradation. Low score indicates high silt choking.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**5. Channel Flow Status**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Degree to which the channel is filled with water. Optimal reaches fill the bankfull bank margins.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**6. Channel Alteration**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Human impacts (culverts, concrete, bridges). Our restored reaches count as positive geomorphic lifting.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**7. Frequency of Riffles**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Ratio of distance between riffles divided by stream width. Stable streams feature riffles every 5 to 7 stream widths.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**8. Bank Stability**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Degree of bank erosion, slumping, and active clay failure. Restoration areas target high score.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**9. Vegetative Protection**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Riparian native vegetative cover (stems, roots, leaves). Protects banks from storm shear stress.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**10. Riparian Zone Width**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0 to 20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Width of native canopy buffer. Optimal is $&gt;100\text{ feet}$ of continuous undisturbed forest buffer.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5. Field Safety &amp; Environmental Ethics</w:t>
      </w:r>
    </w:p>
    <w:p>
      <w:pPr>
        <w:pStyle w:val="ListBullet"/>
        <w:spacing w:after="60"/>
      </w:pPr>
      <w:r/>
      <w:r>
        <w:rPr>
          <w:b/>
        </w:rPr>
        <w:t>Decontamination Protocol</w:t>
      </w:r>
      <w:r>
        <w:t xml:space="preserve">: To prevent the spread of invasive </w:t>
      </w:r>
      <w:r>
        <w:rPr>
          <w:b/>
        </w:rPr>
        <w:t>Didymo (rock snot)</w:t>
      </w:r>
      <w:r>
        <w:t xml:space="preserve"> algae and the deadly fungal pathogen </w:t>
      </w:r>
      <w:r>
        <w:rPr>
          <w:b/>
        </w:rPr>
        <w:t>Chytrid</w:t>
      </w:r>
      <w:r>
        <w:t xml:space="preserve"> (which decimates native salamanders), you must submerge all waders, boots, kick-nets, and D-nets in a </w:t>
      </w:r>
      <w:r>
        <w:rPr>
          <w:b/>
        </w:rPr>
        <w:t>$10\%$ bleach solution</w:t>
      </w:r>
      <w:r>
        <w:t xml:space="preserve"> or </w:t>
      </w:r>
      <w:r>
        <w:rPr>
          <w:b/>
        </w:rPr>
        <w:t>Virkon S disinfectant</w:t>
      </w:r>
      <w:r>
        <w:t xml:space="preserve"> for exactly 15 minutes between different mountain watersheds.</w:t>
      </w:r>
    </w:p>
    <w:p>
      <w:pPr>
        <w:pStyle w:val="ListBullet"/>
        <w:spacing w:after="60"/>
      </w:pPr>
      <w:r/>
      <w:r>
        <w:rPr>
          <w:b/>
        </w:rPr>
        <w:t>Wading Safety</w:t>
      </w:r>
      <w:r>
        <w:t xml:space="preserve">: Never enter a stream reach if the stage height exceeds your waist or if water velocities exceed </w:t>
      </w:r>
      <w:r>
        <w:rPr>
          <w:rFonts w:ascii="Georgia" w:hAnsi="Georgia"/>
          <w:i/>
        </w:rPr>
        <w:t>3.5\text{ ft/s}</w:t>
      </w:r>
      <w:r>
        <w:t>. Always wade with a companion and use a wading staff to feel for deep scoured holes.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