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File 43: EOS Board Governance &amp; Competitor Workflows Playbook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**Advisory Board Governance &amp; Operational Competitor Benchmarking**</w:t>
        <w:br/>
        <w:t>**Brand**: Blue Ridge Stream Restoration &amp; Mitigation LLC</w:t>
        <w:br/>
        <w:t>**Frameworks**: Gino Wickman's Traction (EOS) &amp; Vern Harnish's Scaling Up</w:t>
        <w:br/>
        <w:t>**Supervising Board**: Hunter Morris (Co-Founder &amp; Managing Director) &amp; Hadi Irvani (Board Member)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1. Competitor Operational Workflows &amp; Drone Benchmarking</w:t>
      </w:r>
    </w:p>
    <w:p>
      <w:r>
        <w:t>To build a significant competitive advantage in Georgia, Hunter Morris must understand how corporate mitigation conglomerates structure their environmental workflows and project scales compared to traditional boutique civil contractors.</w:t>
      </w:r>
    </w:p>
    <w:p>
      <w:pPr>
        <w:spacing w:before="240" w:after="80"/>
      </w:pPr>
      <w:r>
        <w:rPr>
          <w:b/>
          <w:color w:val="595959"/>
          <w:sz w:val="26"/>
        </w:rPr>
        <w:t>A. Operational Workflow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6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Operational Phase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Traditional Grading Contractors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PE-Backed Corporate Conglomerates (RES, EIP, Wildlands)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Blue Ridge Stream Restoration (Hunter's Venture)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**1. Stream Assessment**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Manual walking surveys with static measuring tapes and basic rod-readings. High margin of error in high-gradient reaches.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Expensive surveyor crews using terrestrial LiDAR scanners and Total Stations. High cost, slow mobilization (3-6 weeks).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**RTK-assisted GPS terrain tagging combined with UAS (Unmanned Aerial System) aerial photogrammetry. High speed (1-2 days), sub-centimeter accuracy.**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**2. Stream Photography**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Standard hand-held camera or mobile phone photography. Hard to document structural geometries or canopy coverage.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Periodic commercial flights or high-cost outsourced mapping services. Visual data remains locked in engineering silos.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**High-frequency DJI RTK flight paths to build consistent orthomosaics, georeferenced 3D point clouds, and high-density terrain meshes.**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**3. Remote Sensing**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None. Standard visual checks for bank erosion.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Satellite imagery (Landsat/Sentinel) analysis. Coarse resolution ($10\text{ m/pixel}$), highly limited under heavy canopy cover.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**Multispectral sensor drone mapping QGIS analysis. Generates $1.5\text{ cm/pixel}$ NDVI (Normalized Difference Vegetation Index) arrays to prove vegetation growth.**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**4. Ideal Project Scale**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Small local bank repairs ($100$ to $500$ linear feet). General grading, no regulatory credit generation.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Massive watershed tracts ($&gt;5,000$ linear feet or $&gt;100$ acres of wetlands). High mobilization threshold, uninterested in smaller high-yield sites.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**Boutique high-yield reaches ($1,000$ to $3,000$ linear feet) of high-gradient trout meanders. Maximizes geomorphic credit yield factor ($8.6\text{ credits/LF}$) via Priority 1 restoration.**</w:t>
            </w:r>
          </w:p>
        </w:tc>
      </w:tr>
    </w:tbl>
    <w:p>
      <w:pPr>
        <w:spacing w:before="160"/>
      </w:pPr>
    </w:p>
    <w:p>
      <w:pPr>
        <w:spacing w:before="240" w:after="80"/>
      </w:pPr>
      <w:r>
        <w:rPr>
          <w:b/>
          <w:color w:val="595959"/>
          <w:sz w:val="26"/>
        </w:rPr>
        <w:t>B. Competitor Project Size &amp; Scale Benchmarks</w:t>
      </w:r>
    </w:p>
    <w:p>
      <w:pPr>
        <w:pStyle w:val="ListBullet"/>
        <w:spacing w:after="60"/>
      </w:pPr>
      <w:r/>
      <w:r>
        <w:rPr>
          <w:b/>
        </w:rPr>
        <w:t>The Conglomerate Scale (RES &amp; EIP)</w:t>
      </w:r>
      <w:r>
        <w:t xml:space="preserve">: These institutional funds target large-scale agricultural degradation sites yielding over </w:t>
      </w:r>
      <w:r>
        <w:rPr>
          <w:rFonts w:ascii="Georgia" w:hAnsi="Georgia"/>
          <w:i/>
        </w:rPr>
        <w:t>15,000</w:t>
      </w:r>
      <w:r>
        <w:t xml:space="preserve"> credits. They rarely bid on projects with under </w:t>
      </w:r>
      <w:r>
        <w:rPr>
          <w:rFonts w:ascii="Georgia" w:hAnsi="Georgia"/>
          <w:i/>
        </w:rPr>
        <w:t>5,000</w:t>
      </w:r>
      <w:r>
        <w:t xml:space="preserve"> linear feet because their overhead, mobilization costs, and corporate hierarchies require massive credit volumes to achieve their target internal rates of return (IRR).</w:t>
      </w:r>
    </w:p>
    <w:p>
      <w:pPr>
        <w:pStyle w:val="ListBullet"/>
        <w:spacing w:after="60"/>
      </w:pPr>
      <w:r/>
      <w:r>
        <w:rPr>
          <w:b/>
        </w:rPr>
        <w:t>The Boutique Local Scale</w:t>
      </w:r>
      <w:r>
        <w:t>: Traditional excavators operate on small residential or agricultural bank repairs. They use heavy rock rip-rap and concrete, which are environmentally destructive and do not qualify for USACE Savannah District stream mitigation credits.</w:t>
      </w:r>
    </w:p>
    <w:p>
      <w:pPr>
        <w:pStyle w:val="ListBullet"/>
        <w:spacing w:after="60"/>
      </w:pPr>
      <w:r/>
      <w:r>
        <w:rPr>
          <w:b/>
        </w:rPr>
        <w:t>Blue Ridge's Sweet Spot ($1,000$ to $3,000$ LF)</w:t>
      </w:r>
      <w:r>
        <w:t>: Hunter's ideal project scale fits precisely in this gap. By targeting high-gradient, coldwater trout watersheds (e.g. Anderson Creek, Goldmine Hollow) on private estates and mountain cabins, he accesses lands that conglomerates ignore. Because these sites utilize natural geomorphic meanders (Priority 1 Natural Channel Design), they achieve a premium credit yield factor (</w:t>
      </w:r>
      <w:r>
        <w:rPr>
          <w:rFonts w:ascii="Georgia" w:hAnsi="Georgia"/>
          <w:i/>
        </w:rPr>
        <w:t>8.6\text{ credits/LF}</w:t>
      </w:r>
      <w:r>
        <w:t>), generating high financial returns with low overhead.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2. Expansion Targets for the Board of Advisors</w:t>
      </w:r>
    </w:p>
    <w:p>
      <w:r>
        <w:t xml:space="preserve">To supplement the five primary board members proposed in </w:t>
      </w:r>
      <w:r>
        <w:rPr>
          <w:b/>
        </w:rPr>
        <w:t>File 20</w:t>
      </w:r>
      <w:r>
        <w:t xml:space="preserve"> (Academic, Regulatory, Legal, Sales, and Civil Construction), Hunter should target five additional regional specialists to expand B2B land acquisition, data center buyers access, and conservation banking networks:</w:t>
      </w:r>
    </w:p>
    <w:p>
      <w:pPr>
        <w:pStyle w:val="ListNumber"/>
        <w:spacing w:after="60"/>
      </w:pPr>
      <w:r/>
      <w:r>
        <w:rPr>
          <w:b/>
        </w:rPr>
        <w:t>Land Conservation Trust Director (Target: Executive Director, Georgia Highlands Land Trust)</w:t>
      </w:r>
      <w:r/>
    </w:p>
    <w:p>
      <w:pPr>
        <w:pStyle w:val="ListBullet"/>
        <w:spacing w:after="60"/>
      </w:pPr>
      <w:r>
        <w:t>*Strategic Purpose*: Sourcing off-market landowners. Land trusts are in constant contact with wealthy private owners of large mountain tracts. Having a land trust director on the board creates a warm referral funnel for joint-venture stream easements.</w:t>
      </w:r>
    </w:p>
    <w:p>
      <w:pPr>
        <w:pStyle w:val="ListNumber"/>
        <w:spacing w:after="60"/>
      </w:pPr>
      <w:r/>
      <w:r>
        <w:rPr>
          <w:b/>
        </w:rPr>
        <w:t>Corporate ESG / Data Center Sustainability Lead (Target: VP of Sustainability, QTS Data Centers or Google GA Infrastructure)</w:t>
      </w:r>
      <w:r/>
    </w:p>
    <w:p>
      <w:pPr>
        <w:pStyle w:val="ListBullet"/>
        <w:spacing w:after="60"/>
      </w:pPr>
      <w:r>
        <w:t>*Strategic Purpose*: Direct PRM sales access. Hyperscalers have immediate, high-volume credit needs for their Georgia campuses. Direct board access allows Hunter to pitch Permittee-Responsible Mitigation (PRM) packages directly to buyers before they seek credits from third-party brokers.</w:t>
      </w:r>
    </w:p>
    <w:p>
      <w:pPr>
        <w:pStyle w:val="ListNumber"/>
        <w:spacing w:after="60"/>
      </w:pPr>
      <w:r/>
      <w:r>
        <w:rPr>
          <w:b/>
        </w:rPr>
        <w:t>State Agricultural Extension Representative (Target: UGA Warnell School of Forestry &amp; Natural Resources Outreach Lead)</w:t>
      </w:r>
      <w:r/>
    </w:p>
    <w:p>
      <w:pPr>
        <w:pStyle w:val="ListBullet"/>
        <w:spacing w:after="60"/>
      </w:pPr>
      <w:r>
        <w:t>*Strategic Purpose*: Building rural credibility. Agricultural landowners are naturally skeptical of corporate developers. A respected UGA Extension representative on the board validates Blue Ridge's ecological mission and helps source agricultural JV tracts.</w:t>
      </w:r>
    </w:p>
    <w:p>
      <w:pPr>
        <w:pStyle w:val="ListNumber"/>
        <w:spacing w:after="60"/>
      </w:pPr>
      <w:r/>
      <w:r>
        <w:rPr>
          <w:b/>
        </w:rPr>
        <w:t>Heavy Equipment Rental &amp; Logistics Partner (Target: Regional VP, Yancey Bros. Co. - Georgia Caterpillar Dealer)</w:t>
      </w:r>
      <w:r/>
    </w:p>
    <w:p>
      <w:pPr>
        <w:pStyle w:val="ListBullet"/>
        <w:spacing w:after="60"/>
      </w:pPr>
      <w:r>
        <w:t>*Strategic Purpose*: Capital conservation. Instream construction requires heavy machinery (GPS-guided excavators, low-ground-pressure haulers). A strategic relationship with a major equipment dealer secures favorable lease terms and priority fleet access, preserving cash flow.</w:t>
      </w:r>
    </w:p>
    <w:p>
      <w:pPr>
        <w:pStyle w:val="ListNumber"/>
        <w:spacing w:after="60"/>
      </w:pPr>
      <w:r/>
      <w:r>
        <w:rPr>
          <w:b/>
        </w:rPr>
        <w:t>Water Rights &amp; Riparian Boundary Specialist (Target: Senior Surveyor, Georgia Board of Professional Engineers &amp; Land Surveyors)</w:t>
      </w:r>
      <w:r/>
    </w:p>
    <w:p>
      <w:pPr>
        <w:pStyle w:val="ListBullet"/>
        <w:spacing w:after="60"/>
      </w:pPr>
      <w:r>
        <w:t>*Strategic Purpose*: Risk mitigation. Defining the exact geomorphic thalweg and bankfull boundaries on high-gradient mountain creeks is legally complex. A senior land survey expert ensures all restrictive covenant drawings are bulletproof, preventing title challenges.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3. Bi-Monthly Board Meeting Calendar (June 2026 - April 2027)</w:t>
      </w:r>
    </w:p>
    <w:p>
      <w:r>
        <w:t xml:space="preserve">To establish operational accountability and structure, Hunter Morris (Managing Director) and Hadi Irvani (Board Member) will implement a </w:t>
      </w:r>
      <w:r>
        <w:rPr>
          <w:b/>
        </w:rPr>
        <w:t>bi-monthly board meeting cycle</w:t>
      </w:r>
      <w:r>
        <w:t xml:space="preserve">. Meetings will occur on the </w:t>
      </w:r>
      <w:r>
        <w:rPr>
          <w:b/>
        </w:rPr>
        <w:t>second Tuesday of every other month at 10:00 AM EST</w:t>
      </w:r>
      <w:r>
        <w:t xml:space="preserve"> (lasting exactly 90 minutes):</w:t>
      </w:r>
    </w:p>
    <w:p>
      <w:pPr>
        <w:pStyle w:val="ListBullet"/>
        <w:spacing w:after="60"/>
      </w:pPr>
      <w:r/>
      <w:r>
        <w:rPr>
          <w:b/>
        </w:rPr>
        <w:t>Session 1: June 9, 2026 (10:00 AM - 11:30 AM)</w:t>
      </w:r>
      <w:r/>
    </w:p>
    <w:p>
      <w:pPr>
        <w:pStyle w:val="ListBullet"/>
        <w:spacing w:after="60"/>
      </w:pPr>
      <w:r>
        <w:t>*Core Focus*: Phase 1 Launch Audit, Anderson Creek option agreement execution, and UGA/GT intern onboarding.</w:t>
      </w:r>
    </w:p>
    <w:p>
      <w:pPr>
        <w:pStyle w:val="ListBullet"/>
        <w:spacing w:after="60"/>
      </w:pPr>
      <w:r/>
      <w:r>
        <w:rPr>
          <w:b/>
        </w:rPr>
        <w:t>Session 2: August 11, 2026 (10:00 AM - 11:30 AM)</w:t>
      </w:r>
      <w:r/>
    </w:p>
    <w:p>
      <w:pPr>
        <w:pStyle w:val="ListBullet"/>
        <w:spacing w:after="60"/>
      </w:pPr>
      <w:r>
        <w:t>*Core Focus*: QGIS Drone Surveying orthomosaic reviews, draft PCN package finalization for USACE, and Q2 financial review.</w:t>
      </w:r>
    </w:p>
    <w:p>
      <w:pPr>
        <w:pStyle w:val="ListBullet"/>
        <w:spacing w:after="60"/>
      </w:pPr>
      <w:r/>
      <w:r>
        <w:rPr>
          <w:b/>
        </w:rPr>
        <w:t>Session 3: October 13, 2026 (10:00 AM - 11:30 AM)</w:t>
      </w:r>
      <w:r/>
    </w:p>
    <w:p>
      <w:pPr>
        <w:pStyle w:val="ListBullet"/>
        <w:spacing w:after="60"/>
      </w:pPr>
      <w:r>
        <w:t>*Core Focus*: USACE Savannah District IRT site audit preparation, data center direct sales pipeline review, and Q3 cash flow forecasts.</w:t>
      </w:r>
    </w:p>
    <w:p>
      <w:pPr>
        <w:pStyle w:val="ListBullet"/>
        <w:spacing w:after="60"/>
      </w:pPr>
      <w:r/>
      <w:r>
        <w:rPr>
          <w:b/>
        </w:rPr>
        <w:t>Session 4: December 8, 2026 (10:00 AM - 11:30 AM)</w:t>
      </w:r>
      <w:r/>
    </w:p>
    <w:p>
      <w:pPr>
        <w:pStyle w:val="ListBullet"/>
        <w:spacing w:after="60"/>
      </w:pPr>
      <w:r>
        <w:t>*Core Focus*: Fluvial bioengineering winter planting logistics (Rhododendron max geomorphic transplanting), tax planning, and CRM pipeline expansions.</w:t>
      </w:r>
    </w:p>
    <w:p>
      <w:pPr>
        <w:pStyle w:val="ListBullet"/>
        <w:spacing w:after="60"/>
      </w:pPr>
      <w:r/>
      <w:r>
        <w:rPr>
          <w:b/>
        </w:rPr>
        <w:t>Session 5: February 9, 2027 (10:00 AM - 11:30 AM)</w:t>
      </w:r>
      <w:r/>
    </w:p>
    <w:p>
      <w:pPr>
        <w:pStyle w:val="ListBullet"/>
        <w:spacing w:after="60"/>
      </w:pPr>
      <w:r>
        <w:t>*Core Focus*: Permitting progress audit, land bank sourcing database updates, and regional ag-bankers outreach review.</w:t>
      </w:r>
    </w:p>
    <w:p>
      <w:pPr>
        <w:pStyle w:val="ListBullet"/>
        <w:spacing w:after="60"/>
      </w:pPr>
      <w:r/>
      <w:r>
        <w:rPr>
          <w:b/>
        </w:rPr>
        <w:t>Session 6: April 13, 2027 (10:00 AM - 11:30 AM)</w:t>
      </w:r>
      <w:r/>
    </w:p>
    <w:p>
      <w:pPr>
        <w:pStyle w:val="ListBullet"/>
        <w:spacing w:after="60"/>
      </w:pPr>
      <w:r>
        <w:t>*Core Focus*: Annual construction plan finalization, spring vegetation survival audits, and Q1 financial review.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4. EOS "Level 10" Board Meeting Agenda</w:t>
      </w:r>
    </w:p>
    <w:p>
      <w:r>
        <w:t xml:space="preserve">To maintain extreme focus and prevent meetings from devolving into unstructured storytelling, the Board of Advisors will follow the strict, time-blocked </w:t>
      </w:r>
      <w:r>
        <w:rPr>
          <w:b/>
        </w:rPr>
        <w:t>Traction EOS "Level 10 Meeting" format</w:t>
      </w:r>
      <w:r>
        <w:t xml:space="preserve"> (90 minutes total):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>+-----------------------------------------------------------------------------+</w:t>
        <w:br/>
        <w:t>|                     EOS LEVEL 10 BOARD AGENDA (90 MIN)                       |</w:t>
        <w:br/>
        <w:t>+-----------------------------------------------------------------------------+</w:t>
        <w:br/>
        <w:t>| [10:00 - 10:05] | Segue &amp; Good News (Personal &amp; Professional Highlights)     |</w:t>
        <w:br/>
        <w:t>| [10:05 - 10:15] | Scorecard Review (Review 5 Leading Operational Metrics)    |</w:t>
        <w:br/>
        <w:t>| [10:15 - 10:25] | Rock Review (Status of 90-Day Critical Priorities)         |</w:t>
        <w:br/>
        <w:t>| [10:25 - 10:30] | Headlines (Customer, Landowner &amp; Employee News)            |</w:t>
        <w:br/>
        <w:t>| [10:30 - 10:35] | To-Do List (Review of Action Items from Previous Session)  |</w:t>
        <w:br/>
        <w:t>| [10:35 - 11:25] | IDS Session (Identify, Discuss, Solve Key Issues)          |</w:t>
        <w:br/>
        <w:t>| [11:25 - 11:30] | Conclude &amp; Meeting Rating (Target: 8+ out of 10 score)     |</w:t>
        <w:br/>
        <w:t>+-----------------------------------------------------------------------------+</w:t>
      </w:r>
    </w:p>
    <w:p>
      <w:pPr>
        <w:spacing w:before="240" w:after="80"/>
      </w:pPr>
      <w:r>
        <w:rPr>
          <w:b/>
          <w:color w:val="595959"/>
          <w:sz w:val="26"/>
        </w:rPr>
        <w:t>Agenda Breakdowns &amp; Accountability Controls:</w:t>
      </w:r>
    </w:p>
    <w:p>
      <w:pPr>
        <w:pStyle w:val="ListNumber"/>
        <w:spacing w:after="60"/>
      </w:pPr>
      <w:r/>
      <w:r>
        <w:rPr>
          <w:b/>
        </w:rPr>
        <w:t>Segue &amp; Good News (5 mins)</w:t>
      </w:r>
      <w:r>
        <w:t>: Establishes a collaborative, positive environment. Each board member shares one win.</w:t>
      </w:r>
    </w:p>
    <w:p>
      <w:pPr>
        <w:pStyle w:val="ListNumber"/>
        <w:spacing w:after="60"/>
      </w:pPr>
      <w:r/>
      <w:r>
        <w:rPr>
          <w:b/>
        </w:rPr>
        <w:t>Scorecard Review (10 mins)</w:t>
      </w:r>
      <w:r>
        <w:t>: Hunter reviews the 5 leading scorecard metrics. Any metric that is off-track is dropped straight down to the IDS list.</w:t>
      </w:r>
    </w:p>
    <w:p>
      <w:pPr>
        <w:pStyle w:val="ListNumber"/>
        <w:spacing w:after="60"/>
      </w:pPr>
      <w:r/>
      <w:r>
        <w:rPr>
          <w:b/>
        </w:rPr>
        <w:t>Rock Review (10 mins)</w:t>
      </w:r>
      <w:r>
        <w:t>: Hunter reports "On Track" or "Off Track" for his three 90-day Rocks (strategic goals). No discussion is allowed here; off-track Rocks go to the IDS list.</w:t>
      </w:r>
    </w:p>
    <w:p>
      <w:pPr>
        <w:pStyle w:val="ListNumber"/>
        <w:spacing w:after="60"/>
      </w:pPr>
      <w:r/>
      <w:r>
        <w:rPr>
          <w:b/>
        </w:rPr>
        <w:t>Headlines (5 mins)</w:t>
      </w:r>
      <w:r>
        <w:t>: Review landowner relations (e.g. Roya Irvani's Anderson Creek feedback) and USACE Savannah District communications.</w:t>
      </w:r>
    </w:p>
    <w:p>
      <w:pPr>
        <w:pStyle w:val="ListNumber"/>
        <w:spacing w:after="60"/>
      </w:pPr>
      <w:r/>
      <w:r>
        <w:rPr>
          <w:b/>
        </w:rPr>
        <w:t>To-Do List (5 mins)</w:t>
      </w:r>
      <w:r>
        <w:t xml:space="preserve">: Rapid-fire check-off of 7-day action items. The board expects a </w:t>
      </w:r>
      <w:r>
        <w:rPr>
          <w:rFonts w:ascii="Georgia" w:hAnsi="Georgia"/>
          <w:i/>
        </w:rPr>
        <w:t>90\%</w:t>
      </w:r>
      <w:r>
        <w:t xml:space="preserve"> on-time completion rate.</w:t>
      </w:r>
    </w:p>
    <w:p>
      <w:pPr>
        <w:pStyle w:val="ListNumber"/>
        <w:spacing w:after="60"/>
      </w:pPr>
      <w:r/>
      <w:r>
        <w:rPr>
          <w:b/>
        </w:rPr>
        <w:t>IDS Session (50 mins)</w:t>
      </w:r>
      <w:r>
        <w:t>: The core of the meeting. The board prioritizes the compiled issues list, identifies the root cause of the top 3 issues, discusses solutions, and assigns concrete to-do items. *Never move to Issue #4 until Issue #1 is completely resolved.*</w:t>
      </w:r>
    </w:p>
    <w:p>
      <w:pPr>
        <w:pStyle w:val="ListNumber"/>
        <w:spacing w:after="60"/>
      </w:pPr>
      <w:r/>
      <w:r>
        <w:rPr>
          <w:b/>
        </w:rPr>
        <w:t>Conclude &amp; Rating (5 mins)</w:t>
      </w:r>
      <w:r>
        <w:t>: Recaps the newly generated To-Do list, confirms any external messages to stakeholders, and has each member rate the meeting on a scale of 1-10 (focusing on efficiency).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5. Hunter's EOS &amp; Scaling Up Business Integration Projects</w:t>
      </w:r>
    </w:p>
    <w:p>
      <w:r>
        <w:t xml:space="preserve">To successfully apply Gino Wickman's </w:t>
      </w:r>
      <w:r>
        <w:rPr>
          <w:b/>
        </w:rPr>
        <w:t>Traction</w:t>
      </w:r>
      <w:r>
        <w:t xml:space="preserve"> and Vern Harnish's </w:t>
      </w:r>
      <w:r>
        <w:rPr>
          <w:b/>
        </w:rPr>
        <w:t>Scaling Up</w:t>
      </w:r>
      <w:r>
        <w:t xml:space="preserve"> (People, Strategy, Execution, Cash), Hunter must execute 4 structured business integration projects:</w:t>
      </w:r>
    </w:p>
    <w:p>
      <w:pPr>
        <w:spacing w:before="240" w:after="80"/>
      </w:pPr>
      <w:r>
        <w:rPr>
          <w:b/>
          <w:color w:val="595959"/>
          <w:sz w:val="26"/>
        </w:rPr>
        <w:t>Project 1: The Vision/Traction Organizer (V/TO)</w:t>
      </w:r>
    </w:p>
    <w:p>
      <w:pPr>
        <w:pStyle w:val="ListBullet"/>
        <w:spacing w:after="60"/>
      </w:pPr>
      <w:r/>
      <w:r>
        <w:rPr>
          <w:b/>
        </w:rPr>
        <w:t>The Mandate</w:t>
      </w:r>
      <w:r>
        <w:t>: Read *Traction* (Chapters 3 &amp; 4) and draft the complete Blue Ridge V/TO.</w:t>
      </w:r>
    </w:p>
    <w:p>
      <w:pPr>
        <w:pStyle w:val="ListBullet"/>
        <w:spacing w:after="60"/>
      </w:pPr>
      <w:r/>
      <w:r>
        <w:rPr>
          <w:b/>
        </w:rPr>
        <w:t>Deliverables</w:t>
      </w:r>
      <w:r>
        <w:t>:</w:t>
      </w:r>
    </w:p>
    <w:p>
      <w:pPr>
        <w:pStyle w:val="ListNumber"/>
        <w:spacing w:after="60"/>
      </w:pPr>
      <w:r>
        <w:t>*Core Values*: Define the 3-5 core values (e.g., Fluvial Geomorphic Integrity, Landowner-First Partnership, Scientific Precision).</w:t>
      </w:r>
    </w:p>
    <w:p>
      <w:pPr>
        <w:pStyle w:val="ListNumber"/>
        <w:spacing w:after="60"/>
      </w:pPr>
      <w:r>
        <w:t>*Core Focus*: Articulate our niche (Boutique, coldwater wild trout Natural Channel Design stream restoration in North Georgia).</w:t>
      </w:r>
    </w:p>
    <w:p>
      <w:pPr>
        <w:pStyle w:val="ListNumber"/>
        <w:spacing w:after="60"/>
      </w:pPr>
      <w:r>
        <w:t xml:space="preserve">*10-Year Target*: Establish the BHAG (Big Hairy Audacious Goal) - e.g., </w:t>
      </w:r>
      <w:r>
        <w:rPr>
          <w:rFonts w:ascii="Georgia" w:hAnsi="Georgia"/>
          <w:i/>
        </w:rPr>
        <w:t>100,000</w:t>
      </w:r>
      <w:r>
        <w:t xml:space="preserve"> linear feet of restored spawning streams.</w:t>
      </w:r>
    </w:p>
    <w:p>
      <w:pPr>
        <w:pStyle w:val="ListNumber"/>
        <w:spacing w:after="60"/>
      </w:pPr>
      <w:r>
        <w:t>*3-Year Picture*: Outline revenues, credit yields, and operations scale.</w:t>
      </w:r>
    </w:p>
    <w:p>
      <w:pPr>
        <w:pStyle w:val="ListNumber"/>
        <w:spacing w:after="60"/>
      </w:pPr>
      <w:r>
        <w:t>*1-Year Plan*: Target 3-5 high-priority goals (e.g., Anderson Creek permitting, securing 3 additional JV options, building the B2B direct sales pipeline).</w:t>
      </w:r>
    </w:p>
    <w:p>
      <w:pPr>
        <w:spacing w:before="240" w:after="80"/>
      </w:pPr>
      <w:r>
        <w:rPr>
          <w:b/>
          <w:color w:val="595959"/>
          <w:sz w:val="26"/>
        </w:rPr>
        <w:t>Project 2: The Accountability Chart (People) Delineation</w:t>
      </w:r>
    </w:p>
    <w:p>
      <w:pPr>
        <w:pStyle w:val="ListBullet"/>
        <w:spacing w:after="60"/>
      </w:pPr>
      <w:r/>
      <w:r>
        <w:rPr>
          <w:b/>
        </w:rPr>
        <w:t>The Mandate</w:t>
      </w:r>
      <w:r>
        <w:t>: Read *Traction* (Chapter 5) and *Scaling Up* (People section). Transition from a traditional "titles" mindset to a functional "seats" accountability chart.</w:t>
      </w:r>
    </w:p>
    <w:p>
      <w:pPr>
        <w:pStyle w:val="ListBullet"/>
        <w:spacing w:after="60"/>
      </w:pPr>
      <w:r/>
      <w:r>
        <w:rPr>
          <w:b/>
        </w:rPr>
        <w:t>Deliverables</w:t>
      </w:r>
      <w:r>
        <w:t>:</w:t>
      </w:r>
    </w:p>
    <w:p>
      <w:pPr>
        <w:pStyle w:val="ListNumber"/>
        <w:spacing w:after="60"/>
      </w:pPr>
      <w:r>
        <w:t xml:space="preserve">*Identify Core Seats*: Define the five key seats for Blue Ridge: </w:t>
      </w:r>
      <w:r>
        <w:rPr>
          <w:b/>
        </w:rPr>
        <w:t>Visionary</w:t>
      </w:r>
      <w:r>
        <w:t xml:space="preserve"> (Hadi Irvani - Strategy &amp; Finance), </w:t>
      </w:r>
      <w:r>
        <w:rPr>
          <w:b/>
        </w:rPr>
        <w:t>Integrator/Managing Director</w:t>
      </w:r>
      <w:r>
        <w:t xml:space="preserve"> (Hunter Morris - Daily Operations), </w:t>
      </w:r>
      <w:r>
        <w:rPr>
          <w:b/>
        </w:rPr>
        <w:t>Marketing &amp; Sales</w:t>
      </w:r>
      <w:r>
        <w:t xml:space="preserve"> (CRM pipeline, broker outreach), </w:t>
      </w:r>
      <w:r>
        <w:rPr>
          <w:b/>
        </w:rPr>
        <w:t>Operations</w:t>
      </w:r>
      <w:r>
        <w:t xml:space="preserve"> (Drone surveying, instream grading, intern oversight), and </w:t>
      </w:r>
      <w:r>
        <w:rPr>
          <w:b/>
        </w:rPr>
        <w:t>Finance/Legal</w:t>
      </w:r>
      <w:r>
        <w:t xml:space="preserve"> (QuickBooks, escrow accounts, restrictive covenants).</w:t>
      </w:r>
    </w:p>
    <w:p>
      <w:pPr>
        <w:pStyle w:val="ListNumber"/>
        <w:spacing w:after="60"/>
      </w:pPr>
      <w:r>
        <w:t xml:space="preserve">*Write GWC Roles*: Define the 5 primary responsibilities for each seat, and ensure the assigned person </w:t>
      </w:r>
      <w:r>
        <w:rPr>
          <w:b/>
        </w:rPr>
        <w:t>Gets it</w:t>
      </w:r>
      <w:r>
        <w:t xml:space="preserve">, </w:t>
      </w:r>
      <w:r>
        <w:rPr>
          <w:b/>
        </w:rPr>
        <w:t>Wants it</w:t>
      </w:r>
      <w:r>
        <w:t xml:space="preserve">, and has the </w:t>
      </w:r>
      <w:r>
        <w:rPr>
          <w:b/>
        </w:rPr>
        <w:t>Capacity</w:t>
      </w:r>
      <w:r>
        <w:t xml:space="preserve"> to do it.</w:t>
      </w:r>
    </w:p>
    <w:p>
      <w:pPr>
        <w:spacing w:before="240" w:after="80"/>
      </w:pPr>
      <w:r>
        <w:rPr>
          <w:b/>
          <w:color w:val="595959"/>
          <w:sz w:val="26"/>
        </w:rPr>
        <w:t>Project 3: Weekly L10 Scorecard Setup (Process &amp; Execution)</w:t>
      </w:r>
    </w:p>
    <w:p>
      <w:pPr>
        <w:pStyle w:val="ListBullet"/>
        <w:spacing w:after="60"/>
      </w:pPr>
      <w:r/>
      <w:r>
        <w:rPr>
          <w:b/>
        </w:rPr>
        <w:t>The Mandate</w:t>
      </w:r>
      <w:r>
        <w:t>: Read *Traction* (Chapter 7) and *Scaling Up* (Execution section). Create a weekly scorecard to monitor leading indicator metrics.</w:t>
      </w:r>
    </w:p>
    <w:p>
      <w:pPr>
        <w:pStyle w:val="ListBullet"/>
        <w:spacing w:after="60"/>
      </w:pPr>
      <w:r/>
      <w:r>
        <w:rPr>
          <w:b/>
        </w:rPr>
        <w:t>Scorecard Structure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6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 Name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Seat Accountable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 Threshold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 of Metric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**Sourced Landowners**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Sales / Marketing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$\ge 5$ new contacts / week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Leading Indicator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**Active JV Options**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Sales / Integrator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$\ge 2$ in negotiation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Leading Indicator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**Drone Surveys Run**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Operations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$\ge 1$ complete / bi-weekly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Operational Activity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**PCN Filings Completed**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Operations / Permitting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On target for 90-day timeline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Milestones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**Escrow Cash Balance**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Finance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$\ge 6$ months operational runway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Trailing Financial</w:t>
            </w:r>
          </w:p>
        </w:tc>
      </w:tr>
    </w:tbl>
    <w:p>
      <w:pPr>
        <w:spacing w:before="160"/>
      </w:pPr>
    </w:p>
    <w:p>
      <w:pPr>
        <w:spacing w:before="240" w:after="80"/>
      </w:pPr>
      <w:r>
        <w:rPr>
          <w:b/>
          <w:color w:val="595959"/>
          <w:sz w:val="26"/>
        </w:rPr>
        <w:t>Project 4: The 70/30 JV Cash Flow &amp; Runway Stress-Test (Cash)</w:t>
      </w:r>
    </w:p>
    <w:p>
      <w:pPr>
        <w:pStyle w:val="ListBullet"/>
        <w:spacing w:after="60"/>
      </w:pPr>
      <w:r/>
      <w:r>
        <w:rPr>
          <w:b/>
        </w:rPr>
        <w:t>The Mandate</w:t>
      </w:r>
      <w:r>
        <w:t>: Read *Scaling Up* (Cash section) and analyze our joint-venture cash cycles to prevent working capital exhaustion.</w:t>
      </w:r>
    </w:p>
    <w:p>
      <w:pPr>
        <w:pStyle w:val="ListBullet"/>
        <w:spacing w:after="60"/>
      </w:pPr>
      <w:r/>
      <w:r>
        <w:rPr>
          <w:b/>
        </w:rPr>
        <w:t>Analysis Directives</w:t>
      </w:r>
      <w:r>
        <w:t>:</w:t>
      </w:r>
    </w:p>
    <w:p>
      <w:pPr>
        <w:pStyle w:val="ListNumber"/>
        <w:spacing w:after="60"/>
      </w:pPr>
      <w:r>
        <w:t xml:space="preserve">*Map the Cash Flow Story*: Detail the cash outlays during the pre-construction phase (permitting, engineering, drone mapping, land option renewals) before the first </w:t>
      </w:r>
      <w:r>
        <w:rPr>
          <w:rFonts w:ascii="Georgia" w:hAnsi="Georgia"/>
          <w:i/>
        </w:rPr>
        <w:t>15\%</w:t>
      </w:r>
      <w:r>
        <w:t xml:space="preserve"> credit release.</w:t>
      </w:r>
    </w:p>
    <w:p>
      <w:pPr>
        <w:pStyle w:val="ListNumber"/>
        <w:spacing w:after="60"/>
      </w:pPr>
      <w:r>
        <w:t xml:space="preserve">*Stress-Test Delayed Milestones*: Calculate the financial runway if the USACE Savannah District delayed the initial credit release by </w:t>
      </w:r>
      <w:r>
        <w:rPr>
          <w:b/>
        </w:rPr>
        <w:t>6 months</w:t>
      </w:r>
      <w:r>
        <w:t xml:space="preserve"> or </w:t>
      </w:r>
      <w:r>
        <w:rPr>
          <w:b/>
        </w:rPr>
        <w:t>12 months</w:t>
      </w:r>
      <w:r>
        <w:t xml:space="preserve"> due to administrative backlogs.</w:t>
      </w:r>
    </w:p>
    <w:p>
      <w:pPr>
        <w:pStyle w:val="ListNumber"/>
        <w:spacing w:after="60"/>
      </w:pPr>
      <w:r>
        <w:t xml:space="preserve">*Establish Cash Reserves*: Model a permanent cash reserve account inside QuickBooks, funded by a dedicated </w:t>
      </w:r>
      <w:r>
        <w:rPr>
          <w:rFonts w:ascii="Georgia" w:hAnsi="Georgia"/>
          <w:i/>
        </w:rPr>
        <w:t>10\%</w:t>
      </w:r>
      <w:r>
        <w:t xml:space="preserve"> withhold of initial credit sales, to cover the 7-year monitoring and vegetation management obligations without relying on external financing.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