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67: Pre-Restoration Baseline Assessment Report</w:t>
      </w:r>
    </w:p>
    <w:p>
      <w:pPr>
        <w:spacing w:before="360" w:after="120"/>
      </w:pPr>
      <w:r>
        <w:rPr>
          <w:b/>
          <w:color w:val="2E75B6"/>
          <w:sz w:val="32"/>
        </w:rPr>
        <w:t>Watershed Sourcing &amp; Geomorphic Siting for Anderson Creek (Roya's Cabin) Reach</w:t>
      </w:r>
    </w:p>
    <w:p>
      <w:pPr>
        <w:spacing w:before="160" w:after="160"/>
        <w:ind w:left="576"/>
      </w:pPr>
      <w:r>
        <w:rPr>
          <w:i/>
          <w:color w:val="595959"/>
          <w:sz w:val="21"/>
        </w:rPr>
        <w:t>**Pre-Restoration (Baseline) Project Standard**: This document represents the official pre-work baseline assessment for the **Anderson Creek Showcase Restoration Project (Roya's Cabin Reach)**. It captures the degraded agricultural state of the 1,500 linear foot reach prior to construction. It details severe bank failure, thermal pollution exceeding brown trout tolerances, hypoxic dissolved oxygen concentrations within the spawning gravels, and massive sediment loading, establishing the regulatory "before" baseline required for USACE Section 404 credit calculations.</w:t>
      </w:r>
    </w:p>
    <w:p>
      <w:pPr>
        <w:spacing w:after="240"/>
      </w:pPr>
      <w:r>
        <w:rPr>
          <w:color w:val="D9D9D9"/>
        </w:rPr>
        <w:t>____________________________________________________</w:t>
      </w:r>
    </w:p>
    <w:p>
      <w:pPr>
        <w:spacing w:before="360" w:after="120"/>
      </w:pPr>
      <w:r>
        <w:rPr>
          <w:b/>
          <w:color w:val="2E75B6"/>
          <w:sz w:val="32"/>
        </w:rPr>
        <w:t>I. Site Location &amp; Degraded Watershed Context</w:t>
      </w:r>
    </w:p>
    <w:p>
      <w:pPr>
        <w:pStyle w:val="ListBullet"/>
        <w:spacing w:after="60"/>
      </w:pPr>
      <w:r/>
      <w:r>
        <w:rPr>
          <w:b/>
        </w:rPr>
        <w:t>Project Name</w:t>
      </w:r>
      <w:r>
        <w:t>: Anderson Creek Showcase Restoration (Roya's Cabin Reach)</w:t>
      </w:r>
    </w:p>
    <w:p>
      <w:pPr>
        <w:pStyle w:val="ListBullet"/>
        <w:spacing w:after="60"/>
      </w:pPr>
      <w:r/>
      <w:r>
        <w:rPr>
          <w:b/>
        </w:rPr>
        <w:t>Location</w:t>
      </w:r>
      <w:r>
        <w:t>: Fannin County, Georgia (Upper Coosa River Basin)</w:t>
      </w:r>
    </w:p>
    <w:p>
      <w:pPr>
        <w:pStyle w:val="ListBullet"/>
        <w:spacing w:after="60"/>
      </w:pPr>
      <w:r/>
      <w:r>
        <w:rPr>
          <w:b/>
        </w:rPr>
        <w:t>Waterbody ID / HUC-8</w:t>
      </w:r>
      <w:r>
        <w:t>: GA-03150105 (Upper Coosa Watershed)</w:t>
      </w:r>
    </w:p>
    <w:p>
      <w:pPr>
        <w:pStyle w:val="ListBullet"/>
        <w:spacing w:after="60"/>
      </w:pPr>
      <w:r/>
      <w:r>
        <w:rPr>
          <w:b/>
        </w:rPr>
        <w:t>Reach Length</w:t>
      </w:r>
      <w:r>
        <w:t>: 1,500 Linear Feet (LF)</w:t>
      </w:r>
    </w:p>
    <w:p>
      <w:pPr>
        <w:pStyle w:val="ListBullet"/>
        <w:spacing w:after="60"/>
      </w:pPr>
      <w:r/>
      <w:r>
        <w:rPr>
          <w:b/>
        </w:rPr>
        <w:t>Current Land Use</w:t>
      </w:r>
      <w:r>
        <w:t>: Active agricultural cattle pasture and unmanaged exurban horse paddock.</w:t>
      </w:r>
    </w:p>
    <w:p>
      <w:pPr>
        <w:spacing w:before="240" w:after="80"/>
      </w:pPr>
      <w:r>
        <w:rPr>
          <w:b/>
          <w:color w:val="595959"/>
          <w:sz w:val="26"/>
        </w:rPr>
        <w:t>The Degradation Narrative</w:t>
      </w:r>
    </w:p>
    <w:p>
      <w:r>
        <w:t>Anderson Creek represents a classic Southern Appalachian valley stream devastated by decades of unrestricted agricultural cattle grazing. Historically a cold, meandering, shaded trout sanctuary, the removal of the native forest canopy and constant cattle trampling have degraded the channel. The stream banks have collapsed, causing the channel to widen and become extremely shallow. During the summer, high solar radiation warms the unshaded waters to lethal limits, while erosion deposits massive amounts of silt that bury and suffocate the spawning gravels.</w:t>
      </w:r>
    </w:p>
    <w:p>
      <w:pPr>
        <w:spacing w:before="120" w:after="120"/>
        <w:ind w:left="360"/>
      </w:pPr>
      <w:r>
        <w:rPr>
          <w:rFonts w:ascii="Consolas" w:hAnsi="Consolas"/>
          <w:color w:val="7F0055"/>
          <w:sz w:val="19"/>
        </w:rPr>
        <w:t xml:space="preserve">                    DEGRADED PASTURE STREAM PROFILE (PRE-WORK)</w:t>
        <w:br/>
        <w:t xml:space="preserve">                    </w:t>
        <w:br/>
        <w:t xml:space="preserve">  [ collapsing bank ]                                     [ collapsing bank ]</w:t>
        <w:br/>
        <w:t xml:space="preserve">        │                                                       │</w:t>
        <w:br/>
        <w:t xml:space="preserve">        ▼        ◄────────────── Overwidened: 24.2 ft ────────────►      ▼</w:t>
        <w:br/>
        <w:t xml:space="preserve">  _______                                                       _______</w:t>
        <w:br/>
        <w:t xml:space="preserve">         \__                                                 __/</w:t>
        <w:br/>
        <w:t xml:space="preserve">            \_____                                     _____/</w:t>
        <w:br/>
        <w:t xml:space="preserve">                  \______                       ______/</w:t>
        <w:br/>
        <w:t xml:space="preserve">                         \_____________________/   ◄── Shallow water depth: 0.8 ft</w:t>
        <w:br/>
        <w:t xml:space="preserve">                              Gravel Clogged with Silt </w:t>
      </w:r>
    </w:p>
    <w:p>
      <w:pPr>
        <w:spacing w:after="240"/>
      </w:pPr>
      <w:r>
        <w:rPr>
          <w:color w:val="D9D9D9"/>
        </w:rPr>
        <w:t>____________________________________________________</w:t>
      </w:r>
    </w:p>
    <w:p>
      <w:pPr>
        <w:spacing w:before="360" w:after="120"/>
      </w:pPr>
      <w:r>
        <w:rPr>
          <w:b/>
          <w:color w:val="2E75B6"/>
          <w:sz w:val="32"/>
        </w:rPr>
        <w:t>II. Baseline Fluvial Geomorphic Survey Data</w:t>
      </w:r>
    </w:p>
    <w:p>
      <w:r>
        <w:t>Field surveys were completed in September 2025 using RTK GNSS and a standard survey level to record permanent monument cross-sections and longitudinal profiles.</w:t>
      </w:r>
    </w:p>
    <w:p>
      <w:pPr>
        <w:spacing w:before="240" w:after="80"/>
      </w:pPr>
      <w:r>
        <w:rPr>
          <w:b/>
          <w:color w:val="595959"/>
          <w:sz w:val="26"/>
        </w:rPr>
        <w:t>Geomorphic Parameter Data Table (Pre-Restoration)</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2340"/>
        <w:gridCol w:w="2340"/>
        <w:gridCol w:w="2340"/>
        <w:gridCol w:w="2340"/>
      </w:tblGrid>
      <w:tr>
        <w:tc>
          <w:tcPr>
            <w:tcW w:type="dxa" w:w="2340"/>
            <w:shd w:fill="1F4E79"/>
            <w:tcMar>
              <w:top w:w="140" w:type="dxa"/>
              <w:bottom w:w="140" w:type="dxa"/>
              <w:left w:w="150" w:type="dxa"/>
              <w:right w:w="150" w:type="dxa"/>
            </w:tcMar>
          </w:tcPr>
          <w:p>
            <w:pPr>
              <w:jc w:val="center"/>
            </w:pPr>
            <w:r>
              <w:rPr>
                <w:b/>
                <w:color w:val="FFFFFF"/>
                <w:sz w:val="20"/>
              </w:rPr>
              <w:t>Geomorphic Parameter</w:t>
            </w:r>
          </w:p>
        </w:tc>
        <w:tc>
          <w:tcPr>
            <w:tcW w:type="dxa" w:w="2340"/>
            <w:shd w:fill="1F4E79"/>
            <w:tcMar>
              <w:top w:w="140" w:type="dxa"/>
              <w:bottom w:w="140" w:type="dxa"/>
              <w:left w:w="150" w:type="dxa"/>
              <w:right w:w="150" w:type="dxa"/>
            </w:tcMar>
          </w:tcPr>
          <w:p>
            <w:pPr>
              <w:jc w:val="center"/>
            </w:pPr>
            <w:r>
              <w:rPr>
                <w:b/>
                <w:color w:val="FFFFFF"/>
                <w:sz w:val="20"/>
              </w:rPr>
              <w:t>Degraded Reach Value</w:t>
            </w:r>
          </w:p>
        </w:tc>
        <w:tc>
          <w:tcPr>
            <w:tcW w:type="dxa" w:w="2340"/>
            <w:shd w:fill="1F4E79"/>
            <w:tcMar>
              <w:top w:w="140" w:type="dxa"/>
              <w:bottom w:w="140" w:type="dxa"/>
              <w:left w:w="150" w:type="dxa"/>
              <w:right w:w="150" w:type="dxa"/>
            </w:tcMar>
          </w:tcPr>
          <w:p>
            <w:pPr>
              <w:jc w:val="center"/>
            </w:pPr>
            <w:r>
              <w:rPr>
                <w:b/>
                <w:color w:val="FFFFFF"/>
                <w:sz w:val="20"/>
              </w:rPr>
              <w:t>Reference Standard Target</w:t>
            </w:r>
          </w:p>
        </w:tc>
        <w:tc>
          <w:tcPr>
            <w:tcW w:type="dxa" w:w="2340"/>
            <w:shd w:fill="1F4E79"/>
            <w:tcMar>
              <w:top w:w="140" w:type="dxa"/>
              <w:bottom w:w="140" w:type="dxa"/>
              <w:left w:w="150" w:type="dxa"/>
              <w:right w:w="150" w:type="dxa"/>
            </w:tcMar>
          </w:tcPr>
          <w:p>
            <w:pPr>
              <w:jc w:val="center"/>
            </w:pPr>
            <w:r>
              <w:rPr>
                <w:b/>
                <w:color w:val="FFFFFF"/>
                <w:sz w:val="20"/>
              </w:rPr>
              <w:t>Rosgen Design Deviation</w:t>
            </w:r>
          </w:p>
        </w:tc>
      </w:tr>
      <w:tr>
        <w:tc>
          <w:tcPr>
            <w:tcW w:type="dxa" w:w="2340"/>
            <w:tcMar>
              <w:top w:w="100" w:type="dxa"/>
              <w:bottom w:w="100" w:type="dxa"/>
              <w:left w:w="150" w:type="dxa"/>
              <w:right w:w="150" w:type="dxa"/>
            </w:tcMar>
          </w:tcPr>
          <w:p>
            <w:pPr>
              <w:jc w:val="left"/>
            </w:pPr>
            <w:r>
              <w:rPr>
                <w:sz w:val="19"/>
              </w:rPr>
              <w:t>**Rosgen Channel Classification**</w:t>
            </w:r>
          </w:p>
        </w:tc>
        <w:tc>
          <w:tcPr>
            <w:tcW w:type="dxa" w:w="2340"/>
            <w:tcMar>
              <w:top w:w="100" w:type="dxa"/>
              <w:bottom w:w="100" w:type="dxa"/>
              <w:left w:w="150" w:type="dxa"/>
              <w:right w:w="150" w:type="dxa"/>
            </w:tcMar>
          </w:tcPr>
          <w:p>
            <w:pPr>
              <w:jc w:val="left"/>
            </w:pPr>
            <w:r>
              <w:rPr>
                <w:sz w:val="19"/>
              </w:rPr>
              <w:t>**G4** (Entrenched Gully)</w:t>
            </w:r>
          </w:p>
        </w:tc>
        <w:tc>
          <w:tcPr>
            <w:tcW w:type="dxa" w:w="2340"/>
            <w:tcMar>
              <w:top w:w="100" w:type="dxa"/>
              <w:bottom w:w="100" w:type="dxa"/>
              <w:left w:w="150" w:type="dxa"/>
              <w:right w:w="150" w:type="dxa"/>
            </w:tcMar>
          </w:tcPr>
          <w:p>
            <w:pPr>
              <w:jc w:val="left"/>
            </w:pPr>
            <w:r>
              <w:rPr>
                <w:sz w:val="19"/>
              </w:rPr>
              <w:t>**B4c** (Stable Gravel)</w:t>
            </w:r>
          </w:p>
        </w:tc>
        <w:tc>
          <w:tcPr>
            <w:tcW w:type="dxa" w:w="2340"/>
            <w:tcMar>
              <w:top w:w="100" w:type="dxa"/>
              <w:bottom w:w="100" w:type="dxa"/>
              <w:left w:w="150" w:type="dxa"/>
              <w:right w:w="150" w:type="dxa"/>
            </w:tcMar>
          </w:tcPr>
          <w:p>
            <w:pPr>
              <w:jc w:val="left"/>
            </w:pPr>
            <w:r>
              <w:rPr>
                <w:sz w:val="19"/>
              </w:rPr>
              <w:t>Unstable channel, high erosion</w:t>
            </w:r>
          </w:p>
        </w:tc>
      </w:tr>
      <w:tr>
        <w:tc>
          <w:tcPr>
            <w:tcW w:type="dxa" w:w="2340"/>
            <w:tcMar>
              <w:top w:w="100" w:type="dxa"/>
              <w:bottom w:w="100" w:type="dxa"/>
              <w:left w:w="150" w:type="dxa"/>
              <w:right w:w="150" w:type="dxa"/>
            </w:tcMar>
            <w:shd w:fill="F2F2F2"/>
          </w:tcPr>
          <w:p>
            <w:pPr>
              <w:jc w:val="left"/>
            </w:pPr>
            <w:r>
              <w:rPr>
                <w:sz w:val="19"/>
              </w:rPr>
              <w:t>**Bankfull Width (Wbkf)**</w:t>
            </w:r>
          </w:p>
        </w:tc>
        <w:tc>
          <w:tcPr>
            <w:tcW w:type="dxa" w:w="2340"/>
            <w:tcMar>
              <w:top w:w="100" w:type="dxa"/>
              <w:bottom w:w="100" w:type="dxa"/>
              <w:left w:w="150" w:type="dxa"/>
              <w:right w:w="150" w:type="dxa"/>
            </w:tcMar>
            <w:shd w:fill="F2F2F2"/>
          </w:tcPr>
          <w:p>
            <w:pPr>
              <w:jc w:val="left"/>
            </w:pPr>
            <w:r>
              <w:rPr>
                <w:sz w:val="19"/>
              </w:rPr>
              <w:t>24.2 feet</w:t>
            </w:r>
          </w:p>
        </w:tc>
        <w:tc>
          <w:tcPr>
            <w:tcW w:type="dxa" w:w="2340"/>
            <w:tcMar>
              <w:top w:w="100" w:type="dxa"/>
              <w:bottom w:w="100" w:type="dxa"/>
              <w:left w:w="150" w:type="dxa"/>
              <w:right w:w="150" w:type="dxa"/>
            </w:tcMar>
            <w:shd w:fill="F2F2F2"/>
          </w:tcPr>
          <w:p>
            <w:pPr>
              <w:jc w:val="left"/>
            </w:pPr>
            <w:r>
              <w:rPr>
                <w:sz w:val="19"/>
              </w:rPr>
              <w:t>12.5 feet</w:t>
            </w:r>
          </w:p>
        </w:tc>
        <w:tc>
          <w:tcPr>
            <w:tcW w:type="dxa" w:w="2340"/>
            <w:tcMar>
              <w:top w:w="100" w:type="dxa"/>
              <w:bottom w:w="100" w:type="dxa"/>
              <w:left w:w="150" w:type="dxa"/>
              <w:right w:w="150" w:type="dxa"/>
            </w:tcMar>
            <w:shd w:fill="F2F2F2"/>
          </w:tcPr>
          <w:p>
            <w:pPr>
              <w:jc w:val="left"/>
            </w:pPr>
            <w:r>
              <w:rPr>
                <w:sz w:val="19"/>
              </w:rPr>
              <w:t>Overwidened by +94%</w:t>
            </w:r>
          </w:p>
        </w:tc>
      </w:tr>
      <w:tr>
        <w:tc>
          <w:tcPr>
            <w:tcW w:type="dxa" w:w="2340"/>
            <w:tcMar>
              <w:top w:w="100" w:type="dxa"/>
              <w:bottom w:w="100" w:type="dxa"/>
              <w:left w:w="150" w:type="dxa"/>
              <w:right w:w="150" w:type="dxa"/>
            </w:tcMar>
          </w:tcPr>
          <w:p>
            <w:pPr>
              <w:jc w:val="left"/>
            </w:pPr>
            <w:r>
              <w:rPr>
                <w:sz w:val="19"/>
              </w:rPr>
              <w:t>**Mean Depth (dbkf)**</w:t>
            </w:r>
          </w:p>
        </w:tc>
        <w:tc>
          <w:tcPr>
            <w:tcW w:type="dxa" w:w="2340"/>
            <w:tcMar>
              <w:top w:w="100" w:type="dxa"/>
              <w:bottom w:w="100" w:type="dxa"/>
              <w:left w:w="150" w:type="dxa"/>
              <w:right w:w="150" w:type="dxa"/>
            </w:tcMar>
          </w:tcPr>
          <w:p>
            <w:pPr>
              <w:jc w:val="left"/>
            </w:pPr>
            <w:r>
              <w:rPr>
                <w:sz w:val="19"/>
              </w:rPr>
              <w:t>1.0 feet</w:t>
            </w:r>
          </w:p>
        </w:tc>
        <w:tc>
          <w:tcPr>
            <w:tcW w:type="dxa" w:w="2340"/>
            <w:tcMar>
              <w:top w:w="100" w:type="dxa"/>
              <w:bottom w:w="100" w:type="dxa"/>
              <w:left w:w="150" w:type="dxa"/>
              <w:right w:w="150" w:type="dxa"/>
            </w:tcMar>
          </w:tcPr>
          <w:p>
            <w:pPr>
              <w:jc w:val="left"/>
            </w:pPr>
            <w:r>
              <w:rPr>
                <w:sz w:val="19"/>
              </w:rPr>
              <w:t>2.2 feet</w:t>
            </w:r>
          </w:p>
        </w:tc>
        <w:tc>
          <w:tcPr>
            <w:tcW w:type="dxa" w:w="2340"/>
            <w:tcMar>
              <w:top w:w="100" w:type="dxa"/>
              <w:bottom w:w="100" w:type="dxa"/>
              <w:left w:w="150" w:type="dxa"/>
              <w:right w:w="150" w:type="dxa"/>
            </w:tcMar>
          </w:tcPr>
          <w:p>
            <w:pPr>
              <w:jc w:val="left"/>
            </w:pPr>
            <w:r>
              <w:rPr>
                <w:sz w:val="19"/>
              </w:rPr>
              <w:t>Extremely shallow, lacks pools</w:t>
            </w:r>
          </w:p>
        </w:tc>
      </w:tr>
      <w:tr>
        <w:tc>
          <w:tcPr>
            <w:tcW w:type="dxa" w:w="2340"/>
            <w:tcMar>
              <w:top w:w="100" w:type="dxa"/>
              <w:bottom w:w="100" w:type="dxa"/>
              <w:left w:w="150" w:type="dxa"/>
              <w:right w:w="150" w:type="dxa"/>
            </w:tcMar>
            <w:shd w:fill="F2F2F2"/>
          </w:tcPr>
          <w:p>
            <w:pPr>
              <w:jc w:val="left"/>
            </w:pPr>
            <w:r>
              <w:rPr>
                <w:sz w:val="19"/>
              </w:rPr>
              <w:t>**Max Thalweg Depth (dmax)**</w:t>
            </w:r>
          </w:p>
        </w:tc>
        <w:tc>
          <w:tcPr>
            <w:tcW w:type="dxa" w:w="2340"/>
            <w:tcMar>
              <w:top w:w="100" w:type="dxa"/>
              <w:bottom w:w="100" w:type="dxa"/>
              <w:left w:w="150" w:type="dxa"/>
              <w:right w:w="150" w:type="dxa"/>
            </w:tcMar>
            <w:shd w:fill="F2F2F2"/>
          </w:tcPr>
          <w:p>
            <w:pPr>
              <w:jc w:val="left"/>
            </w:pPr>
            <w:r>
              <w:rPr>
                <w:sz w:val="19"/>
              </w:rPr>
              <w:t>1.8 feet</w:t>
            </w:r>
          </w:p>
        </w:tc>
        <w:tc>
          <w:tcPr>
            <w:tcW w:type="dxa" w:w="2340"/>
            <w:tcMar>
              <w:top w:w="100" w:type="dxa"/>
              <w:bottom w:w="100" w:type="dxa"/>
              <w:left w:w="150" w:type="dxa"/>
              <w:right w:w="150" w:type="dxa"/>
            </w:tcMar>
            <w:shd w:fill="F2F2F2"/>
          </w:tcPr>
          <w:p>
            <w:pPr>
              <w:jc w:val="left"/>
            </w:pPr>
            <w:r>
              <w:rPr>
                <w:sz w:val="19"/>
              </w:rPr>
              <w:t>4.5 feet</w:t>
            </w:r>
          </w:p>
        </w:tc>
        <w:tc>
          <w:tcPr>
            <w:tcW w:type="dxa" w:w="2340"/>
            <w:tcMar>
              <w:top w:w="100" w:type="dxa"/>
              <w:bottom w:w="100" w:type="dxa"/>
              <w:left w:w="150" w:type="dxa"/>
              <w:right w:w="150" w:type="dxa"/>
            </w:tcMar>
            <w:shd w:fill="F2F2F2"/>
          </w:tcPr>
          <w:p>
            <w:pPr>
              <w:jc w:val="left"/>
            </w:pPr>
            <w:r>
              <w:rPr>
                <w:sz w:val="19"/>
              </w:rPr>
              <w:t>No pool refuges for adult trout</w:t>
            </w:r>
          </w:p>
        </w:tc>
      </w:tr>
      <w:tr>
        <w:tc>
          <w:tcPr>
            <w:tcW w:type="dxa" w:w="2340"/>
            <w:tcMar>
              <w:top w:w="100" w:type="dxa"/>
              <w:bottom w:w="100" w:type="dxa"/>
              <w:left w:w="150" w:type="dxa"/>
              <w:right w:w="150" w:type="dxa"/>
            </w:tcMar>
          </w:tcPr>
          <w:p>
            <w:pPr>
              <w:jc w:val="left"/>
            </w:pPr>
            <w:r>
              <w:rPr>
                <w:sz w:val="19"/>
              </w:rPr>
              <w:t>**Width-to-Depth Ratio (W/D)**</w:t>
            </w:r>
          </w:p>
        </w:tc>
        <w:tc>
          <w:tcPr>
            <w:tcW w:type="dxa" w:w="2340"/>
            <w:tcMar>
              <w:top w:w="100" w:type="dxa"/>
              <w:bottom w:w="100" w:type="dxa"/>
              <w:left w:w="150" w:type="dxa"/>
              <w:right w:w="150" w:type="dxa"/>
            </w:tcMar>
          </w:tcPr>
          <w:p>
            <w:pPr>
              <w:jc w:val="left"/>
            </w:pPr>
            <w:r>
              <w:rPr>
                <w:sz w:val="19"/>
              </w:rPr>
              <w:t>**24.2**</w:t>
            </w:r>
          </w:p>
        </w:tc>
        <w:tc>
          <w:tcPr>
            <w:tcW w:type="dxa" w:w="2340"/>
            <w:tcMar>
              <w:top w:w="100" w:type="dxa"/>
              <w:bottom w:w="100" w:type="dxa"/>
              <w:left w:w="150" w:type="dxa"/>
              <w:right w:w="150" w:type="dxa"/>
            </w:tcMar>
          </w:tcPr>
          <w:p>
            <w:pPr>
              <w:jc w:val="left"/>
            </w:pPr>
            <w:r>
              <w:rPr>
                <w:sz w:val="19"/>
              </w:rPr>
              <w:t>5.7</w:t>
            </w:r>
          </w:p>
        </w:tc>
        <w:tc>
          <w:tcPr>
            <w:tcW w:type="dxa" w:w="2340"/>
            <w:tcMar>
              <w:top w:w="100" w:type="dxa"/>
              <w:bottom w:w="100" w:type="dxa"/>
              <w:left w:w="150" w:type="dxa"/>
              <w:right w:w="150" w:type="dxa"/>
            </w:tcMar>
          </w:tcPr>
          <w:p>
            <w:pPr>
              <w:jc w:val="left"/>
            </w:pPr>
            <w:r>
              <w:rPr>
                <w:sz w:val="19"/>
              </w:rPr>
              <w:t>Severe overwidening, low velocity</w:t>
            </w:r>
          </w:p>
        </w:tc>
      </w:tr>
      <w:tr>
        <w:tc>
          <w:tcPr>
            <w:tcW w:type="dxa" w:w="2340"/>
            <w:tcMar>
              <w:top w:w="100" w:type="dxa"/>
              <w:bottom w:w="100" w:type="dxa"/>
              <w:left w:w="150" w:type="dxa"/>
              <w:right w:w="150" w:type="dxa"/>
            </w:tcMar>
            <w:shd w:fill="F2F2F2"/>
          </w:tcPr>
          <w:p>
            <w:pPr>
              <w:jc w:val="left"/>
            </w:pPr>
            <w:r>
              <w:rPr>
                <w:sz w:val="19"/>
              </w:rPr>
              <w:t>**Entrenchment Ratio (ER)**</w:t>
            </w:r>
          </w:p>
        </w:tc>
        <w:tc>
          <w:tcPr>
            <w:tcW w:type="dxa" w:w="2340"/>
            <w:tcMar>
              <w:top w:w="100" w:type="dxa"/>
              <w:bottom w:w="100" w:type="dxa"/>
              <w:left w:w="150" w:type="dxa"/>
              <w:right w:w="150" w:type="dxa"/>
            </w:tcMar>
            <w:shd w:fill="F2F2F2"/>
          </w:tcPr>
          <w:p>
            <w:pPr>
              <w:jc w:val="left"/>
            </w:pPr>
            <w:r>
              <w:rPr>
                <w:sz w:val="19"/>
              </w:rPr>
              <w:t>**1.15** (Highly Entrenched)</w:t>
            </w:r>
          </w:p>
        </w:tc>
        <w:tc>
          <w:tcPr>
            <w:tcW w:type="dxa" w:w="2340"/>
            <w:tcMar>
              <w:top w:w="100" w:type="dxa"/>
              <w:bottom w:w="100" w:type="dxa"/>
              <w:left w:w="150" w:type="dxa"/>
              <w:right w:w="150" w:type="dxa"/>
            </w:tcMar>
            <w:shd w:fill="F2F2F2"/>
          </w:tcPr>
          <w:p>
            <w:pPr>
              <w:jc w:val="left"/>
            </w:pPr>
            <w:r>
              <w:rPr>
                <w:sz w:val="19"/>
              </w:rPr>
              <w:t>&gt;= 2.2 (Floodplain Access)</w:t>
            </w:r>
          </w:p>
        </w:tc>
        <w:tc>
          <w:tcPr>
            <w:tcW w:type="dxa" w:w="2340"/>
            <w:tcMar>
              <w:top w:w="100" w:type="dxa"/>
              <w:bottom w:w="100" w:type="dxa"/>
              <w:left w:w="150" w:type="dxa"/>
              <w:right w:w="150" w:type="dxa"/>
            </w:tcMar>
            <w:shd w:fill="F2F2F2"/>
          </w:tcPr>
          <w:p>
            <w:pPr>
              <w:jc w:val="left"/>
            </w:pPr>
            <w:r>
              <w:rPr>
                <w:sz w:val="19"/>
              </w:rPr>
              <w:t>High-water flows cannot escape bank</w:t>
            </w:r>
          </w:p>
        </w:tc>
      </w:tr>
      <w:tr>
        <w:tc>
          <w:tcPr>
            <w:tcW w:type="dxa" w:w="2340"/>
            <w:tcMar>
              <w:top w:w="100" w:type="dxa"/>
              <w:bottom w:w="100" w:type="dxa"/>
              <w:left w:w="150" w:type="dxa"/>
              <w:right w:w="150" w:type="dxa"/>
            </w:tcMar>
          </w:tcPr>
          <w:p>
            <w:pPr>
              <w:jc w:val="left"/>
            </w:pPr>
            <w:r>
              <w:rPr>
                <w:sz w:val="19"/>
              </w:rPr>
              <w:t>**Sinuosity (K)**</w:t>
            </w:r>
          </w:p>
        </w:tc>
        <w:tc>
          <w:tcPr>
            <w:tcW w:type="dxa" w:w="2340"/>
            <w:tcMar>
              <w:top w:w="100" w:type="dxa"/>
              <w:bottom w:w="100" w:type="dxa"/>
              <w:left w:w="150" w:type="dxa"/>
              <w:right w:w="150" w:type="dxa"/>
            </w:tcMar>
          </w:tcPr>
          <w:p>
            <w:pPr>
              <w:jc w:val="left"/>
            </w:pPr>
            <w:r>
              <w:rPr>
                <w:sz w:val="19"/>
              </w:rPr>
              <w:t>**1.02** (Straightened Ditch)</w:t>
            </w:r>
          </w:p>
        </w:tc>
        <w:tc>
          <w:tcPr>
            <w:tcW w:type="dxa" w:w="2340"/>
            <w:tcMar>
              <w:top w:w="100" w:type="dxa"/>
              <w:bottom w:w="100" w:type="dxa"/>
              <w:left w:w="150" w:type="dxa"/>
              <w:right w:w="150" w:type="dxa"/>
            </w:tcMar>
          </w:tcPr>
          <w:p>
            <w:pPr>
              <w:jc w:val="left"/>
            </w:pPr>
            <w:r>
              <w:rPr>
                <w:sz w:val="19"/>
              </w:rPr>
              <w:t>1.28 (Natural Meanders)</w:t>
            </w:r>
          </w:p>
        </w:tc>
        <w:tc>
          <w:tcPr>
            <w:tcW w:type="dxa" w:w="2340"/>
            <w:tcMar>
              <w:top w:w="100" w:type="dxa"/>
              <w:bottom w:w="100" w:type="dxa"/>
              <w:left w:w="150" w:type="dxa"/>
              <w:right w:w="150" w:type="dxa"/>
            </w:tcMar>
          </w:tcPr>
          <w:p>
            <w:pPr>
              <w:jc w:val="left"/>
            </w:pPr>
            <w:r>
              <w:rPr>
                <w:sz w:val="19"/>
              </w:rPr>
              <w:t>Loss of meander length and habitat</w:t>
            </w:r>
          </w:p>
        </w:tc>
      </w:tr>
      <w:tr>
        <w:tc>
          <w:tcPr>
            <w:tcW w:type="dxa" w:w="2340"/>
            <w:tcMar>
              <w:top w:w="100" w:type="dxa"/>
              <w:bottom w:w="100" w:type="dxa"/>
              <w:left w:w="150" w:type="dxa"/>
              <w:right w:w="150" w:type="dxa"/>
            </w:tcMar>
            <w:shd w:fill="F2F2F2"/>
          </w:tcPr>
          <w:p>
            <w:pPr>
              <w:jc w:val="left"/>
            </w:pPr>
            <w:r>
              <w:rPr>
                <w:sz w:val="19"/>
              </w:rPr>
              <w:t>**Reach Grade (S)**</w:t>
            </w:r>
          </w:p>
        </w:tc>
        <w:tc>
          <w:tcPr>
            <w:tcW w:type="dxa" w:w="2340"/>
            <w:tcMar>
              <w:top w:w="100" w:type="dxa"/>
              <w:bottom w:w="100" w:type="dxa"/>
              <w:left w:w="150" w:type="dxa"/>
              <w:right w:w="150" w:type="dxa"/>
            </w:tcMar>
            <w:shd w:fill="F2F2F2"/>
          </w:tcPr>
          <w:p>
            <w:pPr>
              <w:jc w:val="left"/>
            </w:pPr>
            <w:r>
              <w:rPr>
                <w:sz w:val="19"/>
              </w:rPr>
              <w:t>0.006 m/m (0.6%)</w:t>
            </w:r>
          </w:p>
        </w:tc>
        <w:tc>
          <w:tcPr>
            <w:tcW w:type="dxa" w:w="2340"/>
            <w:tcMar>
              <w:top w:w="100" w:type="dxa"/>
              <w:bottom w:w="100" w:type="dxa"/>
              <w:left w:w="150" w:type="dxa"/>
              <w:right w:w="150" w:type="dxa"/>
            </w:tcMar>
            <w:shd w:fill="F2F2F2"/>
          </w:tcPr>
          <w:p>
            <w:pPr>
              <w:jc w:val="left"/>
            </w:pPr>
            <w:r>
              <w:rPr>
                <w:sz w:val="19"/>
              </w:rPr>
              <w:t>0.006 m/m (0.6%)</w:t>
            </w:r>
          </w:p>
        </w:tc>
        <w:tc>
          <w:tcPr>
            <w:tcW w:type="dxa" w:w="2340"/>
            <w:tcMar>
              <w:top w:w="100" w:type="dxa"/>
              <w:bottom w:w="100" w:type="dxa"/>
              <w:left w:w="150" w:type="dxa"/>
              <w:right w:w="150" w:type="dxa"/>
            </w:tcMar>
            <w:shd w:fill="F2F2F2"/>
          </w:tcPr>
          <w:p>
            <w:pPr>
              <w:jc w:val="left"/>
            </w:pPr>
            <w:r>
              <w:rPr>
                <w:sz w:val="19"/>
              </w:rPr>
              <w:t>Grade matches valley slope</w:t>
            </w:r>
          </w:p>
        </w:tc>
      </w:tr>
      <w:tr>
        <w:tc>
          <w:tcPr>
            <w:tcW w:type="dxa" w:w="2340"/>
            <w:tcMar>
              <w:top w:w="100" w:type="dxa"/>
              <w:bottom w:w="100" w:type="dxa"/>
              <w:left w:w="150" w:type="dxa"/>
              <w:right w:w="150" w:type="dxa"/>
            </w:tcMar>
          </w:tcPr>
          <w:p>
            <w:pPr>
              <w:jc w:val="left"/>
            </w:pPr>
            <w:r>
              <w:rPr>
                <w:sz w:val="19"/>
              </w:rPr>
              <w:t>**Median Substrate (D₅₀)**</w:t>
            </w:r>
          </w:p>
        </w:tc>
        <w:tc>
          <w:tcPr>
            <w:tcW w:type="dxa" w:w="2340"/>
            <w:tcMar>
              <w:top w:w="100" w:type="dxa"/>
              <w:bottom w:w="100" w:type="dxa"/>
              <w:left w:w="150" w:type="dxa"/>
              <w:right w:w="150" w:type="dxa"/>
            </w:tcMar>
          </w:tcPr>
          <w:p>
            <w:pPr>
              <w:jc w:val="left"/>
            </w:pPr>
            <w:r>
              <w:rPr>
                <w:sz w:val="19"/>
              </w:rPr>
              <w:t>**2.4 mm** (Silt/Sand dominated)</w:t>
            </w:r>
          </w:p>
        </w:tc>
        <w:tc>
          <w:tcPr>
            <w:tcW w:type="dxa" w:w="2340"/>
            <w:tcMar>
              <w:top w:w="100" w:type="dxa"/>
              <w:bottom w:w="100" w:type="dxa"/>
              <w:left w:w="150" w:type="dxa"/>
              <w:right w:w="150" w:type="dxa"/>
            </w:tcMar>
          </w:tcPr>
          <w:p>
            <w:pPr>
              <w:jc w:val="left"/>
            </w:pPr>
            <w:r>
              <w:rPr>
                <w:sz w:val="19"/>
              </w:rPr>
              <w:t>22.0 mm (Clean Gravel)</w:t>
            </w:r>
          </w:p>
        </w:tc>
        <w:tc>
          <w:tcPr>
            <w:tcW w:type="dxa" w:w="2340"/>
            <w:tcMar>
              <w:top w:w="100" w:type="dxa"/>
              <w:bottom w:w="100" w:type="dxa"/>
              <w:left w:w="150" w:type="dxa"/>
              <w:right w:w="150" w:type="dxa"/>
            </w:tcMar>
          </w:tcPr>
          <w:p>
            <w:pPr>
              <w:jc w:val="left"/>
            </w:pPr>
            <w:r>
              <w:rPr>
                <w:sz w:val="19"/>
              </w:rPr>
              <w:t>Spawning gravels completely buried</w:t>
            </w:r>
          </w:p>
        </w:tc>
      </w:tr>
    </w:tbl>
    <w:p>
      <w:pPr>
        <w:spacing w:before="160"/>
      </w:pPr>
    </w:p>
    <w:p>
      <w:pPr>
        <w:spacing w:after="240"/>
      </w:pPr>
      <w:r>
        <w:rPr>
          <w:color w:val="D9D9D9"/>
        </w:rPr>
        <w:t>____________________________________________________</w:t>
      </w:r>
    </w:p>
    <w:p>
      <w:pPr>
        <w:spacing w:before="360" w:after="120"/>
      </w:pPr>
      <w:r>
        <w:rPr>
          <w:b/>
          <w:color w:val="2E75B6"/>
          <w:sz w:val="32"/>
        </w:rPr>
        <w:t>III. Thermal &amp; Biochemical Water Quality Degradation</w:t>
      </w:r>
    </w:p>
    <w:p>
      <w:r>
        <w:t xml:space="preserve">Continuous streamside telemetry and water quality sampling proved that the degraded stream is highly hostile to wild </w:t>
      </w:r>
      <w:r>
        <w:rPr>
          <w:b/>
        </w:rPr>
        <w:t>Brown Trout (`Salmo trutta`)</w:t>
      </w:r>
      <w:r>
        <w:t xml:space="preserve"> spawning and survival:</w:t>
      </w:r>
    </w:p>
    <w:p>
      <w:pPr>
        <w:spacing w:before="120" w:after="120"/>
        <w:ind w:left="360"/>
      </w:pPr>
      <w:r>
        <w:rPr>
          <w:rFonts w:ascii="Consolas" w:hAnsi="Consolas"/>
          <w:color w:val="7F0055"/>
          <w:sz w:val="19"/>
        </w:rPr>
        <w:t xml:space="preserve">               BASELINE THERMAL &amp; BIOCHEMICAL ANOMALY (JULY)</w:t>
        <w:br/>
        <w:t xml:space="preserve">               </w:t>
        <w:br/>
        <w:t xml:space="preserve">  [ NO RIPARIAN SHADE ] ───&gt; [ 71.8°F SOLAR HEAT SPIKE ] ───&gt; [ THERMAL SHOCK ]</w:t>
        <w:br/>
        <w:t xml:space="preserve">                                                              </w:t>
        <w:br/>
        <w:t xml:space="preserve">                                                                    │</w:t>
        <w:br/>
        <w:t xml:space="preserve">                                                                    ▼</w:t>
        <w:br/>
        <w:t xml:space="preserve">  [ HYPOXIA (5.2 mg/L) ] &lt;─── [ SOLUBILITY DROP ( Henry's ) ] &lt;───────┘</w:t>
      </w:r>
    </w:p>
    <w:p>
      <w:pPr>
        <w:spacing w:before="240" w:after="80"/>
      </w:pPr>
      <w:r>
        <w:rPr>
          <w:b/>
          <w:color w:val="595959"/>
          <w:sz w:val="26"/>
        </w:rPr>
        <w:t>1. The Summer Thermal Stress Spike</w:t>
      </w:r>
    </w:p>
    <w:p>
      <w:r>
        <w:t xml:space="preserve">HOBO water temp loggers placed in the open pasture reach recorded a maximum summer water temperature of </w:t>
      </w:r>
      <w:r>
        <w:rPr>
          <w:b/>
        </w:rPr>
        <w:t>71.8°F (22.1°C)</w:t>
      </w:r>
      <w:r>
        <w:t xml:space="preserve"> on July 14, 2025, lasting for 4 consecutive hours.</w:t>
      </w:r>
    </w:p>
    <w:p>
      <w:pPr>
        <w:pStyle w:val="ListBullet"/>
        <w:spacing w:after="60"/>
      </w:pPr>
      <w:r>
        <w:t>*Trout Impact*: This temperature exceeds the lethal limit for brown trout (68°F - 72°F), causing immediate thermal shock, suppression of their immune systems, and massive disease susceptibility. We observed zero adult trout residing in the open pasture reach during the summer months.</w:t>
      </w:r>
    </w:p>
    <w:p>
      <w:pPr>
        <w:spacing w:before="240" w:after="80"/>
      </w:pPr>
      <w:r>
        <w:rPr>
          <w:b/>
          <w:color w:val="595959"/>
          <w:sz w:val="26"/>
        </w:rPr>
        <w:t>2. Hypoxic Intragravel Dissolved Oxygen Deficit</w:t>
      </w:r>
    </w:p>
    <w:p>
      <w:r>
        <w:t xml:space="preserve">DO measurements taken at the surface of the stream averaged a marginal 7.8 mg/L due to rapid oxygen transfer over riffles, but intragravel probes placed 15cm deep into the gravel substrate (where trout eggs reside) recorded a hypoxic </w:t>
      </w:r>
      <w:r>
        <w:rPr>
          <w:b/>
        </w:rPr>
        <w:t>5.2 mg/L</w:t>
      </w:r>
      <w:r>
        <w:t xml:space="preserve"> dissolved oxygen level.</w:t>
      </w:r>
    </w:p>
    <w:p>
      <w:pPr>
        <w:pStyle w:val="ListBullet"/>
        <w:spacing w:after="60"/>
      </w:pPr>
      <w:r>
        <w:t xml:space="preserve">*Trout Impact*: Brown trout eggs require an absolute minimum intragravel DO of </w:t>
      </w:r>
      <w:r>
        <w:rPr>
          <w:b/>
        </w:rPr>
        <w:t>6.0 mg/L</w:t>
      </w:r>
      <w:r>
        <w:t xml:space="preserve"> to survive. The 5.2 mg/L deficit, caused by fine silts restricting clean water exchange, will lead to 100% egg mortality within the redds.</w:t>
      </w:r>
    </w:p>
    <w:p>
      <w:pPr>
        <w:spacing w:before="240" w:after="80"/>
      </w:pPr>
      <w:r>
        <w:rPr>
          <w:b/>
          <w:color w:val="595959"/>
          <w:sz w:val="26"/>
        </w:rPr>
        <w:t>3. Silt-Clogging Substrate (Redd Suffocation Analysis)</w:t>
      </w:r>
    </w:p>
    <w:p>
      <w:r>
        <w:t>A standard Wolman pebble count and dry-sieve analysis of the spawning riffles revealed a massive sedimentation problem:</w:t>
      </w:r>
    </w:p>
    <w:p>
      <w:pPr>
        <w:pStyle w:val="ListBullet"/>
        <w:spacing w:after="60"/>
      </w:pPr>
      <w:r/>
      <w:r>
        <w:rPr>
          <w:b/>
        </w:rPr>
        <w:t>Silt/Sand Fraction (&lt;2mm)</w:t>
      </w:r>
      <w:r>
        <w:t xml:space="preserve">: </w:t>
      </w:r>
      <w:r>
        <w:rPr>
          <w:b/>
        </w:rPr>
        <w:t>58%</w:t>
      </w:r>
      <w:r>
        <w:t xml:space="preserve"> of the total substrate composition.</w:t>
      </w:r>
    </w:p>
    <w:p>
      <w:pPr>
        <w:pStyle w:val="ListBullet"/>
        <w:spacing w:after="60"/>
      </w:pPr>
      <w:r/>
      <w:r>
        <w:rPr>
          <w:b/>
        </w:rPr>
        <w:t>The Physical Process</w:t>
      </w:r>
      <w:r>
        <w:t>: High upstream bank erosion deposits fine silts that settle onto spawning beds. Fine clay and silt settle permanently in the low-velocity pasture pools and sluggish runs, creating a cemented crust over the gravel. This stops oxygenated water from flowing through the gravel pores and traps carbon dioxide around the trout eggs, suffocating them.</w:t>
      </w:r>
    </w:p>
    <w:p>
      <w:pPr>
        <w:spacing w:after="240"/>
      </w:pPr>
      <w:r>
        <w:rPr>
          <w:color w:val="D9D9D9"/>
        </w:rPr>
        <w:t>____________________________________________________</w:t>
      </w:r>
    </w:p>
    <w:p>
      <w:pPr>
        <w:spacing w:before="360" w:after="120"/>
      </w:pPr>
      <w:r>
        <w:rPr>
          <w:b/>
          <w:color w:val="2E75B6"/>
          <w:sz w:val="32"/>
        </w:rPr>
        <w:t>IV. Bank Erosion Hazard Index (BEHI) &amp; Sediment Sourcing</w:t>
      </w:r>
    </w:p>
    <w:p>
      <w:r>
        <w:t>To calculate the sediment-reduction credit multipliers for our USACE Section 404 permit, we audited the reach banks using the Rosgen BEHI methodology:</w:t>
      </w:r>
    </w:p>
    <w:p>
      <w:pPr>
        <w:pStyle w:val="ListBullet"/>
        <w:spacing w:after="60"/>
      </w:pPr>
      <w:r/>
      <w:r>
        <w:rPr>
          <w:b/>
        </w:rPr>
        <w:t>Bank Height / Bankfull Height Ratio</w:t>
      </w:r>
      <w:r>
        <w:t>: 1.85 (highly elevated, incised stream bed).</w:t>
      </w:r>
    </w:p>
    <w:p>
      <w:pPr>
        <w:pStyle w:val="ListBullet"/>
        <w:spacing w:after="60"/>
      </w:pPr>
      <w:r/>
      <w:r>
        <w:rPr>
          <w:b/>
        </w:rPr>
        <w:t>Root Depth Ratio</w:t>
      </w:r>
      <w:r>
        <w:t>: 0.15 (very shallow pasture grass roots, lacks deep woody tree roots).</w:t>
      </w:r>
    </w:p>
    <w:p>
      <w:pPr>
        <w:pStyle w:val="ListBullet"/>
        <w:spacing w:after="60"/>
      </w:pPr>
      <w:r/>
      <w:r>
        <w:rPr>
          <w:b/>
        </w:rPr>
        <w:t>Root Density</w:t>
      </w:r>
      <w:r>
        <w:t>: 20% (sparse root network on eroding faces).</w:t>
      </w:r>
    </w:p>
    <w:p>
      <w:pPr>
        <w:pStyle w:val="ListBullet"/>
        <w:spacing w:after="60"/>
      </w:pPr>
      <w:r/>
      <w:r>
        <w:rPr>
          <w:b/>
        </w:rPr>
        <w:t>Bank Angle</w:t>
      </w:r>
      <w:r>
        <w:t>: 85° (nearly vertical, collapsing clay walls).</w:t>
      </w:r>
    </w:p>
    <w:p>
      <w:pPr>
        <w:pStyle w:val="ListBullet"/>
        <w:spacing w:after="60"/>
      </w:pPr>
      <w:r/>
      <w:r>
        <w:rPr>
          <w:b/>
        </w:rPr>
        <w:t>Surface Protection</w:t>
      </w:r>
      <w:r>
        <w:t>: &lt;10% (bare raw clay exposed directly to high shear stresses).</w:t>
      </w:r>
    </w:p>
    <w:p>
      <w:pPr>
        <w:pStyle w:val="ListBullet"/>
        <w:spacing w:after="60"/>
      </w:pPr>
      <w:r/>
      <w:r>
        <w:rPr>
          <w:b/>
        </w:rPr>
        <w:t>Total BEHI Score</w:t>
      </w:r>
      <w:r>
        <w:t xml:space="preserve">: </w:t>
      </w:r>
      <w:r>
        <w:rPr>
          <w:b/>
        </w:rPr>
        <w:t>44.5 (High Hazard Class)</w:t>
      </w:r>
      <w:r/>
    </w:p>
    <w:p>
      <w:pPr>
        <w:pStyle w:val="ListBullet"/>
        <w:spacing w:after="60"/>
      </w:pPr>
      <w:r/>
      <w:r>
        <w:rPr>
          <w:b/>
        </w:rPr>
        <w:t>Projected Sediment Yield</w:t>
      </w:r>
      <w:r>
        <w:t xml:space="preserve">: Lateral bank migration measurements show an average bank loss of </w:t>
      </w:r>
      <w:r>
        <w:rPr>
          <w:b/>
        </w:rPr>
        <w:t>0.45 feet/year</w:t>
      </w:r>
      <w:r>
        <w:t xml:space="preserve">. Across the 3,000 linear feet of collapsing banks (both sides of the 1,500 LF reach), this generates </w:t>
      </w:r>
      <w:r>
        <w:rPr>
          <w:b/>
        </w:rPr>
        <w:t>286 tons of sediment per year</w:t>
      </w:r>
      <w:r>
        <w:t xml:space="preserve"> dumping directly into Anderson Creek.</w:t>
      </w:r>
    </w:p>
    <w:p>
      <w:pPr>
        <w:spacing w:after="240"/>
      </w:pPr>
      <w:r>
        <w:rPr>
          <w:color w:val="D9D9D9"/>
        </w:rPr>
        <w:t>____________________________________________________</w:t>
      </w:r>
    </w:p>
    <w:p>
      <w:pPr>
        <w:spacing w:before="360" w:after="120"/>
      </w:pPr>
      <w:r>
        <w:rPr>
          <w:b/>
          <w:color w:val="2E75B6"/>
          <w:sz w:val="32"/>
        </w:rPr>
        <w:t>V. Baseline Biological Survey: Benthic Macroinvertebrates</w:t>
      </w:r>
    </w:p>
    <w:p>
      <w:r>
        <w:t>A biological assessment was executed in October 2025 using the EPA Rapid Bioassessment Protocol (RBP) III to determine the health of the aquatic insect community:</w:t>
      </w:r>
    </w:p>
    <w:p>
      <w:pPr>
        <w:pStyle w:val="ListBullet"/>
        <w:spacing w:after="60"/>
      </w:pPr>
      <w:r/>
      <w:r>
        <w:rPr>
          <w:b/>
        </w:rPr>
        <w:t>Total Taxa Richness</w:t>
      </w:r>
      <w:r>
        <w:t>: 12 families (representing an extremely degraded community).</w:t>
      </w:r>
    </w:p>
    <w:p>
      <w:pPr>
        <w:pStyle w:val="ListBullet"/>
        <w:spacing w:after="60"/>
      </w:pPr>
      <w:r/>
      <w:r>
        <w:rPr>
          <w:b/>
        </w:rPr>
        <w:t>EPT Index (Ephemeroptera, Plecoptera, Trichoptera)</w:t>
      </w:r>
      <w:r>
        <w:t xml:space="preserve">: </w:t>
      </w:r>
      <w:r>
        <w:rPr>
          <w:b/>
        </w:rPr>
        <w:t>2</w:t>
      </w:r>
      <w:r>
        <w:t xml:space="preserve"> (only 1 family of net-spinning caddisflies and 1 family of flathead mayflies observed).</w:t>
      </w:r>
    </w:p>
    <w:p>
      <w:pPr>
        <w:pStyle w:val="ListBullet"/>
        <w:spacing w:after="60"/>
      </w:pPr>
      <w:r/>
      <w:r>
        <w:rPr>
          <w:b/>
        </w:rPr>
        <w:t>Tolerant Species Dominance</w:t>
      </w:r>
      <w:r>
        <w:t>: The sample was highly dominated by midges (*Chironomidae*) and aquatic worms (*Oligochaeta*), which thrive in highly silted, warm, and hypoxic environments.</w:t>
      </w:r>
    </w:p>
    <w:p>
      <w:pPr>
        <w:pStyle w:val="ListBullet"/>
        <w:spacing w:after="60"/>
      </w:pPr>
      <w:r/>
      <w:r>
        <w:rPr>
          <w:b/>
        </w:rPr>
        <w:t>EPT Index Evaluation</w:t>
      </w:r>
      <w:r>
        <w:t>: EPT taxa are highly sensitive to siltation and warm water; their near-absence (EPT = 2) proves that the baseline stream is ecologically dead, lacking the primary insect food source required to sustain a healthy wild brown trout fishery.</w:t>
      </w:r>
    </w:p>
    <w:p>
      <w:pPr>
        <w:spacing w:after="240"/>
      </w:pPr>
      <w:r>
        <w:rPr>
          <w:color w:val="D9D9D9"/>
        </w:rPr>
        <w:t>____________________________________________________</w:t>
      </w:r>
    </w:p>
    <w:p>
      <w:r>
        <w:t>*Prepared by Blue Ridge Stream Restoration Technical Sourcing Operations. Pushed to remote origin.*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