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31: UGA Intern Workstream — Page 4: USACE Savannah District 7-Year Monitoring &amp; Release Schedule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**Ecology &amp; Biological Monitoring Training Manual**</w:t>
        <w:br/>
        <w:t>**Target School**: University of Georgia (UGA) Odum School of Ecology / Warnell School of Forestry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Regulatory Context: Credit Release Milestones</w:t>
      </w:r>
    </w:p>
    <w:p>
      <w:r>
        <w:t xml:space="preserve">A mitigation bank does not receive all of its commercial stream credits at once. The </w:t>
      </w:r>
      <w:r>
        <w:rPr>
          <w:b/>
        </w:rPr>
        <w:t>USACE Savannah District</w:t>
      </w:r>
      <w:r>
        <w:t xml:space="preserve"> releases credits in stages over a </w:t>
      </w:r>
      <w:r>
        <w:rPr>
          <w:b/>
        </w:rPr>
        <w:t>7-year monitoring window</w:t>
      </w:r>
      <w:r>
        <w:t>. These releases are strictly contingent upon demonstrating physical channel stability and biological success.</w:t>
      </w:r>
    </w:p>
    <w:p>
      <w:r>
        <w:t xml:space="preserve">As a UGA Intern, you will compile the data from your biological, thermal, and vegetative surveys into our annual </w:t>
      </w:r>
      <w:r>
        <w:rPr>
          <w:b/>
        </w:rPr>
        <w:t>Ecological Monitoring Reports</w:t>
      </w:r>
      <w:r>
        <w:t>. The USACE will not release credit reserves if we fail to submit these reports on time, or if our biological metrics fail to meet target thresholds.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The 7-Year Stream Credit Release Schedule</w:t>
      </w:r>
    </w:p>
    <w:p>
      <w:r>
        <w:t xml:space="preserve">Our flagship bank at Anderson Creek yields exactly </w:t>
      </w:r>
      <w:r>
        <w:rPr>
          <w:b/>
        </w:rPr>
        <w:t>12,900 credits</w:t>
      </w:r>
      <w:r>
        <w:t>. The phased release schedule and required biological performance thresholds are detailed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Released %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Released Credits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Critical Ecological &amp; Geomorphic Performance Milestones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$15\%$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1,935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**Baseline**: Mitigation Banking Instrument (MBI) approved; conservation easement recorded; credit security bonds posted.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$15\%$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1,935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As-built survey submitted; bank stability index (BEHI) rated "Good" or better; vegetative survival $\ge 90\%$.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$15\%$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1,935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Zero stream bank failure after bankfull storm event; vegetative density $\ge 260\text{ stems/acre}$; invasive coverage $&lt;10\%$.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3**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$10\%$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1,290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Stream temperature loggers prove max summer temperature $&lt;65^\circ\text{F}$; benthic macroinvertebrate EPT index increases by $\ge 15\%$.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$10\%$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1,290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Rosgen cross-section width-to-depth ratios stable ($\pm 10\%$ of as-built designs); native vegetation canopy covers $\ge 40\%$ of plot surface.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$15\%$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1,935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Benthic EPT index matching reference stream conditions; native vegetative density stable; invasive coverage $&lt;5\%$.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**Year 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$10\%$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1,290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Multi-year thermal logging proves consistent temperature suppression; biological community shows high ecological lift.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**Year 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$10\%$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1,290 credits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**Final Release**: Complete geomorphic stability verified; permanent stewardship transferred to Georgia Land Trust.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Calculating the Benthic EPT Index</w:t>
      </w:r>
    </w:p>
    <w:p>
      <w:r>
        <w:t xml:space="preserve">To verify biological recovery at Year 3 and Year 5, you must calculate the </w:t>
      </w:r>
      <w:r>
        <w:rPr>
          <w:b/>
        </w:rPr>
        <w:t>EPT (Ephemeroptera, Plecoptera, Trichoptera) Index</w:t>
      </w:r>
      <w:r>
        <w:t>. EPT organisms are highly sensitive to siltation and organic pollutants; their abundance is direct evidence of water quality improvement.</w:t>
      </w:r>
    </w:p>
    <w:p>
      <w:r/>
      <w:r>
        <w:rPr>
          <w:rFonts w:ascii="Georgia" w:hAnsi="Georgia"/>
          <w:i/>
        </w:rPr>
      </w:r>
      <w:r>
        <w:t>\text{EPT Index} = \frac{\text{Taxa Count of (Mayflies + Stoneflies + Caddisflies)}}{\text{Total Taxa Count of All Collected Macroinvertebrates}} \times 100\%</w:t>
      </w:r>
      <w:r>
        <w:rPr>
          <w:rFonts w:ascii="Georgia" w:hAnsi="Georgia"/>
          <w:i/>
        </w:rPr>
      </w:r>
      <w:r/>
    </w:p>
    <w:p>
      <w:pPr>
        <w:spacing w:before="240" w:after="80"/>
      </w:pPr>
      <w:r>
        <w:rPr>
          <w:b/>
          <w:color w:val="595959"/>
          <w:sz w:val="26"/>
        </w:rPr>
        <w:t>Worked Example:</w:t>
      </w:r>
    </w:p>
    <w:p>
      <w:r>
        <w:t>You collect a sample at Anderson Creek Station 02 containing the following macroinvertebrates:</w:t>
      </w:r>
    </w:p>
    <w:p>
      <w:pPr>
        <w:pStyle w:val="ListBullet"/>
        <w:spacing w:after="60"/>
      </w:pPr>
      <w:r/>
      <w:r>
        <w:rPr>
          <w:b/>
        </w:rPr>
        <w:t>Ephemeroptera (Mayflies)</w:t>
      </w:r>
      <w:r>
        <w:t>: 4 distinct taxa (Heptageniidae, Baetidae, Ephemerellidae, Siphlonuridae)</w:t>
      </w:r>
    </w:p>
    <w:p>
      <w:pPr>
        <w:pStyle w:val="ListBullet"/>
        <w:spacing w:after="60"/>
      </w:pPr>
      <w:r/>
      <w:r>
        <w:rPr>
          <w:b/>
        </w:rPr>
        <w:t>Plecoptera (Stoneflies)</w:t>
      </w:r>
      <w:r>
        <w:t>: 2 distinct taxa (Perlidae, Pteronarcyidae)</w:t>
      </w:r>
    </w:p>
    <w:p>
      <w:pPr>
        <w:pStyle w:val="ListBullet"/>
        <w:spacing w:after="60"/>
      </w:pPr>
      <w:r/>
      <w:r>
        <w:rPr>
          <w:b/>
        </w:rPr>
        <w:t>Trichoptera (Caddisflies)</w:t>
      </w:r>
      <w:r>
        <w:t>: 3 distinct taxa (Hydropsychidae, Limnephilidae, Rhyacophilidae)</w:t>
      </w:r>
    </w:p>
    <w:p>
      <w:pPr>
        <w:pStyle w:val="ListBullet"/>
        <w:spacing w:after="60"/>
      </w:pPr>
      <w:r/>
      <w:r>
        <w:rPr>
          <w:b/>
        </w:rPr>
        <w:t>Chironomidae (Non-biting Midges - Pollution Tolerant)</w:t>
      </w:r>
      <w:r>
        <w:t>: 5 distinct taxa</w:t>
      </w:r>
    </w:p>
    <w:p>
      <w:pPr>
        <w:pStyle w:val="ListBullet"/>
        <w:spacing w:after="60"/>
      </w:pPr>
      <w:r/>
      <w:r>
        <w:rPr>
          <w:b/>
        </w:rPr>
        <w:t>Odonata (Dragonflies - Moderately Tolerant)</w:t>
      </w:r>
      <w:r>
        <w:t>: 2 distinct taxa</w:t>
      </w:r>
    </w:p>
    <w:p>
      <w:r>
        <w:t>#### 1. Calculate EPT Taxa:</w:t>
      </w:r>
    </w:p>
    <w:p>
      <w:r/>
      <w:r>
        <w:rPr>
          <w:rFonts w:ascii="Georgia" w:hAnsi="Georgia"/>
          <w:i/>
        </w:rPr>
      </w:r>
      <w:r>
        <w:t>\text{EPT Taxa} = 4 + 2 + 3 = 9\text{ taxa}</w:t>
      </w:r>
      <w:r>
        <w:rPr>
          <w:rFonts w:ascii="Georgia" w:hAnsi="Georgia"/>
          <w:i/>
        </w:rPr>
      </w:r>
      <w:r/>
    </w:p>
    <w:p>
      <w:r>
        <w:t>#### 2. Calculate Total Taxa:</w:t>
      </w:r>
    </w:p>
    <w:p>
      <w:r/>
      <w:r>
        <w:rPr>
          <w:rFonts w:ascii="Georgia" w:hAnsi="Georgia"/>
          <w:i/>
        </w:rPr>
      </w:r>
      <w:r>
        <w:t>\text{Total Taxa} = 9 + 5 + 2 = 16\text{ taxa}</w:t>
      </w:r>
      <w:r>
        <w:rPr>
          <w:rFonts w:ascii="Georgia" w:hAnsi="Georgia"/>
          <w:i/>
        </w:rPr>
      </w:r>
      <w:r/>
    </w:p>
    <w:p>
      <w:r>
        <w:t>#### 3. Calculate EPT Index:</w:t>
      </w:r>
    </w:p>
    <w:p>
      <w:r/>
      <w:r>
        <w:rPr>
          <w:rFonts w:ascii="Georgia" w:hAnsi="Georgia"/>
          <w:i/>
        </w:rPr>
      </w:r>
      <w:r>
        <w:t>\text{EPT Index} = \frac{9}{16} \times 100\% = 56.25\%</w:t>
      </w:r>
      <w:r>
        <w:rPr>
          <w:rFonts w:ascii="Georgia" w:hAnsi="Georgia"/>
          <w:i/>
        </w:rPr>
      </w:r>
      <w:r/>
    </w:p>
    <w:p>
      <w:r>
        <w:t xml:space="preserve">*Ecological Assessment*: An EPT Index </w:t>
      </w:r>
      <w:r>
        <w:rPr>
          <w:b/>
        </w:rPr>
        <w:t>$&gt;50\%$</w:t>
      </w:r>
      <w:r>
        <w:t xml:space="preserve"> represents an </w:t>
      </w:r>
      <w:r>
        <w:rPr>
          <w:b/>
        </w:rPr>
        <w:t>"Excellent"</w:t>
      </w:r>
      <w:r>
        <w:t xml:space="preserve"> water quality rating, satisfying the USACE Year 3 ecological lift requirement.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USACE Annual Submission Checklist</w:t>
      </w:r>
    </w:p>
    <w:p>
      <w:r>
        <w:t>Before submitting the annual report to the Savannah District IRT, you must verify that the following files are compiled and attached: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Executive Summary Sheet</w:t>
      </w:r>
      <w:r>
        <w:t>: Formatted with Co-Founder Hunter Morris's signature and Board Member Hadi Irvani's review stamp.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HOBO Logger Data Plots</w:t>
      </w:r>
      <w:r>
        <w:t>: Continuous summer water temperature telemetry graphs with critical 65°F line highlighted.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Vegetation Plot Sheets</w:t>
      </w:r>
      <w:r>
        <w:t>: Native stem counts, diameter measurements, and calculated stems-per-acre density for all 5 monitoring plots.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Macroinvertebrate Taxa Log</w:t>
      </w:r>
      <w:r>
        <w:t>: Complete species list, calculated EPT indices, and photographic voucher plates of identified specimens.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Geomorphic Cross-Sections</w:t>
      </w:r>
      <w:r>
        <w:t>: Overlay plots comparing pre-construction, as-built, and current year channel cross-sections to prove dimensional stability.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Ground Photographic Plates</w:t>
      </w:r>
      <w:r>
        <w:t>: Fixed-point photos facing upstream, downstream, and perpendicular at every cross-section monument.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