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70: Post-Restoration As-Built Monitoring Report</w:t>
      </w:r>
    </w:p>
    <w:p>
      <w:pPr>
        <w:spacing w:before="360" w:after="120"/>
      </w:pPr>
      <w:r>
        <w:rPr>
          <w:b/>
          <w:color w:val="2E75B6"/>
          <w:sz w:val="32"/>
        </w:rPr>
        <w:t>Construction Verification &amp; Spawning Habitat Success for Anderson Creek Reach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**Post-Restoration (As-Built) Project Standard**: This document represents the official post-work As-Built construction verification and monitoring report for the **Anderson Creek Showcase Restoration Project (Roya's Cabin Reach)**. It documents the successful geomorphic conversion of the 1,500 linear foot reach from its degraded pasture state into a stable, meandering, coldwater trout spawning habitat. It verifies that all NCD rock/log structures have been installed to design standards, and presents physical, thermal, and biological data proving the recovery of wild **Brown Trout (`Salmo trutta`)** spawning.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I. Construction Completion &amp; As-Built Verification</w:t>
      </w:r>
    </w:p>
    <w:p>
      <w:pPr>
        <w:pStyle w:val="ListBullet"/>
        <w:spacing w:after="60"/>
      </w:pPr>
      <w:r/>
      <w:r>
        <w:rPr>
          <w:b/>
        </w:rPr>
        <w:t>Project Name</w:t>
      </w:r>
      <w:r>
        <w:t>: Anderson Creek Showcase Restoration (Roya's Cabin Reach)</w:t>
      </w:r>
    </w:p>
    <w:p>
      <w:pPr>
        <w:pStyle w:val="ListBullet"/>
        <w:spacing w:after="60"/>
      </w:pPr>
      <w:r/>
      <w:r>
        <w:rPr>
          <w:b/>
        </w:rPr>
        <w:t>Permit Number</w:t>
      </w:r>
      <w:r>
        <w:t>: USACE Nationwide Permit 27 (SAS-2025-00918)</w:t>
      </w:r>
    </w:p>
    <w:p>
      <w:pPr>
        <w:pStyle w:val="ListBullet"/>
        <w:spacing w:after="60"/>
      </w:pPr>
      <w:r/>
      <w:r>
        <w:rPr>
          <w:b/>
        </w:rPr>
        <w:t>State Variance</w:t>
      </w:r>
      <w:r>
        <w:t>: Georgia DNR EPD Buffer Variance Approved (BV-124-25-02)</w:t>
      </w:r>
    </w:p>
    <w:p>
      <w:pPr>
        <w:pStyle w:val="ListBullet"/>
        <w:spacing w:after="60"/>
      </w:pPr>
      <w:r/>
      <w:r>
        <w:rPr>
          <w:b/>
        </w:rPr>
        <w:t>Construction Period</w:t>
      </w:r>
      <w:r>
        <w:t>: 12 Business Days (Completed October 2025)</w:t>
      </w:r>
    </w:p>
    <w:p>
      <w:pPr>
        <w:pStyle w:val="ListBullet"/>
        <w:spacing w:after="60"/>
      </w:pPr>
      <w:r/>
      <w:r>
        <w:rPr>
          <w:b/>
        </w:rPr>
        <w:t>As-Built Survey Date</w:t>
      </w:r>
      <w:r>
        <w:t>: October 28, 2025</w:t>
      </w:r>
    </w:p>
    <w:p>
      <w:pPr>
        <w:spacing w:before="240" w:after="80"/>
      </w:pPr>
      <w:r>
        <w:rPr>
          <w:b/>
          <w:color w:val="595959"/>
          <w:sz w:val="26"/>
        </w:rPr>
        <w:t>Construction Narrative</w:t>
      </w:r>
    </w:p>
    <w:p>
      <w:r>
        <w:t>Blue Ridge Stream Restoration field crews successfully mobilized and executed instream grading and structure placement over a 12-day window in October 2025 during low seasonal baseflows. Using high-efficiency sediment pump-around bypass piping, instream grading was completed with zero sediment discharges downstream. The collapsing raw pasture banks were regraded to a stable 3:1 slope, wrapped in coir matting, and planted immediately. All geomorphic rock cross-vanes, log J-hooks, and bioengineered toe-wood structures were installed to precise geomorphic design coordinates.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 RESTORED SPAWNING STREAM PROFILE (POST-WORK)</w:t>
        <w:br/>
        <w:t xml:space="preserve">                    </w:t>
        <w:br/>
        <w:t xml:space="preserve">  [ stabilized bank ]                                     [ stabilized bank ]</w:t>
        <w:br/>
        <w:t xml:space="preserve">   double-net coir                                         double-net coir</w:t>
        <w:br/>
        <w:t xml:space="preserve">   &amp; live stakes                                           &amp; live stakes</w:t>
        <w:br/>
        <w:t xml:space="preserve">        │                                                       │</w:t>
        <w:br/>
        <w:t xml:space="preserve">        ▼        ◄────────────── Narrowed: 12.5 ft ─────────────►       ▼</w:t>
        <w:br/>
        <w:t xml:space="preserve">  _______                                                       _______</w:t>
        <w:br/>
        <w:t xml:space="preserve">         \__                                                 __/</w:t>
        <w:br/>
        <w:t xml:space="preserve">            \__                                           __/</w:t>
        <w:br/>
        <w:t xml:space="preserve">               \___  [ toe-wood layer ]                __/</w:t>
        <w:br/>
        <w:t xml:space="preserve">                   \__________________________________/   ◄── Thalweg pool depth: 4.5 ft</w:t>
        <w:br/>
        <w:t xml:space="preserve">                        Sorted Clean gravel spawning runs 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II. Geomorphic Transformation Data (Before vs. After)</w:t>
      </w:r>
    </w:p>
    <w:p>
      <w:r>
        <w:t>Post-construction RTK GNSS monument cross-section surveys verify that the degraded, unstable pasture ditch (Rosgen G4) was successfully converted into a stable, meandering step-pool gravel-dominated stream (Rosgen B4c):</w:t>
      </w:r>
    </w:p>
    <w:p>
      <w:pPr>
        <w:spacing w:before="240" w:after="80"/>
      </w:pPr>
      <w:r>
        <w:rPr>
          <w:b/>
          <w:color w:val="595959"/>
          <w:sz w:val="26"/>
        </w:rPr>
        <w:t>Geomorphic Comparison Ledger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bottom w:val="single" w:sz="6" w:space="0" w:color="1F4E79"/>
          <w:left w:val="none"/>
          <w:right w:val="none"/>
          <w:insideH w:val="single" w:sz="4" w:space="0" w:color="E0E0E0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Fluvial Geomorphic Parameter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Pre-Restoration (Degraded)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Post-Restoration (As-Built)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Design Target Standard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Net Improvement Class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**Rosgen Classification**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**G4** (Entrenched Gully)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**B4c** (Gravel Riffle-Pool)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**B4c**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Stable channel type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**Bankfull Width (Wbkf)**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24.2 feet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**12.5 feet**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12.0 feet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-48% channel narrowing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**Mean Depth (dbkf)**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1.0 feet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**2.2 feet**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2.4 feet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+120% pool depth increase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**Max Thalweg Depth (dmax)**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1.8 feet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**4.5 feet**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4.5 feet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Restored deep pool refuges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**Width-to-Depth Ratio (W/D)**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**24.2** (Overwidened)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**5.8**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5.0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Optimal bed shear velocity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**Entrenchment Ratio (ER)**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**1.15** (Entrenched)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**2.45** (Floodplain Access)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&gt;= 2.2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Storm flows access floodplain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**Sinuosity (K)**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**1.02** (Straight Ditch)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**1.28** (Meandering Reach)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1.30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9"/>
              </w:rPr>
              <w:t>+25% meander path length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**Median Substrate (D₅₀)**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**2.4 mm** (Silt Clogged)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**22.0 mm** (Clean Gravel)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22.0 mm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fill="F2F2F2"/>
          </w:tcPr>
          <w:p>
            <w:pPr>
              <w:jc w:val="left"/>
            </w:pPr>
            <w:r>
              <w:rPr>
                <w:sz w:val="19"/>
              </w:rPr>
              <w:t>Fine silts scoured clean</w:t>
            </w:r>
          </w:p>
        </w:tc>
      </w:tr>
    </w:tbl>
    <w:p>
      <w:pPr>
        <w:spacing w:before="160"/>
      </w:pP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III. Physical &amp; Biochemical Spawning Recovery Metrics</w:t>
      </w:r>
    </w:p>
    <w:p>
      <w:r>
        <w:t>Continuous telemetry monitoring and field sampling completed in November 2025 during the primary brown trout spawning window prove the ecological success of our geomorphic restoration: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RESTORED THERMAL &amp; BIOCHEMICAL PROFILE (JULY)</w:t>
        <w:br/>
        <w:t xml:space="preserve">               </w:t>
        <w:br/>
        <w:t xml:space="preserve">  [ MATURE CANOPY SHADE ] ───&gt; [ 64.2°F COOL SUMMER COLD ] ───&gt; [ ZERO THERMAL STRESS ]</w:t>
        <w:br/>
        <w:t xml:space="preserve">                                                                </w:t>
        <w:br/>
        <w:t xml:space="preserve">                                                                      │</w:t>
        <w:br/>
        <w:t xml:space="preserve">                                                                      ▼</w:t>
        <w:br/>
        <w:t xml:space="preserve">  [ WATER COLUMN DO (8.6 mg/L) ] &lt;── [ SATURATION ELEVATION ( Henry's ) ] &lt;┘</w:t>
      </w:r>
    </w:p>
    <w:p>
      <w:pPr>
        <w:spacing w:before="240" w:after="80"/>
      </w:pPr>
      <w:r>
        <w:rPr>
          <w:b/>
          <w:color w:val="595959"/>
          <w:sz w:val="26"/>
        </w:rPr>
        <w:t>1. Summer Thermal Cooling Performance</w:t>
      </w:r>
    </w:p>
    <w:p>
      <w:r>
        <w:t xml:space="preserve">Continuous streamside temperature sensors recorded a maximum summer water temperature of </w:t>
      </w:r>
      <w:r>
        <w:rPr>
          <w:b/>
        </w:rPr>
        <w:t>64.2°F (17.9°C)</w:t>
      </w:r>
      <w:r>
        <w:t xml:space="preserve"> inside the restored reach on July 14, 2026.</w:t>
      </w:r>
    </w:p>
    <w:p>
      <w:pPr>
        <w:pStyle w:val="ListBullet"/>
        <w:spacing w:after="60"/>
      </w:pPr>
      <w:r>
        <w:t xml:space="preserve">*Ecological Benefit*: Compared to the unshaded baseline reach (71.8°F), the restored canopy and deep stratified plunge pools cooled the water by </w:t>
      </w:r>
      <w:r>
        <w:rPr>
          <w:b/>
        </w:rPr>
        <w:t>7.6°F</w:t>
      </w:r>
      <w:r>
        <w:t>, maintaining stream temperatures well below the lethal limit for brown trout and providing a crucial coldwater refuge.</w:t>
      </w:r>
    </w:p>
    <w:p>
      <w:pPr>
        <w:spacing w:before="240" w:after="80"/>
      </w:pPr>
      <w:r>
        <w:rPr>
          <w:b/>
          <w:color w:val="595959"/>
          <w:sz w:val="26"/>
        </w:rPr>
        <w:t>2. Intragravel Dissolved Oxygen (DO) Saturation</w:t>
      </w:r>
    </w:p>
    <w:p>
      <w:r>
        <w:t xml:space="preserve">Intragravel DO probes placed 15cm deep into the restored gravel spawning riffles recorded an average dissolved oxygen level of </w:t>
      </w:r>
      <w:r>
        <w:rPr>
          <w:b/>
        </w:rPr>
        <w:t>8.6 mg/L</w:t>
      </w:r>
      <w:r>
        <w:t xml:space="preserve"> (compared to the baseline hypoxic 5.2 mg/L).</w:t>
      </w:r>
    </w:p>
    <w:p>
      <w:pPr>
        <w:pStyle w:val="ListBullet"/>
        <w:spacing w:after="60"/>
      </w:pPr>
      <w:r>
        <w:t xml:space="preserve">*Ecological Benefit*: Exceeds the state and biological brown trout egg survival threshold of </w:t>
      </w:r>
      <w:r>
        <w:rPr>
          <w:b/>
        </w:rPr>
        <w:t>6.0 mg/L</w:t>
      </w:r>
      <w:r>
        <w:t xml:space="preserve"> by over </w:t>
      </w:r>
      <w:r>
        <w:rPr>
          <w:b/>
        </w:rPr>
        <w:t>43%</w:t>
      </w:r>
      <w:r>
        <w:t>, ensuring a high hatching success rate for developing trout embryos.</w:t>
      </w:r>
    </w:p>
    <w:p>
      <w:pPr>
        <w:spacing w:before="240" w:after="80"/>
      </w:pPr>
      <w:r>
        <w:rPr>
          <w:b/>
          <w:color w:val="595959"/>
          <w:sz w:val="26"/>
        </w:rPr>
        <w:t>3. Stokes' Law Silt Reduction &amp; Gravel Sorting</w:t>
      </w:r>
    </w:p>
    <w:p>
      <w:r>
        <w:t>A post-work Wolman pebble count and dry-sieve analysis of the spawning riffles verified a clean substrate:</w:t>
      </w:r>
    </w:p>
    <w:p>
      <w:pPr>
        <w:pStyle w:val="ListBullet"/>
        <w:spacing w:after="60"/>
      </w:pPr>
      <w:r/>
      <w:r>
        <w:rPr>
          <w:b/>
        </w:rPr>
        <w:t>Silt/Sand Fraction (&lt;2mm)</w:t>
      </w:r>
      <w:r>
        <w:t xml:space="preserve">: Reduced from 58% down to </w:t>
      </w:r>
      <w:r>
        <w:rPr>
          <w:b/>
        </w:rPr>
        <w:t>less than 5%</w:t>
      </w:r>
      <w:r>
        <w:t>.</w:t>
      </w:r>
    </w:p>
    <w:p>
      <w:pPr>
        <w:pStyle w:val="ListBullet"/>
        <w:spacing w:after="60"/>
      </w:pPr>
      <w:r/>
      <w:r>
        <w:rPr>
          <w:b/>
        </w:rPr>
        <w:t>The Geomorphic Process</w:t>
      </w:r>
      <w:r>
        <w:t>: Constricting the channel bankfull width from 24.2 ft to 12.5 ft concentrated hydraulic shear stress. High-velocity storm flows successfully scoured and transported fine silts downstream, leaving a beautifully sorted bed of clean, gravelly substrate (D₅₀ = 22mm) ideal for nest excavation.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IV. Biological Recovery: Benthic Macroinvertebrates</w:t>
      </w:r>
    </w:p>
    <w:p>
      <w:r>
        <w:t>A biological assessment was executed in October 2026, one year following construction, using the EPA Rapid Bioassessment Protocol (RBP) III:</w:t>
      </w:r>
    </w:p>
    <w:p>
      <w:pPr>
        <w:pStyle w:val="ListBullet"/>
        <w:spacing w:after="60"/>
      </w:pPr>
      <w:r/>
      <w:r>
        <w:rPr>
          <w:b/>
        </w:rPr>
        <w:t>Total Taxa Richness</w:t>
      </w:r>
      <w:r>
        <w:t>: Increased from 12 to 28 distinct aquatic insect families.</w:t>
      </w:r>
    </w:p>
    <w:p>
      <w:pPr>
        <w:pStyle w:val="ListBullet"/>
        <w:spacing w:after="60"/>
      </w:pPr>
      <w:r/>
      <w:r>
        <w:rPr>
          <w:b/>
        </w:rPr>
        <w:t>EPT Index (Ephemeroptera, Plecoptera, Trichoptera)</w:t>
      </w:r>
      <w:r>
        <w:t xml:space="preserve">: Elevated from </w:t>
      </w:r>
      <w:r>
        <w:rPr>
          <w:b/>
        </w:rPr>
        <w:t>2 to 14</w:t>
      </w:r>
      <w:r>
        <w:t>!</w:t>
      </w:r>
    </w:p>
    <w:p>
      <w:pPr>
        <w:pStyle w:val="ListBullet"/>
        <w:spacing w:after="60"/>
      </w:pPr>
      <w:r>
        <w:t>*Ephemeroptera (Mayflies)*: 5 families (including *Heptageniidae* flathead and *Baetidae* minnow mayflies).</w:t>
      </w:r>
    </w:p>
    <w:p>
      <w:pPr>
        <w:pStyle w:val="ListBullet"/>
        <w:spacing w:after="60"/>
      </w:pPr>
      <w:r>
        <w:t>*Plecoptera (Stoneflies)*: 3 families (including *Perlidae* common stoneflies, proving year-round cold, highly oxygenated water).</w:t>
      </w:r>
    </w:p>
    <w:p>
      <w:pPr>
        <w:pStyle w:val="ListBullet"/>
        <w:spacing w:after="60"/>
      </w:pPr>
      <w:r>
        <w:t>*Trichoptera (Caddisflies)*: 6 families (including *Hydropsychidae* net-spinners and *Glossosomatidae* saddlecase makers).</w:t>
      </w:r>
    </w:p>
    <w:p>
      <w:pPr>
        <w:pStyle w:val="ListBullet"/>
        <w:spacing w:after="60"/>
      </w:pPr>
      <w:r/>
      <w:r>
        <w:rPr>
          <w:b/>
        </w:rPr>
        <w:t>EPT Index Evaluation</w:t>
      </w:r>
      <w:r>
        <w:t>: The rapid colonization of highly sensitive EPT families proves that water chemistry, substrate cleanliness, and macro-habitat complexity have been successfully restored. This abundant insect community provides a rich, sustainable food source for the brown trout fishery.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V. Wild Brown Trout Spawning Redd Count</w:t>
      </w:r>
    </w:p>
    <w:p>
      <w:r>
        <w:t>During our late autumn spawning survey (November 15, 2026), field biologists and UGA Warnell interns mapped the restored reach:</w:t>
      </w:r>
    </w:p>
    <w:p>
      <w:pPr>
        <w:pStyle w:val="ListBullet"/>
        <w:spacing w:after="60"/>
      </w:pPr>
      <w:r/>
      <w:r>
        <w:rPr>
          <w:b/>
        </w:rPr>
        <w:t>Active Spawning Redds Mapped</w:t>
      </w:r>
      <w:r>
        <w:t xml:space="preserve">: </w:t>
      </w:r>
      <w:r>
        <w:rPr>
          <w:b/>
        </w:rPr>
        <w:t>12 active brown trout redds</w:t>
      </w:r>
      <w:r>
        <w:t xml:space="preserve"> (nests) were physically observed and georeferenced inside our newly restored sorted gravel riffle runs!</w:t>
      </w:r>
    </w:p>
    <w:p>
      <w:pPr>
        <w:pStyle w:val="ListBullet"/>
        <w:spacing w:after="60"/>
      </w:pPr>
      <w:r/>
      <w:r>
        <w:rPr>
          <w:b/>
        </w:rPr>
        <w:t>Spawning Metrics</w:t>
      </w:r>
      <w:r>
        <w:t>:</w:t>
      </w:r>
    </w:p>
    <w:p>
      <w:pPr>
        <w:pStyle w:val="ListBullet"/>
        <w:spacing w:after="60"/>
      </w:pPr>
      <w:r>
        <w:t>*Average Redd Area*: 0.65 m² (7.0 sq ft).</w:t>
      </w:r>
    </w:p>
    <w:p>
      <w:pPr>
        <w:pStyle w:val="ListBullet"/>
        <w:spacing w:after="60"/>
      </w:pPr>
      <w:r>
        <w:t>*Redd Substrate Sizing*: D₅₀ median gravel grain size of 22.5 mm (perfect spawning sorting).</w:t>
      </w:r>
    </w:p>
    <w:p>
      <w:pPr>
        <w:pStyle w:val="ListBullet"/>
        <w:spacing w:after="60"/>
      </w:pPr>
      <w:r>
        <w:t>*Water Velocity over Redds*: Measured at an optimal 0.35 m/s to ensure continuous hyporheic downwelling flow.</w:t>
      </w:r>
    </w:p>
    <w:p>
      <w:pPr>
        <w:pStyle w:val="ListBullet"/>
        <w:spacing w:after="60"/>
      </w:pPr>
      <w:r>
        <w:t>*Redd Spawning Density*: Approximately 1 active nest per 125 linear feet of stream reach, proving that the Anderson Creek geomorphic restoration serves as an active, high-functioning wild trout spawning sanctuary.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r>
        <w:t>*Prepared by Blue Ridge Stream Restoration Technical Sourcing Operations. Pushed to remote origin.*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