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37: Clemson Workstream — Page 2: Conservation Finance NPV Underwriting &amp; Phased Credit Releases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**Mitigation Finance &amp; Real Estate Operations Manual**</w:t>
        <w:br/>
        <w:t>**Target School**: Clemson University Wilbur O. and Ann Powers College of Business / CAFLS</w:t>
        <w:br/>
        <w:t>**Project Area**: Upper Savannah Basin &amp; Chattahoochee River Spawning Headwaters</w:t>
        <w:br/>
        <w:t>**Supervising Board**: Hunter Morris (Co-Founder &amp; Managing Director) &amp; Hadi Irvani (Board Member)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Underwriting Principles in Conservation Finance</w:t>
      </w:r>
    </w:p>
    <w:p>
      <w:r>
        <w:t>A primary task as a Clemson Finance Intern is to perform financial underwriting on potential land acquisitions.</w:t>
      </w:r>
    </w:p>
    <w:p>
      <w:r>
        <w:t xml:space="preserve">Unlike standard real estate developments where cash inflows are frontloaded or uniform, stream mitigation banks experience </w:t>
      </w:r>
      <w:r>
        <w:rPr>
          <w:b/>
        </w:rPr>
        <w:t>highly phased cash flows over a 7-to-10 year monitoring tail</w:t>
      </w:r>
      <w:r>
        <w:t xml:space="preserve">. The timing of cash inflows is determined by the </w:t>
      </w:r>
      <w:r>
        <w:rPr>
          <w:b/>
        </w:rPr>
        <w:t>USACE Savannah District Credit Release Schedule</w:t>
      </w:r>
      <w:r>
        <w:t>.</w:t>
      </w:r>
    </w:p>
    <w:p>
      <w:r>
        <w:t xml:space="preserve">To evaluate whether a stream project is financially viable, you must construct a detailed </w:t>
      </w:r>
      <w:r>
        <w:rPr>
          <w:b/>
        </w:rPr>
        <w:t>Discounted Cash Flow (DCF)</w:t>
      </w:r>
      <w:r>
        <w:t xml:space="preserve"> sheet, calculating the project's </w:t>
      </w:r>
      <w:r>
        <w:rPr>
          <w:b/>
        </w:rPr>
        <w:t>Net Present Value (NPV)</w:t>
      </w:r>
      <w:r>
        <w:t xml:space="preserve"> and </w:t>
      </w:r>
      <w:r>
        <w:rPr>
          <w:b/>
        </w:rPr>
        <w:t>Internal Rate of Return (IRR)</w:t>
      </w:r>
      <w:r>
        <w:t>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Advanced DCF Model Architecture</w:t>
      </w:r>
    </w:p>
    <w:p>
      <w:r>
        <w:t>Your financial models must account for all upfront construction/permitting costs, annual monitoring outlays, and phased credit sales.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MITIGATION DCF MODEL STRUCTURE</w:t>
        <w:br/>
        <w:t xml:space="preserve">                      </w:t>
        <w:br/>
        <w:t xml:space="preserve">   [ Year 0: CapEx Outflow ] ---&gt; Acquisition, Design, Construction, $220k Bonds</w:t>
        <w:br/>
        <w:t xml:space="preserve">                                                 |</w:t>
        <w:br/>
        <w:t xml:space="preserve">   [ Years 1-7: Credit Sales ] &lt;--- Phased Releases (15%, 15%, 15%, 10%, 10%, 15%, 10%, 10%)</w:t>
        <w:br/>
        <w:t xml:space="preserve">             |</w:t>
        <w:br/>
        <w:t xml:space="preserve">             v</w:t>
        <w:br/>
        <w:t xml:space="preserve">   [ Annual Cash Flow (CFt) ] = (Released Credits x Price) - Monitoring - Endowment</w:t>
        <w:br/>
        <w:t xml:space="preserve">             |</w:t>
        <w:br/>
        <w:t xml:space="preserve">             v</w:t>
        <w:br/>
        <w:t xml:space="preserve">   [ Discount to Year 0 ] ---&gt; Calculate NPV @ 10% Discount Rate &amp; Verify IRR &gt;= 25%</w:t>
      </w:r>
    </w:p>
    <w:p>
      <w:pPr>
        <w:spacing w:before="240" w:after="80"/>
      </w:pPr>
      <w:r>
        <w:rPr>
          <w:b/>
          <w:color w:val="595959"/>
          <w:sz w:val="26"/>
        </w:rPr>
        <w:t>A. Net Present Value ($NPV$) Formula</w:t>
      </w:r>
    </w:p>
    <w:p>
      <w:r>
        <w:t>The NPV calculates the present-day value of all cash flows throughout the project life, using a targeted discount rate (</w:t>
      </w:r>
      <w:r>
        <w:rPr>
          <w:rFonts w:ascii="Georgia" w:hAnsi="Georgia"/>
          <w:i/>
        </w:rPr>
        <w:t>r</w:t>
      </w:r>
      <w:r>
        <w:t>, reflecting our cost of capital).</w:t>
      </w:r>
    </w:p>
    <w:p>
      <w:r/>
      <w:r>
        <w:rPr>
          <w:rFonts w:ascii="Georgia" w:hAnsi="Georgia"/>
          <w:i/>
        </w:rPr>
      </w:r>
      <w:r>
        <w:t>NPV = \sum_{t=0}^{N} \frac{CF_t}{(1 + r)^t}</w:t>
      </w:r>
      <w:r>
        <w:rPr>
          <w:rFonts w:ascii="Georgia" w:hAnsi="Georgia"/>
          <w:i/>
        </w:rPr>
      </w:r>
      <w:r/>
    </w:p>
    <w:p>
      <w:r>
        <w:t>Where: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CF_t = \text{Net Cash Flow in Year } t \text{ (Inflows from Credit Sales minus Outflows for Monitoring/Stewardship)}</w:t>
      </w:r>
      <w:r>
        <w:t>.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r = \text{Discount Rate (set at standard } 10.0\%\text{ for mitigation land investments)}</w:t>
      </w:r>
      <w:r>
        <w:t>.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t = \text{Year index } (0\text{ to } 7)</w:t>
      </w:r>
      <w:r>
        <w:t>.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N = \text{Total project span } (7\text{ years monitoring})</w:t>
      </w:r>
      <w:r>
        <w:t>.</w:t>
      </w:r>
    </w:p>
    <w:p>
      <w:pPr>
        <w:pStyle w:val="ListBullet"/>
        <w:spacing w:after="60"/>
      </w:pPr>
      <w:r>
        <w:t xml:space="preserve">*Underwriting Rule*: We only acquire land if the projected </w:t>
      </w:r>
      <w:r>
        <w:rPr>
          <w:rFonts w:ascii="Georgia" w:hAnsi="Georgia"/>
          <w:i/>
        </w:rPr>
        <w:t>NPV &gt; 0</w:t>
      </w:r>
      <w:r>
        <w:t xml:space="preserve"> and the project's </w:t>
      </w:r>
      <w:r>
        <w:rPr>
          <w:rFonts w:ascii="Georgia" w:hAnsi="Georgia"/>
          <w:i/>
        </w:rPr>
        <w:t>IRR \ge 25.0\%</w:t>
      </w:r>
      <w:r>
        <w:t>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Financial Case Study: Roya's Cabin at Anderson Creek</w:t>
      </w:r>
    </w:p>
    <w:p>
      <w:r>
        <w:t xml:space="preserve">You will model the baseline financials for our flagship </w:t>
      </w:r>
      <w:r>
        <w:rPr>
          <w:b/>
        </w:rPr>
        <w:t>1,500-LF reach</w:t>
      </w:r>
      <w:r>
        <w:t xml:space="preserve"> at Anderson Creek using the </w:t>
      </w:r>
      <w:r>
        <w:rPr>
          <w:b/>
        </w:rPr>
        <w:t>70/30 Credit Split JV structure</w:t>
      </w:r>
      <w:r>
        <w:t>.</w:t>
      </w:r>
    </w:p>
    <w:p>
      <w:pPr>
        <w:spacing w:before="240" w:after="80"/>
      </w:pPr>
      <w:r>
        <w:rPr>
          <w:b/>
          <w:color w:val="595959"/>
          <w:sz w:val="26"/>
        </w:rPr>
        <w:t>A. Core Underwriting Assumptions:</w:t>
      </w:r>
    </w:p>
    <w:p>
      <w:pPr>
        <w:pStyle w:val="ListBullet"/>
        <w:spacing w:after="60"/>
      </w:pPr>
      <w:r/>
      <w:r>
        <w:rPr>
          <w:b/>
        </w:rPr>
        <w:t>Total Reach Length</w:t>
      </w:r>
      <w:r>
        <w:t>: 1,500 Linear Feet.</w:t>
      </w:r>
    </w:p>
    <w:p>
      <w:pPr>
        <w:pStyle w:val="ListBullet"/>
        <w:spacing w:after="60"/>
      </w:pPr>
      <w:r/>
      <w:r>
        <w:rPr>
          <w:b/>
        </w:rPr>
        <w:t>Credit Yield</w:t>
      </w:r>
      <w:r>
        <w:t xml:space="preserve">: 8.6 credits per LF = </w:t>
      </w:r>
      <w:r>
        <w:rPr>
          <w:b/>
        </w:rPr>
        <w:t>12,900 total credits</w:t>
      </w:r>
      <w:r>
        <w:t>.</w:t>
      </w:r>
    </w:p>
    <w:p>
      <w:pPr>
        <w:pStyle w:val="ListBullet"/>
        <w:spacing w:after="60"/>
      </w:pPr>
      <w:r/>
      <w:r>
        <w:rPr>
          <w:b/>
        </w:rPr>
        <w:t>Average Credit Sale Price</w:t>
      </w:r>
      <w:r>
        <w:t xml:space="preserve">: </w:t>
      </w:r>
      <w:r>
        <w:rPr>
          <w:b/>
        </w:rPr>
        <w:t>$180.00 per credit</w:t>
      </w:r>
      <w:r>
        <w:t xml:space="preserve"> (wholesale/direct sale baseline).</w:t>
      </w:r>
    </w:p>
    <w:p>
      <w:pPr>
        <w:pStyle w:val="ListBullet"/>
        <w:spacing w:after="60"/>
      </w:pPr>
      <w:r/>
      <w:r>
        <w:rPr>
          <w:b/>
        </w:rPr>
        <w:t>Gross Project Value</w:t>
      </w:r>
      <w:r>
        <w:t xml:space="preserve">: </w:t>
      </w:r>
      <w:r>
        <w:rPr>
          <w:rFonts w:ascii="Georgia" w:hAnsi="Georgia"/>
          <w:i/>
        </w:rPr>
        <w:t>12,900 \times 180 = \mathbf{\</w:t>
      </w:r>
      <w:r>
        <w:t>2,322,000.00}$.</w:t>
      </w:r>
    </w:p>
    <w:p>
      <w:pPr>
        <w:pStyle w:val="ListBullet"/>
        <w:spacing w:after="60"/>
      </w:pPr>
      <w:r/>
      <w:r>
        <w:rPr>
          <w:b/>
        </w:rPr>
        <w:t>Hadi Irvani's 70/30 Joint Venture Division</w:t>
      </w:r>
      <w:r>
        <w:t>:</w:t>
      </w:r>
    </w:p>
    <w:p>
      <w:pPr>
        <w:pStyle w:val="ListBullet"/>
        <w:spacing w:after="60"/>
      </w:pPr>
      <w:r/>
      <w:r>
        <w:rPr>
          <w:b/>
        </w:rPr>
        <w:t>Landowner Allocation (30%)</w:t>
      </w:r>
      <w:r>
        <w:t xml:space="preserve">: </w:t>
      </w:r>
      <w:r>
        <w:rPr>
          <w:b/>
        </w:rPr>
        <w:t>$696,600.00</w:t>
      </w:r>
      <w:r>
        <w:t xml:space="preserve"> (Pure risk-free gross cash paid out in phases).</w:t>
      </w:r>
    </w:p>
    <w:p>
      <w:pPr>
        <w:pStyle w:val="ListBullet"/>
        <w:spacing w:after="60"/>
      </w:pPr>
      <w:r/>
      <w:r>
        <w:rPr>
          <w:b/>
        </w:rPr>
        <w:t>Developer Allocation (70%)</w:t>
      </w:r>
      <w:r>
        <w:t xml:space="preserve">: </w:t>
      </w:r>
      <w:r>
        <w:rPr>
          <w:b/>
        </w:rPr>
        <w:t>$1,625,400.00</w:t>
      </w:r>
      <w:r>
        <w:t xml:space="preserve"> (Blue Ridge gross proceeds).</w:t>
      </w:r>
    </w:p>
    <w:p>
      <w:pPr>
        <w:pStyle w:val="ListBullet"/>
        <w:spacing w:after="60"/>
      </w:pPr>
      <w:r/>
      <w:r>
        <w:rPr>
          <w:b/>
        </w:rPr>
        <w:t>Upstream Developer CapEx (Year 0)</w:t>
      </w:r>
      <w:r>
        <w:t xml:space="preserve">: </w:t>
      </w:r>
      <w:r>
        <w:rPr>
          <w:b/>
        </w:rPr>
        <w:t>$1,090,000.00</w:t>
      </w:r>
      <w:r>
        <w:t xml:space="preserve"> (comprehensive design, physical channel grading, structural bioengineering, </w:t>
      </w:r>
      <w:r>
        <w:rPr>
          <w:rFonts w:ascii="Georgia" w:hAnsi="Georgia"/>
          <w:i/>
        </w:rPr>
        <w:t xml:space="preserve">220k performance bonds, </w:t>
      </w:r>
      <w:r>
        <w:t>90k Land Trust endowment, permitting, and monitoring costs covered entirely by Blue Ridge).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Phased Cash Flow &amp; NPV Model Output Table</w:t>
      </w:r>
    </w:p>
    <w:p>
      <w:r>
        <w:t>Input the following phased credit release schedule into your underwriting spreadsheet to calculate the net cash flow (</w:t>
      </w:r>
      <w:r>
        <w:rPr>
          <w:rFonts w:ascii="Georgia" w:hAnsi="Georgia"/>
          <w:i/>
        </w:rPr>
        <w:t>CF_t</w:t>
      </w:r>
      <w:r>
        <w:t>) and discounted value (</w:t>
      </w:r>
      <w:r>
        <w:rPr>
          <w:rFonts w:ascii="Georgia" w:hAnsi="Georgia"/>
          <w:i/>
        </w:rPr>
        <w:t>PV</w:t>
      </w:r>
      <w:r>
        <w:t>) for Blue Ridge Stream (Developer 70% share):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Year ($t$)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Credit Release %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Credits Sold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Developer Gross (70%)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Developer Costs ($CF_t$)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Present Value ($PV$ at 10%)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**Year 0**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-\$1,090,000.00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-\$1,090,000.00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**Year 1**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30% (Y0+Y1)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3,870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\$487,620.00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\$462,620.00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\$420,563.64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**Year 2**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15%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1,935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\$243,810.00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\$223,810.00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\$184,966.94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**Year 3**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1,290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\$162,540.00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\$142,540.00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\$107,092.41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**Year 4**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1,290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\$162,540.00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\$142,540.00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\$97,356.74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**Year 5**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15%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1,935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\$243,810.00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\$223,810.00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\$138,969.83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**Year 6**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1,290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\$162,540.00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\$142,540.00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\$73,145.56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**Year 7**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1,290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\$162,540.00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\$142,540.00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\$66,495.96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**TOTAL**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**100%**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**12,900**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**$1,625,400.00**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**$390,400.00 (Net)**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**$98,591.08 (NPV)**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b/>
          <w:color w:val="595959"/>
          <w:sz w:val="26"/>
        </w:rPr>
        <w:t>Financial Underwriting Summary:</w:t>
      </w:r>
    </w:p>
    <w:p>
      <w:pPr>
        <w:pStyle w:val="ListBullet"/>
        <w:spacing w:after="60"/>
      </w:pPr>
      <w:r/>
      <w:r>
        <w:rPr>
          <w:b/>
        </w:rPr>
        <w:t>Net Present Value (NPV)</w:t>
      </w:r>
      <w:r>
        <w:t xml:space="preserve">: </w:t>
      </w:r>
      <w:r>
        <w:rPr>
          <w:b/>
        </w:rPr>
        <w:t>+$98,591.08</w:t>
      </w:r>
      <w:r>
        <w:t xml:space="preserve"> (Highly viable, project creates positive present-day value).</w:t>
      </w:r>
    </w:p>
    <w:p>
      <w:pPr>
        <w:pStyle w:val="ListBullet"/>
        <w:spacing w:after="60"/>
      </w:pPr>
      <w:r/>
      <w:r>
        <w:rPr>
          <w:b/>
        </w:rPr>
        <w:t>Internal Rate of Return (IRR)</w:t>
      </w:r>
      <w:r>
        <w:t xml:space="preserve">: </w:t>
      </w:r>
      <w:r>
        <w:rPr>
          <w:b/>
        </w:rPr>
        <w:t>31.8%</w:t>
      </w:r>
      <w:r>
        <w:t xml:space="preserve"> (Exceeds our 25% corporate hurdle rate, proving high-gradient bioengineering JVs represent premium, high-yield assets).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