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60: The Coldwater Spawning Sanctuary Masterclass &amp; Advanced Geomorphic Trout Habitat Restoration Standards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**Trout Ecology and Engineering Standard**: This document establishes the scientific, geomorphic, and electrical engineering standards for achieving the highest ecological level of coldwater stream restoration. By applying the **Stream Functions Pyramid** (Hydrology, Hydraulics, Geomorphology, Physicochemical, Biology) directly to wild Brook and Brown Trout habitat restoration in the Blue Ridge ecoregion, we elevate Hunter Morris's projects far beyond typical commercial rip-rap stabilization. This manual provides complete spawning channel geomorphic dimensions, an advanced wire-by-wire switched-power LoRa telemetry circuit schematic, and standardized REST/GraphQL API specifications to sync stream datasets with academic and Trout Unlimited repositories.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I. The Stream Functions Pyramid for Trout Restoration</w:t>
      </w:r>
    </w:p>
    <w:p>
      <w:r>
        <w:t xml:space="preserve">To ensure our restoration projects satisfy the highest standards of conservation science, we evaluate and design all fluvial channels using the </w:t>
      </w:r>
      <w:r>
        <w:rPr>
          <w:b/>
        </w:rPr>
        <w:t>Stream Functions Pyramid</w:t>
      </w:r>
      <w:r>
        <w:t xml:space="preserve"> (Harman et al., 2012). This function-based framework guarantees that instream grading is supported by hydrological, hydraulic, and physicochemical parameters, ultimately leading to successful biological reproduction: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[THE STREAM FUNCTIONS PYRAMID FOR WILD TROUT]</w:t>
        <w:br/>
        <w:t xml:space="preserve">                  </w:t>
        <w:br/>
        <w:t xml:space="preserve">                             /=======================\</w:t>
        <w:br/>
        <w:t xml:space="preserve">                            /    Level 5: BIOLOGY     \  &lt;-- Redds (spawning), macroinvertebrate</w:t>
        <w:br/>
        <w:t xml:space="preserve">                           / (Brook &amp; Brown Spawning)  \     biomass, EPT colonization rates.</w:t>
        <w:br/>
        <w:t xml:space="preserve">                          /=============================\</w:t>
        <w:br/>
        <w:t xml:space="preserve">                         /   Level 4: PHYSICOCHEMICAL    \  &lt;-- Stream Temp &lt; 65°F, Dissolved Oxygen</w:t>
        <w:br/>
        <w:t xml:space="preserve">                        / (Thermal Shading &amp; DO Regimes)  \    &gt; 7.0 mg/L in gravel pore spaces.</w:t>
        <w:br/>
        <w:t xml:space="preserve">                       /===================================\</w:t>
        <w:br/>
        <w:t xml:space="preserve">                      /      Level 3: GEOMORPHOLOGY         \  &lt;-- Pool-riffle sequencing, bankfull stable</w:t>
        <w:br/>
        <w:t xml:space="preserve">                     /  (Rosgen Classification &amp; Gravels)    \     3:1 regrading, Rhododendron maximum geogrid.</w:t>
        <w:br/>
        <w:t xml:space="preserve">                    /=========================================\</w:t>
        <w:br/>
        <w:t xml:space="preserve">                   /           Level 2: HYDRAULICS             \  &lt;-- Flow velocity 0.15–0.45 m/s, pool shear</w:t>
        <w:br/>
        <w:t xml:space="preserve">                  /     (1D/2D HEC-RAS Shear Stress Models)     \     stresses, flood-plain floodplain connectivity.</w:t>
        <w:br/>
        <w:t xml:space="preserve">                 /===============================================\</w:t>
        <w:br/>
        <w:t xml:space="preserve">                /              Level 1: HYDROLOGY                 \  &lt;-- LoRa mesh stage logging, watershed drainage,</w:t>
        <w:br/>
        <w:t xml:space="preserve">               /       (Rainfall-Runoff &amp; Baseflow Logging)        \     HUC-8 basin geomorphic discharge curves.</w:t>
        <w:br/>
        <w:t xml:space="preserve">              /=====================================================\</w:t>
      </w:r>
    </w:p>
    <w:p>
      <w:pPr>
        <w:spacing w:before="240" w:after="80"/>
      </w:pPr>
      <w:r>
        <w:rPr>
          <w:b/>
          <w:color w:val="595959"/>
          <w:sz w:val="26"/>
        </w:rPr>
        <w:t>The Five Functional Levels Applied:</w:t>
      </w:r>
    </w:p>
    <w:p>
      <w:pPr>
        <w:pStyle w:val="ListNumber"/>
        <w:spacing w:after="60"/>
      </w:pPr>
      <w:r/>
      <w:r>
        <w:rPr>
          <w:b/>
        </w:rPr>
        <w:t>Level 1: Hydrology (Watershed Flow Dynamics)</w:t>
      </w:r>
      <w:r/>
    </w:p>
    <w:p>
      <w:pPr>
        <w:pStyle w:val="ListBullet"/>
        <w:spacing w:after="60"/>
      </w:pPr>
      <w:r>
        <w:t>*Metric*: Continuous stage logging via hydrostatic transmitters feeding base gateways.</w:t>
      </w:r>
    </w:p>
    <w:p>
      <w:pPr>
        <w:pStyle w:val="ListBullet"/>
        <w:spacing w:after="60"/>
      </w:pPr>
      <w:r>
        <w:t>*Trout Context*: Establishes baseline baseflow discharge curves, ensuring headwater streams maintain dry-season flow volumes required for egg survival in spawning redds.</w:t>
      </w:r>
    </w:p>
    <w:p>
      <w:pPr>
        <w:pStyle w:val="ListNumber"/>
        <w:spacing w:after="60"/>
      </w:pPr>
      <w:r/>
      <w:r>
        <w:rPr>
          <w:b/>
        </w:rPr>
        <w:t>Level 2: Hydraulics (Local Fluid Mechanics)</w:t>
      </w:r>
      <w:r/>
    </w:p>
    <w:p>
      <w:pPr>
        <w:pStyle w:val="ListBullet"/>
        <w:spacing w:after="60"/>
      </w:pPr>
      <w:r>
        <w:t>*Metric*: Bankfull shear stress (</w:t>
      </w:r>
      <w:r>
        <w:rPr>
          <w:rFonts w:ascii="Georgia" w:hAnsi="Georgia"/>
          <w:i/>
        </w:rPr>
        <w:t>\tau</w:t>
      </w:r>
      <w:r>
        <w:t>), flow velocity (</w:t>
      </w:r>
      <w:r>
        <w:rPr>
          <w:rFonts w:ascii="Georgia" w:hAnsi="Georgia"/>
          <w:i/>
        </w:rPr>
        <w:t>v</w:t>
      </w:r>
      <w:r>
        <w:t>), and floodplain connectivity.</w:t>
      </w:r>
    </w:p>
    <w:p>
      <w:pPr>
        <w:pStyle w:val="ListBullet"/>
        <w:spacing w:after="60"/>
      </w:pPr>
      <w:r>
        <w:t xml:space="preserve">*Trout Context*: Riffle flow velocities must remain in the </w:t>
      </w:r>
      <w:r>
        <w:rPr>
          <w:rFonts w:ascii="Georgia" w:hAnsi="Georgia"/>
          <w:i/>
        </w:rPr>
        <w:t>0.15\text{ m/s} - 0.45\text{ m/s}</w:t>
      </w:r>
      <w:r>
        <w:t xml:space="preserve"> sweep range. High-gradient pool velocities are regulated to provide resting micro-habitats, keeping shear stress below gravel movement thresholds (</w:t>
      </w:r>
      <w:r>
        <w:rPr>
          <w:rFonts w:ascii="Georgia" w:hAnsi="Georgia"/>
          <w:i/>
        </w:rPr>
        <w:t>1.46\text{ N/m}^2 &lt; \tau &lt; 21.85\text{ N/m}^2</w:t>
      </w:r>
      <w:r>
        <w:t>) to prevent redd washout.</w:t>
      </w:r>
    </w:p>
    <w:p>
      <w:pPr>
        <w:pStyle w:val="ListNumber"/>
        <w:spacing w:after="60"/>
      </w:pPr>
      <w:r/>
      <w:r>
        <w:rPr>
          <w:b/>
        </w:rPr>
        <w:t>Level 3: Geomorphology (Physical Channel Form)</w:t>
      </w:r>
      <w:r/>
    </w:p>
    <w:p>
      <w:pPr>
        <w:pStyle w:val="ListBullet"/>
        <w:spacing w:after="60"/>
      </w:pPr>
      <w:r>
        <w:t>*Metric*: Rosgen Classification (Type A-B channels), pebble-count distribution (</w:t>
      </w:r>
      <w:r>
        <w:rPr>
          <w:rFonts w:ascii="Georgia" w:hAnsi="Georgia"/>
          <w:i/>
        </w:rPr>
        <w:t>D_{50}</w:t>
      </w:r>
      <w:r>
        <w:t xml:space="preserve"> median grain size), and lateral bank stability.</w:t>
      </w:r>
    </w:p>
    <w:p>
      <w:pPr>
        <w:pStyle w:val="ListBullet"/>
        <w:spacing w:after="60"/>
      </w:pPr>
      <w:r>
        <w:t>*Trout Context*: Regrading vertical failing banks to stable 3:1 slopes, reinforced with geomechanical *Rhododendron maximum* root-wads. Spawning gravels are meticulously sorted and cleared of fine silt sediment loads.</w:t>
      </w:r>
    </w:p>
    <w:p>
      <w:pPr>
        <w:pStyle w:val="ListNumber"/>
        <w:spacing w:after="60"/>
      </w:pPr>
      <w:r/>
      <w:r>
        <w:rPr>
          <w:b/>
        </w:rPr>
        <w:t>Level 4: Physicochemical (Water Quality &amp; Chemistry)</w:t>
      </w:r>
      <w:r/>
    </w:p>
    <w:p>
      <w:pPr>
        <w:pStyle w:val="ListBullet"/>
        <w:spacing w:after="60"/>
      </w:pPr>
      <w:r>
        <w:t>*Metric*: Continuous water temperature loggers, optical dissolved oxygen (DO), and NTU turbidity.</w:t>
      </w:r>
    </w:p>
    <w:p>
      <w:pPr>
        <w:pStyle w:val="ListBullet"/>
        <w:spacing w:after="60"/>
      </w:pPr>
      <w:r>
        <w:t xml:space="preserve">*Trout Context*: Maintains summer thermal water regimes below </w:t>
      </w:r>
      <w:r>
        <w:rPr>
          <w:rFonts w:ascii="Georgia" w:hAnsi="Georgia"/>
          <w:i/>
        </w:rPr>
        <w:t>65^\circ\text{F}</w:t>
      </w:r>
      <w:r>
        <w:t xml:space="preserve"> (</w:t>
      </w:r>
      <w:r>
        <w:rPr>
          <w:rFonts w:ascii="Georgia" w:hAnsi="Georgia"/>
          <w:i/>
        </w:rPr>
        <w:t>18.3^\circ\text{C}</w:t>
      </w:r>
      <w:r>
        <w:t xml:space="preserve">) via dense canopy cover, keeping dissolved oxygen levels above </w:t>
      </w:r>
      <w:r>
        <w:rPr>
          <w:rFonts w:ascii="Georgia" w:hAnsi="Georgia"/>
          <w:i/>
        </w:rPr>
        <w:t>7.0\text{ mg/L}</w:t>
      </w:r>
      <w:r>
        <w:t xml:space="preserve"> directly in the spawning gravel substrate.</w:t>
      </w:r>
    </w:p>
    <w:p>
      <w:pPr>
        <w:pStyle w:val="ListNumber"/>
        <w:spacing w:after="60"/>
      </w:pPr>
      <w:r/>
      <w:r>
        <w:rPr>
          <w:b/>
        </w:rPr>
        <w:t>Level 5: Biology (Ecology &amp; Reproduction)</w:t>
      </w:r>
      <w:r/>
    </w:p>
    <w:p>
      <w:pPr>
        <w:pStyle w:val="ListBullet"/>
        <w:spacing w:after="60"/>
      </w:pPr>
      <w:r>
        <w:t>*Metric*: Redds count, EPT macroinvertebrate colonization indices (Mayfly, Stonefly, Caddisfly), and trout biomass.</w:t>
      </w:r>
    </w:p>
    <w:p>
      <w:pPr>
        <w:pStyle w:val="ListBullet"/>
        <w:spacing w:after="60"/>
      </w:pPr>
      <w:r>
        <w:t>*Trout Context*: The ultimate metric of success. Wild trout actively cut nests (redds), deposit eggs, and successfully spawn within bioengineered riffle-run reaches.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II. Spawning Sanctuary Design Standards</w:t>
      </w:r>
    </w:p>
    <w:p>
      <w:r>
        <w:t>To build the highest-tier spawning sanctuaries, Hunter Morris's restoration crew utilizes these precise geomorphic and ecological design standards:</w:t>
      </w:r>
    </w:p>
    <w:p>
      <w:pPr>
        <w:spacing w:before="240" w:after="80"/>
      </w:pPr>
      <w:r>
        <w:rPr>
          <w:b/>
          <w:color w:val="595959"/>
          <w:sz w:val="26"/>
        </w:rPr>
        <w:t>1. Spawning Riffle Geomorphic Parameters</w:t>
      </w:r>
    </w:p>
    <w:p>
      <w:pPr>
        <w:pStyle w:val="ListBullet"/>
        <w:spacing w:after="60"/>
      </w:pPr>
      <w:r/>
      <w:r>
        <w:rPr>
          <w:b/>
        </w:rPr>
        <w:t>Media Gravel Sorting</w:t>
      </w:r>
      <w:r>
        <w:t>: Spawning gravels must be native, washed, and sorted to match species-specific spawning parameters:</w:t>
      </w:r>
    </w:p>
    <w:p>
      <w:pPr>
        <w:pStyle w:val="ListBullet"/>
        <w:spacing w:after="60"/>
      </w:pPr>
      <w:r>
        <w:t xml:space="preserve">*Brook Trout*: </w:t>
      </w:r>
      <w:r>
        <w:rPr>
          <w:rFonts w:ascii="Georgia" w:hAnsi="Georgia"/>
          <w:i/>
        </w:rPr>
        <w:t>D_{50}</w:t>
      </w:r>
      <w:r>
        <w:t xml:space="preserve"> median grain size of </w:t>
      </w:r>
      <w:r>
        <w:rPr>
          <w:b/>
        </w:rPr>
        <w:t>12mm to 25mm</w:t>
      </w:r>
      <w:r>
        <w:t xml:space="preserve"> (coarse pea gravels to small pebbles).</w:t>
      </w:r>
    </w:p>
    <w:p>
      <w:pPr>
        <w:pStyle w:val="ListBullet"/>
        <w:spacing w:after="60"/>
      </w:pPr>
      <w:r>
        <w:t xml:space="preserve">*Brown Trout*: </w:t>
      </w:r>
      <w:r>
        <w:rPr>
          <w:rFonts w:ascii="Georgia" w:hAnsi="Georgia"/>
          <w:i/>
        </w:rPr>
        <w:t>D_{50}</w:t>
      </w:r>
      <w:r>
        <w:t xml:space="preserve"> median grain size of </w:t>
      </w:r>
      <w:r>
        <w:rPr>
          <w:b/>
        </w:rPr>
        <w:t>15mm to 40mm</w:t>
      </w:r>
      <w:r>
        <w:t xml:space="preserve"> (medium pebbles).</w:t>
      </w:r>
    </w:p>
    <w:p>
      <w:pPr>
        <w:pStyle w:val="ListBullet"/>
        <w:spacing w:after="60"/>
      </w:pPr>
      <w:r/>
      <w:r>
        <w:rPr>
          <w:b/>
        </w:rPr>
        <w:t>Substrate Depth</w:t>
      </w:r>
      <w:r>
        <w:t xml:space="preserve">: Gravel beds must have an active depth of </w:t>
      </w:r>
      <w:r>
        <w:rPr>
          <w:b/>
        </w:rPr>
        <w:t>10cm to 30cm</w:t>
      </w:r>
      <w:r>
        <w:t xml:space="preserve"> over a firm, stable base.</w:t>
      </w:r>
    </w:p>
    <w:p>
      <w:pPr>
        <w:pStyle w:val="ListBullet"/>
        <w:spacing w:after="60"/>
      </w:pPr>
      <w:r/>
      <w:r>
        <w:rPr>
          <w:b/>
        </w:rPr>
        <w:t>Flow Hydraulics (Redd Velocity)</w:t>
      </w:r>
      <w:r>
        <w:t>:</w:t>
      </w:r>
    </w:p>
    <w:p>
      <w:pPr>
        <w:pStyle w:val="ListBullet"/>
        <w:spacing w:after="60"/>
      </w:pPr>
      <w:r>
        <w:t xml:space="preserve">*Water Depth*: Riffle spawning zones are designed with depths of </w:t>
      </w:r>
      <w:r>
        <w:rPr>
          <w:b/>
        </w:rPr>
        <w:t>10cm to 45cm</w:t>
      </w:r>
      <w:r>
        <w:t xml:space="preserve"> under normal base flows.</w:t>
      </w:r>
    </w:p>
    <w:p>
      <w:pPr>
        <w:pStyle w:val="ListBullet"/>
        <w:spacing w:after="60"/>
      </w:pPr>
      <w:r>
        <w:t xml:space="preserve">*Velocity*: Stream velocities directly above the gravel bed must remain between </w:t>
      </w:r>
      <w:r>
        <w:rPr>
          <w:b/>
        </w:rPr>
        <w:t>0.15 m/s and 0.45 m/s</w:t>
      </w:r>
      <w:r>
        <w:t>.</w:t>
      </w:r>
    </w:p>
    <w:p>
      <w:pPr>
        <w:pStyle w:val="ListBullet"/>
        <w:spacing w:after="60"/>
      </w:pPr>
      <w:r/>
      <w:r>
        <w:rPr>
          <w:b/>
        </w:rPr>
        <w:t>Subsurface Interstitial Flow</w:t>
      </w:r>
      <w:r>
        <w:t>: Spawning beds are built immediately upstream of riffle crests (where downwelling occurs), pushing oxygen-rich water (</w:t>
      </w:r>
      <w:r>
        <w:rPr>
          <w:rFonts w:ascii="Georgia" w:hAnsi="Georgia"/>
          <w:i/>
        </w:rPr>
        <w:t>&gt;7.0\text{ mg/L}</w:t>
      </w:r>
      <w:r>
        <w:t xml:space="preserve"> DO) through the gravel pore spaces to nourish incubating eggs.</w:t>
      </w:r>
    </w:p>
    <w:p>
      <w:pPr>
        <w:spacing w:before="240" w:after="80"/>
      </w:pPr>
      <w:r>
        <w:rPr>
          <w:b/>
          <w:color w:val="595959"/>
          <w:sz w:val="26"/>
        </w:rPr>
        <w:t>2. Thermal Shading and Canopy Density Design</w:t>
      </w:r>
    </w:p>
    <w:p>
      <w:r>
        <w:t xml:space="preserve">Direct solar radiation raises stream temperatures, driving wild trout out of shallow creeks. To ensure stream temperatures remain cool, we design a multi-tiered </w:t>
      </w:r>
      <w:r>
        <w:rPr>
          <w:b/>
        </w:rPr>
        <w:t>Riparian Shade Canopy</w:t>
      </w:r>
      <w:r>
        <w:t xml:space="preserve"> using the </w:t>
      </w:r>
      <w:r>
        <w:rPr>
          <w:b/>
        </w:rPr>
        <w:t>Solar Shading Shading Equation</w:t>
      </w:r>
      <w:r>
        <w:t>:</w:t>
      </w:r>
    </w:p>
    <w:p>
      <w:r/>
      <w:r>
        <w:rPr>
          <w:rFonts w:ascii="Georgia" w:hAnsi="Georgia"/>
          <w:i/>
        </w:rPr>
      </w:r>
      <w:r>
        <w:t>S_{\text{attenuation}} = 1 - e^{-k \cdot \text{LAI}}</w:t>
      </w:r>
      <w:r>
        <w:rPr>
          <w:rFonts w:ascii="Georgia" w:hAnsi="Georgia"/>
          <w:i/>
        </w:rPr>
      </w:r>
      <w:r/>
    </w:p>
    <w:p>
      <w:pPr>
        <w:pStyle w:val="ListBullet"/>
        <w:spacing w:after="60"/>
      </w:pPr>
      <w:r>
        <w:t xml:space="preserve">*Where*: </w:t>
      </w:r>
      <w:r>
        <w:rPr>
          <w:rFonts w:ascii="Georgia" w:hAnsi="Georgia"/>
          <w:i/>
        </w:rPr>
        <w:t>k</w:t>
      </w:r>
      <w:r>
        <w:t xml:space="preserve"> is the canopy extinction coefficient (typically </w:t>
      </w:r>
      <w:r>
        <w:rPr>
          <w:b/>
        </w:rPr>
        <w:t>0.55</w:t>
      </w:r>
      <w:r>
        <w:t xml:space="preserve"> for broadleaf/Rhododendron maximum canopy), and </w:t>
      </w:r>
      <w:r>
        <w:rPr>
          <w:rFonts w:ascii="Georgia" w:hAnsi="Georgia"/>
          <w:i/>
        </w:rPr>
        <w:t>\text{LAI}</w:t>
      </w:r>
      <w:r>
        <w:t xml:space="preserve"> is the Leaf Area Index.</w:t>
      </w:r>
    </w:p>
    <w:p>
      <w:pPr>
        <w:pStyle w:val="ListBullet"/>
        <w:spacing w:after="60"/>
      </w:pPr>
      <w:r>
        <w:t xml:space="preserve">*Design Target*: To achieve a </w:t>
      </w:r>
      <w:r>
        <w:rPr>
          <w:b/>
        </w:rPr>
        <w:t>96% solar radiation reduction</w:t>
      </w:r>
      <w:r>
        <w:t xml:space="preserve"> (</w:t>
      </w:r>
      <w:r>
        <w:rPr>
          <w:rFonts w:ascii="Georgia" w:hAnsi="Georgia"/>
          <w:i/>
        </w:rPr>
        <w:t>S_{\text{attenuation}} = 0.96</w:t>
      </w:r>
      <w:r>
        <w:t xml:space="preserve">), we plant a dense broadleaf canopy targeting a minimum </w:t>
      </w:r>
      <w:r>
        <w:rPr>
          <w:b/>
        </w:rPr>
        <w:t>LAI of 5.8</w:t>
      </w:r>
      <w:r>
        <w:t>.</w:t>
      </w:r>
    </w:p>
    <w:p>
      <w:pPr>
        <w:pStyle w:val="ListBullet"/>
        <w:spacing w:after="60"/>
      </w:pPr>
      <w:r>
        <w:t xml:space="preserve">*Planting Matrix*: We transplant mature, field-sourced *Rhododendron maximum* and *Alnus serrulata* (Tag Alder) at a spacing density of </w:t>
      </w:r>
      <w:r>
        <w:rPr>
          <w:b/>
        </w:rPr>
        <w:t>1.5 meters on-center</w:t>
      </w:r>
      <w:r>
        <w:t xml:space="preserve"> directly along the stream bank edge.</w:t>
      </w:r>
    </w:p>
    <w:p>
      <w:pPr>
        <w:spacing w:before="240" w:after="80"/>
      </w:pPr>
      <w:r>
        <w:rPr>
          <w:b/>
          <w:color w:val="595959"/>
          <w:sz w:val="26"/>
        </w:rPr>
        <w:t>3. Pool-to-Riffle Sequencing Ratios</w:t>
      </w:r>
    </w:p>
    <w:p>
      <w:pPr>
        <w:pStyle w:val="ListBullet"/>
        <w:spacing w:after="60"/>
      </w:pPr>
      <w:r>
        <w:t xml:space="preserve">High-gradient Blue Ridge stream reaches (Rosgen B3-B4 types) require a pool-to-riffle spacing ratio of </w:t>
      </w:r>
      <w:r>
        <w:rPr>
          <w:b/>
        </w:rPr>
        <w:t>5 to 7 bankfull widths</w:t>
      </w:r>
      <w:r>
        <w:t>.</w:t>
      </w:r>
    </w:p>
    <w:p>
      <w:pPr>
        <w:pStyle w:val="ListBullet"/>
        <w:spacing w:after="60"/>
      </w:pPr>
      <w:r>
        <w:t xml:space="preserve">Pools are excavated immediately downstream of geomechanical rock J-hook vanes to provide deep, thermal refuges (minimum depth </w:t>
      </w:r>
      <w:r>
        <w:rPr>
          <w:b/>
        </w:rPr>
        <w:t>1.2m to 1.8m</w:t>
      </w:r>
      <w:r>
        <w:t>) with slow resting currents (</w:t>
      </w:r>
      <w:r>
        <w:rPr>
          <w:rFonts w:ascii="Georgia" w:hAnsi="Georgia"/>
          <w:i/>
        </w:rPr>
        <w:t>&lt;0.1\text{ m/s}</w:t>
      </w:r>
      <w:r>
        <w:t>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III. Switched-Power Hardware Schematics &amp; Component Interface Wiring</w:t>
      </w:r>
    </w:p>
    <w:p>
      <w:r>
        <w:t xml:space="preserve">To ensure long-term, off-grid telemetry operation on a small </w:t>
      </w:r>
      <w:r>
        <w:rPr>
          <w:b/>
        </w:rPr>
        <w:t>3.7V 3200mAh LiFePO4 battery</w:t>
      </w:r>
      <w:r>
        <w:t xml:space="preserve">, we cannot leave our high-draw 12V Modbus sensors powered continuously. We utilize a </w:t>
      </w:r>
      <w:r>
        <w:rPr>
          <w:b/>
        </w:rPr>
        <w:t>Switched-Power MOSFET Rail</w:t>
      </w:r>
      <w:r>
        <w:t xml:space="preserve"> controlled by a microcontroller GPIO pin to apply 12V boost power only during measurement windows.</w:t>
      </w:r>
    </w:p>
    <w:p>
      <w:pPr>
        <w:spacing w:before="240" w:after="80"/>
      </w:pPr>
      <w:r>
        <w:rPr>
          <w:b/>
          <w:color w:val="595959"/>
          <w:sz w:val="26"/>
        </w:rPr>
        <w:t>1. Complete wire-by-wire Schematic</w:t>
      </w:r>
    </w:p>
    <w:p>
      <w:r>
        <w:t>This ASCII circuit diagram shows exactly how to connect the WisBlock/ESP32, MAX485 transceiver, MT3608 boost regulator, and AO3401 P-Channel MOSFET switch: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          [STREAM NODE SWITCHED-POWER SCHEMATIC]</w:t>
        <w:br/>
        <w:br/>
        <w:t xml:space="preserve">  3.7V battery (LiFePO4)</w:t>
        <w:br/>
        <w:t xml:space="preserve">      +     -</w:t>
        <w:br/>
        <w:t xml:space="preserve">     [+]---[-]--------------------------------------------------------------------------+</w:t>
        <w:br/>
        <w:t xml:space="preserve">      |     |                                                                           |</w:t>
        <w:br/>
        <w:t xml:space="preserve">      |     v (GND)                                                                     v</w:t>
        <w:br/>
        <w:t xml:space="preserve">      |   +---------------------------------------+                               +-----------+</w:t>
        <w:br/>
        <w:t xml:space="preserve">      +--&gt;| IN+    [MT3608 12V Boost Regulator]   |                               |  MAX485   |</w:t>
        <w:br/>
        <w:t xml:space="preserve">          | IN-                                   |                               |           |</w:t>
        <w:br/>
        <w:t xml:space="preserve">          | OUT+ (Boosted 12V Rail)   OUT- (GND)  |                               |  VCC (3.3)|&lt;--+ 3.3V (WisBlock)</w:t>
        <w:br/>
        <w:t xml:space="preserve">          +--|--------------------------|---------+                               |  GND      |&lt;--+ GND (WisBlock)</w:t>
        <w:br/>
        <w:t xml:space="preserve">             |                          |                                         |  RO (RX)  |--&gt; WisBlock GPIO 16</w:t>
        <w:br/>
        <w:t xml:space="preserve">             v                          v (GND)                                   |  DI (TX)  |&lt;-- WisBlock GPIO 17</w:t>
        <w:br/>
        <w:t xml:space="preserve">      +------------+                    |                                         |  DE / RE  |&lt;-- WisBlock GPIO 4 (Shorted)</w:t>
        <w:br/>
        <w:t xml:space="preserve">      | [AO3401]   |                    |                                         |  A (+)    |--+ RS485 Differential A+</w:t>
        <w:br/>
        <w:t xml:space="preserve">      | P-MOSFET   |                    |                                         |  B (-)    |--+ RS485 Differential B-</w:t>
        <w:br/>
        <w:t xml:space="preserve">      | Source     |                    |                                         +-----------+</w:t>
        <w:br/>
        <w:t xml:space="preserve">      | Drain      |--+ 12V Switched    |</w:t>
        <w:br/>
        <w:t xml:space="preserve">      | Gate       |  |   VCC to Sensors|</w:t>
        <w:br/>
        <w:t xml:space="preserve">      +----|-------+  |                 |</w:t>
        <w:br/>
        <w:t xml:space="preserve">           |          v                 v</w:t>
        <w:br/>
        <w:t xml:space="preserve">           |     +----------+      +----------+</w:t>
        <w:br/>
        <w:t xml:space="preserve">           |     | DS-DO    |      | TJ-F04   |  (12V Modbus Sensors)</w:t>
        <w:br/>
        <w:t xml:space="preserve">           |     | Optical  |      | Pressure |</w:t>
        <w:br/>
        <w:t xml:space="preserve">           |     | DO       |      | Level    |</w:t>
        <w:br/>
        <w:t xml:space="preserve">           |     +----------+      +----------+</w:t>
        <w:br/>
        <w:t xml:space="preserve">           |</w:t>
        <w:br/>
        <w:t xml:space="preserve">           +---------------------+</w:t>
        <w:br/>
        <w:t xml:space="preserve">                                 |</w:t>
        <w:br/>
        <w:t xml:space="preserve">                                 v</w:t>
        <w:br/>
        <w:t xml:space="preserve">                              [2N2222 NPN BJT Pre-Driver]</w:t>
        <w:br/>
        <w:t xml:space="preserve">                              Collector</w:t>
        <w:br/>
        <w:t xml:space="preserve">                              Emitter   ======&gt; GND</w:t>
        <w:br/>
        <w:t xml:space="preserve">                              Base      &lt;====== WisBlock GPIO 12 (via 1k Ohm Resistor)</w:t>
      </w:r>
    </w:p>
    <w:p>
      <w:pPr>
        <w:spacing w:before="240" w:after="80"/>
      </w:pPr>
      <w:r>
        <w:rPr>
          <w:b/>
          <w:color w:val="595959"/>
          <w:sz w:val="26"/>
        </w:rPr>
        <w:t>2. Component Pin-to-Pin Connection Schedule</w:t>
      </w:r>
    </w:p>
    <w:p>
      <w:r>
        <w:t>Use this exact wiring layout to assemble the streamside PCB node: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 Component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Pin Name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Component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Pin Name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Connection Wire Purpose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**WisBlock / ESP32**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**3.3V OUT**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**MAX485 Chip**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**VCC**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Provides 3.3V logic power to transceiver.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**WisBlock / ESP32**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**GND**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**MAX485 Chip**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**GND**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Common ground line.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**WisBlock / ESP32**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**GPIO 16**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**MAX485 Chip**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**RO (Receive Out)**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Telemetry Serial RX line.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**WisBlock / ESP32**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**GPIO 17**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**MAX485 Chip**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**DI (Driver In)**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Telemetry Serial TX line.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**WisBlock / ESP32**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**GPIO 4**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**MAX485 Chip**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**DE &amp; RE (Shorted)**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half-duplex Transmit/Receive enable pin.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**WisBlock / ESP32**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**GPIO 12**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**2N2222 BJT**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**Base (via 1k resistor)**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Power switch trigger pin.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**MT3608 Boost**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**OUT+ (12V)**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**AO3401 P-MOS**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**Source**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Boosted 12V power supply feed.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**AO3401 P-MOS**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**Gate**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**2N2222 BJT**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**Collector**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Pulled LOW to activate P-MOS power rail.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**AO3401 P-MOS**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**Drain**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**All Sensors**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**VCC (Industrial 12V)**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Switched 12V power output to sensors.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**2N2222 BJT**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**Emitter**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**System GND**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**GND**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Ground for BJT switch.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**MAX485 Chip**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**A (+)**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**All Sensors**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**Yellow/Green (A+)**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RS485 Differential A+ line.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**MAX485 Chip**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**B (-)**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**All Sensors**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**Blue/White (B-)**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RS485 Differential B- line.</w:t>
            </w:r>
          </w:p>
        </w:tc>
      </w:tr>
    </w:tbl>
    <w:p>
      <w:pPr>
        <w:spacing w:before="160"/>
      </w:pP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IV. Trout Telemetry REST &amp; GraphQL Integration APIs</w:t>
      </w:r>
    </w:p>
    <w:p>
      <w:r>
        <w:t>Our streamside base gateway operates a private REST API database replication layer that synchronizes environmental data with national conservation repositories.</w:t>
      </w:r>
    </w:p>
    <w:p>
      <w:pPr>
        <w:spacing w:before="240" w:after="80"/>
      </w:pPr>
      <w:r>
        <w:rPr>
          <w:b/>
          <w:color w:val="595959"/>
          <w:sz w:val="26"/>
        </w:rPr>
        <w:t>1. Unified Biological Correlation REST Ingress</w:t>
      </w:r>
    </w:p>
    <w:p>
      <w:r>
        <w:t>Endpoint: `POST https://science.tu.org/api/v1/ingress/blue_ridge/biological-sync`</w:t>
      </w:r>
    </w:p>
    <w:p>
      <w:r>
        <w:t>This API payload maps real-time water quality parameters directly against monthly macroeconomic macroinvertebrate colonization counts, validating geomorphic restabilization in real time: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{</w:t>
        <w:br/>
        <w:t xml:space="preserve">  "ingress_token": "brsr_science_token_secure_2026",</w:t>
        <w:br/>
        <w:t xml:space="preserve">  "metadata": {</w:t>
        <w:br/>
        <w:t xml:space="preserve">    "station_id": "BRSR-LO-101",</w:t>
        <w:br/>
        <w:t xml:space="preserve">    "station_moniker": "Upper Toccoa headwater Spawning Sanctuary 2",</w:t>
        <w:br/>
        <w:t xml:space="preserve">    "huc_8_watershed": "06020003",</w:t>
        <w:br/>
        <w:t xml:space="preserve">    "stream_name": "Anderson Creek",</w:t>
        <w:br/>
        <w:t xml:space="preserve">    "county": "Fannin County",</w:t>
        <w:br/>
        <w:t xml:space="preserve">    "state": "GA"</w:t>
        <w:br/>
        <w:t xml:space="preserve">  },</w:t>
        <w:br/>
        <w:t xml:space="preserve">  "water_quality_averages": {</w:t>
        <w:br/>
        <w:t xml:space="preserve">    "sampling_window_start": "2026-05-01T00:00:00Z",</w:t>
        <w:br/>
        <w:t xml:space="preserve">    "sampling_window_end": "2026-05-31T00:00:00Z",</w:t>
        <w:br/>
        <w:t xml:space="preserve">    "mean_temperature_f": 57.42,</w:t>
        <w:br/>
        <w:t xml:space="preserve">    "max_temperature_f": 62.15,</w:t>
        <w:br/>
        <w:t xml:space="preserve">    "mean_dissolved_oxygen_mg_l": 9.45,</w:t>
        <w:br/>
        <w:t xml:space="preserve">    "mean_turbidity_ntu": 12.8,</w:t>
        <w:br/>
        <w:t xml:space="preserve">    "sediment_status": "EXCELLENT_GRAVEL_CLARITY"</w:t>
        <w:br/>
        <w:t xml:space="preserve">  },</w:t>
        <w:br/>
        <w:t xml:space="preserve">  "biological_field_metrics": {</w:t>
        <w:br/>
        <w:t xml:space="preserve">    "benthic_sample_date": "2026-05-28T14:30:00Z",</w:t>
        <w:br/>
        <w:t xml:space="preserve">    "macroinvertebrate_ept_index": 22,</w:t>
        <w:br/>
        <w:t xml:space="preserve">    "stoneflies_count_pct": 28.5,</w:t>
        <w:br/>
        <w:t xml:space="preserve">    "mayflies_count_pct": 35.0,</w:t>
        <w:br/>
        <w:t xml:space="preserve">    "caddisflies_count_pct": 20.5,</w:t>
        <w:br/>
        <w:t xml:space="preserve">    "taxa_richness": 18,</w:t>
        <w:br/>
        <w:t xml:space="preserve">    "redd_nest_count": 8,</w:t>
        <w:br/>
        <w:t xml:space="preserve">    "brook_trout_spawning_verified": true</w:t>
        <w:br/>
        <w:t xml:space="preserve">  },</w:t>
        <w:br/>
        <w:t xml:space="preserve">  "geomorphic_validation": {</w:t>
        <w:br/>
        <w:t xml:space="preserve">    "bankfull_width_m": 4.12,</w:t>
        <w:br/>
        <w:t xml:space="preserve">    "mean_bank_stability_rating": "STABLE_BIOENGINEERED_RHODODENDRON",</w:t>
        <w:br/>
        <w:t xml:space="preserve">    "riffle_shear_stress_n_m2": 14.85,</w:t>
        <w:br/>
        <w:t xml:space="preserve">    "pebble_count_d50_mm": 18.2</w:t>
        <w:br/>
        <w:t xml:space="preserve">  }</w:t>
        <w:br/>
        <w:t>}</w:t>
      </w:r>
    </w:p>
    <w:p>
      <w:pPr>
        <w:spacing w:before="240" w:after="80"/>
      </w:pPr>
      <w:r>
        <w:rPr>
          <w:b/>
          <w:color w:val="595959"/>
          <w:sz w:val="26"/>
        </w:rPr>
        <w:t>2. UGA Warnell GraphQL Telemetry Sourcing API</w:t>
      </w:r>
    </w:p>
    <w:p>
      <w:r>
        <w:t xml:space="preserve">Warnell researchers pull localized ecoregion data using a high-performance </w:t>
      </w:r>
      <w:r>
        <w:rPr>
          <w:b/>
        </w:rPr>
        <w:t>GraphQL API</w:t>
      </w:r>
      <w:r>
        <w:t xml:space="preserve"> to build climate water thermal warning models.</w:t>
      </w:r>
    </w:p>
    <w:p>
      <w:r>
        <w:t>#### Warnell GraphQL Query Structure: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query GetTroutThermalRegime($stationId: String!, $huc8: String!, $startDate: DateTime!) {</w:t>
        <w:br/>
        <w:t xml:space="preserve">  streamMonitoringStation(stationId: $stationId, huc8: $huc8) {</w:t>
        <w:br/>
        <w:t xml:space="preserve">    stationName</w:t>
        <w:br/>
        <w:t xml:space="preserve">    elevationMeters</w:t>
        <w:br/>
        <w:t xml:space="preserve">    geomorphicReachType</w:t>
        <w:br/>
        <w:t xml:space="preserve">    hourlyLogs(from: $startDate) {</w:t>
        <w:br/>
        <w:t xml:space="preserve">      timestamp</w:t>
        <w:br/>
        <w:t xml:space="preserve">      waterQuality {</w:t>
        <w:br/>
        <w:t xml:space="preserve">        temperatureC</w:t>
        <w:br/>
        <w:t xml:space="preserve">        dissolvedOxygenMgL</w:t>
        <w:br/>
        <w:t xml:space="preserve">        oxygenSaturationPct</w:t>
        <w:br/>
        <w:t xml:space="preserve">        turbidityNtu</w:t>
        <w:br/>
        <w:t xml:space="preserve">      }</w:t>
        <w:br/>
        <w:t xml:space="preserve">      hydrology {</w:t>
        <w:br/>
        <w:t xml:space="preserve">        stageLevelMeters</w:t>
        <w:br/>
        <w:t xml:space="preserve">        dischargeCfs</w:t>
        <w:br/>
        <w:t xml:space="preserve">      }</w:t>
        <w:br/>
        <w:t xml:space="preserve">      hootOwlAlertActive</w:t>
        <w:br/>
        <w:t xml:space="preserve">    }</w:t>
        <w:br/>
        <w:t xml:space="preserve">  }</w:t>
        <w:br/>
        <w:t>}</w:t>
      </w:r>
    </w:p>
    <w:p>
      <w:r>
        <w:t>#### Warnell GraphQL JSON Response: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{</w:t>
        <w:br/>
        <w:t xml:space="preserve">  "data": {</w:t>
        <w:br/>
        <w:t xml:space="preserve">    "streamMonitoringStation": {</w:t>
        <w:br/>
        <w:t xml:space="preserve">      "stationName": "Anderson Creek Bio-Reserve 2",</w:t>
        <w:br/>
        <w:t xml:space="preserve">      "elevationMeters": 680.5,</w:t>
        <w:br/>
        <w:t xml:space="preserve">      "geomorphicReachType": "Rosgen B3 Spawning Riffle",</w:t>
        <w:br/>
        <w:t xml:space="preserve">      "hourlyLogs": [</w:t>
        <w:br/>
        <w:t xml:space="preserve">        {</w:t>
        <w:br/>
        <w:t xml:space="preserve">          "timestamp": "2026-05-30T18:00:00Z",</w:t>
        <w:br/>
        <w:t xml:space="preserve">          "waterQuality": {</w:t>
        <w:br/>
        <w:t xml:space="preserve">            "temperatureC": 14.85,</w:t>
        <w:br/>
        <w:t xml:space="preserve">            "dissolvedOxygenMgL": 9.42,</w:t>
        <w:br/>
        <w:t xml:space="preserve">            "oxygenSaturationPct": 91.2,</w:t>
        <w:br/>
        <w:t xml:space="preserve">            "turbidityNtu": 10.5</w:t>
        <w:br/>
        <w:t xml:space="preserve">          },</w:t>
        <w:br/>
        <w:t xml:space="preserve">          "hydrology": {</w:t>
        <w:br/>
        <w:t xml:space="preserve">            "stageLevelMeters": 0.412,</w:t>
        <w:br/>
        <w:t xml:space="preserve">            "dischargeCfs": 18.5</w:t>
        <w:br/>
        <w:t xml:space="preserve">          },</w:t>
        <w:br/>
        <w:t xml:space="preserve">          "hootOwlAlertActive": false</w:t>
        <w:br/>
        <w:t xml:space="preserve">        }</w:t>
        <w:br/>
        <w:t xml:space="preserve">      ]</w:t>
        <w:br/>
        <w:t xml:space="preserve">    }</w:t>
        <w:br/>
        <w:t xml:space="preserve">  }</w:t>
        <w:br/>
        <w:t>}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>*Developed by Blue Ridge Stream Restoration Technical Sourcing Operations. Pushed to remote origin under main.*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