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left"/>
      </w:pPr>
      <w:r>
        <w:rPr>
          <w:b/>
          <w:color w:val="1F4E79"/>
          <w:sz w:val="48"/>
        </w:rPr>
        <w:t>File 30: UGA Intern Workstream — Page 3: Riparian Buffer Vegetative Survey &amp; Canopy Planning</w:t>
      </w:r>
    </w:p>
    <w:p>
      <w:pPr>
        <w:spacing w:before="160" w:after="160"/>
        <w:ind w:left="576"/>
      </w:pPr>
      <w:r>
        <w:rPr>
          <w:i/>
          <w:color w:val="595959"/>
          <w:sz w:val="21"/>
        </w:rPr>
        <w:t>**Ecology &amp; Biological Monitoring Training Manual**</w:t>
        <w:br/>
        <w:t>**Target School**: University of Georgia (UGA) Odum School of Ecology / Warnell School of Forestry</w:t>
        <w:br/>
        <w:t>**Project Area**: Upper Savannah Basin &amp; Chattahoochee River Spawning Headwaters</w:t>
        <w:br/>
        <w:t>**Supervising Board**: Hunter Morris (Co-Founder &amp; Managing Director) &amp; Hadi Irvani (Board Member)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1. Scientific Objective</w:t>
      </w:r>
    </w:p>
    <w:p>
      <w:r>
        <w:t>In stream mitigation banking, physical bank stability and biological temperature control depend entirely on the establishing riparian forest buffer.</w:t>
      </w:r>
    </w:p>
    <w:p>
      <w:r>
        <w:t xml:space="preserve">Under the </w:t>
      </w:r>
      <w:r>
        <w:rPr>
          <w:b/>
        </w:rPr>
        <w:t>USACE Savannah District Standard Operating Procedure (SOP)</w:t>
      </w:r>
      <w:r>
        <w:t xml:space="preserve">, a stream mitigation project must maintain a minimum </w:t>
      </w:r>
      <w:r>
        <w:rPr>
          <w:b/>
        </w:rPr>
        <w:t>$100\text{-foot}$ native vegetative buffer</w:t>
      </w:r>
      <w:r>
        <w:t xml:space="preserve"> recorded on county deeds. To verify that our plantings successfully establish and thrive, we must conduct structured vegetative surveys over a </w:t>
      </w:r>
      <w:r>
        <w:rPr>
          <w:b/>
        </w:rPr>
        <w:t>7-year monitoring window</w:t>
      </w:r>
      <w:r>
        <w:t>. Your primary role as a UGA Forestry or Ecology Intern is to layout monitoring plots, audit native plant survival rates, calculate tree densities, and manage invasive species eradication.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2. Vegetative Monitoring Plot Design</w:t>
      </w:r>
    </w:p>
    <w:p>
      <w:r>
        <w:t xml:space="preserve">You will deploy standardized </w:t>
      </w:r>
      <w:r>
        <w:rPr>
          <w:b/>
        </w:rPr>
        <w:t>$10\text{m} \times 10\text{m}$ square vegetation plots</w:t>
      </w:r>
      <w:r>
        <w:t xml:space="preserve"> to collect statistically sound samples across our showcase tracts.</w:t>
      </w:r>
    </w:p>
    <w:p>
      <w:pPr>
        <w:spacing w:before="120" w:after="120"/>
        <w:ind w:left="360"/>
      </w:pPr>
      <w:r>
        <w:rPr>
          <w:rFonts w:ascii="Consolas" w:hAnsi="Consolas"/>
          <w:color w:val="7F0055"/>
          <w:sz w:val="19"/>
        </w:rPr>
        <w:t xml:space="preserve">                   10m x 10m VEGETATIVE MONITORING PLOT</w:t>
        <w:br/>
        <w:t xml:space="preserve">                   </w:t>
        <w:br/>
        <w:t xml:space="preserve">    (0,10) _________________________________________ (10,10)</w:t>
        <w:br/>
        <w:t xml:space="preserve">          |    * Tsuga canadensis (Hemlock)         |</w:t>
        <w:br/>
        <w:t xml:space="preserve">          |                                         |</w:t>
        <w:br/>
        <w:t xml:space="preserve">          |                     * Alnus serrulata   |</w:t>
        <w:br/>
        <w:t xml:space="preserve">          |                       (Tag Alder)       |</w:t>
        <w:br/>
        <w:t xml:space="preserve">          |   * Rhododendron maximum                |</w:t>
        <w:br/>
        <w:t xml:space="preserve">          |     (Geomorphic Root Bank)              |</w:t>
        <w:br/>
        <w:t xml:space="preserve">          |                                         |</w:t>
        <w:br/>
        <w:t xml:space="preserve">          |              * Cornus florida           |</w:t>
        <w:br/>
        <w:t xml:space="preserve">          |                (Flowering Dogwood)      |</w:t>
        <w:br/>
        <w:t xml:space="preserve">     (0,0) _________________________________________ (10,0)</w:t>
        <w:br/>
        <w:t xml:space="preserve">                       [ Transect Center ]</w:t>
      </w:r>
    </w:p>
    <w:p>
      <w:pPr>
        <w:spacing w:before="240" w:after="80"/>
      </w:pPr>
      <w:r>
        <w:rPr>
          <w:b/>
          <w:color w:val="595959"/>
          <w:sz w:val="26"/>
        </w:rPr>
        <w:t>A. Layout Procedure</w:t>
      </w:r>
    </w:p>
    <w:p>
      <w:pPr>
        <w:pStyle w:val="ListNumber"/>
        <w:spacing w:after="60"/>
      </w:pPr>
      <w:r/>
      <w:r>
        <w:rPr>
          <w:b/>
        </w:rPr>
        <w:t>Frequency</w:t>
      </w:r>
      <w:r>
        <w:t xml:space="preserve">: Establish exactly </w:t>
      </w:r>
      <w:r>
        <w:rPr>
          <w:b/>
        </w:rPr>
        <w:t>one plot per 300 linear feet</w:t>
      </w:r>
      <w:r>
        <w:t xml:space="preserve"> of restored stream bank corridor.</w:t>
      </w:r>
    </w:p>
    <w:p>
      <w:pPr>
        <w:pStyle w:val="ListNumber"/>
        <w:spacing w:after="60"/>
      </w:pPr>
      <w:r/>
      <w:r>
        <w:rPr>
          <w:b/>
        </w:rPr>
        <w:t>Setup</w:t>
      </w:r>
      <w:r>
        <w:t xml:space="preserve">: Using a fiberglass tape measure and a hand compass, measure a </w:t>
      </w:r>
      <w:r>
        <w:rPr>
          <w:rFonts w:ascii="Georgia" w:hAnsi="Georgia"/>
          <w:i/>
        </w:rPr>
        <w:t>10\text{m} \times 10\text{m}</w:t>
      </w:r>
      <w:r>
        <w:t xml:space="preserve"> quadrat along the riparian zone. Mark the four corners with permanent orange PVC conduit pipe driven into the ground, labeled with the plot identifier (e.g., VP-01, VP-02).</w:t>
      </w:r>
    </w:p>
    <w:p>
      <w:pPr>
        <w:pStyle w:val="ListNumber"/>
        <w:spacing w:after="60"/>
      </w:pPr>
      <w:r/>
      <w:r>
        <w:rPr>
          <w:b/>
        </w:rPr>
        <w:t>Data Grid</w:t>
      </w:r>
      <w:r>
        <w:t>: GPS-map the center of the plot using a sub-meter GIS receiver and record the coordinate in our database.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3. Native Species Catalog &amp; Target Densities</w:t>
      </w:r>
    </w:p>
    <w:p>
      <w:r>
        <w:t>Within each monitoring plot, you will audit every planted tree and shrub. You must identify, count, and measure the height and stem diameter of the following native riparian species:</w:t>
      </w:r>
    </w:p>
    <w:p>
      <w:pPr>
        <w:spacing w:before="240" w:after="80"/>
      </w:pPr>
      <w:r>
        <w:rPr>
          <w:b/>
          <w:color w:val="595959"/>
          <w:sz w:val="26"/>
        </w:rPr>
        <w:t>A. Core Riparian Woody Plantings</w:t>
      </w:r>
    </w:p>
    <w:p>
      <w:pPr>
        <w:pStyle w:val="ListBullet"/>
        <w:spacing w:after="60"/>
      </w:pPr>
      <w:r/>
      <w:r>
        <w:rPr>
          <w:b/>
        </w:rPr>
        <w:t>Rhododendron maximum (Great Laurel)</w:t>
      </w:r>
      <w:r>
        <w:t>: Our primary high-gradient bioengineering tool. Deep fibrous root networks bind loose soils, while the evergreen leaves provide year-round shade.</w:t>
      </w:r>
    </w:p>
    <w:p>
      <w:pPr>
        <w:pStyle w:val="ListBullet"/>
        <w:spacing w:after="60"/>
      </w:pPr>
      <w:r/>
      <w:r>
        <w:rPr>
          <w:b/>
        </w:rPr>
        <w:t>Alnus serrulata (Tag Alder)</w:t>
      </w:r>
      <w:r>
        <w:t>: High-growth woody shrub that stabilizes the stream bank toe-slopes. Actively fixes nitrogen to enrich poor soils.</w:t>
      </w:r>
    </w:p>
    <w:p>
      <w:pPr>
        <w:pStyle w:val="ListBullet"/>
        <w:spacing w:after="60"/>
      </w:pPr>
      <w:r/>
      <w:r>
        <w:rPr>
          <w:b/>
        </w:rPr>
        <w:t>Tsuga canadensis (Eastern Hemlock)</w:t>
      </w:r>
      <w:r>
        <w:t>: Dominant coldwater canopy species. Requires active monitoring for Hemlock Woolly Adelgid (HWA) infestations.</w:t>
      </w:r>
    </w:p>
    <w:p>
      <w:pPr>
        <w:pStyle w:val="ListBullet"/>
        <w:spacing w:after="60"/>
      </w:pPr>
      <w:r/>
      <w:r>
        <w:rPr>
          <w:b/>
        </w:rPr>
        <w:t>Cornus florida (Flowering Dogwood)</w:t>
      </w:r>
      <w:r>
        <w:t>: Excellent understory shrub that thrives on damp forest margins.</w:t>
      </w:r>
    </w:p>
    <w:p>
      <w:pPr>
        <w:pStyle w:val="ListBullet"/>
        <w:spacing w:after="60"/>
      </w:pPr>
      <w:r/>
      <w:r>
        <w:rPr>
          <w:b/>
        </w:rPr>
        <w:t>Betula nigra (River Birch)</w:t>
      </w:r>
      <w:r>
        <w:t>: Fast-growing tree whose broad roots anchor unstable, high-sloped bank bends.</w:t>
      </w:r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4. Vegetative Survival &amp; Stem Density Formulas</w:t>
      </w:r>
    </w:p>
    <w:p>
      <w:r>
        <w:t>Under USACE criteria, our riparian buffers must satisfy two key milestones to release credit reserves:</w:t>
      </w:r>
    </w:p>
    <w:p>
      <w:pPr>
        <w:pStyle w:val="ListNumber"/>
        <w:spacing w:after="60"/>
      </w:pPr>
      <w:r>
        <w:t xml:space="preserve">Maintain a minimum tree density of </w:t>
      </w:r>
      <w:r>
        <w:rPr>
          <w:b/>
        </w:rPr>
        <w:t>260 stems per acre</w:t>
      </w:r>
      <w:r>
        <w:t xml:space="preserve"> of native canopy.</w:t>
      </w:r>
    </w:p>
    <w:p>
      <w:pPr>
        <w:pStyle w:val="ListNumber"/>
        <w:spacing w:after="60"/>
      </w:pPr>
      <w:r>
        <w:t xml:space="preserve">Demonstrate an </w:t>
      </w:r>
      <w:r>
        <w:rPr>
          <w:b/>
        </w:rPr>
        <w:t>$\ge 80\%$ survival rate</w:t>
      </w:r>
      <w:r>
        <w:t xml:space="preserve"> of initially planted woody species at Year 5.</w:t>
      </w:r>
    </w:p>
    <w:p>
      <w:r>
        <w:t>You will calculate these values using the following equations on your field data sheets:</w:t>
      </w:r>
    </w:p>
    <w:p>
      <w:pPr>
        <w:spacing w:before="240" w:after="80"/>
      </w:pPr>
      <w:r>
        <w:rPr>
          <w:b/>
          <w:color w:val="595959"/>
          <w:sz w:val="26"/>
        </w:rPr>
        <w:t>A. Stem Density Calculation</w:t>
      </w:r>
    </w:p>
    <w:p>
      <w:r/>
      <w:r>
        <w:rPr>
          <w:rFonts w:ascii="Georgia" w:hAnsi="Georgia"/>
          <w:i/>
        </w:rPr>
      </w:r>
      <w:r>
        <w:t>\text{Stems per Acre} = \frac{\text{Count of Live Native Stems in Plot}}{\text{Plot Area in Square Meters}} \times 4,047</w:t>
      </w:r>
      <w:r>
        <w:rPr>
          <w:rFonts w:ascii="Georgia" w:hAnsi="Georgia"/>
          <w:i/>
        </w:rPr>
      </w:r>
      <w:r/>
    </w:p>
    <w:p>
      <w:r>
        <w:t>*Worked Example:*</w:t>
      </w:r>
    </w:p>
    <w:p>
      <w:r>
        <w:t xml:space="preserve">If you count exactly </w:t>
      </w:r>
      <w:r>
        <w:rPr>
          <w:b/>
        </w:rPr>
        <w:t>8 live native woody plants</w:t>
      </w:r>
      <w:r>
        <w:t xml:space="preserve"> inside your </w:t>
      </w:r>
      <w:r>
        <w:rPr>
          <w:rFonts w:ascii="Georgia" w:hAnsi="Georgia"/>
          <w:i/>
        </w:rPr>
        <w:t>10\text{m} \times 10\text{m}</w:t>
      </w:r>
      <w:r>
        <w:t xml:space="preserve"> plot (</w:t>
      </w:r>
      <w:r>
        <w:rPr>
          <w:rFonts w:ascii="Georgia" w:hAnsi="Georgia"/>
          <w:i/>
        </w:rPr>
        <w:t>100\text{ m}^2</w:t>
      </w:r>
      <w:r>
        <w:t>):</w:t>
      </w:r>
    </w:p>
    <w:p>
      <w:r/>
      <w:r>
        <w:rPr>
          <w:rFonts w:ascii="Georgia" w:hAnsi="Georgia"/>
          <w:i/>
        </w:rPr>
      </w:r>
      <w:r>
        <w:t>\text{Stems per Acre} = \frac{8}{100} \times 4,047 = 323.76\text{ stems/acre}</w:t>
      </w:r>
      <w:r>
        <w:rPr>
          <w:rFonts w:ascii="Georgia" w:hAnsi="Georgia"/>
          <w:i/>
        </w:rPr>
      </w:r>
      <w:r/>
    </w:p>
    <w:p>
      <w:r>
        <w:t xml:space="preserve">*Status*: </w:t>
      </w:r>
      <w:r>
        <w:rPr>
          <w:b/>
        </w:rPr>
        <w:t>Passes</w:t>
      </w:r>
      <w:r>
        <w:t xml:space="preserve"> the minimum 260 stems/acre threshold.</w:t>
      </w:r>
    </w:p>
    <w:p>
      <w:pPr>
        <w:spacing w:before="240" w:after="80"/>
      </w:pPr>
      <w:r>
        <w:rPr>
          <w:b/>
          <w:color w:val="595959"/>
          <w:sz w:val="26"/>
        </w:rPr>
        <w:t>B. Percent Survival rate</w:t>
      </w:r>
    </w:p>
    <w:p>
      <w:r/>
      <w:r>
        <w:rPr>
          <w:rFonts w:ascii="Georgia" w:hAnsi="Georgia"/>
          <w:i/>
        </w:rPr>
      </w:r>
      <w:r>
        <w:t>\text{Percent Survival} = \frac{\text{Count of Live Planted Stems at Year } N}{\text{Count of Originally Planted Stems in Plot}} \times 100\%</w:t>
      </w:r>
      <w:r>
        <w:rPr>
          <w:rFonts w:ascii="Georgia" w:hAnsi="Georgia"/>
          <w:i/>
        </w:rPr>
      </w:r>
      <w:r/>
    </w:p>
    <w:p>
      <w:pPr>
        <w:spacing w:after="240"/>
      </w:pPr>
      <w:r>
        <w:rPr>
          <w:color w:val="D9D9D9"/>
        </w:rPr>
        <w:t>____________________________________________________</w:t>
      </w:r>
    </w:p>
    <w:p>
      <w:pPr>
        <w:spacing w:before="360" w:after="120"/>
      </w:pPr>
      <w:r>
        <w:rPr>
          <w:b/>
          <w:color w:val="2E75B6"/>
          <w:sz w:val="32"/>
        </w:rPr>
        <w:t>5. Invasive Species Management</w:t>
      </w:r>
    </w:p>
    <w:p>
      <w:r>
        <w:t xml:space="preserve">The presence of non-native invasive species threatens native biodiversity and compromises buffer stability. You will conduct active eradication campaigns to keep total invasive coverage </w:t>
      </w:r>
      <w:r>
        <w:rPr>
          <w:b/>
        </w:rPr>
        <w:t>$&lt;5\%$</w:t>
      </w:r>
      <w:r>
        <w:t xml:space="preserve"> across the entire project area.</w:t>
      </w:r>
    </w:p>
    <w:p>
      <w:pPr>
        <w:spacing w:before="240" w:after="80"/>
      </w:pPr>
      <w:r>
        <w:rPr>
          <w:b/>
          <w:color w:val="595959"/>
          <w:sz w:val="26"/>
        </w:rPr>
        <w:t>A. Primary Invasive Targets</w:t>
      </w:r>
    </w:p>
    <w:p>
      <w:pPr>
        <w:pStyle w:val="ListBullet"/>
        <w:spacing w:after="60"/>
      </w:pPr>
      <w:r/>
      <w:r>
        <w:rPr>
          <w:b/>
        </w:rPr>
        <w:t>Ligustrum sinense (Chinese Privet)</w:t>
      </w:r>
      <w:r>
        <w:t>: Vigorous woody shrub that out-competes native tag alders and block hemlock saplings.</w:t>
      </w:r>
    </w:p>
    <w:p>
      <w:pPr>
        <w:pStyle w:val="ListBullet"/>
        <w:spacing w:after="60"/>
      </w:pPr>
      <w:r/>
      <w:r>
        <w:rPr>
          <w:b/>
        </w:rPr>
        <w:t>Hedera helix (English Ivy)</w:t>
      </w:r>
      <w:r>
        <w:t>: Evergreen vine that climbs canopy trees, suffocating leaves and adding wind load that causes tree falls.</w:t>
      </w:r>
    </w:p>
    <w:p>
      <w:pPr>
        <w:pStyle w:val="ListBullet"/>
        <w:spacing w:after="60"/>
      </w:pPr>
      <w:r/>
      <w:r>
        <w:rPr>
          <w:b/>
        </w:rPr>
        <w:t>Microstegium vimineum (Japanese Stiltgrass)</w:t>
      </w:r>
      <w:r>
        <w:t>: Aggressive annual grass that smothers the forest floor, preventing native seed germination.</w:t>
      </w:r>
    </w:p>
    <w:p>
      <w:pPr>
        <w:spacing w:before="240" w:after="80"/>
      </w:pPr>
      <w:r>
        <w:rPr>
          <w:b/>
          <w:color w:val="595959"/>
          <w:sz w:val="26"/>
        </w:rPr>
        <w:t>B. Eradication Protocol</w:t>
      </w:r>
    </w:p>
    <w:p>
      <w:pPr>
        <w:pStyle w:val="ListBullet"/>
        <w:spacing w:after="60"/>
      </w:pPr>
      <w:r/>
      <w:r>
        <w:rPr>
          <w:b/>
        </w:rPr>
        <w:t>Physical</w:t>
      </w:r>
      <w:r>
        <w:t>: Hand-pull young stiltgrass and privet before seed-set in late summer. Ensure the complete root systems are removed to prevent resprouting.</w:t>
      </w:r>
    </w:p>
    <w:p>
      <w:pPr>
        <w:pStyle w:val="ListBullet"/>
        <w:spacing w:after="60"/>
      </w:pPr>
      <w:r/>
      <w:r>
        <w:rPr>
          <w:b/>
        </w:rPr>
        <w:t>Chemical (Buffered)</w:t>
      </w:r>
      <w:r>
        <w:t xml:space="preserve">: For mature Chinese Privet, apply a targeted </w:t>
      </w:r>
      <w:r>
        <w:rPr>
          <w:b/>
        </w:rPr>
        <w:t>stem-cut treatment</w:t>
      </w:r>
      <w:r>
        <w:t xml:space="preserve"> utilizing a </w:t>
      </w:r>
      <w:r>
        <w:rPr>
          <w:b/>
        </w:rPr>
        <w:t>$50\%$ water-soluble Glyphosate formulation</w:t>
      </w:r>
      <w:r>
        <w:t xml:space="preserve"> (approved for aquatic environments, such as Rodeo) applied directly to the cut trunk cambium within 5 minutes of cutting. Never spray broad herbicides near open flowing waters!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7F7F7F"/>
        <w:sz w:val="17"/>
      </w:rPr>
      <w:t>Blue Ridge Stream Restoration &amp; Mitigation LLC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