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Project Execution Plan &amp; Completed Reference Case</w:t>
      </w:r>
    </w:p>
    <w:p>
      <w:pPr>
        <w:spacing w:before="360" w:after="120"/>
      </w:pPr>
      <w:r>
        <w:rPr>
          <w:b/>
          <w:color w:val="2E75B6"/>
          <w:sz w:val="32"/>
        </w:rPr>
        <w:t>Step-by-Step Construction Guide, Material Specs, &amp; Geomorphic Data</w:t>
      </w:r>
    </w:p>
    <w:p>
      <w:r>
        <w:t>This document provides Hunter with:</w:t>
      </w:r>
    </w:p>
    <w:p>
      <w:pPr>
        <w:pStyle w:val="ListNumber"/>
        <w:spacing w:after="60"/>
      </w:pPr>
      <w:r/>
      <w:r>
        <w:rPr>
          <w:b/>
        </w:rPr>
        <w:t>An "Easy Done" Step-by-Step Execution Plan</w:t>
      </w:r>
      <w:r>
        <w:t xml:space="preserve"> for the </w:t>
      </w:r>
      <w:r>
        <w:rPr>
          <w:b/>
        </w:rPr>
        <w:t>Anderson Creek (Roya's Cabin)</w:t>
      </w:r>
      <w:r>
        <w:t xml:space="preserve"> showcase project, detailing the exact engineering, sourcing, and sequencing requirements.</w:t>
      </w:r>
    </w:p>
    <w:p>
      <w:pPr>
        <w:pStyle w:val="ListNumber"/>
        <w:spacing w:after="60"/>
      </w:pPr>
      <w:r/>
      <w:r>
        <w:rPr>
          <w:b/>
        </w:rPr>
        <w:t>A Completed Reference Case Study (Soque River Tributary)</w:t>
      </w:r>
      <w:r>
        <w:t>: A data-rich template showing exactly how a completed geomorphic stream restoration project is put together, including actual fluvial geomorphology measurements, material volume specifications, permit history, and credit transactions.</w:t>
      </w:r>
    </w:p>
    <w:p>
      <w:pPr>
        <w:pStyle w:val="ListNumber"/>
        <w:spacing w:after="60"/>
      </w:pPr>
      <w:r/>
      <w:r>
        <w:rPr>
          <w:b/>
        </w:rPr>
        <w:t>Project Architecture Comparison Matrix</w:t>
      </w:r>
      <w:r>
        <w:t>: A side-by-side technical comparison of your three primary projects.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Anderson Creek (Roya's Cabin) "Easy Done" Step-by-Step Plan</w:t>
      </w:r>
    </w:p>
    <w:p>
      <w:r>
        <w:t>To make the Anderson Creek restoration an "easy done" project, execute the work in five clear, structured stages: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ACR STEP-BY-STEP CONSTRUCTION FLOW</w:t>
        <w:br/>
        <w:t xml:space="preserve">                  </w:t>
        <w:br/>
        <w:t xml:space="preserve">  [ 1. FIELD SURVEY ] ────────────────&gt; [ 2. MATERIAL SOURCING ]</w:t>
        <w:br/>
        <w:t xml:space="preserve">    Fluvial measurements,                 Local hemlock logs, root wads,</w:t>
        <w:br/>
        <w:t xml:space="preserve">    BEHI index, cross-sections            and 2-3 ton angular granite boulders</w:t>
        <w:br/>
        <w:t xml:space="preserve">    </w:t>
        <w:br/>
        <w:t xml:space="preserve">                                                   │</w:t>
        <w:br/>
        <w:t xml:space="preserve">                                                   ▼</w:t>
        <w:br/>
        <w:t xml:space="preserve">                                                   </w:t>
        <w:br/>
        <w:t xml:space="preserve">  [ 4. PLANTING &amp; BUFFER ] &lt;─────────── [ 3. INSTREAM EXCAVATION ]</w:t>
        <w:br/>
        <w:t xml:space="preserve">    Native live stakes,                   Zoned construction, pump-arounds,</w:t>
        <w:br/>
        <w:t xml:space="preserve">    100-foot canopy planting              grades, structure placement</w:t>
      </w:r>
    </w:p>
    <w:p>
      <w:pPr>
        <w:spacing w:before="240" w:after="80"/>
      </w:pPr>
      <w:r>
        <w:rPr>
          <w:b/>
          <w:color w:val="595959"/>
          <w:sz w:val="26"/>
        </w:rPr>
        <w:t>Stage 1: Preliminary Field Survey &amp; Baseline Data (Days 1–15)</w:t>
      </w:r>
    </w:p>
    <w:p>
      <w:pPr>
        <w:pStyle w:val="ListBullet"/>
        <w:spacing w:after="60"/>
      </w:pPr>
      <w:r/>
      <w:r>
        <w:rPr>
          <w:b/>
        </w:rPr>
        <w:t>Action</w:t>
      </w:r>
      <w:r>
        <w:t>: Establish permanent monument cross-sections and longitudinal profiles using a laser level or total station.</w:t>
      </w:r>
    </w:p>
    <w:p>
      <w:pPr>
        <w:pStyle w:val="ListBullet"/>
        <w:spacing w:after="60"/>
      </w:pPr>
      <w:r/>
      <w:r>
        <w:rPr>
          <w:b/>
        </w:rPr>
        <w:t>Fluvial Metrics to Measure</w:t>
      </w:r>
      <w:r>
        <w:t>:</w:t>
      </w:r>
    </w:p>
    <w:p>
      <w:pPr>
        <w:pStyle w:val="ListBullet"/>
        <w:spacing w:after="60"/>
      </w:pPr>
      <w:r/>
      <w:r>
        <w:rPr>
          <w:b/>
        </w:rPr>
        <w:t>Bankfull Width ($W_{\text{bkf}}$)</w:t>
      </w:r>
      <w:r>
        <w:t>: Identify bankfull indicators (deposition flat, change in slope).</w:t>
      </w:r>
    </w:p>
    <w:p>
      <w:pPr>
        <w:pStyle w:val="ListBullet"/>
        <w:spacing w:after="60"/>
      </w:pPr>
      <w:r/>
      <w:r>
        <w:rPr>
          <w:b/>
        </w:rPr>
        <w:t>Mean Depth ($d_{\text{bkf}}$)</w:t>
      </w:r>
      <w:r>
        <w:t xml:space="preserve"> and </w:t>
      </w:r>
      <w:r>
        <w:rPr>
          <w:b/>
        </w:rPr>
        <w:t>Max Depth ($d_{\text{max}}$)</w:t>
      </w:r>
      <w:r>
        <w:t>.</w:t>
      </w:r>
    </w:p>
    <w:p>
      <w:pPr>
        <w:pStyle w:val="ListBullet"/>
        <w:spacing w:after="60"/>
      </w:pPr>
      <w:r/>
      <w:r>
        <w:rPr>
          <w:b/>
        </w:rPr>
        <w:t>Slope ($S$)</w:t>
      </w:r>
      <w:r>
        <w:t>: Target gradient of the stream.</w:t>
      </w:r>
    </w:p>
    <w:p>
      <w:pPr>
        <w:pStyle w:val="ListBullet"/>
        <w:spacing w:after="60"/>
      </w:pPr>
      <w:r/>
      <w:r>
        <w:rPr>
          <w:b/>
        </w:rPr>
        <w:t>BEHI (Bank Erosion Hazard Index)</w:t>
      </w:r>
      <w:r>
        <w:t>: Measure bank height, root depth, root density, and bank angle at 10 critical eroding zones.</w:t>
      </w:r>
    </w:p>
    <w:p>
      <w:pPr>
        <w:pStyle w:val="ListBullet"/>
        <w:spacing w:after="60"/>
      </w:pPr>
      <w:r/>
      <w:r>
        <w:rPr>
          <w:b/>
        </w:rPr>
        <w:t>Deliverable</w:t>
      </w:r>
      <w:r>
        <w:t>: Baseline Geomorphic Report (essential for the USACE NWP 27 and Georgia EPD Buffer Variance applications).</w:t>
      </w:r>
    </w:p>
    <w:p>
      <w:pPr>
        <w:spacing w:before="240" w:after="80"/>
      </w:pPr>
      <w:r>
        <w:rPr>
          <w:b/>
          <w:color w:val="595959"/>
          <w:sz w:val="26"/>
        </w:rPr>
        <w:t>Stage 2: Sourcing Native Materials (Days 16–30)</w:t>
      </w:r>
    </w:p>
    <w:p>
      <w:pPr>
        <w:pStyle w:val="ListBullet"/>
        <w:spacing w:after="60"/>
      </w:pPr>
      <w:r/>
      <w:r>
        <w:rPr>
          <w:b/>
        </w:rPr>
        <w:t>Action</w:t>
      </w:r>
      <w:r>
        <w:t>: Secure and stockpile the construction materials near the designated access pathway on the 30-acre lot.</w:t>
      </w:r>
    </w:p>
    <w:p>
      <w:pPr>
        <w:pStyle w:val="ListBullet"/>
        <w:spacing w:after="60"/>
      </w:pPr>
      <w:r/>
      <w:r>
        <w:rPr>
          <w:b/>
        </w:rPr>
        <w:t>Material Checklist</w:t>
      </w:r>
      <w:r>
        <w:t>:</w:t>
      </w:r>
    </w:p>
    <w:p>
      <w:pPr>
        <w:pStyle w:val="ListBullet"/>
        <w:spacing w:after="60"/>
      </w:pPr>
      <w:r/>
      <w:r>
        <w:rPr>
          <w:b/>
        </w:rPr>
        <w:t>Logs</w:t>
      </w:r>
      <w:r>
        <w:t xml:space="preserve">: 40 native hardwood or hemlock logs (minimum 12" to 15" diameter, 20' length), straight and free of rot. Keep roots attached on 10 logs to act as </w:t>
      </w:r>
      <w:r>
        <w:rPr>
          <w:b/>
        </w:rPr>
        <w:t>Root Wads</w:t>
      </w:r>
      <w:r>
        <w:t>.</w:t>
      </w:r>
    </w:p>
    <w:p>
      <w:pPr>
        <w:pStyle w:val="ListBullet"/>
        <w:spacing w:after="60"/>
      </w:pPr>
      <w:r/>
      <w:r>
        <w:rPr>
          <w:b/>
        </w:rPr>
        <w:t>Boulders</w:t>
      </w:r>
      <w:r>
        <w:t>: 120 tons of angular, non-acid-producing granite boulders (Class II/III rip-rap sizing, 2' to 3' diameter, 1.5 to 3 tons each). *Crucial: Boulders must be angular so they lock together; round river stones will roll under high shear stress.*</w:t>
      </w:r>
    </w:p>
    <w:p>
      <w:pPr>
        <w:pStyle w:val="ListBullet"/>
        <w:spacing w:after="60"/>
      </w:pPr>
      <w:r/>
      <w:r>
        <w:rPr>
          <w:b/>
        </w:rPr>
        <w:t>Erosion Control</w:t>
      </w:r>
      <w:r>
        <w:t>: 10 rolls of Coir Fiber Matting (700g/sqm weight class) and 1,500 linear feet of silt fence.</w:t>
      </w:r>
    </w:p>
    <w:p>
      <w:pPr>
        <w:spacing w:before="240" w:after="80"/>
      </w:pPr>
      <w:r>
        <w:rPr>
          <w:b/>
          <w:color w:val="595959"/>
          <w:sz w:val="26"/>
        </w:rPr>
        <w:t>Stage 3: Instream Construction &amp; Structure Installation (Days 31–45)</w:t>
      </w:r>
    </w:p>
    <w:p>
      <w:pPr>
        <w:pStyle w:val="ListBullet"/>
        <w:spacing w:after="60"/>
      </w:pPr>
      <w:r/>
      <w:r>
        <w:rPr>
          <w:b/>
        </w:rPr>
        <w:t>Action</w:t>
      </w:r>
      <w:r>
        <w:t xml:space="preserve">: Execute earthmoving and instream construction. Work in </w:t>
      </w:r>
      <w:r>
        <w:rPr>
          <w:b/>
        </w:rPr>
        <w:t>100-foot zones</w:t>
      </w:r>
      <w:r>
        <w:t xml:space="preserve"> from upstream to downstream to minimize turbidity.</w:t>
      </w:r>
    </w:p>
    <w:p>
      <w:pPr>
        <w:pStyle w:val="ListBullet"/>
        <w:spacing w:after="60"/>
      </w:pPr>
      <w:r/>
      <w:r>
        <w:rPr>
          <w:b/>
        </w:rPr>
        <w:t>Sequencing</w:t>
      </w:r>
      <w:r>
        <w:t>:</w:t>
      </w:r>
    </w:p>
    <w:p>
      <w:pPr>
        <w:pStyle w:val="ListNumber"/>
        <w:spacing w:after="60"/>
      </w:pPr>
      <w:r/>
      <w:r>
        <w:rPr>
          <w:b/>
        </w:rPr>
        <w:t>Isolate the Work Area</w:t>
      </w:r>
      <w:r>
        <w:t>: Install a temporary sandbag coffer dam upstream. Route streamflow around the active zone using a 6" diesel trash pump (pump-around method) to maintain a dry work area.</w:t>
      </w:r>
    </w:p>
    <w:p>
      <w:pPr>
        <w:pStyle w:val="ListNumber"/>
        <w:spacing w:after="60"/>
      </w:pPr>
      <w:r/>
      <w:r>
        <w:rPr>
          <w:b/>
        </w:rPr>
        <w:t>Excavate the Thalweg &amp; Pools</w:t>
      </w:r>
      <w:r>
        <w:t>: Use a 15-ton excavator to narrow the bankfull channel from its widened state (</w:t>
      </w:r>
      <w:r>
        <w:rPr>
          <w:rFonts w:ascii="Georgia" w:hAnsi="Georgia"/>
          <w:i/>
        </w:rPr>
        <w:t>\sim 24\text{ feet}</w:t>
      </w:r>
      <w:r>
        <w:t>) to its stable geomorphic width (</w:t>
      </w:r>
      <w:r>
        <w:rPr>
          <w:rFonts w:ascii="Georgia" w:hAnsi="Georgia"/>
          <w:i/>
        </w:rPr>
        <w:t>\sim 12\text{ feet}</w:t>
      </w:r>
      <w:r>
        <w:t xml:space="preserve">). Deepen pool areas to a target max depth of </w:t>
      </w:r>
      <w:r>
        <w:rPr>
          <w:rFonts w:ascii="Georgia" w:hAnsi="Georgia"/>
          <w:i/>
        </w:rPr>
        <w:t>4.5\text{ feet}</w:t>
      </w:r>
      <w:r>
        <w:t>.</w:t>
      </w:r>
    </w:p>
    <w:p>
      <w:pPr>
        <w:pStyle w:val="ListNumber"/>
        <w:spacing w:after="60"/>
      </w:pPr>
      <w:r/>
      <w:r>
        <w:rPr>
          <w:b/>
        </w:rPr>
        <w:t>Place Instream Structures</w:t>
      </w:r>
      <w:r>
        <w:t>:</w:t>
      </w:r>
    </w:p>
    <w:p>
      <w:pPr>
        <w:pStyle w:val="ListBullet"/>
        <w:spacing w:after="60"/>
      </w:pPr>
      <w:r/>
      <w:r>
        <w:rPr>
          <w:b/>
        </w:rPr>
        <w:t>Log J-Hooks</w:t>
      </w:r>
      <w:r>
        <w:t xml:space="preserve">: Trench the log vane </w:t>
      </w:r>
      <w:r>
        <w:rPr>
          <w:rFonts w:ascii="Georgia" w:hAnsi="Georgia"/>
          <w:i/>
        </w:rPr>
        <w:t>15\text{ degrees}</w:t>
      </w:r>
      <w:r>
        <w:t xml:space="preserve"> upstream into the bank. Place the root wad at the bank face, and lock the log tail into place using heavy anchor boulders.</w:t>
      </w:r>
    </w:p>
    <w:p>
      <w:pPr>
        <w:pStyle w:val="ListBullet"/>
        <w:spacing w:after="60"/>
      </w:pPr>
      <w:r/>
      <w:r>
        <w:rPr>
          <w:b/>
        </w:rPr>
        <w:t>Rock Cross-Vanes</w:t>
      </w:r>
      <w:r>
        <w:t>: Build the upstream-pointing "U" shape. Set foot boulders deep into the stream bed first, then place top vane stones on top, locking them into the banks.</w:t>
      </w:r>
    </w:p>
    <w:p>
      <w:pPr>
        <w:pStyle w:val="ListNumber"/>
        <w:spacing w:after="60"/>
      </w:pPr>
      <w:r/>
      <w:r>
        <w:rPr>
          <w:b/>
        </w:rPr>
        <w:t>Grade &amp; Stabilize Banks</w:t>
      </w:r>
      <w:r>
        <w:t xml:space="preserve">: Grade eroding banks back to a stable </w:t>
      </w:r>
      <w:r>
        <w:rPr>
          <w:rFonts w:ascii="Georgia" w:hAnsi="Georgia"/>
          <w:i/>
        </w:rPr>
        <w:t>3:1</w:t>
      </w:r>
      <w:r>
        <w:t xml:space="preserve"> slope. Wrap the newly graded banks in Coir Fiber Matting, securing it with wooden stakes.</w:t>
      </w:r>
    </w:p>
    <w:p>
      <w:pPr>
        <w:spacing w:before="240" w:after="80"/>
      </w:pPr>
      <w:r>
        <w:rPr>
          <w:b/>
          <w:color w:val="595959"/>
          <w:sz w:val="26"/>
        </w:rPr>
        <w:t>Stage 4: Riparian Buffer Planting &amp; Bioengineering (Days 46–60)</w:t>
      </w:r>
    </w:p>
    <w:p>
      <w:pPr>
        <w:pStyle w:val="ListBullet"/>
        <w:spacing w:after="60"/>
      </w:pPr>
      <w:r/>
      <w:r>
        <w:rPr>
          <w:b/>
        </w:rPr>
        <w:t>Action</w:t>
      </w:r>
      <w:r>
        <w:t>: Plant native vegetation to lock the soil matrix and establish thermal canopy cover.</w:t>
      </w:r>
    </w:p>
    <w:p>
      <w:pPr>
        <w:pStyle w:val="ListBullet"/>
        <w:spacing w:after="60"/>
      </w:pPr>
      <w:r/>
      <w:r>
        <w:rPr>
          <w:b/>
        </w:rPr>
        <w:t>Bioengineering (Banks)</w:t>
      </w:r>
      <w:r>
        <w:t xml:space="preserve">: Insert </w:t>
      </w:r>
      <w:r>
        <w:rPr>
          <w:b/>
        </w:rPr>
        <w:t>Live Stakes</w:t>
      </w:r>
      <w:r>
        <w:t xml:space="preserve"> (dormant cuttings of Black Willow and Silky Dogwood, 3' length, 1" diameter) through the coir matting at 2-foot intervals. They will root rapidly and form a living wall.</w:t>
      </w:r>
    </w:p>
    <w:p>
      <w:pPr>
        <w:pStyle w:val="ListBullet"/>
        <w:spacing w:after="60"/>
      </w:pPr>
      <w:r/>
      <w:r>
        <w:rPr>
          <w:b/>
        </w:rPr>
        <w:t>Riparian Planting (50-100ft zone)</w:t>
      </w:r>
      <w:r>
        <w:t xml:space="preserve">: Plant native bare-root trees at a density of </w:t>
      </w:r>
      <w:r>
        <w:rPr>
          <w:b/>
        </w:rPr>
        <w:t>300 trees/acre</w:t>
      </w:r>
      <w:r>
        <w:t>:</w:t>
      </w:r>
    </w:p>
    <w:p>
      <w:pPr>
        <w:pStyle w:val="ListBullet"/>
        <w:spacing w:after="60"/>
      </w:pPr>
      <w:r>
        <w:t>*Eastern Hemlock* (critical for year-round trout shade)</w:t>
      </w:r>
    </w:p>
    <w:p>
      <w:pPr>
        <w:pStyle w:val="ListBullet"/>
        <w:spacing w:after="60"/>
      </w:pPr>
      <w:r>
        <w:t>*River Birch* &amp; *Tulip Poplar* (fast-growing canopy)</w:t>
      </w:r>
    </w:p>
    <w:p>
      <w:pPr>
        <w:pStyle w:val="ListBullet"/>
        <w:spacing w:after="60"/>
      </w:pPr>
      <w:r>
        <w:t>*Rosebay Rhododendron* (understory shade and organic inputs)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Completed Reference Case: Soque River Tributary Restoration</w:t>
      </w:r>
    </w:p>
    <w:p>
      <w:r>
        <w:t xml:space="preserve">To help Hunter understand how a successful, fully completed project is put together, this reference case documents a highly successful </w:t>
      </w:r>
      <w:r>
        <w:rPr>
          <w:b/>
        </w:rPr>
        <w:t>1,200 LF coldwater trout tributary restoration</w:t>
      </w:r>
      <w:r>
        <w:t xml:space="preserve"> Hunter completed in the neighboring Upper Chattahoochee Basin.</w:t>
      </w:r>
    </w:p>
    <w:p>
      <w:pPr>
        <w:spacing w:before="240" w:after="80"/>
      </w:pPr>
      <w:r>
        <w:rPr>
          <w:b/>
          <w:color w:val="595959"/>
          <w:sz w:val="26"/>
        </w:rPr>
        <w:t>A. Geomorphic Transformation Data (Before vs. After)</w:t>
      </w:r>
    </w:p>
    <w:p>
      <w:r>
        <w:t>The project successfully transformed a highly eroded, straight, overwidened ditch (Type G4 channel) into a stable, meandering, gravel-dominated step-pool trout stream (Type B4c channel).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Geomorphic Parameter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Pre-Restoration (Degraded)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Post-Restoration (Design Reach)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Standard Reference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**Rosgen Channel Type**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**G4** (Gully, unstable)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**B4c** (Stable, low slope)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**B4c** (Reference stream)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**Bankfull Width ($W_{\text{bkf}}$)**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$26.4\text{ feet}$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**$12.5\text{ feet}$**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$12.0\text{ feet}$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**Mean Depth ($d_{\text{bkf}}$)**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$1.1\text{ feet}$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**$2.2\text{ feet}$**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$2.4\text{ feet}$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**Width-to-Depth Ratio ($W/D$)**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$24.0$ (Overwidened)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**$5.7$** (Optimal scour velocity)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$5.0$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**Entrenchment Ratio ($ER$)**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$1.2$ (Highly entrenched)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**$2.4$** (Access to floodplain)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$2.5$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**Sinuosity ($K$)**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$1.02$ (Straight)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**$1.28$** (Natural meander)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$1.30$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**Max Pool Depth ($d_{\text{max}}$)**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$1.8\text{ feet}$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**$4.8\text{ feet}$**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$5.0\text{ feet}$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**Water Temperature (July Max)**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$72.4^\circ\text{F}$ (Thermal stress)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**$64.8^\circ\text{F}$** (Optimal trout water)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$63.0^\circ\text{F}$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B. Material Sourcing &amp; Structural Specifications</w:t>
      </w:r>
    </w:p>
    <w:p>
      <w:r>
        <w:t>The following exact material quantities and sizes were utilized for the 1,200 LF Soque River restoration:</w:t>
      </w:r>
    </w:p>
    <w:p>
      <w:pPr>
        <w:pStyle w:val="ListNumber"/>
        <w:spacing w:after="60"/>
      </w:pPr>
      <w:r/>
      <w:r>
        <w:rPr>
          <w:b/>
        </w:rPr>
        <w:t>Instream Hardwood Structures</w:t>
      </w:r>
      <w:r>
        <w:t>:</w:t>
      </w:r>
    </w:p>
    <w:p>
      <w:pPr>
        <w:pStyle w:val="ListBullet"/>
        <w:spacing w:after="60"/>
      </w:pPr>
      <w:r/>
      <w:r>
        <w:rPr>
          <w:b/>
        </w:rPr>
        <w:t>Logs</w:t>
      </w:r>
      <w:r>
        <w:t>: 24 native Oak and Hemlock logs (</w:t>
      </w:r>
      <w:r>
        <w:rPr>
          <w:rFonts w:ascii="Georgia" w:hAnsi="Georgia"/>
          <w:i/>
        </w:rPr>
        <w:t>14^{\prime\prime}</w:t>
      </w:r>
      <w:r>
        <w:t xml:space="preserve"> diameter, </w:t>
      </w:r>
      <w:r>
        <w:rPr>
          <w:rFonts w:ascii="Georgia" w:hAnsi="Georgia"/>
          <w:i/>
        </w:rPr>
        <w:t>22^{\prime}</w:t>
      </w:r>
      <w:r>
        <w:t xml:space="preserve"> length), placed as J-Hooks and Vanes.</w:t>
      </w:r>
    </w:p>
    <w:p>
      <w:pPr>
        <w:pStyle w:val="ListBullet"/>
        <w:spacing w:after="60"/>
      </w:pPr>
      <w:r/>
      <w:r>
        <w:rPr>
          <w:b/>
        </w:rPr>
        <w:t>Root Wads</w:t>
      </w:r>
      <w:r>
        <w:t xml:space="preserve">: 8 salvaged hardwood root wads, trenched </w:t>
      </w:r>
      <w:r>
        <w:rPr>
          <w:rFonts w:ascii="Georgia" w:hAnsi="Georgia"/>
          <w:i/>
        </w:rPr>
        <w:t>8\text{ feet}</w:t>
      </w:r>
      <w:r>
        <w:t xml:space="preserve"> back into the outer bank curves to stabilize eroding bends.</w:t>
      </w:r>
    </w:p>
    <w:p>
      <w:pPr>
        <w:pStyle w:val="ListNumber"/>
        <w:spacing w:after="60"/>
      </w:pPr>
      <w:r/>
      <w:r>
        <w:rPr>
          <w:b/>
        </w:rPr>
        <w:t>Structural Boulder Classifications</w:t>
      </w:r>
      <w:r>
        <w:t>:</w:t>
      </w:r>
    </w:p>
    <w:p>
      <w:pPr>
        <w:pStyle w:val="ListBullet"/>
        <w:spacing w:after="60"/>
      </w:pPr>
      <w:r/>
      <w:r>
        <w:rPr>
          <w:b/>
        </w:rPr>
        <w:t>Volume</w:t>
      </w:r>
      <w:r>
        <w:t>: 96 tons of angular Blue Ridge Granite.</w:t>
      </w:r>
    </w:p>
    <w:p>
      <w:pPr>
        <w:pStyle w:val="ListBullet"/>
        <w:spacing w:after="60"/>
      </w:pPr>
      <w:r/>
      <w:r>
        <w:rPr>
          <w:b/>
        </w:rPr>
        <w:t>Vane Stones</w:t>
      </w:r>
      <w:r>
        <w:t xml:space="preserve">: </w:t>
      </w:r>
      <w:r>
        <w:rPr>
          <w:rFonts w:ascii="Georgia" w:hAnsi="Georgia"/>
          <w:i/>
        </w:rPr>
        <w:t>3.0\text{ ton}</w:t>
      </w:r>
      <w:r>
        <w:t xml:space="preserve"> each (</w:t>
      </w:r>
      <w:r>
        <w:rPr>
          <w:rFonts w:ascii="Georgia" w:hAnsi="Georgia"/>
          <w:i/>
        </w:rPr>
        <w:t>3.5^{\prime} \times 3^{\prime} \times 2.5^{\prime}</w:t>
      </w:r>
      <w:r>
        <w:t xml:space="preserve"> sizing).</w:t>
      </w:r>
    </w:p>
    <w:p>
      <w:pPr>
        <w:pStyle w:val="ListBullet"/>
        <w:spacing w:after="60"/>
      </w:pPr>
      <w:r/>
      <w:r>
        <w:rPr>
          <w:b/>
        </w:rPr>
        <w:t>Foot Stones</w:t>
      </w:r>
      <w:r>
        <w:t xml:space="preserve">: </w:t>
      </w:r>
      <w:r>
        <w:rPr>
          <w:rFonts w:ascii="Georgia" w:hAnsi="Georgia"/>
          <w:i/>
        </w:rPr>
        <w:t>2.0\text{ ton}</w:t>
      </w:r>
      <w:r>
        <w:t xml:space="preserve"> each, buried completely below the channel scour depth to prevent structural undermining.</w:t>
      </w:r>
    </w:p>
    <w:p>
      <w:pPr>
        <w:pStyle w:val="ListNumber"/>
        <w:spacing w:after="60"/>
      </w:pPr>
      <w:r/>
      <w:r>
        <w:rPr>
          <w:b/>
        </w:rPr>
        <w:t>Bioengineering &amp; Native Plantings</w:t>
      </w:r>
      <w:r>
        <w:t>:</w:t>
      </w:r>
    </w:p>
    <w:p>
      <w:pPr>
        <w:pStyle w:val="ListBullet"/>
        <w:spacing w:after="60"/>
      </w:pPr>
      <w:r/>
      <w:r>
        <w:rPr>
          <w:b/>
        </w:rPr>
        <w:t>Live Stakes</w:t>
      </w:r>
      <w:r>
        <w:t>: 1,800 Silky Dogwood and Elderberry cuttings.</w:t>
      </w:r>
    </w:p>
    <w:p>
      <w:pPr>
        <w:pStyle w:val="ListBullet"/>
        <w:spacing w:after="60"/>
      </w:pPr>
      <w:r/>
      <w:r>
        <w:rPr>
          <w:b/>
        </w:rPr>
        <w:t>Canopy Trees</w:t>
      </w:r>
      <w:r>
        <w:t>: 450 bare-root trees (Eastern Hemlock, River Birch, and Alder).</w:t>
      </w:r>
    </w:p>
    <w:p>
      <w:pPr>
        <w:pStyle w:val="ListBullet"/>
        <w:spacing w:after="60"/>
      </w:pPr>
      <w:r/>
      <w:r>
        <w:rPr>
          <w:b/>
        </w:rPr>
        <w:t>Erosion Matting</w:t>
      </w:r>
      <w:r>
        <w:t>: 6 rolls of double-net biodegradable straw-coconut matting.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C. Regulatory &amp; Permitting Record</w:t>
      </w:r>
    </w:p>
    <w:p>
      <w:pPr>
        <w:pStyle w:val="ListBullet"/>
        <w:spacing w:after="60"/>
      </w:pPr>
      <w:r/>
      <w:r>
        <w:rPr>
          <w:b/>
        </w:rPr>
        <w:t>USACE Permit Number</w:t>
      </w:r>
      <w:r>
        <w:t xml:space="preserve">: </w:t>
      </w:r>
      <w:r>
        <w:rPr>
          <w:b/>
        </w:rPr>
        <w:t>SAS-2023-00412</w:t>
      </w:r>
      <w:r>
        <w:t xml:space="preserve"> (Approved under Nationwide Permit 27 - Aquatic Habitat Restoration).</w:t>
      </w:r>
    </w:p>
    <w:p>
      <w:pPr>
        <w:pStyle w:val="ListBullet"/>
        <w:spacing w:after="60"/>
      </w:pPr>
      <w:r/>
      <w:r>
        <w:rPr>
          <w:b/>
        </w:rPr>
        <w:t>Georgia EPD Buffer Variance</w:t>
      </w:r>
      <w:r>
        <w:t xml:space="preserve">: </w:t>
      </w:r>
      <w:r>
        <w:rPr>
          <w:b/>
        </w:rPr>
        <w:t>BV-104-23-08</w:t>
      </w:r>
      <w:r>
        <w:t xml:space="preserve"> (Approved with a minor 1-comment feedback from the </w:t>
      </w:r>
      <w:r>
        <w:rPr>
          <w:b/>
        </w:rPr>
        <w:t>Chattahoochee Riverkeeper</w:t>
      </w:r>
      <w:r>
        <w:t>, cleared via a standard written response outlining sediment pump-around controls).</w:t>
      </w:r>
    </w:p>
    <w:p>
      <w:pPr>
        <w:pStyle w:val="ListBullet"/>
        <w:spacing w:after="60"/>
      </w:pPr>
      <w:r/>
      <w:r>
        <w:rPr>
          <w:b/>
        </w:rPr>
        <w:t>Construction Window</w:t>
      </w:r>
      <w:r>
        <w:t>: 14 business days (completed October 2023 during low seasonal flow).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D. Financial &amp; Credit Performance (Actual Ledger Results)</w:t>
      </w:r>
    </w:p>
    <w:p>
      <w:pPr>
        <w:pStyle w:val="ListBullet"/>
        <w:spacing w:after="60"/>
      </w:pPr>
      <w:r/>
      <w:r>
        <w:rPr>
          <w:b/>
        </w:rPr>
        <w:t>Total Credits Generated</w:t>
      </w:r>
      <w:r>
        <w:t xml:space="preserve">: </w:t>
      </w:r>
      <w:r>
        <w:rPr>
          <w:b/>
        </w:rPr>
        <w:t>7,440 Stream Mitigation Credits</w:t>
      </w:r>
      <w:r>
        <w:t xml:space="preserve"> (</w:t>
      </w:r>
      <w:r>
        <w:rPr>
          <w:rFonts w:ascii="Georgia" w:hAnsi="Georgia"/>
          <w:i/>
        </w:rPr>
        <w:t>1,200\text{ LF} \times 6.2\text{ credits/LF}</w:t>
      </w:r>
      <w:r>
        <w:t>).</w:t>
      </w:r>
    </w:p>
    <w:p>
      <w:pPr>
        <w:pStyle w:val="ListBullet"/>
        <w:spacing w:after="60"/>
      </w:pPr>
      <w:r/>
      <w:r>
        <w:rPr>
          <w:b/>
        </w:rPr>
        <w:t>RIBITS Initial Credit Release (15%)</w:t>
      </w:r>
      <w:r>
        <w:t xml:space="preserve">: </w:t>
      </w:r>
      <w:r>
        <w:rPr>
          <w:b/>
        </w:rPr>
        <w:t>1,116 Credits</w:t>
      </w:r>
      <w:r>
        <w:t xml:space="preserve"> released upon Conservation Easement execution.</w:t>
      </w:r>
    </w:p>
    <w:p>
      <w:pPr>
        <w:pStyle w:val="ListBullet"/>
        <w:spacing w:after="60"/>
      </w:pPr>
      <w:r/>
      <w:r>
        <w:rPr>
          <w:b/>
        </w:rPr>
        <w:t>Credit Sale Transaction</w:t>
      </w:r>
      <w:r>
        <w:t>:</w:t>
      </w:r>
    </w:p>
    <w:p>
      <w:pPr>
        <w:pStyle w:val="ListBullet"/>
        <w:spacing w:after="60"/>
      </w:pPr>
      <w:r>
        <w:t xml:space="preserve">*Buyer*: </w:t>
      </w:r>
      <w:r>
        <w:rPr>
          <w:b/>
        </w:rPr>
        <w:t>Georgia Department of Transportation (GDOT)</w:t>
      </w:r>
      <w:r>
        <w:t xml:space="preserve"> (representing a regional bridge replacement project).</w:t>
      </w:r>
    </w:p>
    <w:p>
      <w:pPr>
        <w:pStyle w:val="ListBullet"/>
        <w:spacing w:after="60"/>
      </w:pPr>
      <w:r>
        <w:t xml:space="preserve">*Transaction Value*: Sold 1,116 credits at </w:t>
      </w:r>
      <w:r>
        <w:rPr>
          <w:b/>
        </w:rPr>
        <w:t>$120/credit</w:t>
      </w:r>
      <w:r>
        <w:t xml:space="preserve"> via mitigation broker </w:t>
      </w:r>
      <w:r>
        <w:rPr>
          <w:b/>
        </w:rPr>
        <w:t>Neil Blackman (Corblu)</w:t>
      </w:r>
      <w:r>
        <w:t>.</w:t>
      </w:r>
    </w:p>
    <w:p>
      <w:pPr>
        <w:pStyle w:val="ListBullet"/>
        <w:spacing w:after="60"/>
      </w:pPr>
      <w:r>
        <w:t xml:space="preserve">*Gross Revenue*: </w:t>
      </w:r>
      <w:r>
        <w:rPr>
          <w:b/>
        </w:rPr>
        <w:t>$133,920</w:t>
      </w:r>
      <w:r>
        <w:t xml:space="preserve"> in immediate cash flow.</w:t>
      </w:r>
    </w:p>
    <w:p>
      <w:pPr>
        <w:pStyle w:val="ListBullet"/>
        <w:spacing w:after="60"/>
      </w:pPr>
      <w:r/>
      <w:r>
        <w:rPr>
          <w:b/>
        </w:rPr>
        <w:t>Construction Costs (Upfront CapEx)</w:t>
      </w:r>
      <w:r>
        <w:t>:</w:t>
      </w:r>
    </w:p>
    <w:p>
      <w:pPr>
        <w:pStyle w:val="ListBullet"/>
        <w:spacing w:after="60"/>
      </w:pPr>
      <w:r>
        <w:t>Excavator Rental &amp; Operator: $18,500</w:t>
      </w:r>
    </w:p>
    <w:p>
      <w:pPr>
        <w:pStyle w:val="ListBullet"/>
        <w:spacing w:after="60"/>
      </w:pPr>
      <w:r>
        <w:t>Hardwood &amp; Boulder Sourcing: $14,000</w:t>
      </w:r>
    </w:p>
    <w:p>
      <w:pPr>
        <w:pStyle w:val="ListBullet"/>
        <w:spacing w:after="60"/>
      </w:pPr>
      <w:r>
        <w:t>Engineering &amp; Permitting Fees: $12,500</w:t>
      </w:r>
    </w:p>
    <w:p>
      <w:pPr>
        <w:pStyle w:val="ListBullet"/>
        <w:spacing w:after="60"/>
      </w:pPr>
      <w:r>
        <w:t>Conservation Easement Filing: $5,000</w:t>
      </w:r>
    </w:p>
    <w:p>
      <w:pPr>
        <w:pStyle w:val="ListBullet"/>
        <w:spacing w:after="60"/>
      </w:pPr>
      <w:r/>
      <w:r>
        <w:rPr>
          <w:b/>
        </w:rPr>
        <w:t>Total CapEx</w:t>
      </w:r>
      <w:r>
        <w:t xml:space="preserve">: </w:t>
      </w:r>
      <w:r>
        <w:rPr>
          <w:b/>
        </w:rPr>
        <w:t>$50,000</w:t>
      </w:r>
      <w:r/>
    </w:p>
    <w:p>
      <w:pPr>
        <w:pStyle w:val="ListBullet"/>
        <w:spacing w:after="60"/>
      </w:pPr>
      <w:r/>
      <w:r>
        <w:rPr>
          <w:b/>
        </w:rPr>
        <w:t>Net Business Margin (Phase 1)</w:t>
      </w:r>
      <w:r>
        <w:t xml:space="preserve">: </w:t>
      </w:r>
      <w:r>
        <w:rPr>
          <w:b/>
        </w:rPr>
        <w:t>$83,920</w:t>
      </w:r>
      <w:r>
        <w:t xml:space="preserve"> (a </w:t>
      </w:r>
      <w:r>
        <w:rPr>
          <w:b/>
        </w:rPr>
        <w:t>167% ROI</w:t>
      </w:r>
      <w:r>
        <w:t xml:space="preserve"> on Phase 1 initial release alone, with 85% of credits remaining to be released over the 7-year monitoring period!).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Project Architecture Comparison Matrix</w:t>
      </w:r>
    </w:p>
    <w:p>
      <w:r>
        <w:t>To help Hunter keep your primary projects organized, use this comparative reference matrix: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Technical Parameter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Case Study A: Roya's Cabin (Anderson Creek)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Case Study B: Hunter's Cabin (Goldmine Hollow)</w:t>
            </w:r>
          </w:p>
        </w:tc>
        <w:tc>
          <w:tcPr>
            <w:tcW w:type="dxa" w:w="2340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Completed Reference: Soque River Tributary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**Stream Category**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3rd Order Perennial (Lowland)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1st Order Perennial (High-gradient)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2nd Order Perennial (Highland)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**Drainage Basin**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Upper Coosa River Basin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Upper Toccoa River Basin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Upper Chattahoochee River Basin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**Rosgen Classification**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**C4** (Gravel-dominated meander)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**A4** (High-gradient step-pool)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**B4c** (Gravel, low-slope valley)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**Primary Degradation**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Channel widening, bank erosion.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Steep sand siltation, headcutting.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Agricultural ditching, entrenchment.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**Primary NCD Structures**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Rock Cross-Vanes, Log J-Hooks.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Log step-pools, sediment basins.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Log J-Hooks, Root Wad complexes.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**USACE Permit Pathway**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NWP 27 (Showcase/PRM Bank)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General Maintenance / NWP 27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NWP 27 (Compensatory Bank)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**EPD Buffer Variance**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Required (Submitted to Brian Kent)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Expedited (Tributary tributary)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Approved (BV-104-23-08)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**Estimated Credit Yield**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**12,900 Credits** (Gross: $2.32M)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Private Consulting Showcase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**7,440 Credits** (Gross: $892k)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**Primary Business Value**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Commercial credit supply asset.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"Living Showroom" for private estates.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Historical proof-of-concept.</w:t>
            </w:r>
          </w:p>
        </w:tc>
      </w:tr>
    </w:tbl>
    <w:p>
      <w:pPr>
        <w:spacing w:before="16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