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START HERE: Hunter's Stream Restoration Business Launch Guide</w:t>
      </w:r>
    </w:p>
    <w:p>
      <w:pPr>
        <w:spacing w:before="360" w:after="120"/>
      </w:pPr>
      <w:r>
        <w:rPr>
          <w:b/>
          <w:color w:val="2E75B6"/>
          <w:sz w:val="32"/>
        </w:rPr>
        <w:t>Your Step-by-Step Action Plan &amp; Deliverables Map</w:t>
      </w:r>
    </w:p>
    <w:p>
      <w:r/>
      <w:r>
        <w:rPr>
          <w:b/>
        </w:rPr>
        <w:t>Founder &amp; Managing Director</w:t>
      </w:r>
      <w:r>
        <w:t>: Hunter (Fly Fishing Georgia North Mountains)</w:t>
      </w:r>
    </w:p>
    <w:p>
      <w:r/>
      <w:r>
        <w:rPr>
          <w:b/>
        </w:rPr>
        <w:t>Co-Founder &amp; Board Member</w:t>
      </w:r>
      <w:r>
        <w:t>: Hadi Irvani (General Partner at Infill Capital, University of Virginia - UVA)</w:t>
      </w:r>
    </w:p>
    <w:p>
      <w:r/>
      <w:r>
        <w:rPr>
          <w:b/>
        </w:rPr>
        <w:t>Strategic Advisor &amp; Sponsor</w:t>
      </w:r>
      <w:r>
        <w:t>: Hill Hardman (Granite Holdings)</w:t>
      </w:r>
    </w:p>
    <w:p>
      <w:r/>
      <w:r>
        <w:rPr>
          <w:b/>
        </w:rPr>
        <w:t>Ultimate KPI</w:t>
      </w:r>
      <w:r>
        <w:t>: Fund world-class fly fishing trip to Argentina!</w:t>
      </w:r>
    </w:p>
    <w:p>
      <w:r>
        <w:t xml:space="preserve">Welcome, Hunter! This guide binds together all the technical, regulatory, and sales playbooks in this folder to give you a clear, highly actionable launch roadmap. By executing these steps, you will establish </w:t>
      </w:r>
      <w:r>
        <w:rPr>
          <w:b/>
        </w:rPr>
        <w:t>Blue Ridge Stream Restoration &amp; Mitigation LLC</w:t>
      </w:r>
      <w:r>
        <w:t xml:space="preserve"> as the premier trout-focused geomorphic restoration firm in the Southeast, generate substantial mitigation credit equity, and fund that world-class fly fishing trip to Argentina!</w:t>
      </w:r>
    </w:p>
    <w:p>
      <w:pPr>
        <w:spacing w:after="240"/>
      </w:pPr>
      <w:r>
        <w:rPr>
          <w:color w:val="D9D9D9"/>
        </w:rPr>
        <w:t>____________________________________________________</w:t>
      </w:r>
    </w:p>
    <w:p>
      <w:pPr>
        <w:spacing w:before="360" w:after="120"/>
      </w:pPr>
      <w:r>
        <w:rPr>
          <w:b/>
          <w:color w:val="2E75B6"/>
          <w:sz w:val="32"/>
        </w:rPr>
        <w:t>📂 Your Document Directory Map</w:t>
      </w:r>
    </w:p>
    <w:p>
      <w:r>
        <w:t>Every document in this folder is provided in three formats:</w:t>
      </w:r>
    </w:p>
    <w:p>
      <w:pPr>
        <w:pStyle w:val="ListNumber"/>
        <w:spacing w:after="60"/>
      </w:pPr>
      <w:r/>
      <w:r>
        <w:rPr>
          <w:b/>
        </w:rPr>
        <w:t>Markdown (.md)</w:t>
      </w:r>
      <w:r>
        <w:t>: For viewing in code editors or publishing.</w:t>
      </w:r>
    </w:p>
    <w:p>
      <w:pPr>
        <w:pStyle w:val="ListNumber"/>
        <w:spacing w:after="60"/>
      </w:pPr>
      <w:r/>
      <w:r>
        <w:rPr>
          <w:b/>
        </w:rPr>
        <w:t>Microsoft Word (.docx)</w:t>
      </w:r>
      <w:r>
        <w:t>: Beautifully formatted with corporate styling and grid-line tables for editing or sharing with partners.</w:t>
      </w:r>
    </w:p>
    <w:p>
      <w:pPr>
        <w:pStyle w:val="ListNumber"/>
        <w:spacing w:after="60"/>
      </w:pPr>
      <w:r/>
      <w:r>
        <w:rPr>
          <w:b/>
        </w:rPr>
        <w:t>Adobe PDF (.pdf)</w:t>
      </w:r>
      <w:r>
        <w:t>: Publication-quality documents styled with deep navy accents and custom headers, optimized for reading on tablets, phones, or printing.</w:t>
      </w:r>
    </w:p>
    <w:p>
      <w:pPr>
        <w:spacing w:before="240" w:after="80"/>
      </w:pPr>
      <w:r>
        <w:rPr>
          <w:b/>
          <w:color w:val="595959"/>
          <w:sz w:val="26"/>
        </w:rPr>
        <w:t>The Master Playbooks in Your Folder:</w:t>
      </w:r>
    </w:p>
    <w:p>
      <w:pPr>
        <w:pStyle w:val="ListBullet"/>
        <w:spacing w:after="60"/>
      </w:pPr>
      <w:r/>
      <w:r>
        <w:rPr>
          <w:b/>
        </w:rPr>
        <w:t>`00_START_HERE_Hunter_Action_Guide`</w:t>
      </w:r>
      <w:r>
        <w:t>: This document—your master checklist and quick-start guide.</w:t>
      </w:r>
    </w:p>
    <w:p>
      <w:pPr>
        <w:pStyle w:val="ListBullet"/>
        <w:spacing w:after="60"/>
      </w:pPr>
      <w:r/>
      <w:r>
        <w:rPr>
          <w:b/>
        </w:rPr>
        <w:t>`01_Executive_Summary_&amp;_Business_Plan`</w:t>
      </w:r>
      <w:r>
        <w:t>: Your corporate identity, phased LLC/consulting roadmap, LinkedIn marketing strategy, and 30-day posting calendar.</w:t>
      </w:r>
    </w:p>
    <w:p>
      <w:pPr>
        <w:pStyle w:val="ListBullet"/>
        <w:spacing w:after="60"/>
      </w:pPr>
      <w:r/>
      <w:r>
        <w:rPr>
          <w:b/>
        </w:rPr>
        <w:t>`02_USACE_Mitigation_Banking_Framework`</w:t>
      </w:r>
      <w:r>
        <w:t>: Technical guide detailing Savannah District compensatory stream credit rules, permit stages, and bioengineering structures.</w:t>
      </w:r>
    </w:p>
    <w:p>
      <w:pPr>
        <w:pStyle w:val="ListBullet"/>
        <w:spacing w:after="60"/>
      </w:pPr>
      <w:r/>
      <w:r>
        <w:rPr>
          <w:b/>
        </w:rPr>
        <w:t>`03_ACR_Anderson_Creek_Case_Study`</w:t>
      </w:r>
      <w:r>
        <w:t xml:space="preserve">: Complete geomorphic design-build and credit-generation blueprint for </w:t>
      </w:r>
      <w:r>
        <w:rPr>
          <w:b/>
        </w:rPr>
        <w:t>Roya's Cabin at Anderson Creek</w:t>
      </w:r>
      <w:r>
        <w:t xml:space="preserve"> (the 30-acre showcase site).</w:t>
      </w:r>
    </w:p>
    <w:p>
      <w:pPr>
        <w:pStyle w:val="ListBullet"/>
        <w:spacing w:after="60"/>
      </w:pPr>
      <w:r/>
      <w:r>
        <w:rPr>
          <w:b/>
        </w:rPr>
        <w:t>`04_Competitor_Analysis_Matrix`</w:t>
      </w:r>
      <w:r>
        <w:t xml:space="preserve">: Detailed regional market analysis. (Also check </w:t>
      </w:r>
      <w:r>
        <w:rPr>
          <w:b/>
        </w:rPr>
        <w:t>`04_Competitor_Analysis_Matrix.xlsx`</w:t>
      </w:r>
      <w:r>
        <w:t xml:space="preserve"> for the Excel spreadsheet version).</w:t>
      </w:r>
    </w:p>
    <w:p>
      <w:pPr>
        <w:pStyle w:val="ListBullet"/>
        <w:spacing w:after="60"/>
      </w:pPr>
      <w:r/>
      <w:r>
        <w:rPr>
          <w:b/>
        </w:rPr>
        <w:t>`05_Sales_Playbook_&amp;_B2B_Outreach`</w:t>
      </w:r>
      <w:r>
        <w:t>: LinkedIn DM templates, phone scripts, and your qualified directory of Southeast developers and brokers (including Fuqua, Sefried, Ray Weeks, Saltbox, Stream Realty, and Transwestern).</w:t>
      </w:r>
    </w:p>
    <w:p>
      <w:pPr>
        <w:pStyle w:val="ListBullet"/>
        <w:spacing w:after="60"/>
      </w:pPr>
      <w:r/>
      <w:r>
        <w:rPr>
          <w:b/>
        </w:rPr>
        <w:t>`06_USACE_Regulatory_&amp;_Mathematical_Framework`</w:t>
      </w:r>
      <w:r>
        <w:t>: Deep-dive guide explaining the exact mathematical formulas for calculating developer debits (impacts) and bank credits (ecological lift).</w:t>
      </w:r>
    </w:p>
    <w:p>
      <w:pPr>
        <w:pStyle w:val="ListBullet"/>
        <w:spacing w:after="60"/>
      </w:pPr>
      <w:r/>
      <w:r>
        <w:rPr>
          <w:b/>
        </w:rPr>
        <w:t>`07_Goldmine_Hollow_Case_Study`</w:t>
      </w:r>
      <w:r>
        <w:t xml:space="preserve">: Complete design-build and marketing plan for </w:t>
      </w:r>
      <w:r>
        <w:rPr>
          <w:b/>
        </w:rPr>
        <w:t>Goldmine Hollow at Hunter's Cabin</w:t>
      </w:r>
      <w:r>
        <w:t xml:space="preserve"> along the famous wild trout waters of </w:t>
      </w:r>
      <w:r>
        <w:rPr>
          <w:b/>
        </w:rPr>
        <w:t>Noontootla Creek</w:t>
      </w:r>
      <w:r>
        <w:t>.</w:t>
      </w:r>
    </w:p>
    <w:p>
      <w:pPr>
        <w:spacing w:after="240"/>
      </w:pPr>
      <w:r>
        <w:rPr>
          <w:color w:val="D9D9D9"/>
        </w:rPr>
        <w:t>____________________________________________________</w:t>
      </w:r>
    </w:p>
    <w:p>
      <w:pPr>
        <w:spacing w:before="360" w:after="120"/>
      </w:pPr>
      <w:r>
        <w:rPr>
          <w:b/>
          <w:color w:val="2E75B6"/>
          <w:sz w:val="32"/>
        </w:rPr>
        <w:t>🚀 Hunter's Phased 90-Day Action Plan</w:t>
      </w:r>
    </w:p>
    <w:p>
      <w:r>
        <w:t>Follow this sequential checklist to transition from fly-fishing expert to high-end ecological developer:</w:t>
      </w:r>
    </w:p>
    <w:p>
      <w:pPr>
        <w:spacing w:before="240" w:after="80"/>
      </w:pPr>
      <w:r>
        <w:rPr>
          <w:b/>
          <w:color w:val="595959"/>
          <w:sz w:val="26"/>
        </w:rPr>
        <w:t>Phase 1: Establish Your Brand &amp; B2B Presence (Days 1–30)</w:t>
      </w:r>
    </w:p>
    <w:p>
      <w:pPr>
        <w:pStyle w:val="ListBullet"/>
        <w:spacing w:after="60"/>
      </w:pPr>
      <w:r>
        <w:t xml:space="preserve">[ ] </w:t>
      </w:r>
      <w:r>
        <w:rPr>
          <w:b/>
        </w:rPr>
        <w:t>Establish the Consulting Umbrella</w:t>
      </w:r>
      <w:r>
        <w:t xml:space="preserve">: For your first 1–2 projects, operate as </w:t>
      </w:r>
      <w:r>
        <w:rPr>
          <w:b/>
        </w:rPr>
        <w:t>"Blue Ridge Stream Consulting"</w:t>
      </w:r>
      <w:r>
        <w:t>—a dedicated consulting division under your existing, highly respected brand, *Fly Fishing Georgia North Mountains*. This avoids immediate LLC filing fees and lets you leverage your existing reputation.</w:t>
      </w:r>
    </w:p>
    <w:p>
      <w:pPr>
        <w:pStyle w:val="ListBullet"/>
        <w:spacing w:after="60"/>
      </w:pPr>
      <w:r>
        <w:t xml:space="preserve">[ ] </w:t>
      </w:r>
      <w:r>
        <w:rPr>
          <w:b/>
        </w:rPr>
        <w:t>Launch Your LinkedIn B2B Page</w:t>
      </w:r>
      <w:r>
        <w:t xml:space="preserve">: Create a professional LinkedIn Business Page named </w:t>
      </w:r>
      <w:r>
        <w:rPr>
          <w:b/>
        </w:rPr>
        <w:t>"Blue Ridge Stream Restoration &amp; Mitigation"</w:t>
      </w:r>
      <w:r>
        <w:t xml:space="preserve"> using the branding and copy formulas in </w:t>
      </w:r>
      <w:r>
        <w:rPr>
          <w:b/>
        </w:rPr>
        <w:t>`01_Executive_Summary_&amp;_Business_Plan`</w:t>
      </w:r>
      <w:r>
        <w:t>.</w:t>
      </w:r>
    </w:p>
    <w:p>
      <w:pPr>
        <w:pStyle w:val="ListBullet"/>
        <w:spacing w:after="60"/>
      </w:pPr>
      <w:r>
        <w:t xml:space="preserve">[ ] </w:t>
      </w:r>
      <w:r>
        <w:rPr>
          <w:b/>
        </w:rPr>
        <w:t>Execute the 30-Day LinkedIn Content Calendar</w:t>
      </w:r>
      <w:r>
        <w:t>: Post twice a week using the templates provided in the Business Plan. Focus on educating developers and brokers about Natural Channel Design (NCD) vs. hard engineering, using high-quality photos of scoured trout pools at Anderson Creek and step-pools at Goldmine Hollow.</w:t>
      </w:r>
    </w:p>
    <w:p>
      <w:pPr>
        <w:pStyle w:val="ListBullet"/>
        <w:spacing w:after="60"/>
      </w:pPr>
      <w:r>
        <w:t xml:space="preserve">[ ] </w:t>
      </w:r>
      <w:r>
        <w:rPr>
          <w:b/>
        </w:rPr>
        <w:t>Connect with Your Warm Network</w:t>
      </w:r>
      <w:r>
        <w:t>: Connect on LinkedIn with the high-value commercial developers and brokers in your qualified directory (</w:t>
      </w:r>
      <w:r>
        <w:rPr>
          <w:b/>
        </w:rPr>
        <w:t>`05_Sales_Playbook_&amp;_B2B_Outreach`</w:t>
      </w:r>
      <w:r>
        <w:t xml:space="preserve">), starting with </w:t>
      </w:r>
      <w:r>
        <w:rPr>
          <w:b/>
        </w:rPr>
        <w:t>Jack Chapman (Transwestern)</w:t>
      </w:r>
      <w:r>
        <w:t xml:space="preserve"> and </w:t>
      </w:r>
      <w:r>
        <w:rPr>
          <w:b/>
        </w:rPr>
        <w:t>Stream Realty Partners</w:t>
      </w:r>
      <w:r>
        <w:t>.</w:t>
      </w:r>
    </w:p>
    <w:p>
      <w:pPr>
        <w:spacing w:after="240"/>
      </w:pPr>
      <w:r>
        <w:rPr>
          <w:color w:val="D9D9D9"/>
        </w:rPr>
        <w:t>____________________________________________________</w:t>
      </w:r>
    </w:p>
    <w:p>
      <w:pPr>
        <w:spacing w:before="240" w:after="80"/>
      </w:pPr>
      <w:r>
        <w:rPr>
          <w:b/>
          <w:color w:val="595959"/>
          <w:sz w:val="26"/>
        </w:rPr>
        <w:t>Phase 2: Permit &amp; Prepare Your Flagship Case Studies (Days 31–60)</w:t>
      </w:r>
    </w:p>
    <w:p>
      <w:pPr>
        <w:pStyle w:val="ListBullet"/>
        <w:spacing w:after="60"/>
      </w:pPr>
      <w:r>
        <w:t xml:space="preserve">[ ] </w:t>
      </w:r>
      <w:r>
        <w:rPr>
          <w:b/>
        </w:rPr>
        <w:t>Prepare the Anderson Creek (ACR - Roya's Cabin) Design Package</w:t>
      </w:r>
      <w:r>
        <w:t>: Map out the 2,500 linear foot degraded perennial stream reach on the 30-acre lot. Detail the geomorphic cross-sections showing how you will narrow the channel bankfull width and scour coldwater pools using J-Hook rock vanes, log vanes, and root wads.</w:t>
      </w:r>
    </w:p>
    <w:p>
      <w:pPr>
        <w:pStyle w:val="ListBullet"/>
        <w:spacing w:after="60"/>
      </w:pPr>
      <w:r>
        <w:t xml:space="preserve">[ ] </w:t>
      </w:r>
      <w:r>
        <w:rPr>
          <w:b/>
        </w:rPr>
        <w:t>File for Anderson Creek (Roya's Cabin) Permits</w:t>
      </w:r>
      <w:r>
        <w:t>:</w:t>
      </w:r>
    </w:p>
    <w:p>
      <w:pPr>
        <w:pStyle w:val="ListBullet"/>
        <w:spacing w:after="60"/>
      </w:pPr>
      <w:r>
        <w:t xml:space="preserve">Submit a </w:t>
      </w:r>
      <w:r>
        <w:rPr>
          <w:b/>
        </w:rPr>
        <w:t>USACE Nationwide Permit 27 (NWP 27)</w:t>
      </w:r>
      <w:r>
        <w:t xml:space="preserve"> application for aquatic habitat restoration.</w:t>
      </w:r>
    </w:p>
    <w:p>
      <w:pPr>
        <w:pStyle w:val="ListBullet"/>
        <w:spacing w:after="60"/>
      </w:pPr>
      <w:r>
        <w:t xml:space="preserve">Submit a </w:t>
      </w:r>
      <w:r>
        <w:rPr>
          <w:b/>
        </w:rPr>
        <w:t>Georgia EPD Stream Buffer Variance (SBV)</w:t>
      </w:r>
      <w:r>
        <w:t xml:space="preserve"> application to </w:t>
      </w:r>
      <w:r>
        <w:rPr>
          <w:b/>
        </w:rPr>
        <w:t>Brian Kent</w:t>
      </w:r>
      <w:r>
        <w:t xml:space="preserve"> at EPD for temporary construction buffer disturbance.</w:t>
      </w:r>
    </w:p>
    <w:p>
      <w:pPr>
        <w:pStyle w:val="ListBullet"/>
        <w:spacing w:after="60"/>
      </w:pPr>
      <w:r>
        <w:t xml:space="preserve">[ ] </w:t>
      </w:r>
      <w:r>
        <w:rPr>
          <w:b/>
        </w:rPr>
        <w:t>Initiate the Corblu Joint Venture (JV)</w:t>
      </w:r>
      <w:r>
        <w:t xml:space="preserve">: Set up a meeting with </w:t>
      </w:r>
      <w:r>
        <w:rPr>
          <w:b/>
        </w:rPr>
        <w:t>Neil Blackman (Principal at Corblu Ecology Group)</w:t>
      </w:r>
      <w:r>
        <w:t xml:space="preserve"> using the B2B script in the Sales Playbook. Propose a Joint Venture: Hunter handles the geomorphic NCD design-build construction, and Corblu manages the regulatory banking instrument and credit broker ledger in RIBITS.</w:t>
      </w:r>
    </w:p>
    <w:p>
      <w:pPr>
        <w:pStyle w:val="ListBullet"/>
        <w:spacing w:after="60"/>
      </w:pPr>
      <w:r>
        <w:t xml:space="preserve">[ ] </w:t>
      </w:r>
      <w:r>
        <w:rPr>
          <w:b/>
        </w:rPr>
        <w:t>Design the Goldmine Hollow Sediment Control Package</w:t>
      </w:r>
      <w:r>
        <w:t>: Map out Hunter's Cabin mountain tributary step-pools and sediment traps to capture unpaved road runoff before it smothers Noontootla Creek spawning gravel.</w:t>
      </w:r>
    </w:p>
    <w:p>
      <w:pPr>
        <w:spacing w:after="240"/>
      </w:pPr>
      <w:r>
        <w:rPr>
          <w:color w:val="D9D9D9"/>
        </w:rPr>
        <w:t>____________________________________________________</w:t>
      </w:r>
    </w:p>
    <w:p>
      <w:pPr>
        <w:spacing w:before="240" w:after="80"/>
      </w:pPr>
      <w:r>
        <w:rPr>
          <w:b/>
          <w:color w:val="595959"/>
          <w:sz w:val="26"/>
        </w:rPr>
        <w:t>Phase 3: Construct Your Showcases &amp; Close Your First Credit Sale (Days 61–90)</w:t>
      </w:r>
    </w:p>
    <w:p>
      <w:pPr>
        <w:pStyle w:val="ListBullet"/>
        <w:spacing w:after="60"/>
      </w:pPr>
      <w:r>
        <w:t xml:space="preserve">[ ] </w:t>
      </w:r>
      <w:r>
        <w:rPr>
          <w:b/>
        </w:rPr>
        <w:t>Execute Showcase Construction</w:t>
      </w:r>
      <w:r>
        <w:t>:</w:t>
      </w:r>
    </w:p>
    <w:p>
      <w:pPr>
        <w:pStyle w:val="ListBullet"/>
        <w:spacing w:after="60"/>
      </w:pPr>
      <w:r/>
      <w:r>
        <w:rPr>
          <w:b/>
        </w:rPr>
        <w:t>At Roya's Cabin (Anderson Creek)</w:t>
      </w:r>
      <w:r>
        <w:t xml:space="preserve">: Reconstruct the stream's original "footings" and banks. Plant a 100-foot native riparian buffer on both banks to maximize credit multipliers (estimated </w:t>
      </w:r>
      <w:r>
        <w:rPr>
          <w:b/>
        </w:rPr>
        <w:t>12,900 credits</w:t>
      </w:r>
      <w:r>
        <w:t xml:space="preserve"> total).</w:t>
      </w:r>
    </w:p>
    <w:p>
      <w:pPr>
        <w:pStyle w:val="ListBullet"/>
        <w:spacing w:after="60"/>
      </w:pPr>
      <w:r/>
      <w:r>
        <w:rPr>
          <w:b/>
        </w:rPr>
        <w:t>At Hunter's Cabin (Goldmine Hollow)</w:t>
      </w:r>
      <w:r>
        <w:t>: Construct cedar log step-pools to trap sand and create deep plunge pools, and re-establish dense Eastern Hemlock/Rhododendron buffers.</w:t>
      </w:r>
    </w:p>
    <w:p>
      <w:pPr>
        <w:pStyle w:val="ListBullet"/>
        <w:spacing w:after="60"/>
      </w:pPr>
      <w:r>
        <w:t xml:space="preserve">[ ] </w:t>
      </w:r>
      <w:r>
        <w:rPr>
          <w:b/>
        </w:rPr>
        <w:t>Host "Showcase Days"</w:t>
      </w:r>
      <w:r>
        <w:t>:</w:t>
      </w:r>
    </w:p>
    <w:p>
      <w:pPr>
        <w:pStyle w:val="ListBullet"/>
        <w:spacing w:after="60"/>
      </w:pPr>
      <w:r/>
      <w:r>
        <w:rPr>
          <w:b/>
        </w:rPr>
        <w:t>Developer Showcase (Roya's Cabin)</w:t>
      </w:r>
      <w:r>
        <w:t>: Invite local engineers (</w:t>
      </w:r>
      <w:r>
        <w:rPr>
          <w:b/>
        </w:rPr>
        <w:t>Steven Bridges</w:t>
      </w:r>
      <w:r>
        <w:t>) and developers (</w:t>
      </w:r>
      <w:r>
        <w:rPr>
          <w:b/>
        </w:rPr>
        <w:t>Mike Irby at Taylor Mathis</w:t>
      </w:r>
      <w:r>
        <w:t xml:space="preserve">, </w:t>
      </w:r>
      <w:r>
        <w:rPr>
          <w:b/>
        </w:rPr>
        <w:t>Jeff Fuqua</w:t>
      </w:r>
      <w:r>
        <w:t>) to view the stable geomorphic banks and discuss credit purchases.</w:t>
      </w:r>
    </w:p>
    <w:p>
      <w:pPr>
        <w:pStyle w:val="ListBullet"/>
        <w:spacing w:after="60"/>
      </w:pPr>
      <w:r/>
      <w:r>
        <w:rPr>
          <w:b/>
        </w:rPr>
        <w:t>Private Landowner Showcase (Hunter's Cabin)</w:t>
      </w:r>
      <w:r>
        <w:t>: Invite high-net-worth mountain estate owners and land brokers (</w:t>
      </w:r>
      <w:r>
        <w:rPr>
          <w:b/>
        </w:rPr>
        <w:t>Jack Chapman</w:t>
      </w:r>
      <w:r>
        <w:t>) to experience a weekend of wild trout fishing on Noontootla Creek and walk the Goldmine Hollow step-pools.</w:t>
      </w:r>
    </w:p>
    <w:p>
      <w:pPr>
        <w:pStyle w:val="ListBullet"/>
        <w:spacing w:after="60"/>
      </w:pPr>
      <w:r>
        <w:t xml:space="preserve">[ ] </w:t>
      </w:r>
      <w:r>
        <w:rPr>
          <w:b/>
        </w:rPr>
        <w:t>Secure the Initial 15% Credit Release</w:t>
      </w:r>
      <w:r>
        <w:t xml:space="preserve">: Once the Conservation Easement is recorded at Anderson Creek, secure the initial release of </w:t>
      </w:r>
      <w:r>
        <w:rPr>
          <w:b/>
        </w:rPr>
        <w:t>1,935 credits</w:t>
      </w:r>
      <w:r>
        <w:t xml:space="preserve"> (gross asset value of </w:t>
      </w:r>
      <w:r>
        <w:rPr>
          <w:b/>
        </w:rPr>
        <w:t>$348,300</w:t>
      </w:r>
      <w:r>
        <w:t xml:space="preserve"> at $180/credit).</w:t>
      </w:r>
    </w:p>
    <w:p>
      <w:pPr>
        <w:pStyle w:val="ListBullet"/>
        <w:spacing w:after="60"/>
      </w:pPr>
      <w:r>
        <w:t xml:space="preserve">[ ] </w:t>
      </w:r>
      <w:r>
        <w:rPr>
          <w:b/>
        </w:rPr>
        <w:t>Broker Your First Credit Sale</w:t>
      </w:r>
      <w:r>
        <w:t>: Partner with Corblu and Jack Chapman to supply credits directly to active industrial developers (like Sefried or Ray Weeks) or mixed-use retail developers (Fuqua) facing permit offsets.</w:t>
      </w:r>
    </w:p>
    <w:p>
      <w:pPr>
        <w:pStyle w:val="ListBullet"/>
        <w:spacing w:after="60"/>
      </w:pPr>
      <w:r>
        <w:t xml:space="preserve">[ ] </w:t>
      </w:r>
      <w:r>
        <w:rPr>
          <w:b/>
        </w:rPr>
        <w:t>Book the Argentina Fly Fishing Trip</w:t>
      </w:r>
      <w:r>
        <w:t>: Set aside $15,000 from your first credit sale net margin to book the world-class Patagonia fly-fishing expedition for you and Co-Founder Hadi Irvani!</w:t>
      </w:r>
    </w:p>
    <w:p>
      <w:pPr>
        <w:spacing w:after="240"/>
      </w:pPr>
      <w:r>
        <w:rPr>
          <w:color w:val="D9D9D9"/>
        </w:rPr>
        <w:t>____________________________________________________</w:t>
      </w:r>
    </w:p>
    <w:p>
      <w:pPr>
        <w:spacing w:before="360" w:after="120"/>
      </w:pPr>
      <w:r>
        <w:rPr>
          <w:b/>
          <w:color w:val="2E75B6"/>
          <w:sz w:val="32"/>
        </w:rPr>
        <w:t>🎣 The Case Studies: How to Present Them to Clients</w:t>
      </w:r>
    </w:p>
    <w:p>
      <w:r>
        <w:t>When pitch-booking developers or high-end private landowners, use these two distinct case study narratives to prove your value:</w:t>
      </w:r>
    </w:p>
    <w:p>
      <w:pPr>
        <w:spacing w:before="240" w:after="80"/>
      </w:pPr>
      <w:r>
        <w:rPr>
          <w:b/>
          <w:color w:val="595959"/>
          <w:sz w:val="26"/>
        </w:rPr>
        <w:t>Case Study A: The Commercial B2B Permit Accelerator (Roya's Cabin at Anderson Creek)</w:t>
      </w:r>
    </w:p>
    <w:p>
      <w:pPr>
        <w:pStyle w:val="ListBullet"/>
        <w:spacing w:after="60"/>
      </w:pPr>
      <w:r/>
      <w:r>
        <w:rPr>
          <w:b/>
        </w:rPr>
        <w:t>The Client</w:t>
      </w:r>
      <w:r>
        <w:t>: Commercial mixed-use and industrial developers (e.g., Fuqua, Sefried, Taylor Mathis) who need compensatory credits to clear CWA 404 and buffer variance hurdles.</w:t>
      </w:r>
    </w:p>
    <w:p>
      <w:pPr>
        <w:pStyle w:val="ListBullet"/>
        <w:spacing w:after="60"/>
      </w:pPr>
      <w:r/>
      <w:r>
        <w:rPr>
          <w:b/>
        </w:rPr>
        <w:t>The Narrative</w:t>
      </w:r>
      <w:r>
        <w:t>: *"We executed a high-yielding, USACE-approved stream mitigation project under NWP 27 at the 30-acre Roya's Cabin parcel on Anderson Creek. Reconnecting 2,500 linear feet of stream to its historic geomorphic footing generated 12,900 stream credits under the Savannah District SOP. We partnered with Corblu to supply these Priority 1 credits directly to industrial logistics developers, saving them 18 months of regulatory delays on their permits."*</w:t>
      </w:r>
    </w:p>
    <w:p>
      <w:pPr>
        <w:spacing w:before="240" w:after="80"/>
      </w:pPr>
      <w:r>
        <w:rPr>
          <w:b/>
          <w:color w:val="595959"/>
          <w:sz w:val="26"/>
        </w:rPr>
        <w:t>Case Study B: The Private Landowner Trout Haven (Goldmine Hollow at Hunter's Cabin)</w:t>
      </w:r>
    </w:p>
    <w:p>
      <w:pPr>
        <w:pStyle w:val="ListBullet"/>
        <w:spacing w:after="60"/>
      </w:pPr>
      <w:r/>
      <w:r>
        <w:rPr>
          <w:b/>
        </w:rPr>
        <w:t>The Client</w:t>
      </w:r>
      <w:r>
        <w:t>: High-net-worth private landowners who own estates along premium North Georgia trout waters (Noontootla Creek, Toccoa River, Cartecay River, Soque River).</w:t>
      </w:r>
    </w:p>
    <w:p>
      <w:pPr>
        <w:pStyle w:val="ListBullet"/>
        <w:spacing w:after="60"/>
      </w:pPr>
      <w:r/>
      <w:r>
        <w:rPr>
          <w:b/>
        </w:rPr>
        <w:t>The Narrative</w:t>
      </w:r>
      <w:r>
        <w:t>: *"We transformed a steep mountain tributary feeding into legendary wild trout water (Noontootla Creek) at Hunter's Cabin in Goldmine Hollow. By constructing natural log step-pools, we trapped erosive road sediment, prevented headcutting, and built robust juvenile trout plunge-pools—stabilizing the property while establishing a beautiful, self-sustaining wild trout sanctuary that elevates the property's recreational and market value by 20%."*</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