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54: The Triple-Bank Branding Masterclass &amp; Competitor Search Positioning Playbook</w:t>
      </w:r>
    </w:p>
    <w:p>
      <w:pPr>
        <w:spacing w:before="160" w:after="160"/>
        <w:ind w:left="576"/>
      </w:pPr>
      <w:r>
        <w:rPr>
          <w:i/>
          <w:color w:val="595959"/>
          <w:sz w:val="21"/>
        </w:rPr>
        <w:t>**Branding &amp; Sourcing Alignment Guide**: This playbook establishes Co-Founder &amp; Managing Director **Hunter Morris**'s preeminent positioning as North Georgia’s premier stream keeper. By leveraging the semantic "double meaning" of the word **Bank**, we construct a unified marketing, legal, and financial narrative that sets Blue Ridge Stream Restoration &amp; Mitigation LLC completely apart from private-equity backed conglomerates. Additionally, we benchmark the active regional banks of **Corblu Ecology Group** to construct localized, high-value sourcing strategies, paired with a complete visual and technical source code blueprint for Hunter's next-generation interactive search and geomorphic proceed calculator website tools.</w:t>
      </w:r>
    </w:p>
    <w:p>
      <w:pPr>
        <w:spacing w:after="240"/>
      </w:pPr>
      <w:r>
        <w:rPr>
          <w:color w:val="D9D9D9"/>
        </w:rPr>
        <w:t>____________________________________________________</w:t>
      </w:r>
    </w:p>
    <w:p>
      <w:pPr>
        <w:spacing w:before="360" w:after="120"/>
      </w:pPr>
      <w:r>
        <w:rPr>
          <w:b/>
          <w:color w:val="2E75B6"/>
          <w:sz w:val="32"/>
        </w:rPr>
        <w:t>I. The Triple-Bank Semantic Framework: Science, Regulation, &amp; Wealth</w:t>
      </w:r>
    </w:p>
    <w:p>
      <w:r>
        <w:t xml:space="preserve">Nameless corporate conglomerates (such as Resource Environmental Solutions - RES) approach landowners with sterile, clinical, and regulatory-heavy language that alienates rural families. They focus exclusively on CWA Section 404 credit yields and easement boundaries. We position Hunter Morris as the only developer who restores the physical </w:t>
      </w:r>
      <w:r>
        <w:rPr>
          <w:b/>
        </w:rPr>
        <w:t>geomorphic bank</w:t>
      </w:r>
      <w:r>
        <w:t xml:space="preserve"> to deposit credits in the regulatory </w:t>
      </w:r>
      <w:r>
        <w:rPr>
          <w:b/>
        </w:rPr>
        <w:t>mitigation bank</w:t>
      </w:r>
      <w:r>
        <w:t xml:space="preserve">, securing wealth for the landowner's permanent family </w:t>
      </w:r>
      <w:r>
        <w:rPr>
          <w:b/>
        </w:rPr>
        <w:t>land bank</w:t>
      </w:r>
      <w:r>
        <w:t>.</w:t>
      </w:r>
    </w:p>
    <w:p>
      <w:r>
        <w:t>This "Triple-Bank" framework unifies the entire ecological, regulatory, and financial lifecycle of a project into a single, intellectually satisfying storytelling pillar:</w:t>
      </w:r>
    </w:p>
    <w:p>
      <w:pPr>
        <w:spacing w:before="240" w:after="80"/>
      </w:pPr>
      <w:r>
        <w:rPr>
          <w:b/>
          <w:color w:val="595959"/>
          <w:sz w:val="26"/>
        </w:rPr>
        <w:t>1. The Geomorphic Bank (The Slope &amp; Spawning Habitat)</w:t>
      </w:r>
    </w:p>
    <w:p>
      <w:pPr>
        <w:pStyle w:val="ListBullet"/>
        <w:spacing w:after="60"/>
      </w:pPr>
      <w:r>
        <w:t>*The Reality*: Rural North Georgia streams are suffering from severe lateral bank migration, headcuts, and siltation caused by historical timber clear-cutting and agriculture.</w:t>
      </w:r>
    </w:p>
    <w:p>
      <w:pPr>
        <w:pStyle w:val="ListBullet"/>
        <w:spacing w:after="60"/>
      </w:pPr>
      <w:r>
        <w:t xml:space="preserve">*The Action*: Hunter Morris's team of </w:t>
      </w:r>
      <w:r>
        <w:rPr>
          <w:b/>
        </w:rPr>
        <w:t>12 to 20 active river professionals</w:t>
      </w:r>
      <w:r>
        <w:t xml:space="preserve"> deploys heavy excavators running on vegetable-based biodegradable hydraulic fluid. We regrade vertical banks to a stable 3:1 bankfull slope, install cedar toe-wood layers, place rock J-hook vanes to redirect flow, and transplant mature *Rhododendron maximum* to bind soil and create thermal canopy shade to keep stream waters below 65°F for native trout spawning.</w:t>
      </w:r>
    </w:p>
    <w:p>
      <w:pPr>
        <w:pStyle w:val="ListBullet"/>
        <w:spacing w:after="60"/>
      </w:pPr>
      <w:r>
        <w:t>*The Message*: *"We repair the physical banks of your stream, stopping your family's soil from washing downstream."*</w:t>
      </w:r>
    </w:p>
    <w:p>
      <w:pPr>
        <w:spacing w:before="240" w:after="80"/>
      </w:pPr>
      <w:r>
        <w:rPr>
          <w:b/>
          <w:color w:val="595959"/>
          <w:sz w:val="26"/>
        </w:rPr>
        <w:t>2. The Regulatory Mitigation Bank (The Ledger &amp; Compliance)</w:t>
      </w:r>
    </w:p>
    <w:p>
      <w:pPr>
        <w:pStyle w:val="ListBullet"/>
        <w:spacing w:after="60"/>
      </w:pPr>
      <w:r>
        <w:t>*The Reality*: Section 404 CWA compliance requires developers and county planners to purchase stream mitigation credits to offset wetland and buffer impacts.</w:t>
      </w:r>
    </w:p>
    <w:p>
      <w:pPr>
        <w:pStyle w:val="ListBullet"/>
        <w:spacing w:after="60"/>
      </w:pPr>
      <w:r>
        <w:t>*The Action*: By restoring the stream, the project is officially approved as an active mitigation bank by the USACE Savannah District Interagency Review Team (IRT). Credits are deposited on the federal RIBITS database ledger.</w:t>
      </w:r>
    </w:p>
    <w:p>
      <w:pPr>
        <w:pStyle w:val="ListBullet"/>
        <w:spacing w:after="60"/>
      </w:pPr>
      <w:r>
        <w:t>*The Message*: *"We turn your stabilized stream into a certified mitigation bank, translating geomorphic restoration into valuable, liquid regulatory credits."*</w:t>
      </w:r>
    </w:p>
    <w:p>
      <w:pPr>
        <w:spacing w:before="240" w:after="80"/>
      </w:pPr>
      <w:r>
        <w:rPr>
          <w:b/>
          <w:color w:val="595959"/>
          <w:sz w:val="26"/>
        </w:rPr>
        <w:t>3. The Wealth &amp; Land Bank (The Legacy &amp; Revenue)</w:t>
      </w:r>
    </w:p>
    <w:p>
      <w:pPr>
        <w:pStyle w:val="ListBullet"/>
        <w:spacing w:after="60"/>
      </w:pPr>
      <w:r>
        <w:t>*The Reality*: Landowners want to preserve their land legacy but face rising CUVA agricultural property taxes, zoning boundaries, and cash flow constraints.</w:t>
      </w:r>
    </w:p>
    <w:p>
      <w:pPr>
        <w:pStyle w:val="ListBullet"/>
        <w:spacing w:after="60"/>
      </w:pPr>
      <w:r>
        <w:t xml:space="preserve">*The Action*: The generated credits are sold directly to massive exurban developers or hyperscale data center operators (QTS, Microsoft, Google) at premium pricing. Under our landowner-favorable </w:t>
      </w:r>
      <w:r>
        <w:rPr>
          <w:b/>
        </w:rPr>
        <w:t>70/30 Joint-Venture model</w:t>
      </w:r>
      <w:r>
        <w:t xml:space="preserve">, landowners receive a </w:t>
      </w:r>
      <w:r>
        <w:rPr>
          <w:b/>
        </w:rPr>
        <w:t>30% split of all proceeds</w:t>
      </w:r>
      <w:r>
        <w:t xml:space="preserve"> (yielding </w:t>
      </w:r>
      <w:r>
        <w:rPr>
          <w:b/>
        </w:rPr>
        <w:t>$696,600.00</w:t>
      </w:r>
      <w:r>
        <w:t xml:space="preserve"> on our flagship 1,500-LF Anderson Creek reach) or custom streamside enhancements (heavy timber bridges, spawning runs, fishing pavilions) built by Hunter's crew at zero cost.</w:t>
      </w:r>
    </w:p>
    <w:p>
      <w:pPr>
        <w:pStyle w:val="ListBullet"/>
        <w:spacing w:after="60"/>
      </w:pPr>
      <w:r>
        <w:t>*The Message*: *"We deposit the revenue directly into your family's land bank, securing passive income and protecting your outdoor legacy forever."*</w:t>
      </w:r>
    </w:p>
    <w:p>
      <w:pPr>
        <w:spacing w:after="240"/>
      </w:pPr>
      <w:r>
        <w:rPr>
          <w:color w:val="D9D9D9"/>
        </w:rPr>
        <w:t>____________________________________________________</w:t>
      </w:r>
    </w:p>
    <w:p>
      <w:pPr>
        <w:spacing w:before="360" w:after="120"/>
      </w:pPr>
      <w:r>
        <w:rPr>
          <w:b/>
          <w:color w:val="2E75B6"/>
          <w:sz w:val="32"/>
        </w:rPr>
        <w:t>II. Competitive Sourcing Benchmarks: Corblu's Georgia Footprint</w:t>
      </w:r>
    </w:p>
    <w:p>
      <w:r>
        <w:t xml:space="preserve">To bypass traditional market analysis, Hunter must study the active stream and wetland mitigation banks represented by </w:t>
      </w:r>
      <w:r>
        <w:rPr>
          <w:b/>
        </w:rPr>
        <w:t>Corblu Ecology Group</w:t>
      </w:r>
      <w:r>
        <w:t xml:space="preserve"> (led by Neil Blackman). Corblu is the preeminent regional competitor Statewide. Benchmarking their active banks in our immediate basins allows Hunter to understand localized credit pricing, baseline geomorphic design profiles, and targeted sourcing watersheds.</w:t>
      </w:r>
    </w:p>
    <w:p>
      <w:r>
        <w:t>We have audited the 6 primary active Corblu banks in North Georgia that Hunter Morris should benchmark against:</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jc w:val="center"/>
            </w:pPr>
            <w:r>
              <w:rPr>
                <w:b/>
                <w:color w:val="FFFFFF"/>
                <w:sz w:val="20"/>
              </w:rPr>
              <w:t>Bank Name</w:t>
            </w:r>
          </w:p>
        </w:tc>
        <w:tc>
          <w:tcPr>
            <w:tcW w:type="dxa" w:w="1560"/>
            <w:shd w:fill="1F4E79"/>
            <w:tcMar>
              <w:top w:w="140" w:type="dxa"/>
              <w:bottom w:w="140" w:type="dxa"/>
              <w:left w:w="150" w:type="dxa"/>
              <w:right w:w="150" w:type="dxa"/>
            </w:tcMar>
          </w:tcPr>
          <w:p>
            <w:pPr>
              <w:jc w:val="center"/>
            </w:pPr>
            <w:r>
              <w:rPr>
                <w:b/>
                <w:color w:val="FFFFFF"/>
                <w:sz w:val="20"/>
              </w:rPr>
              <w:t>Primary HUC-8 Basin</w:t>
            </w:r>
          </w:p>
        </w:tc>
        <w:tc>
          <w:tcPr>
            <w:tcW w:type="dxa" w:w="1560"/>
            <w:shd w:fill="1F4E79"/>
            <w:tcMar>
              <w:top w:w="140" w:type="dxa"/>
              <w:bottom w:w="140" w:type="dxa"/>
              <w:left w:w="150" w:type="dxa"/>
              <w:right w:w="150" w:type="dxa"/>
            </w:tcMar>
          </w:tcPr>
          <w:p>
            <w:pPr>
              <w:jc w:val="center"/>
            </w:pPr>
            <w:r>
              <w:rPr>
                <w:b/>
                <w:color w:val="FFFFFF"/>
                <w:sz w:val="20"/>
              </w:rPr>
              <w:t>Local River/Stream</w:t>
            </w:r>
          </w:p>
        </w:tc>
        <w:tc>
          <w:tcPr>
            <w:tcW w:type="dxa" w:w="1560"/>
            <w:shd w:fill="1F4E79"/>
            <w:tcMar>
              <w:top w:w="140" w:type="dxa"/>
              <w:bottom w:w="140" w:type="dxa"/>
              <w:left w:w="150" w:type="dxa"/>
              <w:right w:w="150" w:type="dxa"/>
            </w:tcMar>
          </w:tcPr>
          <w:p>
            <w:pPr>
              <w:jc w:val="center"/>
            </w:pPr>
            <w:r>
              <w:rPr>
                <w:b/>
                <w:color w:val="FFFFFF"/>
                <w:sz w:val="20"/>
              </w:rPr>
              <w:t>County &amp; Coordinates</w:t>
            </w:r>
          </w:p>
        </w:tc>
        <w:tc>
          <w:tcPr>
            <w:tcW w:type="dxa" w:w="1560"/>
            <w:shd w:fill="1F4E79"/>
            <w:tcMar>
              <w:top w:w="140" w:type="dxa"/>
              <w:bottom w:w="140" w:type="dxa"/>
              <w:left w:w="150" w:type="dxa"/>
              <w:right w:w="150" w:type="dxa"/>
            </w:tcMar>
          </w:tcPr>
          <w:p>
            <w:pPr>
              <w:jc w:val="center"/>
            </w:pPr>
            <w:r>
              <w:rPr>
                <w:b/>
                <w:color w:val="FFFFFF"/>
                <w:sz w:val="20"/>
              </w:rPr>
              <w:t>Active Credits &amp; Focus</w:t>
            </w:r>
          </w:p>
        </w:tc>
        <w:tc>
          <w:tcPr>
            <w:tcW w:type="dxa" w:w="1560"/>
            <w:shd w:fill="1F4E79"/>
            <w:tcMar>
              <w:top w:w="140" w:type="dxa"/>
              <w:bottom w:w="140" w:type="dxa"/>
              <w:left w:w="150" w:type="dxa"/>
              <w:right w:w="150" w:type="dxa"/>
            </w:tcMar>
          </w:tcPr>
          <w:p>
            <w:pPr>
              <w:jc w:val="center"/>
            </w:pPr>
            <w:r>
              <w:rPr>
                <w:b/>
                <w:color w:val="FFFFFF"/>
                <w:sz w:val="20"/>
              </w:rPr>
              <w:t>Strategic Sourcing &amp; Benchmarking Insight</w:t>
            </w:r>
          </w:p>
        </w:tc>
      </w:tr>
      <w:tr>
        <w:tc>
          <w:tcPr>
            <w:tcW w:type="dxa" w:w="1560"/>
            <w:tcMar>
              <w:top w:w="100" w:type="dxa"/>
              <w:bottom w:w="100" w:type="dxa"/>
              <w:left w:w="150" w:type="dxa"/>
              <w:right w:w="150" w:type="dxa"/>
            </w:tcMar>
          </w:tcPr>
          <w:p>
            <w:pPr>
              <w:jc w:val="left"/>
            </w:pPr>
            <w:r>
              <w:rPr>
                <w:sz w:val="19"/>
              </w:rPr>
              <w:t>**Cochrans Creek Mitigation Bank**</w:t>
            </w:r>
          </w:p>
        </w:tc>
        <w:tc>
          <w:tcPr>
            <w:tcW w:type="dxa" w:w="1560"/>
            <w:tcMar>
              <w:top w:w="100" w:type="dxa"/>
              <w:bottom w:w="100" w:type="dxa"/>
              <w:left w:w="150" w:type="dxa"/>
              <w:right w:w="150" w:type="dxa"/>
            </w:tcMar>
          </w:tcPr>
          <w:p>
            <w:pPr>
              <w:jc w:val="left"/>
            </w:pPr>
            <w:r>
              <w:rPr>
                <w:sz w:val="19"/>
              </w:rPr>
              <w:t xml:space="preserve">**Etowah Basin** </w:t>
              <w:br/>
              <w:t>(HUC 03150104)</w:t>
            </w:r>
          </w:p>
        </w:tc>
        <w:tc>
          <w:tcPr>
            <w:tcW w:type="dxa" w:w="1560"/>
            <w:tcMar>
              <w:top w:w="100" w:type="dxa"/>
              <w:bottom w:w="100" w:type="dxa"/>
              <w:left w:w="150" w:type="dxa"/>
              <w:right w:w="150" w:type="dxa"/>
            </w:tcMar>
          </w:tcPr>
          <w:p>
            <w:pPr>
              <w:jc w:val="left"/>
            </w:pPr>
            <w:r>
              <w:rPr>
                <w:sz w:val="19"/>
              </w:rPr>
              <w:t>Cochrans Creek (High-gradient trout water)</w:t>
            </w:r>
          </w:p>
        </w:tc>
        <w:tc>
          <w:tcPr>
            <w:tcW w:type="dxa" w:w="1560"/>
            <w:tcMar>
              <w:top w:w="100" w:type="dxa"/>
              <w:bottom w:w="100" w:type="dxa"/>
              <w:left w:w="150" w:type="dxa"/>
              <w:right w:w="150" w:type="dxa"/>
            </w:tcMar>
          </w:tcPr>
          <w:p>
            <w:pPr>
              <w:jc w:val="left"/>
            </w:pPr>
            <w:r>
              <w:rPr>
                <w:sz w:val="19"/>
              </w:rPr>
              <w:t xml:space="preserve">Dawson County </w:t>
              <w:br/>
              <w:t>(34.482N, 84.195W)</w:t>
            </w:r>
          </w:p>
        </w:tc>
        <w:tc>
          <w:tcPr>
            <w:tcW w:type="dxa" w:w="1560"/>
            <w:tcMar>
              <w:top w:w="100" w:type="dxa"/>
              <w:bottom w:w="100" w:type="dxa"/>
              <w:left w:w="150" w:type="dxa"/>
              <w:right w:w="150" w:type="dxa"/>
            </w:tcMar>
          </w:tcPr>
          <w:p>
            <w:pPr>
              <w:jc w:val="left"/>
            </w:pPr>
            <w:r>
              <w:rPr>
                <w:sz w:val="19"/>
              </w:rPr>
              <w:t xml:space="preserve">Stream Credits </w:t>
              <w:br/>
              <w:t>(High-gradient bioengineering)</w:t>
            </w:r>
          </w:p>
        </w:tc>
        <w:tc>
          <w:tcPr>
            <w:tcW w:type="dxa" w:w="1560"/>
            <w:tcMar>
              <w:top w:w="100" w:type="dxa"/>
              <w:bottom w:w="100" w:type="dxa"/>
              <w:left w:w="150" w:type="dxa"/>
              <w:right w:w="150" w:type="dxa"/>
            </w:tcMar>
          </w:tcPr>
          <w:p>
            <w:pPr>
              <w:jc w:val="left"/>
            </w:pPr>
            <w:r>
              <w:rPr>
                <w:sz w:val="19"/>
              </w:rPr>
              <w:t>**Hunter's immediate backyard.** This is the definitive benchmark for restoring high-gradient mountain streams. Hunter's Rhododendron geomechanical transplanting is an advanced, trout-centric upgrade over Corblu's standard tree-planting mixes here.</w:t>
            </w:r>
          </w:p>
        </w:tc>
      </w:tr>
      <w:tr>
        <w:tc>
          <w:tcPr>
            <w:tcW w:type="dxa" w:w="1560"/>
            <w:tcMar>
              <w:top w:w="100" w:type="dxa"/>
              <w:bottom w:w="100" w:type="dxa"/>
              <w:left w:w="150" w:type="dxa"/>
              <w:right w:w="150" w:type="dxa"/>
            </w:tcMar>
            <w:shd w:fill="F2F2F2"/>
          </w:tcPr>
          <w:p>
            <w:pPr>
              <w:jc w:val="left"/>
            </w:pPr>
            <w:r>
              <w:rPr>
                <w:sz w:val="19"/>
              </w:rPr>
              <w:t>**Conasauga Bend Mitigation Bank**</w:t>
            </w:r>
          </w:p>
        </w:tc>
        <w:tc>
          <w:tcPr>
            <w:tcW w:type="dxa" w:w="1560"/>
            <w:tcMar>
              <w:top w:w="100" w:type="dxa"/>
              <w:bottom w:w="100" w:type="dxa"/>
              <w:left w:w="150" w:type="dxa"/>
              <w:right w:w="150" w:type="dxa"/>
            </w:tcMar>
            <w:shd w:fill="F2F2F2"/>
          </w:tcPr>
          <w:p>
            <w:pPr>
              <w:jc w:val="left"/>
            </w:pPr>
            <w:r>
              <w:rPr>
                <w:sz w:val="19"/>
              </w:rPr>
              <w:t xml:space="preserve">**Coosa Basin** </w:t>
              <w:br/>
              <w:t>(HUC 03150101)</w:t>
            </w:r>
          </w:p>
        </w:tc>
        <w:tc>
          <w:tcPr>
            <w:tcW w:type="dxa" w:w="1560"/>
            <w:tcMar>
              <w:top w:w="100" w:type="dxa"/>
              <w:bottom w:w="100" w:type="dxa"/>
              <w:left w:w="150" w:type="dxa"/>
              <w:right w:w="150" w:type="dxa"/>
            </w:tcMar>
            <w:shd w:fill="F2F2F2"/>
          </w:tcPr>
          <w:p>
            <w:pPr>
              <w:jc w:val="left"/>
            </w:pPr>
            <w:r>
              <w:rPr>
                <w:sz w:val="19"/>
              </w:rPr>
              <w:t>Conasauga River watershed</w:t>
            </w:r>
          </w:p>
        </w:tc>
        <w:tc>
          <w:tcPr>
            <w:tcW w:type="dxa" w:w="1560"/>
            <w:tcMar>
              <w:top w:w="100" w:type="dxa"/>
              <w:bottom w:w="100" w:type="dxa"/>
              <w:left w:w="150" w:type="dxa"/>
              <w:right w:w="150" w:type="dxa"/>
            </w:tcMar>
            <w:shd w:fill="F2F2F2"/>
          </w:tcPr>
          <w:p>
            <w:pPr>
              <w:jc w:val="left"/>
            </w:pPr>
            <w:r>
              <w:rPr>
                <w:sz w:val="19"/>
              </w:rPr>
              <w:t xml:space="preserve">Murray County </w:t>
              <w:br/>
              <w:t>(34.782N, 84.815W)</w:t>
            </w:r>
          </w:p>
        </w:tc>
        <w:tc>
          <w:tcPr>
            <w:tcW w:type="dxa" w:w="1560"/>
            <w:tcMar>
              <w:top w:w="100" w:type="dxa"/>
              <w:bottom w:w="100" w:type="dxa"/>
              <w:left w:w="150" w:type="dxa"/>
              <w:right w:w="150" w:type="dxa"/>
            </w:tcMar>
            <w:shd w:fill="F2F2F2"/>
          </w:tcPr>
          <w:p>
            <w:pPr>
              <w:jc w:val="left"/>
            </w:pPr>
            <w:r>
              <w:rPr>
                <w:sz w:val="19"/>
              </w:rPr>
              <w:t xml:space="preserve">Stream &amp; Wetland Credits </w:t>
              <w:br/>
              <w:t>(Sediment load reduction)</w:t>
            </w:r>
          </w:p>
        </w:tc>
        <w:tc>
          <w:tcPr>
            <w:tcW w:type="dxa" w:w="1560"/>
            <w:tcMar>
              <w:top w:w="100" w:type="dxa"/>
              <w:bottom w:w="100" w:type="dxa"/>
              <w:left w:w="150" w:type="dxa"/>
              <w:right w:w="150" w:type="dxa"/>
            </w:tcMar>
            <w:shd w:fill="F2F2F2"/>
          </w:tcPr>
          <w:p>
            <w:pPr>
              <w:jc w:val="left"/>
            </w:pPr>
            <w:r>
              <w:rPr>
                <w:sz w:val="19"/>
              </w:rPr>
              <w:t>Focuses on sediment trap design to protect federally endangered darter species. Establishes the geomorphic precedent that sediment reduction directly equals credit yield, supporting Hunter's Noontootla Creek design.</w:t>
            </w:r>
          </w:p>
        </w:tc>
      </w:tr>
      <w:tr>
        <w:tc>
          <w:tcPr>
            <w:tcW w:type="dxa" w:w="1560"/>
            <w:tcMar>
              <w:top w:w="100" w:type="dxa"/>
              <w:bottom w:w="100" w:type="dxa"/>
              <w:left w:w="150" w:type="dxa"/>
              <w:right w:w="150" w:type="dxa"/>
            </w:tcMar>
          </w:tcPr>
          <w:p>
            <w:pPr>
              <w:jc w:val="left"/>
            </w:pPr>
            <w:r>
              <w:rPr>
                <w:sz w:val="19"/>
              </w:rPr>
              <w:t>**Carrollton Mills Mitigation Bank**</w:t>
            </w:r>
          </w:p>
        </w:tc>
        <w:tc>
          <w:tcPr>
            <w:tcW w:type="dxa" w:w="1560"/>
            <w:tcMar>
              <w:top w:w="100" w:type="dxa"/>
              <w:bottom w:w="100" w:type="dxa"/>
              <w:left w:w="150" w:type="dxa"/>
              <w:right w:w="150" w:type="dxa"/>
            </w:tcMar>
          </w:tcPr>
          <w:p>
            <w:pPr>
              <w:jc w:val="left"/>
            </w:pPr>
            <w:r>
              <w:rPr>
                <w:sz w:val="19"/>
              </w:rPr>
              <w:t xml:space="preserve">**Middle Chattahoochee** </w:t>
              <w:br/>
              <w:t>(HUC 03130002)</w:t>
            </w:r>
          </w:p>
        </w:tc>
        <w:tc>
          <w:tcPr>
            <w:tcW w:type="dxa" w:w="1560"/>
            <w:tcMar>
              <w:top w:w="100" w:type="dxa"/>
              <w:bottom w:w="100" w:type="dxa"/>
              <w:left w:w="150" w:type="dxa"/>
              <w:right w:w="150" w:type="dxa"/>
            </w:tcMar>
          </w:tcPr>
          <w:p>
            <w:pPr>
              <w:jc w:val="left"/>
            </w:pPr>
            <w:r>
              <w:rPr>
                <w:sz w:val="19"/>
              </w:rPr>
              <w:t>Buffalo Creek tributary</w:t>
            </w:r>
          </w:p>
        </w:tc>
        <w:tc>
          <w:tcPr>
            <w:tcW w:type="dxa" w:w="1560"/>
            <w:tcMar>
              <w:top w:w="100" w:type="dxa"/>
              <w:bottom w:w="100" w:type="dxa"/>
              <w:left w:w="150" w:type="dxa"/>
              <w:right w:w="150" w:type="dxa"/>
            </w:tcMar>
          </w:tcPr>
          <w:p>
            <w:pPr>
              <w:jc w:val="left"/>
            </w:pPr>
            <w:r>
              <w:rPr>
                <w:sz w:val="19"/>
              </w:rPr>
              <w:t xml:space="preserve">Carroll County </w:t>
              <w:br/>
              <w:t>(33.582N, 85.085W)</w:t>
            </w:r>
          </w:p>
        </w:tc>
        <w:tc>
          <w:tcPr>
            <w:tcW w:type="dxa" w:w="1560"/>
            <w:tcMar>
              <w:top w:w="100" w:type="dxa"/>
              <w:bottom w:w="100" w:type="dxa"/>
              <w:left w:w="150" w:type="dxa"/>
              <w:right w:w="150" w:type="dxa"/>
            </w:tcMar>
          </w:tcPr>
          <w:p>
            <w:pPr>
              <w:jc w:val="left"/>
            </w:pPr>
            <w:r>
              <w:rPr>
                <w:sz w:val="19"/>
              </w:rPr>
              <w:t xml:space="preserve">Stream &amp; Wetland Credits </w:t>
              <w:br/>
              <w:t>(Commercial/Industrial)</w:t>
            </w:r>
          </w:p>
        </w:tc>
        <w:tc>
          <w:tcPr>
            <w:tcW w:type="dxa" w:w="1560"/>
            <w:tcMar>
              <w:top w:w="100" w:type="dxa"/>
              <w:bottom w:w="100" w:type="dxa"/>
              <w:left w:w="150" w:type="dxa"/>
              <w:right w:w="150" w:type="dxa"/>
            </w:tcMar>
          </w:tcPr>
          <w:p>
            <w:pPr>
              <w:jc w:val="left"/>
            </w:pPr>
            <w:r>
              <w:rPr>
                <w:sz w:val="19"/>
              </w:rPr>
              <w:t>Serves the booming exurban residential and industrial warehousing corridor. Shows the massive demand for credits driven by highway construction and warehousing buffer impacts.</w:t>
            </w:r>
          </w:p>
        </w:tc>
      </w:tr>
      <w:tr>
        <w:tc>
          <w:tcPr>
            <w:tcW w:type="dxa" w:w="1560"/>
            <w:tcMar>
              <w:top w:w="100" w:type="dxa"/>
              <w:bottom w:w="100" w:type="dxa"/>
              <w:left w:w="150" w:type="dxa"/>
              <w:right w:w="150" w:type="dxa"/>
            </w:tcMar>
            <w:shd w:fill="F2F2F2"/>
          </w:tcPr>
          <w:p>
            <w:pPr>
              <w:jc w:val="left"/>
            </w:pPr>
            <w:r>
              <w:rPr>
                <w:sz w:val="19"/>
              </w:rPr>
              <w:t>**Demorest Lake Mitigation Bank**</w:t>
            </w:r>
          </w:p>
        </w:tc>
        <w:tc>
          <w:tcPr>
            <w:tcW w:type="dxa" w:w="1560"/>
            <w:tcMar>
              <w:top w:w="100" w:type="dxa"/>
              <w:bottom w:w="100" w:type="dxa"/>
              <w:left w:w="150" w:type="dxa"/>
              <w:right w:w="150" w:type="dxa"/>
            </w:tcMar>
            <w:shd w:fill="F2F2F2"/>
          </w:tcPr>
          <w:p>
            <w:pPr>
              <w:jc w:val="left"/>
            </w:pPr>
            <w:r>
              <w:rPr>
                <w:sz w:val="19"/>
              </w:rPr>
              <w:t xml:space="preserve">**Upper Chattahoochee** </w:t>
              <w:br/>
              <w:t>(HUC 03130001)</w:t>
            </w:r>
          </w:p>
        </w:tc>
        <w:tc>
          <w:tcPr>
            <w:tcW w:type="dxa" w:w="1560"/>
            <w:tcMar>
              <w:top w:w="100" w:type="dxa"/>
              <w:bottom w:w="100" w:type="dxa"/>
              <w:left w:w="150" w:type="dxa"/>
              <w:right w:w="150" w:type="dxa"/>
            </w:tcMar>
            <w:shd w:fill="F2F2F2"/>
          </w:tcPr>
          <w:p>
            <w:pPr>
              <w:jc w:val="left"/>
            </w:pPr>
            <w:r>
              <w:rPr>
                <w:sz w:val="19"/>
              </w:rPr>
              <w:t>Soque River tributary</w:t>
            </w:r>
          </w:p>
        </w:tc>
        <w:tc>
          <w:tcPr>
            <w:tcW w:type="dxa" w:w="1560"/>
            <w:tcMar>
              <w:top w:w="100" w:type="dxa"/>
              <w:bottom w:w="100" w:type="dxa"/>
              <w:left w:w="150" w:type="dxa"/>
              <w:right w:w="150" w:type="dxa"/>
            </w:tcMar>
            <w:shd w:fill="F2F2F2"/>
          </w:tcPr>
          <w:p>
            <w:pPr>
              <w:jc w:val="left"/>
            </w:pPr>
            <w:r>
              <w:rPr>
                <w:sz w:val="19"/>
              </w:rPr>
              <w:t xml:space="preserve">Habersham County </w:t>
              <w:br/>
              <w:t>(34.562N, 83.545W)</w:t>
            </w:r>
          </w:p>
        </w:tc>
        <w:tc>
          <w:tcPr>
            <w:tcW w:type="dxa" w:w="1560"/>
            <w:tcMar>
              <w:top w:w="100" w:type="dxa"/>
              <w:bottom w:w="100" w:type="dxa"/>
              <w:left w:w="150" w:type="dxa"/>
              <w:right w:w="150" w:type="dxa"/>
            </w:tcMar>
            <w:shd w:fill="F2F2F2"/>
          </w:tcPr>
          <w:p>
            <w:pPr>
              <w:jc w:val="left"/>
            </w:pPr>
            <w:r>
              <w:rPr>
                <w:sz w:val="19"/>
              </w:rPr>
              <w:t xml:space="preserve">Stream Credits </w:t>
              <w:br/>
              <w:t>(High-density metro exurban)</w:t>
            </w:r>
          </w:p>
        </w:tc>
        <w:tc>
          <w:tcPr>
            <w:tcW w:type="dxa" w:w="1560"/>
            <w:tcMar>
              <w:top w:w="100" w:type="dxa"/>
              <w:bottom w:w="100" w:type="dxa"/>
              <w:left w:w="150" w:type="dxa"/>
              <w:right w:w="150" w:type="dxa"/>
            </w:tcMar>
            <w:shd w:fill="F2F2F2"/>
          </w:tcPr>
          <w:p>
            <w:pPr>
              <w:jc w:val="left"/>
            </w:pPr>
            <w:r>
              <w:rPr>
                <w:sz w:val="19"/>
              </w:rPr>
              <w:t>Services Upper Chattahoochee infrastructure. Excellent benchmark for estimating credit absorption rates from regional DOT and municipal sewer utility buffer variances.</w:t>
            </w:r>
          </w:p>
        </w:tc>
      </w:tr>
      <w:tr>
        <w:tc>
          <w:tcPr>
            <w:tcW w:type="dxa" w:w="1560"/>
            <w:tcMar>
              <w:top w:w="100" w:type="dxa"/>
              <w:bottom w:w="100" w:type="dxa"/>
              <w:left w:w="150" w:type="dxa"/>
              <w:right w:w="150" w:type="dxa"/>
            </w:tcMar>
          </w:tcPr>
          <w:p>
            <w:pPr>
              <w:jc w:val="left"/>
            </w:pPr>
            <w:r>
              <w:rPr>
                <w:sz w:val="19"/>
              </w:rPr>
              <w:t>**Southern Cross Ranch Mitigation Bank**</w:t>
            </w:r>
          </w:p>
        </w:tc>
        <w:tc>
          <w:tcPr>
            <w:tcW w:type="dxa" w:w="1560"/>
            <w:tcMar>
              <w:top w:w="100" w:type="dxa"/>
              <w:bottom w:w="100" w:type="dxa"/>
              <w:left w:w="150" w:type="dxa"/>
              <w:right w:w="150" w:type="dxa"/>
            </w:tcMar>
          </w:tcPr>
          <w:p>
            <w:pPr>
              <w:jc w:val="left"/>
            </w:pPr>
            <w:r>
              <w:rPr>
                <w:sz w:val="19"/>
              </w:rPr>
              <w:t xml:space="preserve">**Upper Chattahoochee** </w:t>
              <w:br/>
              <w:t>(HUC 03130001)</w:t>
            </w:r>
          </w:p>
        </w:tc>
        <w:tc>
          <w:tcPr>
            <w:tcW w:type="dxa" w:w="1560"/>
            <w:tcMar>
              <w:top w:w="100" w:type="dxa"/>
              <w:bottom w:w="100" w:type="dxa"/>
              <w:left w:w="150" w:type="dxa"/>
              <w:right w:w="150" w:type="dxa"/>
            </w:tcMar>
          </w:tcPr>
          <w:p>
            <w:pPr>
              <w:jc w:val="left"/>
            </w:pPr>
            <w:r>
              <w:rPr>
                <w:sz w:val="19"/>
              </w:rPr>
              <w:t>Apalachee River tributary</w:t>
            </w:r>
          </w:p>
        </w:tc>
        <w:tc>
          <w:tcPr>
            <w:tcW w:type="dxa" w:w="1560"/>
            <w:tcMar>
              <w:top w:w="100" w:type="dxa"/>
              <w:bottom w:w="100" w:type="dxa"/>
              <w:left w:w="150" w:type="dxa"/>
              <w:right w:w="150" w:type="dxa"/>
            </w:tcMar>
          </w:tcPr>
          <w:p>
            <w:pPr>
              <w:jc w:val="left"/>
            </w:pPr>
            <w:r>
              <w:rPr>
                <w:sz w:val="19"/>
              </w:rPr>
              <w:t xml:space="preserve">Madison County </w:t>
              <w:br/>
              <w:t>(34.122N, 83.355W)</w:t>
            </w:r>
          </w:p>
        </w:tc>
        <w:tc>
          <w:tcPr>
            <w:tcW w:type="dxa" w:w="1560"/>
            <w:tcMar>
              <w:top w:w="100" w:type="dxa"/>
              <w:bottom w:w="100" w:type="dxa"/>
              <w:left w:w="150" w:type="dxa"/>
              <w:right w:w="150" w:type="dxa"/>
            </w:tcMar>
          </w:tcPr>
          <w:p>
            <w:pPr>
              <w:jc w:val="left"/>
            </w:pPr>
            <w:r>
              <w:rPr>
                <w:sz w:val="19"/>
              </w:rPr>
              <w:t xml:space="preserve">Stream Credits </w:t>
              <w:br/>
              <w:t>(Exurban land banking)</w:t>
            </w:r>
          </w:p>
        </w:tc>
        <w:tc>
          <w:tcPr>
            <w:tcW w:type="dxa" w:w="1560"/>
            <w:tcMar>
              <w:top w:w="100" w:type="dxa"/>
              <w:bottom w:w="100" w:type="dxa"/>
              <w:left w:w="150" w:type="dxa"/>
              <w:right w:w="150" w:type="dxa"/>
            </w:tcMar>
          </w:tcPr>
          <w:p>
            <w:pPr>
              <w:jc w:val="left"/>
            </w:pPr>
            <w:r>
              <w:rPr>
                <w:sz w:val="19"/>
              </w:rPr>
              <w:t>Restores agricultural stream reaches on a historic working horse ranch. Proves that working agricultural lands can successfully integrate CUVA easements without disrupting landowner heritage.</w:t>
            </w:r>
          </w:p>
        </w:tc>
      </w:tr>
      <w:tr>
        <w:tc>
          <w:tcPr>
            <w:tcW w:type="dxa" w:w="1560"/>
            <w:tcMar>
              <w:top w:w="100" w:type="dxa"/>
              <w:bottom w:w="100" w:type="dxa"/>
              <w:left w:w="150" w:type="dxa"/>
              <w:right w:w="150" w:type="dxa"/>
            </w:tcMar>
            <w:shd w:fill="F2F2F2"/>
          </w:tcPr>
          <w:p>
            <w:pPr>
              <w:jc w:val="left"/>
            </w:pPr>
            <w:r>
              <w:rPr>
                <w:sz w:val="19"/>
              </w:rPr>
              <w:t>**Big Sandy Creek Mitigation Bank**</w:t>
            </w:r>
          </w:p>
        </w:tc>
        <w:tc>
          <w:tcPr>
            <w:tcW w:type="dxa" w:w="1560"/>
            <w:tcMar>
              <w:top w:w="100" w:type="dxa"/>
              <w:bottom w:w="100" w:type="dxa"/>
              <w:left w:w="150" w:type="dxa"/>
              <w:right w:w="150" w:type="dxa"/>
            </w:tcMar>
            <w:shd w:fill="F2F2F2"/>
          </w:tcPr>
          <w:p>
            <w:pPr>
              <w:jc w:val="left"/>
            </w:pPr>
            <w:r>
              <w:rPr>
                <w:sz w:val="19"/>
              </w:rPr>
              <w:t xml:space="preserve">**Upper Oconee** </w:t>
              <w:br/>
              <w:t>(HUC 03070101)</w:t>
            </w:r>
          </w:p>
        </w:tc>
        <w:tc>
          <w:tcPr>
            <w:tcW w:type="dxa" w:w="1560"/>
            <w:tcMar>
              <w:top w:w="100" w:type="dxa"/>
              <w:bottom w:w="100" w:type="dxa"/>
              <w:left w:w="150" w:type="dxa"/>
              <w:right w:w="150" w:type="dxa"/>
            </w:tcMar>
            <w:shd w:fill="F2F2F2"/>
          </w:tcPr>
          <w:p>
            <w:pPr>
              <w:jc w:val="left"/>
            </w:pPr>
            <w:r>
              <w:rPr>
                <w:sz w:val="19"/>
              </w:rPr>
              <w:t>Big Sandy Creek</w:t>
            </w:r>
          </w:p>
        </w:tc>
        <w:tc>
          <w:tcPr>
            <w:tcW w:type="dxa" w:w="1560"/>
            <w:tcMar>
              <w:top w:w="100" w:type="dxa"/>
              <w:bottom w:w="100" w:type="dxa"/>
              <w:left w:w="150" w:type="dxa"/>
              <w:right w:w="150" w:type="dxa"/>
            </w:tcMar>
            <w:shd w:fill="F2F2F2"/>
          </w:tcPr>
          <w:p>
            <w:pPr>
              <w:jc w:val="left"/>
            </w:pPr>
            <w:r>
              <w:rPr>
                <w:sz w:val="19"/>
              </w:rPr>
              <w:t xml:space="preserve">Wilkinson County </w:t>
              <w:br/>
              <w:t>(32.812N, 83.155W)</w:t>
            </w:r>
          </w:p>
        </w:tc>
        <w:tc>
          <w:tcPr>
            <w:tcW w:type="dxa" w:w="1560"/>
            <w:tcMar>
              <w:top w:w="100" w:type="dxa"/>
              <w:bottom w:w="100" w:type="dxa"/>
              <w:left w:w="150" w:type="dxa"/>
              <w:right w:w="150" w:type="dxa"/>
            </w:tcMar>
            <w:shd w:fill="F2F2F2"/>
          </w:tcPr>
          <w:p>
            <w:pPr>
              <w:jc w:val="left"/>
            </w:pPr>
            <w:r>
              <w:rPr>
                <w:sz w:val="19"/>
              </w:rPr>
              <w:t xml:space="preserve">Stream &amp; Wetland Credits </w:t>
              <w:br/>
              <w:t>(State transportation)</w:t>
            </w:r>
          </w:p>
        </w:tc>
        <w:tc>
          <w:tcPr>
            <w:tcW w:type="dxa" w:w="1560"/>
            <w:tcMar>
              <w:top w:w="100" w:type="dxa"/>
              <w:bottom w:w="100" w:type="dxa"/>
              <w:left w:w="150" w:type="dxa"/>
              <w:right w:w="150" w:type="dxa"/>
            </w:tcMar>
            <w:shd w:fill="F2F2F2"/>
          </w:tcPr>
          <w:p>
            <w:pPr>
              <w:jc w:val="left"/>
            </w:pPr>
            <w:r>
              <w:rPr>
                <w:sz w:val="19"/>
              </w:rPr>
              <w:t>Large-scale multi-phase bank. Demonstrates the financial viability of phasing credit releases over a 7-year monitoring window, proving the durability of the 70/30 split model.</w:t>
            </w:r>
          </w:p>
        </w:tc>
      </w:tr>
    </w:tbl>
    <w:p>
      <w:pPr>
        <w:spacing w:before="160"/>
      </w:pPr>
    </w:p>
    <w:p>
      <w:pPr>
        <w:spacing w:after="240"/>
      </w:pPr>
      <w:r>
        <w:rPr>
          <w:color w:val="D9D9D9"/>
        </w:rPr>
        <w:t>____________________________________________________</w:t>
      </w:r>
    </w:p>
    <w:p>
      <w:pPr>
        <w:spacing w:before="360" w:after="120"/>
      </w:pPr>
      <w:r>
        <w:rPr>
          <w:b/>
          <w:color w:val="2E75B6"/>
          <w:sz w:val="32"/>
        </w:rPr>
        <w:t>III. Next-Generation Website Blueprints: Skipping the Competitor Steps</w:t>
      </w:r>
    </w:p>
    <w:p>
      <w:r>
        <w:t xml:space="preserve">To leapfrog both Corblu and RES, Hunter's public website must be more than a static brochure. We have designed and coded </w:t>
      </w:r>
      <w:r>
        <w:rPr>
          <w:b/>
        </w:rPr>
        <w:t>two highly advanced, responsive interactive web tools</w:t>
      </w:r>
      <w:r>
        <w:t xml:space="preserve"> that Hunter can immediately deploy. These tools provide instant credit sourcing details for B2B buyers and let private landowners calculate their geomorphic proceeds dynamically in real time.</w:t>
      </w:r>
    </w:p>
    <w:p>
      <w:r>
        <w:t xml:space="preserve">Below is the complete, production-ready, fully functional </w:t>
      </w:r>
      <w:r>
        <w:rPr>
          <w:b/>
        </w:rPr>
        <w:t>HTML, CSS, and JavaScript source code</w:t>
      </w:r>
      <w:r>
        <w:t xml:space="preserve"> for Hunter's interactive portal tools:</w:t>
      </w:r>
    </w:p>
    <w:p>
      <w:pPr>
        <w:spacing w:before="120" w:after="120"/>
        <w:ind w:left="360"/>
      </w:pPr>
      <w:r>
        <w:rPr>
          <w:rFonts w:ascii="Consolas" w:hAnsi="Consolas"/>
          <w:color w:val="7F0055"/>
          <w:sz w:val="19"/>
        </w:rPr>
        <w:t>&lt;!DOCTYPE html&gt;</w:t>
        <w:br/>
        <w:t>&lt;html lang="en"&gt;</w:t>
        <w:br/>
        <w:t>&lt;head&gt;</w:t>
        <w:br/>
        <w:t xml:space="preserve">    &lt;meta charset="UTF-8"&gt;</w:t>
        <w:br/>
        <w:t xml:space="preserve">    &lt;meta name="viewport" content="width=device-width, initial-scale=1.0"&gt;</w:t>
        <w:br/>
        <w:t xml:space="preserve">    &lt;title&gt;Blue Ridge Stream Restoration - Interactive Sourcing &amp; Calculator Console&lt;/title&gt;</w:t>
        <w:br/>
        <w:t xml:space="preserve">    &lt;style&gt;</w:t>
        <w:br/>
        <w:t xml:space="preserve">        :root {</w:t>
        <w:br/>
        <w:t xml:space="preserve">            --primary: #1A365D;       /* River Navy */</w:t>
        <w:br/>
        <w:t xml:space="preserve">            --secondary: #0E7048;     /* Trout Teal */</w:t>
        <w:br/>
        <w:t xml:space="preserve">            --accent: #B25329;        /* Copper Rust */</w:t>
        <w:br/>
        <w:t xml:space="preserve">            --gold: #D4AF37;          /* Soft Gold */</w:t>
        <w:br/>
        <w:t xml:space="preserve">            --light-bg: #F4F7FA;</w:t>
        <w:br/>
        <w:t xml:space="preserve">            --white: #FFFFFF;</w:t>
        <w:br/>
        <w:t xml:space="preserve">            --charcoal: #2D3748;</w:t>
        <w:br/>
        <w:t xml:space="preserve">            --border-color: #E2E8F0;</w:t>
        <w:br/>
        <w:t xml:space="preserve">        }</w:t>
        <w:br/>
        <w:br/>
        <w:t xml:space="preserve">        body {</w:t>
        <w:br/>
        <w:t xml:space="preserve">            font-family: -apple-system, BlinkMacSystemFont, "Segoe UI", Roboto, "Helvetica Neue", Arial, sans-serif;</w:t>
        <w:br/>
        <w:t xml:space="preserve">            background-color: var(--light-bg);</w:t>
        <w:br/>
        <w:t xml:space="preserve">            color: var(--charcoal);</w:t>
        <w:br/>
        <w:t xml:space="preserve">            line-height: 1.6;</w:t>
        <w:br/>
        <w:t xml:space="preserve">            margin: 0;</w:t>
        <w:br/>
        <w:t xml:space="preserve">            padding: 40px 20px;</w:t>
        <w:br/>
        <w:t xml:space="preserve">        }</w:t>
        <w:br/>
        <w:br/>
        <w:t xml:space="preserve">        .console-container {</w:t>
        <w:br/>
        <w:t xml:space="preserve">            max-width: 1200px;</w:t>
        <w:br/>
        <w:t xml:space="preserve">            margin: 0 auto;</w:t>
        <w:br/>
        <w:t xml:space="preserve">            display: flex;</w:t>
        <w:br/>
        <w:t xml:space="preserve">            flex-direction: column;</w:t>
        <w:br/>
        <w:t xml:space="preserve">            gap: 40px;</w:t>
        <w:br/>
        <w:t xml:space="preserve">        }</w:t>
        <w:br/>
        <w:br/>
        <w:t xml:space="preserve">        .header-card {</w:t>
        <w:br/>
        <w:t xml:space="preserve">            background: linear-gradient(135deg, var(--primary) 0%, #102A43 100%);</w:t>
        <w:br/>
        <w:t xml:space="preserve">            color: var(--white);</w:t>
        <w:br/>
        <w:t xml:space="preserve">            padding: 40px;</w:t>
        <w:br/>
        <w:t xml:space="preserve">            border-radius: 16px;</w:t>
        <w:br/>
        <w:t xml:space="preserve">            box-shadow: 0 10px 25px rgba(26, 54, 93, 0.15);</w:t>
        <w:br/>
        <w:t xml:space="preserve">            border-left: 6px solid var(--secondary);</w:t>
        <w:br/>
        <w:t xml:space="preserve">        }</w:t>
        <w:br/>
        <w:br/>
        <w:t xml:space="preserve">        .header-card h1 {</w:t>
        <w:br/>
        <w:t xml:space="preserve">            margin: 0;</w:t>
        <w:br/>
        <w:t xml:space="preserve">            font-size: 2.2rem;</w:t>
        <w:br/>
        <w:t xml:space="preserve">            font-weight: 800;</w:t>
        <w:br/>
        <w:t xml:space="preserve">            letter-spacing: -0.5px;</w:t>
        <w:br/>
        <w:t xml:space="preserve">        }</w:t>
        <w:br/>
        <w:br/>
        <w:t xml:space="preserve">        .header-card p {</w:t>
        <w:br/>
        <w:t xml:space="preserve">            margin-top: 10px;</w:t>
        <w:br/>
        <w:t xml:space="preserve">            margin-bottom: 0;</w:t>
        <w:br/>
        <w:t xml:space="preserve">            opacity: 0.9;</w:t>
        <w:br/>
        <w:t xml:space="preserve">            font-size: 1.05rem;</w:t>
        <w:br/>
        <w:t xml:space="preserve">        }</w:t>
        <w:br/>
        <w:br/>
        <w:t xml:space="preserve">        .grid-2 {</w:t>
        <w:br/>
        <w:t xml:space="preserve">            display: grid;</w:t>
        <w:br/>
        <w:t xml:space="preserve">            grid-template-columns: 1fr 1fr;</w:t>
        <w:br/>
        <w:t xml:space="preserve">            gap: 30px;</w:t>
        <w:br/>
        <w:t xml:space="preserve">        }</w:t>
        <w:br/>
        <w:br/>
        <w:t xml:space="preserve">        @media (max-width: 900px) {</w:t>
        <w:br/>
        <w:t xml:space="preserve">            .grid-2 {</w:t>
        <w:br/>
        <w:t xml:space="preserve">                grid-template-columns: 1fr;</w:t>
        <w:br/>
        <w:t xml:space="preserve">            }</w:t>
        <w:br/>
        <w:t xml:space="preserve">        }</w:t>
        <w:br/>
        <w:br/>
        <w:t xml:space="preserve">        .tool-card {</w:t>
        <w:br/>
        <w:t xml:space="preserve">            background-color: var(--white);</w:t>
        <w:br/>
        <w:t xml:space="preserve">            border: 1px solid var(--border-color);</w:t>
        <w:br/>
        <w:t xml:space="preserve">            border-radius: 16px;</w:t>
        <w:br/>
        <w:t xml:space="preserve">            padding: 30px;</w:t>
        <w:br/>
        <w:t xml:space="preserve">            box-shadow: 0 4px 15px rgba(0, 0, 0, 0.03);</w:t>
        <w:br/>
        <w:t xml:space="preserve">            display: flex;</w:t>
        <w:br/>
        <w:t xml:space="preserve">            flex-direction: column;</w:t>
        <w:br/>
        <w:t xml:space="preserve">            justify-content: space-between;</w:t>
        <w:br/>
        <w:t xml:space="preserve">        }</w:t>
        <w:br/>
        <w:br/>
        <w:t xml:space="preserve">        .tool-card h2 {</w:t>
        <w:br/>
        <w:t xml:space="preserve">            color: var(--primary);</w:t>
        <w:br/>
        <w:t xml:space="preserve">            margin-top: 0;</w:t>
        <w:br/>
        <w:t xml:space="preserve">            margin-bottom: 15px;</w:t>
        <w:br/>
        <w:t xml:space="preserve">            font-size: 1.4rem;</w:t>
        <w:br/>
        <w:t xml:space="preserve">            border-bottom: 2px solid var(--light-bg);</w:t>
        <w:br/>
        <w:t xml:space="preserve">            padding-bottom: 10px;</w:t>
        <w:br/>
        <w:t xml:space="preserve">            display: flex;</w:t>
        <w:br/>
        <w:t xml:space="preserve">            align-items: center;</w:t>
        <w:br/>
        <w:t xml:space="preserve">            gap: 10px;</w:t>
        <w:br/>
        <w:t xml:space="preserve">        }</w:t>
        <w:br/>
        <w:br/>
        <w:t xml:space="preserve">        .form-group {</w:t>
        <w:br/>
        <w:t xml:space="preserve">            margin-bottom: 20px;</w:t>
        <w:br/>
        <w:t xml:space="preserve">        }</w:t>
        <w:br/>
        <w:br/>
        <w:t xml:space="preserve">        .form-group label {</w:t>
        <w:br/>
        <w:t xml:space="preserve">            display: block;</w:t>
        <w:br/>
        <w:t xml:space="preserve">            font-weight: 700;</w:t>
        <w:br/>
        <w:t xml:space="preserve">            font-size: 0.88rem;</w:t>
        <w:br/>
        <w:t xml:space="preserve">            color: var(--primary);</w:t>
        <w:br/>
        <w:t xml:space="preserve">            margin-bottom: 8px;</w:t>
        <w:br/>
        <w:t xml:space="preserve">            text-transform: uppercase;</w:t>
        <w:br/>
        <w:t xml:space="preserve">            letter-spacing: 0.5px;</w:t>
        <w:br/>
        <w:t xml:space="preserve">        }</w:t>
        <w:br/>
        <w:br/>
        <w:t xml:space="preserve">        .form-group input, .form-group select {</w:t>
        <w:br/>
        <w:t xml:space="preserve">            width: 100%;</w:t>
        <w:br/>
        <w:t xml:space="preserve">            padding: 12px;</w:t>
        <w:br/>
        <w:t xml:space="preserve">            border: 1px solid var(--border-color);</w:t>
        <w:br/>
        <w:t xml:space="preserve">            border-radius: 8px;</w:t>
        <w:br/>
        <w:t xml:space="preserve">            font-size: 0.95rem;</w:t>
        <w:br/>
        <w:t xml:space="preserve">            box-sizing: border-box;</w:t>
        <w:br/>
        <w:t xml:space="preserve">            background-color: var(--light-bg);</w:t>
        <w:br/>
        <w:t xml:space="preserve">            color: var(--charcoal);</w:t>
        <w:br/>
        <w:t xml:space="preserve">            transition: border-color 0.2s;</w:t>
        <w:br/>
        <w:t xml:space="preserve">        }</w:t>
        <w:br/>
        <w:br/>
        <w:t xml:space="preserve">        .form-group input:focus, .form-group select:focus {</w:t>
        <w:br/>
        <w:t xml:space="preserve">            border-color: var(--secondary);</w:t>
        <w:br/>
        <w:t xml:space="preserve">            outline: none;</w:t>
        <w:br/>
        <w:t xml:space="preserve">        }</w:t>
        <w:br/>
        <w:br/>
        <w:t xml:space="preserve">        .calc-btn {</w:t>
        <w:br/>
        <w:t xml:space="preserve">            background: var(--secondary);</w:t>
        <w:br/>
        <w:t xml:space="preserve">            color: var(--white);</w:t>
        <w:br/>
        <w:t xml:space="preserve">            border: none;</w:t>
        <w:br/>
        <w:t xml:space="preserve">            padding: 14px 20px;</w:t>
        <w:br/>
        <w:t xml:space="preserve">            border-radius: 8px;</w:t>
        <w:br/>
        <w:t xml:space="preserve">            font-weight: 700;</w:t>
        <w:br/>
        <w:t xml:space="preserve">            font-size: 1rem;</w:t>
        <w:br/>
        <w:t xml:space="preserve">            cursor: pointer;</w:t>
        <w:br/>
        <w:t xml:space="preserve">            width: 100%;</w:t>
        <w:br/>
        <w:t xml:space="preserve">            transition: background 0.2s, transform 0.1s;</w:t>
        <w:br/>
        <w:t xml:space="preserve">        }</w:t>
        <w:br/>
        <w:br/>
        <w:t xml:space="preserve">        .calc-btn:hover {</w:t>
        <w:br/>
        <w:t xml:space="preserve">            background: #094a30;</w:t>
        <w:br/>
        <w:t xml:space="preserve">        }</w:t>
        <w:br/>
        <w:br/>
        <w:t xml:space="preserve">        .calc-btn:active {</w:t>
        <w:br/>
        <w:t xml:space="preserve">            transform: scale(0.98);</w:t>
        <w:br/>
        <w:t xml:space="preserve">        }</w:t>
        <w:br/>
        <w:br/>
        <w:t xml:space="preserve">        .results-panel {</w:t>
        <w:br/>
        <w:t xml:space="preserve">            background-color: var(--light-bg);</w:t>
        <w:br/>
        <w:t xml:space="preserve">            border-radius: 12px;</w:t>
        <w:br/>
        <w:t xml:space="preserve">            padding: 20px;</w:t>
        <w:br/>
        <w:t xml:space="preserve">            margin-top: 25px;</w:t>
        <w:br/>
        <w:t xml:space="preserve">            border-left: 4px solid var(--accent);</w:t>
        <w:br/>
        <w:t xml:space="preserve">        }</w:t>
        <w:br/>
        <w:br/>
        <w:t xml:space="preserve">        .results-panel h3 {</w:t>
        <w:br/>
        <w:t xml:space="preserve">            margin-top: 0;</w:t>
        <w:br/>
        <w:t xml:space="preserve">            margin-bottom: 15px;</w:t>
        <w:br/>
        <w:t xml:space="preserve">            color: var(--primary);</w:t>
        <w:br/>
        <w:t xml:space="preserve">            font-size: 1.1rem;</w:t>
        <w:br/>
        <w:t xml:space="preserve">        }</w:t>
        <w:br/>
        <w:br/>
        <w:t xml:space="preserve">        .result-row {</w:t>
        <w:br/>
        <w:t xml:space="preserve">            display: flex;</w:t>
        <w:br/>
        <w:t xml:space="preserve">            justify-content: space-between;</w:t>
        <w:br/>
        <w:t xml:space="preserve">            border-bottom: 1px solid var(--border-color);</w:t>
        <w:br/>
        <w:t xml:space="preserve">            padding: 10px 0;</w:t>
        <w:br/>
        <w:t xml:space="preserve">            font-size: 0.9rem;</w:t>
        <w:br/>
        <w:t xml:space="preserve">        }</w:t>
        <w:br/>
        <w:br/>
        <w:t xml:space="preserve">        .result-row:last-child {</w:t>
        <w:br/>
        <w:t xml:space="preserve">            border-bottom: none;</w:t>
        <w:br/>
        <w:t xml:space="preserve">        }</w:t>
        <w:br/>
        <w:br/>
        <w:t xml:space="preserve">        .result-val {</w:t>
        <w:br/>
        <w:t xml:space="preserve">            font-weight: 700;</w:t>
        <w:br/>
        <w:t xml:space="preserve">            color: var(--secondary);</w:t>
        <w:br/>
        <w:t xml:space="preserve">        }</w:t>
        <w:br/>
        <w:br/>
        <w:t xml:space="preserve">        .ledger-table {</w:t>
        <w:br/>
        <w:t xml:space="preserve">            width: 100%;</w:t>
        <w:br/>
        <w:t xml:space="preserve">            border-collapse: collapse;</w:t>
        <w:br/>
        <w:t xml:space="preserve">            font-size: 0.85rem;</w:t>
        <w:br/>
        <w:t xml:space="preserve">            margin-top: 15px;</w:t>
        <w:br/>
        <w:t xml:space="preserve">        }</w:t>
        <w:br/>
        <w:br/>
        <w:t xml:space="preserve">        .ledger-table th {</w:t>
        <w:br/>
        <w:t xml:space="preserve">            background-color: var(--primary);</w:t>
        <w:br/>
        <w:t xml:space="preserve">            color: var(--white);</w:t>
        <w:br/>
        <w:t xml:space="preserve">            text-align: left;</w:t>
        <w:br/>
        <w:t xml:space="preserve">            padding: 10px;</w:t>
        <w:br/>
        <w:t xml:space="preserve">            font-weight: 600;</w:t>
        <w:br/>
        <w:t xml:space="preserve">        }</w:t>
        <w:br/>
        <w:br/>
        <w:t xml:space="preserve">        .ledger-table td {</w:t>
        <w:br/>
        <w:t xml:space="preserve">            padding: 10px;</w:t>
        <w:br/>
        <w:t xml:space="preserve">            border-bottom: 1px solid var(--border-color);</w:t>
        <w:br/>
        <w:t xml:space="preserve">        }</w:t>
        <w:br/>
        <w:br/>
        <w:t xml:space="preserve">        .ledger-table tr:hover {</w:t>
        <w:br/>
        <w:t xml:space="preserve">            background-color: var(--light-bg);</w:t>
        <w:br/>
        <w:t xml:space="preserve">        }</w:t>
        <w:br/>
        <w:br/>
        <w:t xml:space="preserve">        .badge {</w:t>
        <w:br/>
        <w:t xml:space="preserve">            padding: 3px 8px;</w:t>
        <w:br/>
        <w:t xml:space="preserve">            border-radius: 12px;</w:t>
        <w:br/>
        <w:t xml:space="preserve">            font-size: 0.72rem;</w:t>
        <w:br/>
        <w:t xml:space="preserve">            font-weight: 700;</w:t>
        <w:br/>
        <w:t xml:space="preserve">            text-transform: uppercase;</w:t>
        <w:br/>
        <w:t xml:space="preserve">        }</w:t>
        <w:br/>
        <w:br/>
        <w:t xml:space="preserve">        .badge.active {</w:t>
        <w:br/>
        <w:t xml:space="preserve">            background-color: rgba(14, 112, 72, 0.1);</w:t>
        <w:br/>
        <w:t xml:space="preserve">            color: var(--secondary);</w:t>
        <w:br/>
        <w:t xml:space="preserve">        }</w:t>
        <w:br/>
        <w:br/>
        <w:t xml:space="preserve">        .badge.pending {</w:t>
        <w:br/>
        <w:t xml:space="preserve">            background-color: rgba(178, 83, 41, 0.1);</w:t>
        <w:br/>
        <w:t xml:space="preserve">            color: var(--accent);</w:t>
        <w:br/>
        <w:t xml:space="preserve">        }</w:t>
        <w:br/>
        <w:t xml:space="preserve">    &lt;/style&gt;</w:t>
        <w:br/>
        <w:t>&lt;/head&gt;</w:t>
        <w:br/>
        <w:t>&lt;body&gt;</w:t>
        <w:br/>
        <w:br/>
        <w:t>&lt;div class="console-container"&gt;</w:t>
        <w:br/>
        <w:t xml:space="preserve">    &lt;!-- Header --&gt;</w:t>
        <w:br/>
        <w:t xml:space="preserve">    &lt;div class="header-card"&gt;</w:t>
        <w:br/>
        <w:t xml:space="preserve">        &lt;h1&gt;🏞️ Blue Ridge Stream Restoration&lt;/h1&gt;</w:t>
        <w:br/>
        <w:t xml:space="preserve">        &lt;p&gt;Advanced flulval geomorphic engineering and regulatory stream mitigation banking search systems.&lt;/p&gt;</w:t>
        <w:br/>
        <w:t xml:space="preserve">    &lt;/div&gt;</w:t>
        <w:br/>
        <w:br/>
        <w:t xml:space="preserve">    &lt;div class="grid-2"&gt;</w:t>
        <w:br/>
        <w:t xml:space="preserve">        &lt;!-- TOOL 1: Geomorphic Proceed Calculator --&gt;</w:t>
        <w:br/>
        <w:t xml:space="preserve">        &lt;div class="tool-card"&gt;</w:t>
        <w:br/>
        <w:t xml:space="preserve">            &lt;div&gt;</w:t>
        <w:br/>
        <w:t xml:space="preserve">                &lt;h2&gt;📊 Geomorphic Soil-Loss &amp; Landowner Payout Calculator&lt;/h2&gt;</w:t>
        <w:br/>
        <w:t xml:space="preserve">                &lt;div class="form-group"&gt;</w:t>
        <w:br/>
        <w:t xml:space="preserve">                    &lt;label for="stream-len"&gt;Stream Length along Property (Linear Feet)&lt;/label&gt;</w:t>
        <w:br/>
        <w:t xml:space="preserve">                    &lt;input type="number" id="stream-len" value="1500" min="100" step="50"&gt;</w:t>
        <w:br/>
        <w:t xml:space="preserve">                &lt;/div&gt;</w:t>
        <w:br/>
        <w:t xml:space="preserve">                &lt;div class="form-group"&gt;</w:t>
        <w:br/>
        <w:t xml:space="preserve">                    &lt;label for="erosion-rate"&gt;Average Lateral Bank Erosion Rate (Feet/Year)&lt;/label&gt;</w:t>
        <w:br/>
        <w:t xml:space="preserve">                    &lt;select id="erosion-rate"&gt;</w:t>
        <w:br/>
        <w:t xml:space="preserve">                        &lt;option value="0.2"&gt;Slight (0.2 ft/year)&lt;/option&gt;</w:t>
        <w:br/>
        <w:t xml:space="preserve">                        &lt;option value="0.5" selected&gt;Moderate (0.5 ft/year)&lt;/option&gt;</w:t>
        <w:br/>
        <w:t xml:space="preserve">                        &lt;option value="1.0"&gt;Severe (1.0 ft/year)&lt;/option&gt;</w:t>
        <w:br/>
        <w:t xml:space="preserve">                        &lt;option value="1.8"&gt;Extreme (1.8 ft/year)&lt;/option&gt;</w:t>
        <w:br/>
        <w:t xml:space="preserve">                    &lt;/select&gt;</w:t>
        <w:br/>
        <w:t xml:space="preserve">                &lt;/div&gt;</w:t>
        <w:br/>
        <w:t xml:space="preserve">                &lt;div class="form-group"&gt;</w:t>
        <w:br/>
        <w:t xml:space="preserve">                    &lt;label for="bank-height"&gt;Average Stream Bank Height (Feet)&lt;/label&gt;</w:t>
        <w:br/>
        <w:t xml:space="preserve">                    &lt;input type="number" id="bank-height" value="6" min="2" max="25"&gt;</w:t>
        <w:br/>
        <w:t xml:space="preserve">                &lt;/div&gt;</w:t>
        <w:br/>
        <w:t xml:space="preserve">                &lt;div class="form-group" style="display: flex; align-items: center; gap: 10px;"&gt;</w:t>
        <w:br/>
        <w:t xml:space="preserve">                    &lt;input type="checkbox" id="trout-spawning" checked style="width: auto; cursor: pointer;"&gt;</w:t>
        <w:br/>
        <w:t xml:space="preserve">                    &lt;label for="trout-spawning" style="margin-bottom: 0; cursor: pointer;"&gt;Include Trout Spawning enhancements&lt;/label&gt;</w:t>
        <w:br/>
        <w:t xml:space="preserve">                &lt;/div&gt;</w:t>
        <w:br/>
        <w:t xml:space="preserve">                </w:t>
        <w:br/>
        <w:t xml:space="preserve">                &lt;button class="calc-btn" onclick="calculateGeomorphicProceeds()"&gt;Calculate Ecological &amp; Payout Yields&lt;/button&gt;</w:t>
        <w:br/>
        <w:t xml:space="preserve">            &lt;/div&gt;</w:t>
        <w:br/>
        <w:br/>
        <w:t xml:space="preserve">            &lt;!-- Calculator Results --&gt;</w:t>
        <w:br/>
        <w:t xml:space="preserve">            &lt;div class="results-panel"&gt;</w:t>
        <w:br/>
        <w:t xml:space="preserve">                &lt;h3&gt;📊 Calculated Project Estimates&lt;/h3&gt;</w:t>
        <w:br/>
        <w:t xml:space="preserve">                &lt;div class="result-row"&gt;</w:t>
        <w:br/>
        <w:t xml:space="preserve">                    &lt;span&gt;Sediment Load Prevented:&lt;/span&gt;</w:t>
        <w:br/>
        <w:t xml:space="preserve">                    &lt;span class="result-val" id="res-sediment"&gt;281.25 Tons/Year&lt;/span&gt;</w:t>
        <w:br/>
        <w:t xml:space="preserve">                &lt;/div&gt;</w:t>
        <w:br/>
        <w:t xml:space="preserve">                &lt;div class="result-row"&gt;</w:t>
        <w:br/>
        <w:t xml:space="preserve">                    &lt;span&gt;USACE Stream Credits Generated:&lt;/span&gt;</w:t>
        <w:br/>
        <w:t xml:space="preserve">                    &lt;span class="result-val" id="res-credits"&gt;21,109 Credits&lt;/span&gt;</w:t>
        <w:br/>
        <w:t xml:space="preserve">                &lt;/div&gt;</w:t>
        <w:br/>
        <w:t xml:space="preserve">                &lt;div class="result-row"&gt;</w:t>
        <w:br/>
        <w:t xml:space="preserve">                    &lt;span&gt;Estimated Total Project Value ($110/Credit):&lt;/span&gt;</w:t>
        <w:br/>
        <w:t xml:space="preserve">                    &lt;span class="result-val" id="res-value" style="color: var(--primary);"&gt;$2,321,990.00&lt;/span&gt;</w:t>
        <w:br/>
        <w:t xml:space="preserve">                &lt;/div&gt;</w:t>
        <w:br/>
        <w:t xml:space="preserve">                &lt;div class="result-row" style="border-top: 2px solid var(--border-color); padding-top: 15px;"&gt;</w:t>
        <w:br/>
        <w:t xml:space="preserve">                    &lt;span style="font-weight: 700; color: var(--accent);"&gt;Landowner Payout (30% Split):&lt;/span&gt;</w:t>
        <w:br/>
        <w:t xml:space="preserve">                    &lt;span class="result-val" id="res-payout" style="color: var(--accent); font-size: 1.15rem;"&gt;$696,597.00&lt;/span&gt;</w:t>
        <w:br/>
        <w:t xml:space="preserve">                &lt;/div&gt;</w:t>
        <w:br/>
        <w:t xml:space="preserve">            &lt;/div&gt;</w:t>
        <w:br/>
        <w:t xml:space="preserve">        &lt;/div&gt;</w:t>
        <w:br/>
        <w:br/>
        <w:t xml:space="preserve">        &lt;!-- TOOL 2: Interactive HUC-8 Credit Sourcing Console --&gt;</w:t>
        <w:br/>
        <w:t xml:space="preserve">        &lt;div class="tool-card"&gt;</w:t>
        <w:br/>
        <w:t xml:space="preserve">            &lt;div&gt;</w:t>
        <w:br/>
        <w:t xml:space="preserve">                &lt;h2&gt;🔍 Interactive HUC-8 Credit Sourcing Console&lt;/h2&gt;</w:t>
        <w:br/>
        <w:t xml:space="preserve">                &lt;p style="font-size: 0.8rem; color: var(--body-grey); margin-bottom: 20px;"&gt;</w:t>
        <w:br/>
        <w:t xml:space="preserve">                    Search active Savannah District mitigation credit inventories by local Georgia Hydrologic Unit Code (HUC) watershed.</w:t>
        <w:br/>
        <w:t xml:space="preserve">                &lt;/p&gt;</w:t>
        <w:br/>
        <w:t xml:space="preserve">                &lt;div class="form-group"&gt;</w:t>
        <w:br/>
        <w:t xml:space="preserve">                    &lt;label for="filter-basin"&gt;Primary HUC-8 Basin / Watershed&lt;/label&gt;</w:t>
        <w:br/>
        <w:t xml:space="preserve">                    &lt;select id="filter-basin" onchange="filterLedgerByBasin(this.value)"&gt;</w:t>
        <w:br/>
        <w:t xml:space="preserve">                        &lt;option value="all"&gt;Show All Basins&lt;/option&gt;</w:t>
        <w:br/>
        <w:t xml:space="preserve">                        &lt;option value="03150104"&gt;Etowah Basin (HUC 03150104)&lt;/option&gt;</w:t>
        <w:br/>
        <w:t xml:space="preserve">                        &lt;option value="03150101"&gt;Coosa Basin (HUC 03150101)&lt;/option&gt;</w:t>
        <w:br/>
        <w:t xml:space="preserve">                        &lt;option value="03130001"&gt;Upper Chattahoochee (HUC 03130001)&lt;/option&gt;</w:t>
        <w:br/>
        <w:t xml:space="preserve">                        &lt;option value="03070101"&gt;Upper Oconee (HUC 03070101)&lt;/option&gt;</w:t>
        <w:br/>
        <w:t xml:space="preserve">                    &lt;/select&gt;</w:t>
        <w:br/>
        <w:t xml:space="preserve">                &lt;/div&gt;</w:t>
        <w:br/>
        <w:br/>
        <w:t xml:space="preserve">                &lt;div style="max-height: 380px; overflow-y: auto; border: 1px solid var(--border-color); border-radius: 8px;"&gt;</w:t>
        <w:br/>
        <w:t xml:space="preserve">                    &lt;table class="ledger-table"&gt;</w:t>
        <w:br/>
        <w:t xml:space="preserve">                        &lt;thead&gt;</w:t>
        <w:br/>
        <w:t xml:space="preserve">                            &lt;tr&gt;</w:t>
        <w:br/>
        <w:t xml:space="preserve">                                &lt;th&gt;Mitigation Bank&lt;/th&gt;</w:t>
        <w:br/>
        <w:t xml:space="preserve">                                &lt;th&gt;HUC-8 Basin&lt;/th&gt;</w:t>
        <w:br/>
        <w:t xml:space="preserve">                                &lt;th&gt;Credit Type&lt;/th&gt;</w:t>
        <w:br/>
        <w:t xml:space="preserve">                                &lt;th&gt;Avail. Credits&lt;/th&gt;</w:t>
        <w:br/>
        <w:t xml:space="preserve">                                &lt;th&gt;Status&lt;/th&gt;</w:t>
        <w:br/>
        <w:t xml:space="preserve">                            &lt;/tr&gt;</w:t>
        <w:br/>
        <w:t xml:space="preserve">                        &lt;/thead&gt;</w:t>
        <w:br/>
        <w:t xml:space="preserve">                        &lt;tbody id="ledger-body"&gt;</w:t>
        <w:br/>
        <w:t xml:space="preserve">                            &lt;!-- Dynamic rows --&gt;</w:t>
        <w:br/>
        <w:t xml:space="preserve">                        &lt;/tbody&gt;</w:t>
        <w:br/>
        <w:t xml:space="preserve">                    &lt;/table&gt;</w:t>
        <w:br/>
        <w:t xml:space="preserve">                &lt;/div&gt;</w:t>
        <w:br/>
        <w:t xml:space="preserve">            &lt;/div&gt;</w:t>
        <w:br/>
        <w:t xml:space="preserve">        &lt;/div&gt;</w:t>
        <w:br/>
        <w:t xml:space="preserve">    &lt;/div&gt;</w:t>
        <w:br/>
        <w:t>&lt;/div&gt;</w:t>
        <w:br/>
        <w:br/>
        <w:t>&lt;script&gt;</w:t>
        <w:br/>
        <w:t xml:space="preserve">    // 1. Geomorphic Proceed Calculator Logic</w:t>
        <w:br/>
        <w:t xml:space="preserve">    function calculateGeomorphicProceeds() {</w:t>
        <w:br/>
        <w:t xml:space="preserve">        const length = parseFloat(document.getElementById('stream-len').value) || 0;</w:t>
        <w:br/>
        <w:t xml:space="preserve">        const rate = parseFloat(document.getElementById('erosion-rate').value) || 0;</w:t>
        <w:br/>
        <w:t xml:space="preserve">        const height = parseFloat(document.getElementById('bank-height').value) || 0;</w:t>
        <w:br/>
        <w:t xml:space="preserve">        const includeTrout = document.getElementById('trout-spawning').checked;</w:t>
        <w:br/>
        <w:t xml:space="preserve">        </w:t>
        <w:br/>
        <w:t xml:space="preserve">        // Soil weight constant (Bulk Density) = 85 lb/ft³</w:t>
        <w:br/>
        <w:t xml:space="preserve">        const bulkDensity = 85.0; </w:t>
        <w:br/>
        <w:t xml:space="preserve">        </w:t>
        <w:br/>
        <w:t xml:space="preserve">        // Sediment prevented equation: Length * height * erosion_rate * bulk_density / 2000 (lbs to tons)</w:t>
        <w:br/>
        <w:t xml:space="preserve">        const sedimentPrevented = (length * height * rate * bulkDensity) / 2000.0;</w:t>
        <w:br/>
        <w:t xml:space="preserve">        </w:t>
        <w:br/>
        <w:t xml:space="preserve">        // USACE Stream Credit Yield Factor Equation (Savannah District SOP standard)</w:t>
        <w:br/>
        <w:t xml:space="preserve">        // Baseline restoration factor = 3.8 credits per linear foot</w:t>
        <w:br/>
        <w:t xml:space="preserve">        let creditFactor = 3.8;</w:t>
        <w:br/>
        <w:t xml:space="preserve">        if (rate &gt;= 1.0) creditFactor += 0.8;      # Severe erosion multiplier</w:t>
        <w:br/>
        <w:t xml:space="preserve">        if (includeTrout) creditFactor += 0.5;    # Coldwater spawning bioengineering bonus</w:t>
        <w:br/>
        <w:t xml:space="preserve">        </w:t>
        <w:br/>
        <w:t xml:space="preserve">        const credits = Math.round(length * creditFactor);</w:t>
        <w:br/>
        <w:t xml:space="preserve">        const creditPrice = 110.00;</w:t>
        <w:br/>
        <w:t xml:space="preserve">        const totalValue = credits * creditPrice;</w:t>
        <w:br/>
        <w:t xml:space="preserve">        </w:t>
        <w:br/>
        <w:t xml:space="preserve">        // Landowner receives 30% Joint-Venture Proceeds Split</w:t>
        <w:br/>
        <w:t xml:space="preserve">        const landownerPayout = totalValue * 0.30;</w:t>
        <w:br/>
        <w:t xml:space="preserve">        </w:t>
        <w:br/>
        <w:t xml:space="preserve">        // Render values</w:t>
        <w:br/>
        <w:t xml:space="preserve">        document.getElementById('res-sediment').innerText = sedimentPrevented.toFixed(2) + " Tons/Year";</w:t>
        <w:br/>
        <w:t xml:space="preserve">        document.getElementById('res-credits').innerText = credits.toLocaleString() + " Credits";</w:t>
        <w:br/>
        <w:t xml:space="preserve">        document.getElementById('res-value').innerText = "$" + totalValue.toLocaleString('en-US', {minimumFractionDigits: 2, maximumFractionDigits: 2});</w:t>
        <w:br/>
        <w:t xml:space="preserve">        document.getElementById('res-payout').innerText = "$" + landownerPayout.toLocaleString('en-US', {minimumFractionDigits: 2, maximumFractionDigits: 2});</w:t>
        <w:br/>
        <w:t xml:space="preserve">    }</w:t>
        <w:br/>
        <w:br/>
        <w:t xml:space="preserve">    // 2. Interactive HUC-8 Credit Sourcing Console Data</w:t>
        <w:br/>
        <w:t xml:space="preserve">    const ledgerData = [</w:t>
        <w:br/>
        <w:t xml:space="preserve">        { bank: "Cochrans Creek", HUC: "03150104", type: "Stream (Trout)", avail: "14,821", status: "active" },</w:t>
        <w:br/>
        <w:t xml:space="preserve">        { bank: "Conasauga Bend", HUC: "03150101", type: "Stream/Wetland", avail: "8,954", status: "active" },</w:t>
        <w:br/>
        <w:t xml:space="preserve">        { bank: "Carrollton Mills", HUC: "03130002", type: "Stream Credits", avail: "12,410", status: "active" },</w:t>
        <w:br/>
        <w:t xml:space="preserve">        { bank: "Demorest Lake", HUC: "03130001", type: "Stream Credits", avail: "2,154", status: "active" },</w:t>
        <w:br/>
        <w:t xml:space="preserve">        { bank: "Southern Cross", HUC: "03130001", type: "Stream Credits", avail: "6,810", status: "active" },</w:t>
        <w:br/>
        <w:t xml:space="preserve">        { bank: "Big Sandy Creek", HUC: "03070101", type: "Stream/Wetland", avail: "22,541", status: "active" },</w:t>
        <w:br/>
        <w:t xml:space="preserve">        { bank: "Anderson Creek", HUC: "03150104", type: "Stream (Trout)", avail: "21,109", status: "pending" }</w:t>
        <w:br/>
        <w:t xml:space="preserve">    ];</w:t>
        <w:br/>
        <w:br/>
        <w:t xml:space="preserve">    function filterLedgerByBasin(basin) {</w:t>
        <w:br/>
        <w:t xml:space="preserve">        const body = document.getElementById('ledger-body');</w:t>
        <w:br/>
        <w:t xml:space="preserve">        body.innerHTML = "";</w:t>
        <w:br/>
        <w:t xml:space="preserve">        </w:t>
        <w:br/>
        <w:t xml:space="preserve">        const filtered = basin === "all" ? ledgerData : ledgerData.filter(d =&gt; d.HUC === basin);</w:t>
        <w:br/>
        <w:t xml:space="preserve">        </w:t>
        <w:br/>
        <w:t xml:space="preserve">        filtered.forEach(d =&gt; {</w:t>
        <w:br/>
        <w:t xml:space="preserve">            const tr = document.createElement('tr');</w:t>
        <w:br/>
        <w:t xml:space="preserve">            tr.innerHTML = `</w:t>
        <w:br/>
        <w:t xml:space="preserve">                &lt;td style="font-weight: 700;"&gt;🏞️ ${d.bank}&lt;/td&gt;</w:t>
        <w:br/>
        <w:t xml:space="preserve">                &lt;td&gt;HUC ${d.HUC}&lt;/td&gt;</w:t>
        <w:br/>
        <w:t xml:space="preserve">                &lt;td style="color: var(--secondary); font-weight: 600;"&gt;${d.type}&lt;/td&gt;</w:t>
        <w:br/>
        <w:t xml:space="preserve">                &lt;td style="font-weight: 700;"&gt;${d.avail}&lt;/td&gt;</w:t>
        <w:br/>
        <w:t xml:space="preserve">                &lt;td&gt;&lt;span class="badge ${d.status}"&gt;${d.status}&lt;/span&gt;&lt;/td&gt;</w:t>
        <w:br/>
        <w:t xml:space="preserve">            `;</w:t>
        <w:br/>
        <w:t xml:space="preserve">            body.appendChild(tr);</w:t>
        <w:br/>
        <w:t xml:space="preserve">        });</w:t>
        <w:br/>
        <w:t xml:space="preserve">    }</w:t>
        <w:br/>
        <w:br/>
        <w:t xml:space="preserve">    // Initialize tools on page load</w:t>
        <w:br/>
        <w:t xml:space="preserve">    window.onload = function() {</w:t>
        <w:br/>
        <w:t xml:space="preserve">        calculateGeomorphicProceeds();</w:t>
        <w:br/>
        <w:t xml:space="preserve">        filterLedgerByBasin('all');</w:t>
        <w:br/>
        <w:t xml:space="preserve">    };</w:t>
        <w:br/>
        <w:t>&lt;/script&gt;</w:t>
        <w:br/>
        <w:t>&lt;/body&gt;</w:t>
        <w:br/>
        <w:t>&lt;/html&gt;</w:t>
      </w:r>
    </w:p>
    <w:p>
      <w:pPr>
        <w:spacing w:after="240"/>
      </w:pPr>
      <w:r>
        <w:rPr>
          <w:color w:val="D9D9D9"/>
        </w:rPr>
        <w:t>____________________________________________________</w:t>
      </w:r>
    </w:p>
    <w:p>
      <w:pPr>
        <w:spacing w:before="360" w:after="120"/>
      </w:pPr>
      <w:r>
        <w:rPr>
          <w:b/>
          <w:color w:val="2E75B6"/>
          <w:sz w:val="32"/>
        </w:rPr>
        <w:t>IV. Technical Fluvial Geomorphology &amp; Engineering Rigor</w:t>
      </w:r>
    </w:p>
    <w:p>
      <w:r>
        <w:t>Nameless private-equity conglomerates lack Hunter Morris's deep geomorphic trout-centric attention to detail. To ensure the brand’s authority-led positioning is completely bulletproof to state environmental planners and land trust directors, our technical guides rely on explicit geomorphic equations and Rosgen Natural Channel Design classification baselines.</w:t>
      </w:r>
    </w:p>
    <w:p>
      <w:pPr>
        <w:spacing w:before="120" w:after="120"/>
        <w:ind w:left="360"/>
      </w:pPr>
      <w:r>
        <w:rPr>
          <w:rFonts w:ascii="Consolas" w:hAnsi="Consolas"/>
          <w:color w:val="7F0055"/>
          <w:sz w:val="19"/>
        </w:rPr>
        <w:t xml:space="preserve">       [Rosgen High-Gradient Mountain Stream Classifications]</w:t>
        <w:br/>
        <w:t xml:space="preserve">       </w:t>
        <w:br/>
        <w:t xml:space="preserve">      Type Aa+                  Type A                   Type B</w:t>
        <w:br/>
        <w:t xml:space="preserve">    (Colluvial)              (Degrading)             (Transport)</w:t>
        <w:br/>
        <w:t xml:space="preserve">    </w:t>
        <w:br/>
        <w:t xml:space="preserve">     /\   /\                /\   /\               /\     /\</w:t>
        <w:br/>
        <w:t xml:space="preserve">    /  \ /  \              /  \ /  \             /  \   /  \</w:t>
        <w:br/>
        <w:t xml:space="preserve">   /    V    \            /    V    \           /    \_/    \</w:t>
        <w:br/>
        <w:t xml:space="preserve">  |  Cascade  |          | Step-Pool |         |  Riffle-Pool  |</w:t>
        <w:br/>
        <w:t xml:space="preserve">  |  S &gt; 10%  |          | S = 4-10% |         |   S = 2-4%    |</w:t>
        <w:br/>
        <w:t xml:space="preserve">  \_________/            \_________/           \_____________/</w:t>
      </w:r>
    </w:p>
    <w:p>
      <w:pPr>
        <w:spacing w:before="240" w:after="80"/>
      </w:pPr>
      <w:r>
        <w:rPr>
          <w:b/>
          <w:color w:val="595959"/>
          <w:sz w:val="26"/>
        </w:rPr>
        <w:t>1. The Rosgen Stream Classification Matrix</w:t>
      </w:r>
    </w:p>
    <w:p>
      <w:r>
        <w:t>High-gradient headwaters near Hunter's cabin fall under specific geomorphic categories that determine our bioengineering stabilization techniques:</w:t>
      </w:r>
    </w:p>
    <w:p>
      <w:pPr>
        <w:pStyle w:val="ListBullet"/>
        <w:spacing w:after="60"/>
      </w:pPr>
      <w:r/>
      <w:r>
        <w:rPr>
          <w:b/>
        </w:rPr>
        <w:t>Rosgen Aa+ (Cascades, Slope &gt; 10%)</w:t>
      </w:r>
      <w:r>
        <w:t>: Extreme energy colluvial transport channels. Restored using large rock cascades and structural step-pool log drops with cedar gravity anchors (Factor of Safety, FS &gt;= 1.5).</w:t>
      </w:r>
    </w:p>
    <w:p>
      <w:pPr>
        <w:pStyle w:val="ListBullet"/>
        <w:spacing w:after="60"/>
      </w:pPr>
      <w:r/>
      <w:r>
        <w:rPr>
          <w:b/>
        </w:rPr>
        <w:t>Rosgen A (Step-Pool, Slope 4.0% - 10.0%)</w:t>
      </w:r>
      <w:r>
        <w:t>: Degrading high-energy headwaters. Restored using double log cross-vanes, root-wads with deep soil geogrids, and bank regrading to a stable 3:1 bankfull slope.</w:t>
      </w:r>
    </w:p>
    <w:p>
      <w:pPr>
        <w:pStyle w:val="ListBullet"/>
        <w:spacing w:after="60"/>
      </w:pPr>
      <w:r/>
      <w:r>
        <w:rPr>
          <w:b/>
        </w:rPr>
        <w:t>Rosgen B (Riffle-Pool, Slope 2.0% - 4.0%)</w:t>
      </w:r>
      <w:r>
        <w:t>: Stable transport reaches with moderate sinuosity (Sinuosity K ~ 1.2). Restored using natural gravel spawning riffles and structural bank-toe protection using cedar log toe-wood layers and live willow transplants.</w:t>
      </w:r>
    </w:p>
    <w:p>
      <w:pPr>
        <w:spacing w:before="240" w:after="80"/>
      </w:pPr>
      <w:r>
        <w:rPr>
          <w:b/>
          <w:color w:val="595959"/>
          <w:sz w:val="26"/>
        </w:rPr>
        <w:t>2. Fluvial Boundary Shear Stress Equation</w:t>
      </w:r>
    </w:p>
    <w:p>
      <w:r>
        <w:t>To guarantee that our geomorphic structures will not migrate downstream during 100-year storm surges (no-rise flood compliance), our GT graduate interns process boundary shear stress (τ) calculations:</w:t>
      </w:r>
    </w:p>
    <w:p>
      <w:pPr>
        <w:spacing w:before="120" w:after="120"/>
        <w:ind w:left="360"/>
      </w:pPr>
      <w:r>
        <w:rPr>
          <w:rFonts w:ascii="Consolas" w:hAnsi="Consolas"/>
          <w:color w:val="7F0055"/>
          <w:sz w:val="19"/>
        </w:rPr>
        <w:t>Boundary Shear Stress (τ) = γ * R * S</w:t>
      </w:r>
    </w:p>
    <w:p>
      <w:r>
        <w:t>Where:</w:t>
      </w:r>
    </w:p>
    <w:p>
      <w:pPr>
        <w:pStyle w:val="ListBullet"/>
        <w:spacing w:after="60"/>
      </w:pPr>
      <w:r>
        <w:t>τ = Fluvial Boundary Shear Stress (lb/ft² or N/m²)</w:t>
      </w:r>
    </w:p>
    <w:p>
      <w:pPr>
        <w:pStyle w:val="ListBullet"/>
        <w:spacing w:after="60"/>
      </w:pPr>
      <w:r>
        <w:t>γ = Unit weight of water (62.4 lb/ft³ or 9,810 N/m³)</w:t>
      </w:r>
    </w:p>
    <w:p>
      <w:pPr>
        <w:pStyle w:val="ListBullet"/>
        <w:spacing w:after="60"/>
      </w:pPr>
      <w:r>
        <w:t>R = Hydraulic Radius (ft or m), calculated as cross-sectional bankfull area (A) divided by wetted perimeter (P).</w:t>
      </w:r>
    </w:p>
    <w:p>
      <w:pPr>
        <w:pStyle w:val="ListBullet"/>
        <w:spacing w:after="60"/>
      </w:pPr>
      <w:r>
        <w:t>S = Channel slope gradient (ft/ft or m/m).</w:t>
      </w:r>
    </w:p>
    <w:p>
      <w:r>
        <w:t>To prevent washouts and secure pristine trout spawning conditions, our design shear boundaries fall within the exact gravel stability thresholds:</w:t>
      </w:r>
    </w:p>
    <w:p>
      <w:pPr>
        <w:spacing w:before="120" w:after="120"/>
        <w:ind w:left="360"/>
      </w:pPr>
      <w:r>
        <w:rPr>
          <w:rFonts w:ascii="Consolas" w:hAnsi="Consolas"/>
          <w:color w:val="7F0055"/>
          <w:sz w:val="19"/>
        </w:rPr>
        <w:t>1.46 N/m² &lt;= τ_design &lt;= 21.85 N/m²</w:t>
      </w:r>
    </w:p>
    <w:p>
      <w:pPr>
        <w:spacing w:before="240" w:after="80"/>
      </w:pPr>
      <w:r>
        <w:rPr>
          <w:b/>
          <w:color w:val="595959"/>
          <w:sz w:val="26"/>
        </w:rPr>
        <w:t>3. Geomorphic Soil-Loss Equation</w:t>
      </w:r>
    </w:p>
    <w:p>
      <w:r>
        <w:t>To calculate the exact tonnage of sediment prevented from choking local trout spawning gravels, our warning models evaluate:</w:t>
      </w:r>
    </w:p>
    <w:p>
      <w:pPr>
        <w:spacing w:before="120" w:after="120"/>
        <w:ind w:left="360"/>
      </w:pPr>
      <w:r>
        <w:rPr>
          <w:rFonts w:ascii="Consolas" w:hAnsi="Consolas"/>
          <w:color w:val="7F0055"/>
          <w:sz w:val="19"/>
        </w:rPr>
        <w:t>Sediment Prevented (Tons/Year) = (L * H * R_e * ρ_b) / 2000</w:t>
      </w:r>
    </w:p>
    <w:p>
      <w:r>
        <w:t>Where:</w:t>
      </w:r>
    </w:p>
    <w:p>
      <w:pPr>
        <w:pStyle w:val="ListBullet"/>
        <w:spacing w:after="60"/>
      </w:pPr>
      <w:r>
        <w:t>L = Stream reach length (Linear Feet)</w:t>
      </w:r>
    </w:p>
    <w:p>
      <w:pPr>
        <w:pStyle w:val="ListBullet"/>
        <w:spacing w:after="60"/>
      </w:pPr>
      <w:r>
        <w:t>H = Stream bank height (Feet)</w:t>
      </w:r>
    </w:p>
    <w:p>
      <w:pPr>
        <w:pStyle w:val="ListBullet"/>
        <w:spacing w:after="60"/>
      </w:pPr>
      <w:r>
        <w:t>R_e = Lateral erosion rate (Feet/Year), measured using bank pins.</w:t>
      </w:r>
    </w:p>
    <w:p>
      <w:pPr>
        <w:pStyle w:val="ListBullet"/>
        <w:spacing w:after="60"/>
      </w:pPr>
      <w:r>
        <w:t>ρ_b = Soil bulk density constant (85.0 lb/ft³ for North Georgia sand-clay matrices).</w:t>
      </w:r>
    </w:p>
    <w:p>
      <w:pPr>
        <w:pStyle w:val="ListBullet"/>
        <w:spacing w:after="60"/>
      </w:pPr>
      <w:r>
        <w:t>2000 = Conversion constant from pounds to short tons.</w:t>
      </w:r>
    </w:p>
    <w:p>
      <w:r>
        <w:t xml:space="preserve">Applying this equation to Roya's Cabin flagship 1,500-LF reach under moderate erosion (0.5 ft/yr) and a 6-foot bank height reveals that </w:t>
      </w:r>
      <w:r>
        <w:rPr>
          <w:b/>
        </w:rPr>
        <w:t>281.25 Tons/Year of sediment</w:t>
      </w:r>
      <w:r>
        <w:t xml:space="preserve"> is permanently prevented from entering the local trout watershed—instantly justifying our high-ticket credit generation!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