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40: B2B Brand Identity &amp; Visual Style Guide</w:t>
      </w:r>
    </w:p>
    <w:p>
      <w:pPr>
        <w:spacing w:before="160" w:after="160"/>
        <w:ind w:left="576"/>
      </w:pPr>
      <w:r>
        <w:rPr>
          <w:i/>
          <w:color w:val="595959"/>
          <w:sz w:val="21"/>
        </w:rPr>
        <w:t>**Marketing &amp; Brand Communication Standards**</w:t>
        <w:br/>
        <w:t>**Brand**: Blue Ridge Stream Restoration &amp; Mitigation LLC</w:t>
        <w:br/>
        <w:t>**Audience**: Hyperscale Developers, Agricultural Bankers, Estate Attorneys, and USACE Regulators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Executive Summary: The Visual Differentiator</w:t>
      </w:r>
    </w:p>
    <w:p>
      <w:r>
        <w:t>In the stream mitigation industry, most developers present their work using dry, dry-gray civil engineering reports cluttered with chaotic CAD line-weights and basic Calibri Word documents.</w:t>
      </w:r>
    </w:p>
    <w:p>
      <w:r>
        <w:t xml:space="preserve">To help Co-Founder Hunter Morris out-compete multi-million dollar conglomerates, </w:t>
      </w:r>
      <w:r>
        <w:rPr>
          <w:b/>
        </w:rPr>
        <w:t>Blue Ridge Stream</w:t>
      </w:r>
      <w:r>
        <w:t xml:space="preserve"> must maintain an elite, cohesive B2B brand identity. Every pitch deck, landowners option agreement, website portal, and regulatory audit must feel premium, state-of-the-art, and scientifically rigorous.</w:t>
      </w:r>
    </w:p>
    <w:p>
      <w:r>
        <w:t>This Visual Style Guide details the corporate color system, typefaces, presentation templates, and logo exclusion specifications to ensure our assets are visually consistent and command a premium credit selling price.</w:t>
      </w:r>
    </w:p>
    <w:p>
      <w:pPr>
        <w:spacing w:after="240"/>
      </w:pPr>
      <w:r>
        <w:rPr>
          <w:color w:val="D9D9D9"/>
        </w:rPr>
        <w:t>____________________________________________________</w:t>
      </w:r>
    </w:p>
    <w:p>
      <w:pPr>
        <w:spacing w:before="360" w:after="120"/>
      </w:pPr>
      <w:r>
        <w:rPr>
          <w:b/>
          <w:color w:val="2E75B6"/>
          <w:sz w:val="32"/>
        </w:rPr>
        <w:t>2. Corporate Color Palette (Hex &amp; HSL Systems)</w:t>
      </w:r>
    </w:p>
    <w:p>
      <w:r>
        <w:t>Our color system is drawn from the pristine, coldwater headwaters of the Blue Ridge Mountains. Use these exact hex and HSL values for all graphics, SVG icons, website elements, and PDF text accents:</w:t>
      </w:r>
    </w:p>
    <w:p>
      <w:pPr>
        <w:spacing w:before="120" w:after="120"/>
        <w:ind w:left="360"/>
      </w:pPr>
      <w:r>
        <w:rPr>
          <w:rFonts w:ascii="Consolas" w:hAnsi="Consolas"/>
          <w:color w:val="7F0055"/>
          <w:sz w:val="19"/>
        </w:rPr>
        <w:t xml:space="preserve">      +-------------------+  +-------------------+  +-------------------+</w:t>
        <w:br/>
        <w:t xml:space="preserve">      |    RIVER NAVY     |  |    TROUT TEAL     |  |    TROUT SILVER   |</w:t>
        <w:br/>
        <w:t xml:space="preserve">      |      #1F4E79      |  |      #2C9380      |  |      #94A3B8      |</w:t>
        <w:br/>
        <w:t xml:space="preserve">      |  HSL(209, 59%, 29%)|  |  HSL(168, 54%, 37%)|  |  HSL(215, 20%, 65%)|</w:t>
        <w:br/>
        <w:t xml:space="preserve">      +-------------------+  +-------------------+  +-------------------+</w:t>
        <w:br/>
        <w:t xml:space="preserve">      </w:t>
        <w:br/>
        <w:t xml:space="preserve">      +-------------------+  +-------------------+  +-------------------+</w:t>
        <w:br/>
        <w:t xml:space="preserve">      |   DARK CHARCOAL   |  |     SOFT CLAY     |  |    CRYSTAL BG     |</w:t>
        <w:br/>
        <w:t xml:space="preserve">      |      #0F172A      |  |      #E2E8F0      |  |      #F8FAFC      |</w:t>
        <w:br/>
        <w:t xml:space="preserve">      |  HSL(222, 47%, 11%)|  |  HSL(214, 32%, 91%)|  |  HSL(210, 40%, 98%)|</w:t>
        <w:br/>
        <w:t xml:space="preserve">      +-------------------+  +-------------------+  +-------------------+</w:t>
      </w:r>
    </w:p>
    <w:p>
      <w:pPr>
        <w:pStyle w:val="ListBullet"/>
        <w:spacing w:after="60"/>
      </w:pPr>
      <w:r/>
      <w:r>
        <w:rPr>
          <w:b/>
        </w:rPr>
        <w:t>River Navy (`#1F4E79`)</w:t>
      </w:r>
      <w:r>
        <w:t>: Our primary brand color. Represents institutional trust, deep scoured pools, and professional hydrologic engineering. Use for primary text headers, table headers, and deck backdrops.</w:t>
      </w:r>
    </w:p>
    <w:p>
      <w:pPr>
        <w:pStyle w:val="ListBullet"/>
        <w:spacing w:after="60"/>
      </w:pPr>
      <w:r/>
      <w:r>
        <w:rPr>
          <w:b/>
        </w:rPr>
        <w:t>Trout Teal (`#2C9380`)</w:t>
      </w:r>
      <w:r>
        <w:t>: Our core accent color. Represents the clean, oxygenated waters where wild trout thrive and native Rhododendron máximo canopies. Use for highlights, buttons, interactive hover states, and callout box borders.</w:t>
      </w:r>
    </w:p>
    <w:p>
      <w:pPr>
        <w:pStyle w:val="ListBullet"/>
        <w:spacing w:after="60"/>
      </w:pPr>
      <w:r/>
      <w:r>
        <w:rPr>
          <w:b/>
        </w:rPr>
        <w:t>Trout Silver (`#94A3B8`)</w:t>
      </w:r>
      <w:r>
        <w:t>: Secondary text color and vector line work. Represents brook trout flank scales and clean mountain sand substrates.</w:t>
      </w:r>
    </w:p>
    <w:p>
      <w:pPr>
        <w:pStyle w:val="ListBullet"/>
        <w:spacing w:after="60"/>
      </w:pPr>
      <w:r/>
      <w:r>
        <w:rPr>
          <w:b/>
        </w:rPr>
        <w:t>Dark Charcoal (`#0F172A`)</w:t>
      </w:r>
      <w:r>
        <w:t>: Base body text color. Soft off-black to maximize reading comfort across long technical playbooks.</w:t>
      </w:r>
    </w:p>
    <w:p>
      <w:pPr>
        <w:pStyle w:val="ListBullet"/>
        <w:spacing w:after="60"/>
      </w:pPr>
      <w:r/>
      <w:r>
        <w:rPr>
          <w:b/>
        </w:rPr>
        <w:t>Soft Clay (`#E2E8F0`)</w:t>
      </w:r>
      <w:r>
        <w:t>: Divider lines, card borders, and background grid lines.</w:t>
      </w:r>
    </w:p>
    <w:p>
      <w:pPr>
        <w:pStyle w:val="ListBullet"/>
        <w:spacing w:after="60"/>
      </w:pPr>
      <w:r/>
      <w:r>
        <w:rPr>
          <w:b/>
        </w:rPr>
        <w:t>Crystal Background (`#F8FAFC`)</w:t>
      </w:r>
      <w:r>
        <w:t>: Soft grey-white canvas for all layout backgrounds.</w:t>
      </w:r>
    </w:p>
    <w:p>
      <w:pPr>
        <w:spacing w:after="240"/>
      </w:pPr>
      <w:r>
        <w:rPr>
          <w:color w:val="D9D9D9"/>
        </w:rPr>
        <w:t>____________________________________________________</w:t>
      </w:r>
    </w:p>
    <w:p>
      <w:pPr>
        <w:spacing w:before="360" w:after="120"/>
      </w:pPr>
      <w:r>
        <w:rPr>
          <w:b/>
          <w:color w:val="2E75B6"/>
          <w:sz w:val="32"/>
        </w:rPr>
        <w:t>3. Typography &amp; Font Pairing Hierarchy</w:t>
      </w:r>
    </w:p>
    <w:p>
      <w:r>
        <w:t xml:space="preserve">We standardize on modern typography from the </w:t>
      </w:r>
      <w:r>
        <w:rPr>
          <w:b/>
        </w:rPr>
        <w:t>Google Fonts</w:t>
      </w:r>
      <w:r>
        <w:t xml:space="preserve"> system to establish a stark visual hierarchy:</w:t>
      </w:r>
    </w:p>
    <w:p>
      <w:pPr>
        <w:spacing w:before="240" w:after="80"/>
      </w:pPr>
      <w:r>
        <w:rPr>
          <w:b/>
          <w:color w:val="595959"/>
          <w:sz w:val="26"/>
        </w:rPr>
        <w:t>A. Headings: Outfit (Geometric Sans-Serif)</w:t>
      </w:r>
    </w:p>
    <w:p>
      <w:pPr>
        <w:pStyle w:val="ListBullet"/>
        <w:spacing w:after="60"/>
      </w:pPr>
      <w:r>
        <w:t>*Usage*: Page titles, `h1`, `h2`, `h3`, slide titles, and our B2B portal logo.</w:t>
      </w:r>
    </w:p>
    <w:p>
      <w:pPr>
        <w:pStyle w:val="ListBullet"/>
        <w:spacing w:after="60"/>
      </w:pPr>
      <w:r>
        <w:t>*Attributes*: Clean, modern, high-end geometric structure.</w:t>
      </w:r>
    </w:p>
    <w:p>
      <w:pPr>
        <w:pStyle w:val="ListBullet"/>
        <w:spacing w:after="60"/>
      </w:pPr>
      <w:r>
        <w:t xml:space="preserve">*Styling*: Set headings to </w:t>
      </w:r>
      <w:r>
        <w:rPr>
          <w:b/>
        </w:rPr>
        <w:t>Bold</w:t>
      </w:r>
      <w:r>
        <w:t xml:space="preserve"> (`font-weight: 700`) with a tight letter-spacing (`letter-spacing: -0.5px`) to command authority.</w:t>
      </w:r>
    </w:p>
    <w:p>
      <w:pPr>
        <w:spacing w:before="240" w:after="80"/>
      </w:pPr>
      <w:r>
        <w:rPr>
          <w:b/>
          <w:color w:val="595959"/>
          <w:sz w:val="26"/>
        </w:rPr>
        <w:t>B. Body Copy: Inter (Highly Readable Sans-Serif)</w:t>
      </w:r>
    </w:p>
    <w:p>
      <w:pPr>
        <w:pStyle w:val="ListBullet"/>
        <w:spacing w:after="60"/>
      </w:pPr>
      <w:r>
        <w:t>*Usage*: Paragraph body text, tables, list items, and standard code copy.</w:t>
      </w:r>
    </w:p>
    <w:p>
      <w:pPr>
        <w:pStyle w:val="ListBullet"/>
        <w:spacing w:after="60"/>
      </w:pPr>
      <w:r>
        <w:t>*Attributes*: Clean, highly readable at small font sizes, excellent screen rendering.</w:t>
      </w:r>
    </w:p>
    <w:p>
      <w:pPr>
        <w:pStyle w:val="ListBullet"/>
        <w:spacing w:after="60"/>
      </w:pPr>
      <w:r>
        <w:t>*Styling*: Regular (`font-weight: 400`) or Medium (`font-weight: 500`) with a spacious line-height (`line-height: 1.6`) to prevent reader eye fatigue.</w:t>
      </w:r>
    </w:p>
    <w:p>
      <w:pPr>
        <w:spacing w:before="240" w:after="80"/>
      </w:pPr>
      <w:r>
        <w:rPr>
          <w:b/>
          <w:color w:val="595959"/>
          <w:sz w:val="26"/>
        </w:rPr>
        <w:t>C. Technical &amp; Math: Georgia (Serif)</w:t>
      </w:r>
    </w:p>
    <w:p>
      <w:pPr>
        <w:pStyle w:val="ListBullet"/>
        <w:spacing w:after="60"/>
      </w:pPr>
      <w:r>
        <w:t>*Usage*: Inline math formulas, geomorphic equations, and financial NPV metrics.</w:t>
      </w:r>
    </w:p>
    <w:p>
      <w:pPr>
        <w:pStyle w:val="ListBullet"/>
        <w:spacing w:after="60"/>
      </w:pPr>
      <w:r>
        <w:t>*Attributes*: Distinct, academic, and highly professional.</w:t>
      </w:r>
    </w:p>
    <w:p>
      <w:pPr>
        <w:spacing w:after="240"/>
      </w:pPr>
      <w:r>
        <w:rPr>
          <w:color w:val="D9D9D9"/>
        </w:rPr>
        <w:t>____________________________________________________</w:t>
      </w:r>
    </w:p>
    <w:p>
      <w:pPr>
        <w:spacing w:before="360" w:after="120"/>
      </w:pPr>
      <w:r>
        <w:rPr>
          <w:b/>
          <w:color w:val="2E75B6"/>
          <w:sz w:val="32"/>
        </w:rPr>
        <w:t>4. B2B Presentation Slide Design Template</w:t>
      </w:r>
    </w:p>
    <w:p>
      <w:r>
        <w:t>When Hunter Morris pitches landowners or data center executives, his slides must follow this clean, structured, visual framework:</w:t>
      </w:r>
    </w:p>
    <w:p>
      <w:pPr>
        <w:spacing w:before="120" w:after="120"/>
        <w:ind w:left="360"/>
      </w:pPr>
      <w:r>
        <w:rPr>
          <w:rFonts w:ascii="Consolas" w:hAnsi="Consolas"/>
          <w:color w:val="7F0055"/>
          <w:sz w:val="19"/>
        </w:rPr>
        <w:t>+-------------------------------------------------------------------------+</w:t>
        <w:br/>
        <w:t>| [RIVER NAVY HEADER BAND]                         🎓 Blue Ridge Stream   |</w:t>
        <w:br/>
        <w:t>|   SLIDE TITLE: THE 70/30 CREDIT SPLIT ECONOMICS                         |</w:t>
        <w:br/>
        <w:t>|-------------------------------------------------------------------------|</w:t>
        <w:br/>
        <w:t>|                                                                         |</w:t>
        <w:br/>
        <w:t>|  [LEFT: HIGH-END ISOMETRIC SVG]         [RIGHT: KEY SALES METRICS]      |</w:t>
        <w:br/>
        <w:t>|  +---------------------------+          * Total Credits: 12,900         |</w:t>
        <w:br/>
        <w:t>|  |                           |          * Credit Price: $180.00         |</w:t>
        <w:br/>
        <w:t>|  |  Interactive Economic     |          * Gross Value: $2,322,000       |</w:t>
        <w:br/>
        <w:t>|  |  Proceed Flows            |                                          |</w:t>
        <w:br/>
        <w:t>|  |  (Landowner vs Developer) |          [TROUT TEAL CALLOUT BOX]        |</w:t>
        <w:br/>
        <w:t>|  |                           |          | "Landowner pure risk-free     |</w:t>
        <w:br/>
        <w:t>|  +---------------------------+          | proceed: $696,600.00"         |</w:t>
        <w:br/>
        <w:t>|                                                                         |</w:t>
        <w:br/>
        <w:t>|-------------------------------------------------------------------------|</w:t>
        <w:br/>
        <w:t>| Board Member: Hadi Irvani (UVA/HBS)    | Managing Director: Hunter Morris|</w:t>
        <w:br/>
        <w:t>+-------------------------------------------------------------------------+</w:t>
      </w:r>
    </w:p>
    <w:p>
      <w:pPr>
        <w:spacing w:after="240"/>
      </w:pPr>
      <w:r>
        <w:rPr>
          <w:color w:val="D9D9D9"/>
        </w:rPr>
        <w:t>____________________________________________________</w:t>
      </w:r>
    </w:p>
    <w:p>
      <w:pPr>
        <w:spacing w:before="360" w:after="120"/>
      </w:pPr>
      <w:r>
        <w:rPr>
          <w:b/>
          <w:color w:val="2E75B6"/>
          <w:sz w:val="32"/>
        </w:rPr>
        <w:t>5. Logo Spacing &amp; Exclusion Zone Standards</w:t>
      </w:r>
    </w:p>
    <w:p>
      <w:r>
        <w:t>Our logo consists of a stylized Brook Trout leaping over a curved geomorphic stream meander, paired with our corporate name.</w:t>
      </w:r>
    </w:p>
    <w:p>
      <w:pPr>
        <w:pStyle w:val="ListBullet"/>
        <w:spacing w:after="60"/>
      </w:pPr>
      <w:r/>
      <w:r>
        <w:rPr>
          <w:b/>
        </w:rPr>
        <w:t>The Emblem</w:t>
      </w:r>
      <w:r>
        <w:t>: Must always be rendered in high-resolution vector format (SVG), filled with our primary River Navy or accented with Trout Teal.</w:t>
      </w:r>
    </w:p>
    <w:p>
      <w:pPr>
        <w:pStyle w:val="ListBullet"/>
        <w:spacing w:after="60"/>
      </w:pPr>
      <w:r/>
      <w:r>
        <w:rPr>
          <w:b/>
        </w:rPr>
        <w:t>The Exclusion Zone ($X$)</w:t>
      </w:r>
      <w:r>
        <w:t>: To ensure the logo maintains visual clarity and impact, it must be surrounded by a minimum blank space equal to the height of the capital letter "B" in the logo text. Never place border margins or text blocks within this exclusion boundary.</w:t>
      </w:r>
    </w:p>
    <w:p>
      <w:pPr>
        <w:pStyle w:val="ListBullet"/>
        <w:spacing w:after="60"/>
      </w:pPr>
      <w:r/>
      <w:r>
        <w:rPr>
          <w:b/>
        </w:rPr>
        <w:t>Backgrounds</w:t>
      </w:r>
      <w:r>
        <w:t>: Only place the full-color logo on white or light-grey backdrops. For River Navy or Dark Charcoal backdrops, use a reversed, all-white version.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