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1. Two Sum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vector&lt;int&gt; twoSum(vector&lt;int&gt;&amp; nums, int target) {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 xml:space="preserve">unordered_map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&lt;int, int&gt; prevMap;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 (int i = 0; i &lt; nums.size(); i++) {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int diff = target - nums[i];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if (prevMap.count(diff)) 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return { prevMap[diff], i };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prevMap[nums[i]] = i;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{};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