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pacing w:before="20" w:after="40"/>
        <w:rPr/>
      </w:pPr>
      <w:r>
        <w:rPr>
          <w:sz w:val="34"/>
        </w:rPr>
        <w:t>SBA 928 Final Report</w:t>
      </w:r>
    </w:p>
    <w:p w:rsidR="00000000" w:rsidDel="00000000" w:rsidP="00000000" w:rsidRDefault="00000000" w:rsidRPr="00000000" w14:paraId="00000002">
      <w:pPr>
        <w:pStyle w:val="Title"/>
        <w:keepNext w:val="0"/>
        <w:keepLines w:val="0"/>
        <w:pageBreakBefore w:val="0"/>
        <w:pBdr>
          <w:top w:space="0" w:sz="0" w:val="nil"/>
          <w:left w:space="0" w:sz="0" w:val="nil"/>
          <w:bottom w:space="0" w:sz="0" w:val="nil"/>
          <w:right w:space="0" w:sz="0" w:val="nil"/>
          <w:between w:space="0" w:sz="0" w:val="nil"/>
        </w:pBdr>
        <w:shd w:fill="auto" w:val="clear"/>
        <w:spacing w:before="20" w:after="40"/>
        <w:rPr>
          <w:rFonts w:ascii="Helvetica Neue" w:cs="Helvetica Neue" w:eastAsia="Helvetica Neue" w:hAnsi="Helvetica Neue"/>
          <w:color w:val="222428"/>
          <w:sz w:val="96"/>
          <w:szCs w:val="96"/>
        </w:rPr>
      </w:pPr>
      <w:r>
        <w:rPr>
          <w:sz w:val="46"/>
        </w:rPr>
        <w:t>SBA 928 - Enhancing Market Research with AI</w:t>
      </w:r>
    </w:p>
    <w:p w:rsidR="00000000" w:rsidDel="00000000" w:rsidP="00000000" w:rsidRDefault="00000000" w:rsidRPr="00000000" w14:paraId="00000004">
      <w:pPr>
        <w:keepNext w:val="0"/>
        <w:keepLines w:val="0"/>
        <w:pageBreakBefore w:val="0"/>
        <w:pBdr>
          <w:top w:space="0" w:sz="0" w:val="nil"/>
          <w:left w:space="0" w:sz="0" w:val="nil"/>
          <w:bottom w:space="0" w:sz="0" w:val="nil"/>
          <w:right w:space="0" w:sz="0" w:val="nil"/>
          <w:between w:space="0" w:sz="0" w:val="nil"/>
        </w:pBdr>
        <w:shd w:fill="auto" w:val="clear"/>
        <w:spacing w:before="20" w:after="40"/>
        <w:rPr>
          <w:rFonts w:ascii="Helvetica Neue" w:cs="Helvetica Neue" w:eastAsia="Helvetica Neue" w:hAnsi="Helvetica Neue"/>
          <w:color w:val="666666"/>
          <w:sz w:val="32"/>
          <w:szCs w:val="32"/>
        </w:rPr>
      </w:pPr>
      <w:r>
        <w:t>Irving Isdith</w:t>
        <w:br/>
        <w:t>October 2026</w:t>
      </w:r>
    </w:p>
    <w:sdt>
      <w:sdtPr>
        <w:id w:val="-1796470662"/>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15awvooqoj6">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hyperlink w:anchor="_ovawxjoi07ia">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Steps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hyperlink w:anchor="_i85ws8se9wc5">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Conclusion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hyperlink w:anchor="_4nwtygxbthbx">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Appendix</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2"/>
        <w:keepNext w:val="0"/>
        <w:keepLines w:val="0"/>
        <w:pageBreakBefore w:val="0"/>
        <w:spacing w:after="40" w:before="20" w:line="360" w:lineRule="auto"/>
        <w:rPr/>
      </w:pPr>
      <w:bookmarkStart w:colFirst="0" w:colLast="0" w:name="_l15awvooqoj6" w:id="2"/>
      <w:bookmarkEnd w:id="2"/>
      <w:r w:rsidDel="00000000" w:rsidR="00000000" w:rsidRPr="00000000">
        <w:rPr>
          <w:rtl w:val="0"/>
        </w:rPr>
        <w:t xml:space="preserve">Overview</w:t>
      </w:r>
    </w:p>
    <w:p>
      <w:pPr>
        <w:keepNext w:val="0"/>
        <w:keepLines w:val="0"/>
        <w:pageBreakBefore w:val="0"/>
        <w:spacing w:after="40" w:before="20"/>
      </w:pPr>
      <w:r>
        <w:rPr>
          <w:sz w:val="19"/>
        </w:rPr>
        <w:t>SBA 928 investigated fine-tuning google/flan-t5-small for movie market research using the Top Movies dataset (9,826 complete records). A Python script generated 600 instruction-response examples across six task families. The three-epoch experiment trained on 480 examples and evaluated on 120 examples. Validation loss fell across epochs, but qualitative testing found repetition, incomplete analysis, and unsupported claims. This report documents the workflow, evaluation, bias considerations, and reproducibility materials.</w:t>
      </w:r>
    </w:p>
    <w:p w:rsidR="00000000" w:rsidDel="00000000" w:rsidP="00000000" w:rsidRDefault="00000000" w:rsidRPr="00000000" w14:paraId="0000000D">
      <w:pPr>
        <w:pStyle w:val="Heading2"/>
        <w:keepNext w:val="0"/>
        <w:keepLines w:val="0"/>
        <w:pageBreakBefore w:val="0"/>
        <w:spacing w:after="40" w:before="20" w:line="360" w:lineRule="auto"/>
        <w:rPr/>
      </w:pPr>
      <w:bookmarkStart w:colFirst="0" w:colLast="0" w:name="_ovawxjoi07ia" w:id="3"/>
      <w:bookmarkEnd w:id="3"/>
      <w:r w:rsidDel="00000000" w:rsidR="00000000" w:rsidRPr="00000000">
        <w:rPr>
          <w:rtl w:val="0"/>
        </w:rPr>
        <w:t xml:space="preserve">Steps</w:t>
      </w:r>
    </w:p>
    <w:p>
      <w:pPr>
        <w:pStyle w:val="Heading3"/>
        <w:keepNext w:val="0"/>
        <w:keepLines w:val="0"/>
        <w:pageBreakBefore w:val="0"/>
        <w:spacing w:after="40" w:before="20"/>
      </w:pPr>
      <w:r>
        <w:rPr>
          <w:sz w:val="19"/>
        </w:rPr>
        <w:t>1. Source Dataset and Prompt Preparation</w:t>
      </w:r>
    </w:p>
    <w:p>
      <w:pPr>
        <w:keepNext w:val="0"/>
        <w:keepLines w:val="0"/>
        <w:pageBreakBefore w:val="0"/>
        <w:spacing w:after="40" w:before="20"/>
      </w:pPr>
      <w:r>
        <w:rPr>
          <w:sz w:val="19"/>
        </w:rPr>
        <w:t>The Top Movies dataset supplied movie metadata for prompt construction. The preparation script generated 600 examples: 100 each for Consumer Behavior, Genre Trends, International Markets, Audience Segmentation, Competitor Comparison, and Recommendation Strategy.</w:t>
      </w:r>
    </w:p>
    <w:p>
      <w:pPr>
        <w:keepNext w:val="0"/>
        <w:keepLines w:val="0"/>
        <w:pageBreakBefore w:val="0"/>
        <w:spacing w:after="40" w:before="20"/>
      </w:pPr>
      <w:r>
        <w:rPr>
          <w:sz w:val="19"/>
        </w:rPr>
        <w:t>Prompts incorporated movie information such as popularity, voting activity, ratings, genre, and original language. The six families addressed different research questions rather than only repeating a general movie-performance analysis.</w:t>
      </w:r>
    </w:p>
    <w:p>
      <w:pPr>
        <w:pStyle w:val="Heading3"/>
        <w:keepNext w:val="0"/>
        <w:keepLines w:val="0"/>
        <w:pageBreakBefore w:val="0"/>
        <w:spacing w:after="40" w:before="20"/>
      </w:pPr>
      <w:r>
        <w:rPr>
          <w:sz w:val="19"/>
        </w:rPr>
        <w:t>2. Prompt Variations</w:t>
      </w:r>
    </w:p>
    <w:p>
      <w:pPr>
        <w:keepNext w:val="0"/>
        <w:keepLines w:val="0"/>
        <w:pageBreakBefore w:val="0"/>
        <w:spacing w:after="40" w:before="20"/>
      </w:pPr>
      <w:r>
        <w:rPr>
          <w:sz w:val="19"/>
        </w:rPr>
        <w:t>Each task family used four prompt-opening variations and four target-response templates. The variations changed the research angle and expected answer format while maintaining consistency with the available metadata.</w:t>
      </w:r>
    </w:p>
    <w:p>
      <w:pPr>
        <w:keepNext w:val="0"/>
        <w:keepLines w:val="0"/>
        <w:pageBreakBefore w:val="0"/>
        <w:spacing w:after="40" w:before="20"/>
      </w:pPr>
      <w:r>
        <w:rPr>
          <w:sz w:val="19"/>
        </w:rPr>
        <w:t>Examples include distinguishing engagement from satisfaction, examining genre positioning, avoiding unsupported geographic inference from language, proposing content-interest audience segments, identifying comparison metrics, and recommending promotional tests.</w:t>
      </w:r>
    </w:p>
    <w:p>
      <w:pPr>
        <w:pStyle w:val="Heading3"/>
        <w:keepNext w:val="0"/>
        <w:keepLines w:val="0"/>
        <w:pageBreakBefore w:val="0"/>
        <w:spacing w:after="40" w:before="20"/>
      </w:pPr>
      <w:r>
        <w:rPr>
          <w:sz w:val="19"/>
        </w:rPr>
        <w:t>3. Fine-Tuning Experiment</w:t>
      </w:r>
    </w:p>
    <w:p>
      <w:pPr>
        <w:keepNext w:val="0"/>
        <w:keepLines w:val="0"/>
        <w:pageBreakBefore w:val="0"/>
        <w:spacing w:after="40" w:before="20"/>
      </w:pPr>
      <w:r>
        <w:rPr>
          <w:sz w:val="19"/>
        </w:rPr>
        <w:t>The base model was google/flan-t5-small. The data was split into 480 training and 120 evaluation examples using random seed 42. Input and target token lengths were checked against a maximum of 128 tokens.</w:t>
      </w:r>
    </w:p>
    <w:p>
      <w:pPr>
        <w:keepNext w:val="0"/>
        <w:keepLines w:val="0"/>
        <w:pageBreakBefore w:val="0"/>
        <w:spacing w:after="40" w:before="20"/>
      </w:pPr>
      <w:r>
        <w:rPr>
          <w:sz w:val="19"/>
        </w:rPr>
        <w:t>The three-epoch experiment used CPU training, batch size 2, learning rate 0.00005, Hugging Face Seq2SeqTrainer, Seq2SeqTrainingArguments, and DataCollatorForSeq2Seq. The model and tokenizer were saved as a checkpoint.</w:t>
      </w:r>
    </w:p>
    <w:p>
      <w:pPr>
        <w:pStyle w:val="Heading3"/>
        <w:keepNext w:val="0"/>
        <w:keepLines w:val="0"/>
        <w:pageBreakBefore w:val="0"/>
        <w:spacing w:after="40" w:before="20"/>
      </w:pPr>
      <w:r>
        <w:rPr>
          <w:sz w:val="19"/>
        </w:rPr>
        <w:t>4. Training Measurements</w:t>
      </w:r>
    </w:p>
    <w:p>
      <w:pPr>
        <w:keepNext w:val="0"/>
        <w:keepLines w:val="0"/>
        <w:pageBreakBefore w:val="0"/>
        <w:spacing w:after="40" w:before="20"/>
      </w:pPr>
      <w:r>
        <w:rPr>
          <w:sz w:val="19"/>
        </w:rPr>
        <w:t>Validation loss by epoch: Epoch 1 = 1.5218; Epoch 2 = 0.9288; Epoch 3 = 0.7733. The decrease from epoch 1 to epoch 3 was approximately 49.2%.</w:t>
      </w:r>
    </w:p>
    <w:p>
      <w:pPr>
        <w:keepNext w:val="0"/>
        <w:keepLines w:val="0"/>
        <w:pageBreakBefore w:val="0"/>
        <w:spacing w:after="40" w:before="20"/>
      </w:pPr>
      <w:r>
        <w:rPr>
          <w:sz w:val="19"/>
        </w:rPr>
        <w:t>This demonstrates improved prediction of reference tokens on the evaluation split, not necessarily improved accuracy or reasoning on independent market-research questions.</w:t>
      </w:r>
    </w:p>
    <w:p>
      <w:pPr>
        <w:pStyle w:val="Heading3"/>
        <w:keepNext w:val="0"/>
        <w:keepLines w:val="0"/>
        <w:pageBreakBefore w:val="0"/>
        <w:spacing w:after="40" w:before="20"/>
      </w:pPr>
      <w:r>
        <w:rPr>
          <w:sz w:val="19"/>
        </w:rPr>
        <w:t>5. Comparison with the Original Model</w:t>
      </w:r>
    </w:p>
    <w:p>
      <w:pPr>
        <w:keepNext w:val="0"/>
        <w:keepLines w:val="0"/>
        <w:pageBreakBefore w:val="0"/>
        <w:spacing w:after="40" w:before="20"/>
      </w:pPr>
      <w:r>
        <w:rPr>
          <w:sz w:val="19"/>
        </w:rPr>
        <w:t>The original FLAN-T5 model and multiple fine-tuned checkpoints were compared using 18 independent prompts spanning the six task families. Outputs are preserved in model_comparison_results_4models.csv.</w:t>
      </w:r>
    </w:p>
    <w:p>
      <w:pPr>
        <w:keepNext w:val="0"/>
        <w:keepLines w:val="0"/>
        <w:pageBreakBefore w:val="0"/>
        <w:spacing w:after="40" w:before="20"/>
      </w:pPr>
      <w:r>
        <w:rPr>
          <w:sz w:val="19"/>
        </w:rPr>
        <w:t>The three-epoch checkpoint was also tested qualitatively on analytical prompts, short questions, and a known training example. Some statistics were reproduced correctly, but responses sometimes repeated phrases, omitted requested reasoning, or made unsupported assertions.</w:t>
      </w:r>
    </w:p>
    <w:p>
      <w:pPr>
        <w:keepNext w:val="0"/>
        <w:keepLines w:val="0"/>
        <w:pageBreakBefore w:val="0"/>
        <w:spacing w:after="40" w:before="20"/>
      </w:pPr>
      <w:r>
        <w:rPr>
          <w:sz w:val="19"/>
        </w:rPr>
        <w:t>One genre-trend answer inferred a broader trend without adequate evidence. A training-example response reproduced movie statistics without clearly distinguishing engagement from satisfaction. The fine-tuned model was not consistently stronger than the original model.</w:t>
      </w:r>
    </w:p>
    <w:p>
      <w:pPr>
        <w:pStyle w:val="Heading3"/>
        <w:keepNext w:val="0"/>
        <w:keepLines w:val="0"/>
        <w:pageBreakBefore w:val="0"/>
        <w:spacing w:after="40" w:before="20"/>
      </w:pPr>
      <w:r>
        <w:rPr>
          <w:sz w:val="19"/>
        </w:rPr>
        <w:t>6. Bias Assessment</w:t>
      </w:r>
    </w:p>
    <w:p>
      <w:pPr>
        <w:keepNext w:val="0"/>
        <w:keepLines w:val="0"/>
        <w:pageBreakBefore w:val="0"/>
        <w:spacing w:after="40" w:before="20"/>
      </w:pPr>
      <w:r>
        <w:rPr>
          <w:sz w:val="19"/>
        </w:rPr>
        <w:t>Popularity and vote counts may reflect attention or platform participation rather than purchases, preferences, or movie quality. Average ratings may reflect unrepresentative voters.</w:t>
      </w:r>
    </w:p>
    <w:p>
      <w:pPr>
        <w:keepNext w:val="0"/>
        <w:keepLines w:val="0"/>
        <w:pageBreakBefore w:val="0"/>
        <w:spacing w:after="40" w:before="20"/>
      </w:pPr>
      <w:r>
        <w:rPr>
          <w:sz w:val="19"/>
        </w:rPr>
        <w:t>Original language cannot establish viewer nationality or region. Movie metadata does not justify assumptions about age, income, or other demographics. Genre and time-period comparisons may be distorted by differences in sampling and measurement.</w:t>
      </w:r>
    </w:p>
    <w:p>
      <w:pPr>
        <w:keepNext w:val="0"/>
        <w:keepLines w:val="0"/>
        <w:pageBreakBefore w:val="0"/>
        <w:spacing w:after="40" w:before="20"/>
      </w:pPr>
      <w:r>
        <w:rPr>
          <w:sz w:val="19"/>
        </w:rPr>
        <w:t>A formal demographic fairness audit was not performed because reliable viewer demographic labels were not available.</w:t>
      </w:r>
    </w:p>
    <w:p>
      <w:pPr>
        <w:pStyle w:val="Heading3"/>
        <w:keepNext w:val="0"/>
        <w:keepLines w:val="0"/>
        <w:pageBreakBefore w:val="0"/>
        <w:spacing w:after="40" w:before="20"/>
      </w:pPr>
      <w:r>
        <w:rPr>
          <w:sz w:val="19"/>
        </w:rPr>
        <w:t>7. Fairness and Mitigation Strategies</w:t>
      </w:r>
    </w:p>
    <w:p>
      <w:pPr>
        <w:keepNext w:val="0"/>
        <w:keepLines w:val="0"/>
        <w:pageBreakBefore w:val="0"/>
        <w:spacing w:after="40" w:before="20"/>
      </w:pPr>
      <w:r>
        <w:rPr>
          <w:sz w:val="19"/>
        </w:rPr>
        <w:t>Use multiple titles and comparable time periods before claiming genre-wide trends. State uncertainty, distinguish observations from interpretations, and avoid inferring demographics or location from language alone.</w:t>
      </w:r>
    </w:p>
    <w:p>
      <w:pPr>
        <w:keepNext w:val="0"/>
        <w:keepLines w:val="0"/>
        <w:pageBreakBefore w:val="0"/>
        <w:spacing w:after="40" w:before="20"/>
      </w:pPr>
      <w:r>
        <w:rPr>
          <w:sz w:val="19"/>
        </w:rPr>
        <w:t>Apply human review to high-impact business recommendations. In future work, evaluate outputs by task family and by available non-sensitive subgroups, use more varied reasoning examples, and test on unseen movies.</w:t>
      </w:r>
    </w:p>
    <w:p>
      <w:pPr>
        <w:pStyle w:val="Heading3"/>
        <w:keepNext w:val="0"/>
        <w:keepLines w:val="0"/>
        <w:pageBreakBefore w:val="0"/>
        <w:spacing w:after="40" w:before="20"/>
      </w:pPr>
      <w:r>
        <w:rPr>
          <w:sz w:val="19"/>
        </w:rPr>
        <w:t>8. Reproducibility and Supporting Files</w:t>
      </w:r>
    </w:p>
    <w:p>
      <w:pPr>
        <w:keepNext w:val="0"/>
        <w:keepLines w:val="0"/>
        <w:pageBreakBefore w:val="0"/>
        <w:spacing w:after="40" w:before="20"/>
      </w:pPr>
      <w:r>
        <w:rPr>
          <w:sz w:val="19"/>
        </w:rPr>
        <w:t>The repository contains the data-preparation, training, and comparison scripts; the source and generated datasets; comparison CSVs; README; and final report. The saved three-epoch checkpoint is supplied separately due to its size.</w:t>
      </w:r>
    </w:p>
    <w:p>
      <w:pPr>
        <w:keepNext w:val="0"/>
        <w:keepLines w:val="0"/>
        <w:pageBreakBefore w:val="0"/>
        <w:spacing w:after="40" w:before="20"/>
      </w:pPr>
      <w:r>
        <w:rPr>
          <w:sz w:val="19"/>
        </w:rPr>
        <w:t>The training split used seed 42. Reproduction also requires compatible Python, pandas, PyTorch, Transformers, Datasets, SentencePiece, and Accelerate installations. A complete uv dependency lock and clean-environment reproduction have not been verified in this report.</w:t>
      </w:r>
    </w:p>
    <w:p w:rsidR="00000000" w:rsidDel="00000000" w:rsidP="00000000" w:rsidRDefault="00000000" w:rsidRPr="00000000" w14:paraId="0000000F">
      <w:pPr>
        <w:pStyle w:val="Heading2"/>
        <w:keepNext w:val="0"/>
        <w:keepLines w:val="0"/>
        <w:pageBreakBefore w:val="0"/>
        <w:spacing w:after="40" w:before="20" w:line="360" w:lineRule="auto"/>
        <w:rPr/>
      </w:pPr>
      <w:bookmarkStart w:colFirst="0" w:colLast="0" w:name="_i85ws8se9wc5" w:id="4"/>
      <w:bookmarkEnd w:id="4"/>
      <w:r w:rsidDel="00000000" w:rsidR="00000000" w:rsidRPr="00000000">
        <w:rPr>
          <w:rtl w:val="0"/>
        </w:rPr>
        <w:t xml:space="preserve">Conclusion</w:t>
      </w:r>
    </w:p>
    <w:p>
      <w:pPr>
        <w:keepNext w:val="0"/>
        <w:keepLines w:val="0"/>
        <w:pageBreakBefore w:val="0"/>
        <w:spacing w:after="40" w:before="20"/>
      </w:pPr>
      <w:r>
        <w:rPr>
          <w:sz w:val="19"/>
        </w:rPr>
        <w:t>The FLAN-T5 fine-tuning pipeline was implemented successfully, with validation loss decreasing over three epochs. The expanded 600-example dataset covered six distinct market-research task families.</w:t>
      </w:r>
    </w:p>
    <w:p>
      <w:pPr>
        <w:keepNext w:val="0"/>
        <w:keepLines w:val="0"/>
        <w:pageBreakBefore w:val="0"/>
        <w:spacing w:after="40" w:before="20"/>
      </w:pPr>
      <w:r>
        <w:rPr>
          <w:sz w:val="19"/>
        </w:rPr>
        <w:t>However, independent generation tests showed that lower loss did not reliably produce stronger analytical reasoning. Repetitive answers and unsupported claims remained important limitations.</w:t>
      </w:r>
    </w:p>
    <w:p>
      <w:pPr>
        <w:keepNext w:val="0"/>
        <w:keepLines w:val="0"/>
        <w:pageBreakBefore w:val="0"/>
        <w:spacing w:after="40" w:before="20"/>
      </w:pPr>
      <w:r>
        <w:rPr>
          <w:sz w:val="19"/>
        </w:rPr>
        <w:t>The main lesson is to assess model quality using independent output comparisons, factual checks, and responsible interpretation—not training metrics alone. Future work should improve reasoning diversity, subgroup evaluation, and reproducibility.</w:t>
      </w:r>
    </w:p>
    <w:p w:rsidR="00000000" w:rsidDel="00000000" w:rsidP="00000000" w:rsidRDefault="00000000" w:rsidRPr="00000000" w14:paraId="00000011">
      <w:pPr>
        <w:pStyle w:val="Heading2"/>
        <w:keepNext w:val="0"/>
        <w:keepLines w:val="0"/>
        <w:pageBreakBefore w:val="0"/>
        <w:spacing w:after="40" w:before="20" w:line="360" w:lineRule="auto"/>
        <w:rPr/>
      </w:pPr>
      <w:bookmarkStart w:colFirst="0" w:colLast="0" w:name="_4nwtygxbthbx" w:id="5"/>
      <w:bookmarkEnd w:id="5"/>
      <w:r w:rsidDel="00000000" w:rsidR="00000000" w:rsidRPr="00000000">
        <w:rPr>
          <w:rtl w:val="0"/>
        </w:rPr>
        <w:t xml:space="preserve">Appendix</w:t>
      </w:r>
    </w:p>
    <w:p>
      <w:pPr>
        <w:keepNext w:val="0"/>
        <w:keepLines w:val="0"/>
        <w:pageBreakBefore w:val="0"/>
        <w:spacing w:after="40" w:before="20"/>
      </w:pPr>
      <w:r>
        <w:rPr>
          <w:sz w:val="19"/>
        </w:rPr>
        <w:t>A. Validation Loss</w:t>
      </w:r>
    </w:p>
    <w:tbl>
      <w:tblPr>
        <w:tblW w:type="auto" w:w="0"/>
        <w:tblLook w:firstColumn="1" w:firstRow="1" w:lastColumn="0" w:lastRow="0" w:noHBand="0" w:noVBand="1" w:val="04A0"/>
      </w:tblPr>
      <w:tblGrid>
        <w:gridCol w:w="4680"/>
        <w:gridCol w:w="4680"/>
      </w:tblGrid>
      <w:tr>
        <w:tc>
          <w:tcPr>
            <w:tcW w:type="dxa" w:w="4680"/>
          </w:tcPr>
          <w:p>
            <w:r>
              <w:t>Epoch</w:t>
            </w:r>
          </w:p>
        </w:tc>
        <w:tc>
          <w:tcPr>
            <w:tcW w:type="dxa" w:w="4680"/>
          </w:tcPr>
          <w:p>
            <w:r>
              <w:t>Validation loss</w:t>
            </w:r>
          </w:p>
        </w:tc>
      </w:tr>
      <w:tr>
        <w:tc>
          <w:tcPr>
            <w:tcW w:type="dxa" w:w="4680"/>
          </w:tcPr>
          <w:p>
            <w:r>
              <w:t>1</w:t>
            </w:r>
          </w:p>
        </w:tc>
        <w:tc>
          <w:tcPr>
            <w:tcW w:type="dxa" w:w="4680"/>
          </w:tcPr>
          <w:p>
            <w:r>
              <w:t>1.5218</w:t>
            </w:r>
          </w:p>
        </w:tc>
      </w:tr>
      <w:tr>
        <w:tc>
          <w:tcPr>
            <w:tcW w:type="dxa" w:w="4680"/>
          </w:tcPr>
          <w:p>
            <w:r>
              <w:t>2</w:t>
            </w:r>
          </w:p>
        </w:tc>
        <w:tc>
          <w:tcPr>
            <w:tcW w:type="dxa" w:w="4680"/>
          </w:tcPr>
          <w:p>
            <w:r>
              <w:t>0.9288</w:t>
            </w:r>
          </w:p>
        </w:tc>
      </w:tr>
      <w:tr>
        <w:tc>
          <w:tcPr>
            <w:tcW w:type="dxa" w:w="4680"/>
          </w:tcPr>
          <w:p>
            <w:r>
              <w:t>3</w:t>
            </w:r>
          </w:p>
        </w:tc>
        <w:tc>
          <w:tcPr>
            <w:tcW w:type="dxa" w:w="4680"/>
          </w:tcPr>
          <w:p>
            <w:r>
              <w:t>0.7733</w:t>
            </w:r>
          </w:p>
        </w:tc>
      </w:tr>
    </w:tbl>
    <w:p>
      <w:pPr>
        <w:keepNext w:val="0"/>
        <w:keepLines w:val="0"/>
        <w:pageBreakBefore w:val="0"/>
        <w:spacing w:after="40" w:before="20"/>
      </w:pPr>
      <w:r>
        <w:rPr>
          <w:sz w:val="19"/>
        </w:rPr>
        <w:t>B. Project Repository</w:t>
      </w:r>
    </w:p>
    <w:p>
      <w:pPr>
        <w:keepNext w:val="0"/>
        <w:keepLines w:val="0"/>
        <w:pageBreakBefore w:val="0"/>
        <w:spacing w:after="40" w:before="20"/>
      </w:pPr>
      <w:r>
        <w:rPr>
          <w:sz w:val="19"/>
        </w:rPr>
        <w:t>https://github.com/irvingisdith-Gritty/SBA_928_Irving_Isdith</w:t>
      </w:r>
    </w:p>
    <w:p>
      <w:pPr>
        <w:keepNext w:val="0"/>
        <w:keepLines w:val="0"/>
        <w:pageBreakBefore w:val="0"/>
        <w:spacing w:after="40" w:before="20"/>
      </w:pPr>
      <w:r>
        <w:rPr>
          <w:sz w:val="19"/>
        </w:rPr>
        <w:t>C. Final Three-Epoch Model Weights</w:t>
      </w:r>
    </w:p>
    <w:p>
      <w:pPr>
        <w:keepNext w:val="0"/>
        <w:keepLines w:val="0"/>
        <w:pageBreakBefore w:val="0"/>
        <w:spacing w:after="40" w:before="20"/>
      </w:pPr>
      <w:r>
        <w:rPr>
          <w:sz w:val="19"/>
        </w:rPr>
        <w:t>https://drive.google.com/file/d/1DsO_alPeM4y_j77e95Qi8wYphAPimS9K/view?usp=sharing</w:t>
      </w:r>
    </w:p>
    <w:p>
      <w:pPr>
        <w:keepNext w:val="0"/>
        <w:keepLines w:val="0"/>
        <w:pageBreakBefore w:val="0"/>
        <w:spacing w:after="40" w:before="20"/>
      </w:pPr>
      <w:r>
        <w:rPr>
          <w:sz w:val="19"/>
        </w:rPr>
        <w:t>D. Evidence and Evaluation Artifacts</w:t>
      </w:r>
    </w:p>
    <w:p>
      <w:pPr>
        <w:keepNext w:val="0"/>
        <w:keepLines w:val="0"/>
        <w:pageBreakBefore w:val="0"/>
        <w:spacing w:after="40" w:before="20"/>
      </w:pPr>
      <w:r>
        <w:rPr>
          <w:sz w:val="19"/>
        </w:rPr>
        <w:t>model_comparison_results.csv; model_comparison_results_4models.csv; flan_t5_training_data.csv; prepare_training_data.py; train_flan_t5_3epochs.py; compare_models.py; README.md.</w:t>
      </w:r>
    </w:p>
    <w:p>
      <w:pPr>
        <w:keepNext w:val="0"/>
        <w:keepLines w:val="0"/>
        <w:pageBreakBefore w:val="0"/>
        <w:spacing w:after="40" w:before="20"/>
      </w:pPr>
      <w:r>
        <w:rPr>
          <w:sz w:val="19"/>
        </w:rPr>
        <w:t>The comparison CSV files and validation-loss table provide execution evidence. Screenshots of local training or terminal output have not been included because none were supplied for this document.</w:t>
      </w:r>
    </w:p>
    <w:sectPr>
      <w:headerReference r:id="rId7" w:type="default"/>
      <w:headerReference r:id="rId8" w:type="first"/>
      <w:footerReference r:id="rId9" w:type="default"/>
      <w:footerReference r:id="rId10" w:type="first"/>
      <w:pgSz w:h="15840" w:w="12240" w:orient="portrait"/>
      <w:pgMar w:bottom="792" w:top="864"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5.png"/>
          <a:graphic>
            <a:graphicData uri="http://schemas.openxmlformats.org/drawingml/2006/picture">
              <pic:pic>
                <pic:nvPicPr>
                  <pic:cNvPr descr="footer" id="0" name="image5.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1" name="image6.png"/>
          <a:graphic>
            <a:graphicData uri="http://schemas.openxmlformats.org/drawingml/2006/picture">
              <pic:pic>
                <pic:nvPicPr>
                  <pic:cNvPr descr="footer" id="0" name="image6.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317500</wp:posOffset>
          </wp:positionV>
          <wp:extent cx="1984248" cy="283464"/>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4"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3"/>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inline distB="0" distT="0" distL="0" distR="0">
          <wp:extent cx="448056" cy="54864"/>
          <wp:effectExtent b="0" l="0" r="0" t="0"/>
          <wp:docPr descr="footer" id="6" name="image5.png"/>
          <a:graphic>
            <a:graphicData uri="http://schemas.openxmlformats.org/drawingml/2006/picture">
              <pic:pic>
                <pic:nvPicPr>
                  <pic:cNvPr descr="footer" id="0" name="image5.png"/>
                  <pic:cNvPicPr preferRelativeResize="0"/>
                </pic:nvPicPr>
                <pic:blipFill>
                  <a:blip r:embed="rId4"/>
                  <a:srcRect b="1037" l="0" r="0" t="1037"/>
                  <a:stretch>
                    <a:fillRect/>
                  </a:stretch>
                </pic:blipFill>
                <pic:spPr>
                  <a:xfrm>
                    <a:off x="0" y="0"/>
                    <a:ext cx="448056" cy="548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984248" cy="28346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4.png"/>
          <a:graphic>
            <a:graphicData uri="http://schemas.openxmlformats.org/drawingml/2006/picture">
              <pic:pic>
                <pic:nvPicPr>
                  <pic:cNvPr descr="horizontal line" id="0" name="image4.png"/>
                  <pic:cNvPicPr preferRelativeResize="0"/>
                </pic:nvPicPr>
                <pic:blipFill>
                  <a:blip r:embed="rId2"/>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5">
    <w:pPr>
      <w:spacing w:before="0" w:line="276" w:lineRule="auto"/>
      <w:ind w:left="720" w:firstLine="720"/>
      <w:jc w:val="right"/>
      <w:rPr/>
    </w:pPr>
    <w:r w:rsidDel="00000000" w:rsidR="00000000" w:rsidRPr="00000000">
      <w:rPr>
        <w:rFonts w:ascii="Arial" w:cs="Arial" w:eastAsia="Arial" w:hAnsi="Arial"/>
        <w:b w:val="1"/>
        <w:bCs w:val="1"/>
        <w:color w:val="ff0000"/>
        <w:sz w:val="26"/>
        <w:szCs w:val="26"/>
        <w:rtl w:val="0"/>
      </w:rPr>
    </w:r>
    <w:r w:rsidDel="00000000" w:rsidR="00000000" w:rsidRPr="00000000">
      <w:rPr>
        <w:rFonts w:ascii="Arial" w:cs="Arial" w:eastAsia="Arial" w:hAnsi="Arial"/>
        <w:b w:val="1"/>
        <w:bCs w:val="1"/>
        <w:i w:val="1"/>
        <w:iCs w:val="1"/>
        <w:color w:val="ff0000"/>
        <w:sz w:val="24"/>
        <w:szCs w:val="24"/>
        <w:rtl w:val="0"/>
      </w:rPr>
    </w:r>
    <w:r w:rsidDel="00000000" w:rsidR="00000000" w:rsidRPr="00000000">
      <w:rPr>
        <w:rFonts w:ascii="Arial" w:cs="Arial" w:eastAsia="Arial" w:hAnsi="Arial"/>
        <w:i w:val="1"/>
        <w:iCs w:val="1"/>
        <w:color w:val="ff0000"/>
        <w:sz w:val="24"/>
        <w:szCs w:val="24"/>
        <w:rtl w:val="0"/>
      </w:rPr>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40" w:line="240" w:lineRule="auto"/>
    </w:pPr>
    <w:rPr>
      <w:rFonts w:ascii="Helvetica Neue" w:cs="Helvetica Neue" w:eastAsia="Helvetica Neue" w:hAnsi="Helvetica Neue"/>
      <w:color w:val="611940"/>
      <w:sz w:val="72"/>
      <w:szCs w:val="72"/>
    </w:rPr>
  </w:style>
  <w:style w:type="paragraph" w:styleId="Heading2">
    <w:name w:val="heading 2"/>
    <w:basedOn w:val="Normal"/>
    <w:next w:val="Normal"/>
    <w:pPr>
      <w:keepNext w:val="1"/>
      <w:keepLines w:val="1"/>
      <w:spacing w:before="480" w:lineRule="auto"/>
    </w:pPr>
    <w:rPr>
      <w:rFonts w:ascii="Arial" w:cs="Arial" w:eastAsia="Arial" w:hAnsi="Arial"/>
      <w:b w:val="1"/>
      <w:bCs w:val="1"/>
      <w:color w:val="611940"/>
      <w:sz w:val="36"/>
      <w:szCs w:val="36"/>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