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AE55" w14:textId="5828D485" w:rsidR="00BB6A4A" w:rsidRDefault="00BB6A4A" w:rsidP="00BB6A4A">
      <w:pPr>
        <w:shd w:val="clear" w:color="auto" w:fill="FFFFFF"/>
        <w:spacing w:line="420" w:lineRule="atLeast"/>
        <w:jc w:val="center"/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</w:pP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>Tabel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 xml:space="preserve"> HTML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>Lengkap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 xml:space="preserve"> (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>Berdasarkan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>Kategori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  <w:t>)</w:t>
      </w:r>
    </w:p>
    <w:p w14:paraId="316DE243" w14:textId="77777777" w:rsidR="00BB6A4A" w:rsidRPr="00BB6A4A" w:rsidRDefault="00BB6A4A" w:rsidP="00BB6A4A">
      <w:pPr>
        <w:shd w:val="clear" w:color="auto" w:fill="FFFFFF"/>
        <w:spacing w:line="420" w:lineRule="atLeast"/>
        <w:jc w:val="center"/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D"/>
        </w:rPr>
      </w:pPr>
    </w:p>
    <w:p w14:paraId="5600DD80" w14:textId="77777777" w:rsidR="00BB6A4A" w:rsidRP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1.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Global (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Dapat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Digunakan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pada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Semua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Elemen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)</w:t>
      </w:r>
    </w:p>
    <w:p w14:paraId="7A3E639E" w14:textId="77777777" w:rsidR="00BB6A4A" w:rsidRP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</w:pP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global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menyediakan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fungsionalitas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inti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untuk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hampir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semua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elemen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HTML.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5774"/>
        <w:gridCol w:w="2829"/>
      </w:tblGrid>
      <w:tr w:rsidR="00BB6A4A" w:rsidRPr="00BB6A4A" w14:paraId="2C28D18B" w14:textId="77777777" w:rsidTr="00BB6A4A">
        <w:tc>
          <w:tcPr>
            <w:tcW w:w="0" w:type="auto"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4680A8B9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50D592A7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C67FB84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Contoh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Penggunaan</w:t>
            </w:r>
            <w:proofErr w:type="spellEnd"/>
          </w:p>
        </w:tc>
      </w:tr>
      <w:tr w:rsidR="00BB6A4A" w:rsidRPr="00BB6A4A" w14:paraId="62D0DB1E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4FB8C2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id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13B7E2B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pengenal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unik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(unique identifier)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tersebut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Digunakan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oleh CSS dan JavaScript.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52640998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&lt;div id="menu-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utama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"&gt;</w:t>
            </w:r>
          </w:p>
        </w:tc>
      </w:tr>
      <w:tr w:rsidR="00BB6A4A" w:rsidRPr="00BB6A4A" w14:paraId="43156192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0172F202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class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1BADD9E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satu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atau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lebih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nama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kelas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pengelompokan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gaya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CSS).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68D4B44A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&lt;p class="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teks-merah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"&gt;</w:t>
            </w:r>
          </w:p>
        </w:tc>
      </w:tr>
      <w:tr w:rsidR="00BB6A4A" w:rsidRPr="00BB6A4A" w14:paraId="77DB58C4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264D08BD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style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7455074F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gaya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CSS inline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langsung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) pada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7D065AEE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&lt;p style="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color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: blue;"&gt;</w:t>
            </w:r>
          </w:p>
        </w:tc>
      </w:tr>
      <w:tr w:rsidR="00BB6A4A" w:rsidRPr="00BB6A4A" w14:paraId="2FDA568B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4E93E3B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title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73052DFB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informasi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tambahan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tentang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sering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ditampilkan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sebagai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r w:rsidRPr="00BB6A4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n-ID"/>
              </w:rPr>
              <w:t>tooltip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28C1DA24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img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 xml:space="preserve"> title="Logo Perusahaan"&gt;</w:t>
            </w:r>
          </w:p>
        </w:tc>
      </w:tr>
      <w:tr w:rsidR="00BB6A4A" w:rsidRPr="00BB6A4A" w14:paraId="12D0E9AB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6636E69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lang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63381ADF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bahasa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konten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misalnya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Inggris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id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Indonesia).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7A6BC0D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&lt;html lang="id"&gt;</w:t>
            </w:r>
          </w:p>
        </w:tc>
      </w:tr>
      <w:tr w:rsidR="00BB6A4A" w:rsidRPr="00BB6A4A" w14:paraId="0FFB2754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73A11391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dir</w:t>
            </w:r>
            <w:proofErr w:type="spellEnd"/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0578A8B3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arah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teks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misalnya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ltr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kiri-ke-kanan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rtl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kanan-ke-kiri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00EC9ACC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 xml:space="preserve">&lt;p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dir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="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rtl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"&gt;</w:t>
            </w:r>
          </w:p>
        </w:tc>
      </w:tr>
      <w:tr w:rsidR="00BB6A4A" w:rsidRPr="00BB6A4A" w14:paraId="0E6BF958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120833B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hidden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475738E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boolean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jika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ada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menyembunyikan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secara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visual.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782DC1AD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&lt;div hidden&gt;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Konten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tersembunyi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&lt;/div&gt;</w:t>
            </w:r>
          </w:p>
        </w:tc>
      </w:tr>
      <w:tr w:rsidR="00BB6A4A" w:rsidRPr="00BB6A4A" w14:paraId="18982307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F49633C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tabindex</w:t>
            </w:r>
            <w:proofErr w:type="spellEnd"/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1D70CC77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urutan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navigasi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keyboard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menggunakan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tombol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Tab)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tersebut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0B60B8A4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 xml:space="preserve">&lt;a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href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 xml:space="preserve">="#"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tabindex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="1"&gt;</w:t>
            </w:r>
          </w:p>
        </w:tc>
      </w:tr>
      <w:tr w:rsidR="00BB6A4A" w:rsidRPr="00BB6A4A" w14:paraId="0110E1B0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1F8486E8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data-*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A383112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Digunakan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menyimpan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kustom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pribadi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) pada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keperluan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JavaScript.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18BF619F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&lt;div data-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produk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-id="123"&gt;</w:t>
            </w:r>
          </w:p>
        </w:tc>
      </w:tr>
    </w:tbl>
    <w:p w14:paraId="40E72935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3E7E6F24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5E318D94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6A01A849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7FAED701" w14:textId="2E115549" w:rsidR="00BB6A4A" w:rsidRP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lastRenderedPageBreak/>
        <w:t xml:space="preserve">2.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Formulir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(Form) dan Input</w:t>
      </w:r>
    </w:p>
    <w:p w14:paraId="717B38CC" w14:textId="77777777" w:rsidR="00BB6A4A" w:rsidRP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</w:pP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ini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khusus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digunakan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dengan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elemen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formulir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(</w:t>
      </w:r>
      <w:r w:rsidRPr="00BB6A4A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&lt;form&gt;</w:t>
      </w:r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, </w:t>
      </w:r>
      <w:r w:rsidRPr="00BB6A4A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&lt;input&gt;</w:t>
      </w:r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, </w:t>
      </w:r>
      <w:r w:rsidRPr="00BB6A4A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&lt;button&gt;</w:t>
      </w:r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, </w:t>
      </w:r>
      <w:r w:rsidRPr="00BB6A4A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&lt;select&gt;</w:t>
      </w:r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, </w:t>
      </w:r>
      <w:r w:rsidRPr="00BB6A4A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</w:t>
      </w:r>
      <w:proofErr w:type="spellStart"/>
      <w:r w:rsidRPr="00BB6A4A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textarea</w:t>
      </w:r>
      <w:proofErr w:type="spellEnd"/>
      <w:r w:rsidRPr="00BB6A4A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&gt;</w:t>
      </w:r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).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117"/>
        <w:gridCol w:w="3193"/>
      </w:tblGrid>
      <w:tr w:rsidR="00BB6A4A" w:rsidRPr="00BB6A4A" w14:paraId="52A26805" w14:textId="77777777" w:rsidTr="00BB6A4A">
        <w:tc>
          <w:tcPr>
            <w:tcW w:w="0" w:type="auto"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1F3EE405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4ABE5BAC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3CFB6BF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 xml:space="preserve">Tag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Terkait</w:t>
            </w:r>
            <w:proofErr w:type="spellEnd"/>
          </w:p>
        </w:tc>
      </w:tr>
      <w:tr w:rsidR="00BB6A4A" w:rsidRPr="00BB6A4A" w14:paraId="26581896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B7D6F38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type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620844B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jenis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kontrol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input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misalnya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text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password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checkbox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submit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38801FFE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&lt;input&gt;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&lt;button&gt;</w:t>
            </w:r>
          </w:p>
        </w:tc>
      </w:tr>
      <w:tr w:rsidR="00BB6A4A" w:rsidRPr="00BB6A4A" w14:paraId="3A714B45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1CB3E6A5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CA40B9A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nama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formulir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digunakan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pengiriman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ke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server).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7C5DED9B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&lt;input&gt;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&lt;select&gt;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textarea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&gt;</w:t>
            </w:r>
          </w:p>
        </w:tc>
      </w:tr>
      <w:tr w:rsidR="00BB6A4A" w:rsidRPr="00BB6A4A" w14:paraId="1382F743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2761689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value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EF535A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Nilai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awal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atau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nilai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dikirimkan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saat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formulir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diserahkan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001728C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&lt;input&gt;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&lt;button&gt;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&lt;option&gt;</w:t>
            </w:r>
          </w:p>
        </w:tc>
      </w:tr>
      <w:tr w:rsidR="00BB6A4A" w:rsidRPr="00BB6A4A" w14:paraId="0816EB95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225490F2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placeholder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21495F9D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Memberikan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petunjuk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singkat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dalam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bidang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input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sebelum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pengguna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mengetik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16E5C72E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&lt;input type="text"&gt;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textarea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&gt;</w:t>
            </w:r>
          </w:p>
        </w:tc>
      </w:tr>
      <w:tr w:rsidR="00BB6A4A" w:rsidRPr="00BB6A4A" w14:paraId="54CD3215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72586B9F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required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4525B151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boolean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bahwa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bidang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harus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diisi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sebelum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pengiriman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52104252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&lt;input&gt;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&lt;select&gt;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textarea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&gt;</w:t>
            </w:r>
          </w:p>
        </w:tc>
      </w:tr>
      <w:tr w:rsidR="00BB6A4A" w:rsidRPr="00BB6A4A" w14:paraId="10DAF1E1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F0737DA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disabled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2F6997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boolean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menonaktifkan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formulir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sehingga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tidak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dapat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berinteraksi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39691F1A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&lt;input&gt;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&lt;button&gt;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&lt;select&gt;</w:t>
            </w:r>
          </w:p>
        </w:tc>
      </w:tr>
      <w:tr w:rsidR="00BB6A4A" w:rsidRPr="00BB6A4A" w14:paraId="1B144D7D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A7DF884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checked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0DB3A723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boolean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bahwa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input (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checkbox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atau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radio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)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sudah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terpilih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secara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default.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401FB29F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&lt;input type="checkbox/radio"&gt;</w:t>
            </w:r>
          </w:p>
        </w:tc>
      </w:tr>
      <w:tr w:rsidR="00BB6A4A" w:rsidRPr="00BB6A4A" w14:paraId="1CA2F65B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74ED7213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action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43E2F8C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URL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tujuan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saat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formulir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dikirimkan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70B2F662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&lt;form&gt;</w:t>
            </w:r>
          </w:p>
        </w:tc>
      </w:tr>
      <w:tr w:rsidR="00BB6A4A" w:rsidRPr="00BB6A4A" w14:paraId="78B1C3C9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2D1B223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method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1ABC195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metode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HTTP yang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digunakan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get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atau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post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252E34F1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&lt;form&gt;</w:t>
            </w:r>
          </w:p>
        </w:tc>
      </w:tr>
    </w:tbl>
    <w:p w14:paraId="27BF3DB7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583AD1E5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1F7AA0A5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29CE9F8E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05E78835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0AAB4533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56B0E5BD" w14:textId="1E61028B" w:rsidR="00BB6A4A" w:rsidRP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lastRenderedPageBreak/>
        <w:t xml:space="preserve">3.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Tautan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(</w:t>
      </w:r>
      <w:r w:rsidRPr="00BB6A4A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&lt;a&gt;</w:t>
      </w:r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) dan Media (</w:t>
      </w:r>
      <w:r w:rsidRPr="00BB6A4A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</w:t>
      </w:r>
      <w:proofErr w:type="spellStart"/>
      <w:r w:rsidRPr="00BB6A4A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img</w:t>
      </w:r>
      <w:proofErr w:type="spellEnd"/>
      <w:r w:rsidRPr="00BB6A4A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&gt;</w:t>
      </w:r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, </w:t>
      </w:r>
      <w:r w:rsidRPr="00BB6A4A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&lt;audio&gt;</w:t>
      </w:r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, </w:t>
      </w:r>
      <w:r w:rsidRPr="00BB6A4A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  <w:lang w:eastAsia="en-ID"/>
        </w:rPr>
        <w:t>&lt;video&gt;</w:t>
      </w:r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)</w:t>
      </w:r>
    </w:p>
    <w:p w14:paraId="5B6A56E7" w14:textId="77777777" w:rsidR="00BB6A4A" w:rsidRP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</w:pP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ini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mengelola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konten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eksternal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dan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navigasi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.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4737"/>
        <w:gridCol w:w="3866"/>
      </w:tblGrid>
      <w:tr w:rsidR="00BB6A4A" w:rsidRPr="00BB6A4A" w14:paraId="367F1BBA" w14:textId="77777777" w:rsidTr="00BB6A4A">
        <w:tc>
          <w:tcPr>
            <w:tcW w:w="0" w:type="auto"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1994D48E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7DAB0FFE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6917D42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 xml:space="preserve">Tag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Terkait</w:t>
            </w:r>
            <w:proofErr w:type="spellEnd"/>
          </w:p>
        </w:tc>
      </w:tr>
      <w:tr w:rsidR="00BB6A4A" w:rsidRPr="00BB6A4A" w14:paraId="4C6493B7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455784BD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href</w:t>
            </w:r>
            <w:proofErr w:type="spellEnd"/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498C1C27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URL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tujuan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tautan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1F20E7AD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&lt;a&gt;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&lt;link&gt;</w:t>
            </w:r>
          </w:p>
        </w:tc>
      </w:tr>
      <w:tr w:rsidR="00BB6A4A" w:rsidRPr="00BB6A4A" w14:paraId="34B6ABCA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4983B257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src</w:t>
            </w:r>
            <w:proofErr w:type="spellEnd"/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C5D8BCB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lokasi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(path/URL) file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sumber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media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gambar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, audio, video,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skrip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0BC8E2EF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img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&lt;script&gt;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&lt;audio&gt;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&lt;video&gt;</w:t>
            </w:r>
          </w:p>
        </w:tc>
      </w:tr>
      <w:tr w:rsidR="00BB6A4A" w:rsidRPr="00BB6A4A" w14:paraId="7453F4FA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EE92A5D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alt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20B24A7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Teks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alternatif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gambar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jika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gambar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tidak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dapat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ditampilkan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penting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aksesibilitas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7089DF99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img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&gt;</w:t>
            </w:r>
          </w:p>
        </w:tc>
      </w:tr>
      <w:tr w:rsidR="00BB6A4A" w:rsidRPr="00BB6A4A" w14:paraId="191E988E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3EA1986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width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6E20983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lebar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biasanya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dalam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piksel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3893CCA5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img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&lt;video&gt;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&lt;canvas&gt;</w:t>
            </w:r>
          </w:p>
        </w:tc>
      </w:tr>
      <w:tr w:rsidR="00BB6A4A" w:rsidRPr="00BB6A4A" w14:paraId="11567C98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45CF456B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height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BA6FECD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tinggi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biasanya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dalam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piksel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1089CBA7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img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&lt;video&gt;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&lt;canvas&gt;</w:t>
            </w:r>
          </w:p>
        </w:tc>
      </w:tr>
      <w:tr w:rsidR="00BB6A4A" w:rsidRPr="00BB6A4A" w14:paraId="72B1CBE0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DF68C2A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controls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66C02E5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boolean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jika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ada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menampilkan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kontrol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pemutaran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media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bawaan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browser.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68B7EAA6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&lt;audio&gt;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&lt;video&gt;</w:t>
            </w:r>
          </w:p>
        </w:tc>
      </w:tr>
      <w:tr w:rsidR="00BB6A4A" w:rsidRPr="00BB6A4A" w14:paraId="45327765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29E74DF5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autoplay</w:t>
            </w:r>
            <w:proofErr w:type="spellEnd"/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29A673F7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boolean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menentukan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media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mulai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diputar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segera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setelah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dimuat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71BB9AE7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&lt;audio&gt;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, </w:t>
            </w: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&lt;video&gt;</w:t>
            </w:r>
          </w:p>
        </w:tc>
      </w:tr>
    </w:tbl>
    <w:p w14:paraId="2466056A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55550E02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21D33F85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5561D95D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1BC9B148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3A7A9589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01715AC2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263B443A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2310A6CA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08D824F9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4C129B18" w14:textId="77777777" w:rsid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</w:p>
    <w:p w14:paraId="3C1B31B0" w14:textId="670F2BDD" w:rsidR="00BB6A4A" w:rsidRP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</w:pPr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lastRenderedPageBreak/>
        <w:t xml:space="preserve">4.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>Penanganan</w:t>
      </w:r>
      <w:proofErr w:type="spellEnd"/>
      <w:r w:rsidRPr="00BB6A4A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n-ID"/>
        </w:rPr>
        <w:t xml:space="preserve"> Acara (Event Handler Attributes)</w:t>
      </w:r>
    </w:p>
    <w:p w14:paraId="7A4DF82A" w14:textId="77777777" w:rsidR="00BB6A4A" w:rsidRPr="00BB6A4A" w:rsidRDefault="00BB6A4A" w:rsidP="00BB6A4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</w:pP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Atribut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ini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memungkinkan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HTML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berinteraksi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langsung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dengan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JavaScript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untuk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menanggapi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tindakan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pengguna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(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seperti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klik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, </w:t>
      </w:r>
      <w:r w:rsidRPr="00BB6A4A">
        <w:rPr>
          <w:rFonts w:ascii="Roboto" w:eastAsia="Times New Roman" w:hAnsi="Roboto" w:cs="Times New Roman"/>
          <w:i/>
          <w:iCs/>
          <w:color w:val="0A0A0A"/>
          <w:sz w:val="24"/>
          <w:szCs w:val="24"/>
          <w:lang w:eastAsia="en-ID"/>
        </w:rPr>
        <w:t>hover</w:t>
      </w:r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,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penekanan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 xml:space="preserve"> </w:t>
      </w:r>
      <w:proofErr w:type="spellStart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tombol</w:t>
      </w:r>
      <w:proofErr w:type="spellEnd"/>
      <w:r w:rsidRPr="00BB6A4A">
        <w:rPr>
          <w:rFonts w:ascii="Roboto" w:eastAsia="Times New Roman" w:hAnsi="Roboto" w:cs="Times New Roman"/>
          <w:color w:val="0A0A0A"/>
          <w:sz w:val="24"/>
          <w:szCs w:val="24"/>
          <w:lang w:eastAsia="en-ID"/>
        </w:rPr>
        <w:t>).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8136"/>
      </w:tblGrid>
      <w:tr w:rsidR="00BB6A4A" w:rsidRPr="00BB6A4A" w14:paraId="15E59DD2" w14:textId="77777777" w:rsidTr="00BB6A4A">
        <w:tc>
          <w:tcPr>
            <w:tcW w:w="0" w:type="auto"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1C364B30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Atribut</w:t>
            </w:r>
            <w:proofErr w:type="spellEnd"/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9EF2183" w14:textId="77777777" w:rsidR="00BB6A4A" w:rsidRPr="00BB6A4A" w:rsidRDefault="00BB6A4A" w:rsidP="00BB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</w:tr>
      <w:tr w:rsidR="00BB6A4A" w:rsidRPr="00BB6A4A" w14:paraId="6228DAED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24E4451A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onclick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643BB8AE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Skrip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dijalankan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saat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diklik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pengguna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</w:tr>
      <w:tr w:rsidR="00BB6A4A" w:rsidRPr="00BB6A4A" w14:paraId="63ADB80F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463AFA1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onchange</w:t>
            </w:r>
            <w:proofErr w:type="spellEnd"/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0F55A528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Skrip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dijalankan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saat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nilai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formulir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berubah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misalnya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setelah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memilih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).</w:t>
            </w:r>
          </w:p>
        </w:tc>
      </w:tr>
      <w:tr w:rsidR="00BB6A4A" w:rsidRPr="00BB6A4A" w14:paraId="0155039F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1A7B110F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onload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7E4A3EB8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Skrip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dijalankan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saat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atau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halaman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web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lengkap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)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selesai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dimuat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</w:tr>
      <w:tr w:rsidR="00BB6A4A" w:rsidRPr="00BB6A4A" w14:paraId="4C50F433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35789818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onmouseover</w:t>
            </w:r>
            <w:proofErr w:type="spellEnd"/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6E6FA66F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Skrip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dijalankan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saat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kursor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mouse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diarahkan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ke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atas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elemen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</w:tr>
      <w:tr w:rsidR="00BB6A4A" w:rsidRPr="00BB6A4A" w14:paraId="448BC02C" w14:textId="77777777" w:rsidTr="00BB6A4A">
        <w:tc>
          <w:tcPr>
            <w:tcW w:w="0" w:type="auto"/>
            <w:tcMar>
              <w:top w:w="180" w:type="dxa"/>
              <w:left w:w="0" w:type="dxa"/>
              <w:bottom w:w="180" w:type="dxa"/>
              <w:right w:w="240" w:type="dxa"/>
            </w:tcMar>
            <w:hideMark/>
          </w:tcPr>
          <w:p w14:paraId="58B51660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2" w:color="F0F2F5" w:frame="1"/>
                <w:shd w:val="clear" w:color="auto" w:fill="F0F2F5"/>
                <w:lang w:eastAsia="en-ID"/>
              </w:rPr>
              <w:t>onkeydown</w:t>
            </w:r>
            <w:proofErr w:type="spellEnd"/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36285683" w14:textId="77777777" w:rsidR="00BB6A4A" w:rsidRPr="00BB6A4A" w:rsidRDefault="00BB6A4A" w:rsidP="00BB6A4A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Skrip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dijalankan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saat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tombol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keyboard </w:t>
            </w:r>
            <w:proofErr w:type="spellStart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ditekan</w:t>
            </w:r>
            <w:proofErr w:type="spellEnd"/>
            <w:r w:rsidRPr="00BB6A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</w:t>
            </w:r>
          </w:p>
        </w:tc>
      </w:tr>
    </w:tbl>
    <w:p w14:paraId="2EAB6A16" w14:textId="77777777" w:rsidR="00ED11B1" w:rsidRPr="00746649" w:rsidRDefault="00ED11B1" w:rsidP="00746649"/>
    <w:sectPr w:rsidR="00ED11B1" w:rsidRPr="0074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49"/>
    <w:rsid w:val="00746649"/>
    <w:rsid w:val="00BB6A4A"/>
    <w:rsid w:val="00E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3750"/>
  <w15:chartTrackingRefBased/>
  <w15:docId w15:val="{7035055F-BFC1-46F5-B1C9-E559E347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66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6A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411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11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302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603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5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824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8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2025-10-14T13:22:00Z</cp:lastPrinted>
  <dcterms:created xsi:type="dcterms:W3CDTF">2025-10-14T13:07:00Z</dcterms:created>
  <dcterms:modified xsi:type="dcterms:W3CDTF">2025-10-14T13:33:00Z</dcterms:modified>
</cp:coreProperties>
</file>