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Pr>
          <w:rtl w:val="0"/>
        </w:rPr>
      </w:r>
    </w:p>
    <w:p w:rsidR="00000000" w:rsidDel="00000000" w:rsidP="00000000" w:rsidRDefault="00000000" w:rsidRPr="00000000" w14:paraId="00000002">
      <w:pPr>
        <w:spacing w:line="480" w:lineRule="auto"/>
        <w:ind w:firstLine="0"/>
        <w:jc w:val="center"/>
        <w:rPr/>
      </w:pPr>
      <w:r>
        <w:rPr>
          <w:rFonts w:ascii="Times New Roman" w:cs="Times New Roman" w:eastAsia="Times New Roman" w:hAnsi="Times New Roman"/>
          <w:sz w:val="24"/>
          <w:szCs w:val="24"/>
          <w:rtl w:val="0"/>
        </w:rPr>
        <w:t xml:space="preserve">Iris Yang</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Wing-Keung Wong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Paul Tan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Chung-I Huang</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Jewel Wang</w:t>
      </w:r>
      <w:r>
        <w:rPr>
          <w:rFonts w:ascii="Times New Roman" w:cs="Times New Roman" w:eastAsia="Times New Roman" w:hAnsi="Times New Roman"/>
          <w:sz w:val="24"/>
          <w:szCs w:val="24"/>
          <w:vertAlign w:val="superscript"/>
          <w:rtl w:val="0"/>
        </w:rPr>
        <w:t xml:space="preserve">5</w:t>
      </w:r>
      <w:r>
        <w:rPr>
          <w:rtl w:val="0"/>
        </w:rPr>
      </w:r>
    </w:p>
    <w:p w:rsidR="00000000" w:rsidDel="00000000" w:rsidP="00000000" w:rsidRDefault="00000000" w:rsidRPr="00000000" w14:paraId="00000003">
      <w:pPr>
        <w:spacing w:line="480" w:lineRule="auto"/>
        <w:ind w:firstLine="0"/>
        <w:jc w:val="center"/>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California State University, Los Angeles, USA and Purdue University, USA; </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Asia University, Taiwan; </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Affiliation to be finalized; </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National Chung Hsing University, Taiwan; </w:t>
      </w:r>
      <w:r>
        <w:rPr>
          <w:rFonts w:ascii="Times New Roman" w:cs="Times New Roman" w:eastAsia="Times New Roman" w:hAnsi="Times New Roman"/>
          <w:sz w:val="24"/>
          <w:szCs w:val="24"/>
          <w:vertAlign w:val="superscript"/>
          <w:rtl w:val="0"/>
        </w:rPr>
        <w:t xml:space="preserve">5</w:t>
      </w:r>
      <w:r>
        <w:rPr>
          <w:rFonts w:ascii="Times New Roman" w:cs="Times New Roman" w:eastAsia="Times New Roman" w:hAnsi="Times New Roman"/>
          <w:sz w:val="24"/>
          <w:szCs w:val="24"/>
          <w:rtl w:val="0"/>
        </w:rPr>
        <w:t xml:space="preserve">Brandeis University, USA.</w:t>
      </w:r>
      <w:r>
        <w:rPr>
          <w:rtl w:val="0"/>
        </w:rPr>
      </w:r>
    </w:p>
    <w:p w:rsidR="00000000" w:rsidDel="00000000" w:rsidP="00000000" w:rsidRDefault="00000000" w:rsidRPr="00000000" w14:paraId="00000004">
      <w:pPr>
        <w:spacing w:line="480" w:lineRule="auto"/>
        <w:ind w:firstLine="0"/>
        <w:jc w:val="center"/>
        <w:rPr/>
      </w:pPr>
      <w:r>
        <w:rPr>
          <w:rFonts w:ascii="Times New Roman" w:cs="Times New Roman" w:eastAsia="Times New Roman" w:hAnsi="Times New Roman"/>
          <w:sz w:val="24"/>
          <w:szCs w:val="24"/>
          <w:rtl w:val="0"/>
        </w:rPr>
        <w:t xml:space="preserve">*Denotes co-corresponding authors.</w:t>
      </w:r>
      <w:r>
        <w:rPr>
          <w:rtl w:val="0"/>
        </w:rPr>
      </w:r>
    </w:p>
    <w:p w:rsidR="00000000" w:rsidDel="00000000" w:rsidP="00000000" w:rsidRDefault="00000000" w:rsidRPr="00000000" w14:paraId="00000005">
      <w:pPr>
        <w:pStyle w:val="Heading1"/>
        <w:rPr/>
      </w:pPr>
      <w:r>
        <w:rPr>
          <w:rtl w:val="0"/>
        </w:rPr>
        <w:t xml:space="preserve">Abstract</w:t>
      </w:r>
    </w:p>
    <w:p w:rsidR="00000000" w:rsidDel="00000000" w:rsidP="00000000" w:rsidRDefault="00000000" w:rsidRPr="00000000" w14:paraId="00000006">
      <w:pPr>
        <w:spacing w:line="480" w:lineRule="auto"/>
        <w:ind w:firstLine="0"/>
        <w:rPr/>
      </w:pPr>
      <w:r>
        <w:rPr>
          <w:rFonts w:ascii="Cardo" w:cs="Cardo" w:eastAsia="Cardo" w:hAnsi="Cardo"/>
          <w:rtl w:val="0"/>
        </w:rPr>
        <w:t>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that performed supervised feature selection on the full dataset before cross-validation achieved AUROC 0.7705 (95% bootstrap CI 0.711–0.824) and PR-AUC 0.4016, whereas a guarded nested pipeline that confined feature selection, scaling, class weighting, and cost tuning to training folds achieved AUROC 0.7265 (0.653–0.791) and PR-AUC 0.3653. The single-cohort naive-minus-guarded gap was positive but modest and its confidence interval included zero (ΔAUROC +0.044, 95% CI −0.013 to +0.103; paired bootstrap p = 0.13).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pCR, 140 RD) yielded AUROC 0.6078 (0.506–0.700), a transportability drop distinct from internal leakage. A pre-registered cross-platform projection onto the independent GSE41998 cohort (GPL571; N = 253) yielded AUROC 0.6638, a comparable transportability drop, reinforcing that leakage control and cross-platform transportability are distinct. The linear SVM, nested cross-validation, and feature-stability metrics are established methods; the contribution is their integration into a single reproducible, leakage-aware audit, presented as within-cohort diagnostic evidence rather than clinical biomarker discovery.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nested cross-validation; feature selection; feature stability; pathological complete response; BioData Mining</w:t>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Introduction</w:t>
      </w:r>
    </w:p>
    <w:p w:rsidR="00000000" w:rsidDel="00000000" w:rsidP="00000000" w:rsidRDefault="00000000" w:rsidRPr="00000000" w14:paraId="0000000A">
      <w:pPr>
        <w:pStyle w:val="Heading2"/>
        <w:rPr/>
      </w:pPr>
      <w:r>
        <w:rPr>
          <w:rtl w:val="0"/>
        </w:rPr>
        <w:t xml:space="preserve">Public transcriptomic biomarker discovery and the reproducibility problem</w:t>
      </w:r>
    </w:p>
    <w:p w:rsidR="00000000" w:rsidDel="00000000" w:rsidP="00000000" w:rsidRDefault="00000000" w:rsidRPr="00000000" w14:paraId="0000000B">
      <w:pPr>
        <w:rPr/>
      </w:pPr>
      <w:r>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Pr>
          <w:rtl w:val="0"/>
        </w:rPr>
        <w:t xml:space="preserve">Data leakage as a methodological failure in omics machine learning</w:t>
      </w:r>
    </w:p>
    <w:p w:rsidR="00000000" w:rsidDel="00000000" w:rsidP="00000000" w:rsidRDefault="00000000" w:rsidRPr="00000000" w14:paraId="0000000E">
      <w:pPr>
        <w:rPr/>
      </w:pPr>
      <w:r>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Pr>
          <w:rtl w:val="0"/>
        </w:rPr>
        <w:t xml:space="preserve">Why a linear SVM remains a useful test case</w:t>
      </w:r>
    </w:p>
    <w:p w:rsidR="00000000" w:rsidDel="00000000" w:rsidP="00000000" w:rsidRDefault="00000000" w:rsidRPr="00000000" w14:paraId="00000011">
      <w:pPr>
        <w:rPr/>
      </w:pPr>
      <w:r>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Pr>
          <w:rtl w:val="0"/>
        </w:rPr>
        <w:t xml:space="preserve">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Pr>
          <w:rtl w:val="0"/>
        </w:rPr>
        <w:t xml:space="preserve">Nested cross-validation as the leakage-control architecture</w:t>
      </w:r>
    </w:p>
    <w:p w:rsidR="00000000" w:rsidDel="00000000" w:rsidP="00000000" w:rsidRDefault="00000000" w:rsidRPr="00000000" w14:paraId="00000014">
      <w:pPr>
        <w:rPr/>
      </w:pPr>
      <w:r>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Pr>
          <w:rtl w:val="0"/>
        </w:rPr>
        <w:t xml:space="preserve">Feature stability as a missing layer in biomarker evaluation</w:t>
      </w:r>
    </w:p>
    <w:p w:rsidR="00000000" w:rsidDel="00000000" w:rsidP="00000000" w:rsidRDefault="00000000" w:rsidRPr="00000000" w14:paraId="00000017">
      <w:pPr>
        <w:rPr/>
      </w:pPr>
      <w:r>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Pr>
          <w:rtl w:val="0"/>
        </w:rPr>
        <w:t xml:space="preserve">Study objective and contributions</w:t>
      </w:r>
    </w:p>
    <w:p w:rsidR="00000000" w:rsidDel="00000000" w:rsidP="00000000" w:rsidRDefault="00000000" w:rsidRPr="00000000" w14:paraId="0000001A">
      <w:pPr>
        <w:rPr/>
      </w:pPr>
      <w:r>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Pr>
          <w:rtl w:val="0"/>
        </w:rPr>
        <w:t xml:space="preserve">Literature Review</w:t>
      </w:r>
    </w:p>
    <w:p w:rsidR="00000000" w:rsidDel="00000000" w:rsidP="00000000" w:rsidRDefault="00000000" w:rsidRPr="00000000" w14:paraId="00000022">
      <w:pPr>
        <w:pStyle w:val="Heading2"/>
        <w:rPr/>
      </w:pPr>
      <w:r>
        <w:rPr>
          <w:rtl w:val="0"/>
        </w:rPr>
        <w:t xml:space="preserve">Search and evidence-screening basis</w:t>
      </w:r>
    </w:p>
    <w:p w:rsidR="00000000" w:rsidDel="00000000" w:rsidP="00000000" w:rsidRDefault="00000000" w:rsidRPr="00000000" w14:paraId="00000023">
      <w:pPr>
        <w:rPr/>
      </w:pPr>
      <w:r>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Pr>
          <w:rtl w:val="0"/>
        </w:rPr>
        <w:t xml:space="preserve">Data leakage and feature-selection bias in biomedical machine learning</w:t>
      </w:r>
    </w:p>
    <w:p w:rsidR="00000000" w:rsidDel="00000000" w:rsidP="00000000" w:rsidRDefault="00000000" w:rsidRPr="00000000" w14:paraId="00000025">
      <w:pPr>
        <w:rPr/>
      </w:pPr>
      <w:r>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Pr>
          <w:rtl w:val="0"/>
        </w:rPr>
        <w:t xml:space="preserve">Nested validation for high-dimensional omics</w:t>
      </w:r>
    </w:p>
    <w:p w:rsidR="00000000" w:rsidDel="00000000" w:rsidP="00000000" w:rsidRDefault="00000000" w:rsidRPr="00000000" w14:paraId="00000028">
      <w:pPr>
        <w:rPr/>
      </w:pPr>
      <w:r>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rsidR="00000000" w:rsidDel="00000000" w:rsidP="00000000" w:rsidRDefault="00000000" w:rsidRPr="00000000" w14:paraId="0000002A">
      <w:pPr>
        <w:pStyle w:val="Heading2"/>
        <w:rPr/>
      </w:pPr>
      <w:r>
        <w:rPr>
          <w:rtl w:val="0"/>
        </w:rPr>
        <w:t xml:space="preserve">SVM/SMO and feature selection in transcriptomic classification</w:t>
      </w:r>
    </w:p>
    <w:p w:rsidR="00000000" w:rsidDel="00000000" w:rsidP="00000000" w:rsidRDefault="00000000" w:rsidRPr="00000000" w14:paraId="0000002B">
      <w:pPr>
        <w:rPr/>
      </w:pPr>
      <w:r>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Pr>
          <w:rtl w:val="0"/>
        </w:rPr>
        <w:t xml:space="preserve">This study does not overstate algorithmic novelty.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Pr>
          <w:rtl w:val="0"/>
        </w:rPr>
        <w:t xml:space="preserve">Feature stability and biomarker reproducibility</w:t>
      </w:r>
    </w:p>
    <w:p w:rsidR="00000000" w:rsidDel="00000000" w:rsidP="00000000" w:rsidRDefault="00000000" w:rsidRPr="00000000" w14:paraId="0000002E">
      <w:pPr>
        <w:rPr/>
      </w:pPr>
      <w:r>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Pr>
          <w:rtl w:val="0"/>
        </w:rPr>
        <w:t xml:space="preserve">Imbalanced biomedical classification and evaluation metrics</w:t>
      </w:r>
    </w:p>
    <w:p w:rsidR="00000000" w:rsidDel="00000000" w:rsidP="00000000" w:rsidRDefault="00000000" w:rsidRPr="00000000" w14:paraId="00000031">
      <w:pPr>
        <w:rPr/>
      </w:pPr>
      <w:r>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Pr>
          <w:rtl w:val="0"/>
        </w:rPr>
        <w:t xml:space="preserve">Breast cancer pCR/RD prediction as a biological stress test</w:t>
      </w:r>
    </w:p>
    <w:p w:rsidR="00000000" w:rsidDel="00000000" w:rsidP="00000000" w:rsidRDefault="00000000" w:rsidRPr="00000000" w14:paraId="00000034">
      <w:pPr>
        <w:rPr/>
      </w:pPr>
      <w:r>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Pr>
          <w:rtl w:val="0"/>
        </w:rPr>
        <w:t xml:space="preserve">Reporting standards and trustworthy biomedical AI</w:t>
      </w:r>
    </w:p>
    <w:p w:rsidR="00000000" w:rsidDel="00000000" w:rsidP="00000000" w:rsidRDefault="00000000" w:rsidRPr="00000000" w14:paraId="00000037">
      <w:pPr>
        <w:rPr/>
      </w:pPr>
      <w:r>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Pr>
          <w:rtl w:val="0"/>
        </w:rPr>
        <w:t xml:space="preserve">Remaining methodological gap</w:t>
      </w:r>
    </w:p>
    <w:p w:rsidR="00000000" w:rsidDel="00000000" w:rsidP="00000000" w:rsidRDefault="00000000" w:rsidRPr="00000000" w14:paraId="00000039">
      <w:pPr>
        <w:rPr/>
      </w:pPr>
      <w:r>
        <w:rPr>
          <w:rtl w:val="0"/>
        </w:rP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tblHeader/>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Pr>
                <w:rtl w:val="0"/>
              </w:rPr>
            </w:r>
          </w:p>
        </w:tc>
      </w:tr>
      <w:tr>
        <w:trPr>
          <w:cantSplit/>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linear SVM as a historically important, high-dimensional classification engine.</w:t>
            </w:r>
          </w:p>
        </w:tc>
      </w:tr>
      <w:tr>
        <w:trPr>
          <w:cantSplit/>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tblHeader/>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Pr>
                <w:rtl w:val="0"/>
              </w:rPr>
            </w:r>
          </w:p>
        </w:tc>
      </w:tr>
      <w:tr>
        <w:trPr>
          <w:cantSplit/>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linear 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linear SVM leakage inflation and feature stability.</w:t>
            </w:r>
          </w:p>
        </w:tc>
      </w:tr>
      <w:tr>
        <w:trPr>
          <w:cantSplit/>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linear 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tblHeader w:val="0"/>
        </w:trPr>
        <w:tc>
          <w:tcPr/>
          <w:p w:rsidR="00000000" w:rsidDel="00000000" w:rsidP="00000000" w:rsidRDefault="00000000" w:rsidRPr="00000000" w14:paraId="0000006D">
            <w:pPr>
              <w:spacing w:line="240" w:lineRule="auto"/>
              <w:ind w:firstLine="0"/>
              <w:rPr/>
            </w:pPr>
            <w:r>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Pr>
                <w:rtl w:val="0"/>
              </w:rPr>
            </w:r>
          </w:p>
        </w:tc>
        <w:tc>
          <w:tcPr/>
          <w:p w:rsidR="00000000" w:rsidDel="00000000" w:rsidP="00000000" w:rsidRDefault="00000000" w:rsidRPr="00000000" w14:paraId="0000006E">
            <w:pPr>
              <w:spacing w:line="240" w:lineRule="auto"/>
              <w:ind w:firstLine="0"/>
              <w:rPr/>
            </w:pPr>
            <w:r>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Pr>
                <w:rtl w:val="0"/>
              </w:rPr>
            </w:r>
          </w:p>
        </w:tc>
        <w:tc>
          <w:tcPr/>
          <w:p w:rsidR="00000000" w:rsidDel="00000000" w:rsidP="00000000" w:rsidRDefault="00000000" w:rsidRPr="00000000" w14:paraId="0000006F">
            <w:pPr>
              <w:spacing w:line="240" w:lineRule="auto"/>
              <w:ind w:firstLine="0"/>
              <w:rPr/>
            </w:pPr>
            <w:r>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Pr>
                <w:rtl w:val="0"/>
              </w:rPr>
            </w:r>
          </w:p>
        </w:tc>
        <w:tc>
          <w:tcPr/>
          <w:p w:rsidR="00000000" w:rsidDel="00000000" w:rsidP="00000000" w:rsidRDefault="00000000" w:rsidRPr="00000000" w14:paraId="00000070">
            <w:pPr>
              <w:spacing w:line="240" w:lineRule="auto"/>
              <w:ind w:firstLine="0"/>
              <w:rPr/>
            </w:pPr>
            <w:r>
              <w:rPr>
                <w:rFonts w:ascii="Times New Roman" w:cs="Times New Roman" w:eastAsia="Times New Roman" w:hAnsi="Times New Roman"/>
                <w:b w:val="0"/>
                <w:bCs w:val="0"/>
                <w:i w:val="0"/>
                <w:iCs w:val="0"/>
                <w:sz w:val="18"/>
                <w:szCs w:val="18"/>
                <w:rtl w:val="0"/>
              </w:rPr>
              <w:t xml:space="preserve">Uses an established linear SVM workhorse to produce an integrated empirical audit (leakage gap + feature stability + external validation + evidence-audit table), complementary to such tools.</w:t>
            </w:r>
            <w:r>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Pr>
          <w:rtl w:val="0"/>
        </w:rPr>
        <w:t xml:space="preserve">Methods</w:t>
      </w:r>
    </w:p>
    <w:p w:rsidR="00000000" w:rsidDel="00000000" w:rsidP="00000000" w:rsidRDefault="00000000" w:rsidRPr="00000000" w14:paraId="00000073">
      <w:pPr>
        <w:pStyle w:val="Heading2"/>
        <w:rPr/>
      </w:pPr>
      <w:r>
        <w:rPr>
          <w:rtl w:val="0"/>
        </w:rPr>
        <w:t xml:space="preserve">Study design overview</w:t>
      </w:r>
    </w:p>
    <w:p w:rsidR="00000000" w:rsidDel="00000000" w:rsidP="00000000" w:rsidRDefault="00000000" w:rsidRPr="00000000" w14:paraId="00000074">
      <w:pPr>
        <w:rPr/>
      </w:pPr>
      <w:r>
        <w:rPr>
          <w:rtl w:val="0"/>
        </w:rP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Pr>
          <w:rtl w:val="0"/>
        </w:rPr>
        <w:t xml:space="preserve">Public datasets and cohort eligibility</w:t>
      </w:r>
    </w:p>
    <w:p w:rsidR="00000000" w:rsidDel="00000000" w:rsidP="00000000" w:rsidRDefault="00000000" w:rsidRPr="00000000" w14:paraId="00000076">
      <w:pPr>
        <w:rPr/>
      </w:pPr>
      <w:r>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GSE41998 (GPL571) is documented in the dataset audit but not used in the present analysis; its labels and platform require additional leakage-safe, cross-platform handling.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GSE20194 and GSE20271 are documented but not used, owing to MDACC-lineage patient-overlap risk.</w:t>
      </w:r>
    </w:p>
    <w:p w:rsidR="00000000" w:rsidDel="00000000" w:rsidP="00000000" w:rsidRDefault="00000000" w:rsidRPr="00000000" w14:paraId="0000007B">
      <w:pPr>
        <w:pStyle w:val="Heading2"/>
        <w:rPr/>
      </w:pPr>
      <w:r>
        <w:rPr>
          <w:rtl w:val="0"/>
        </w:rPr>
        <w:t xml:space="preserve">Outcome definition</w:t>
      </w:r>
    </w:p>
    <w:p w:rsidR="00000000" w:rsidDel="00000000" w:rsidP="00000000" w:rsidRDefault="00000000" w:rsidRPr="00000000" w14:paraId="0000007C">
      <w:pPr>
        <w:rPr/>
      </w:pPr>
      <w:r>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Pr>
          <w:rtl w:val="0"/>
        </w:rPr>
        <w:t xml:space="preserve">Data preprocessing and leakage-control rules</w:t>
      </w:r>
    </w:p>
    <w:p w:rsidR="00000000" w:rsidDel="00000000" w:rsidP="00000000" w:rsidRDefault="00000000" w:rsidRPr="00000000" w14:paraId="0000007E">
      <w:pPr>
        <w:rPr/>
      </w:pPr>
      <w:r>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pPr>
        <w:rPr/>
      </w:pPr>
      <w:r>
        <w:rPr>
          <w:rtl w:val="0"/>
        </w:rPr>
        <w:t xml:space="preserve">Expression data and preprocessing. Expression matrices were obtained as author-processed GEO Series Matrix files via GEOquery (GSEMatrix = TRUE; getGPL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pathologic_response_pcr_rd metadata field and mapped to pCR versus RD; samples coded NA, blank, NaN, or N/A were excluded before modeling (4 of 310 in GSE25055, leaving 306; 16 of 198 in GSE25065, leaving 182).</w:t>
      </w:r>
    </w:p>
    <w:p w:rsidR="00000000" w:rsidDel="00000000" w:rsidP="00000000" w:rsidRDefault="00000000" w:rsidRPr="00000000" w14:paraId="0000007F">
      <w:pPr>
        <w:pStyle w:val="Heading2"/>
        <w:rPr/>
      </w:pPr>
      <w:r>
        <w:rPr>
          <w:rtl w:val="0"/>
        </w:rPr>
        <w:t xml:space="preserve">Pipeline A: naive/leaky baseline</w:t>
      </w:r>
    </w:p>
    <w:p w:rsidR="00000000" w:rsidDel="00000000" w:rsidP="00000000" w:rsidRDefault="00000000" w:rsidRPr="00000000" w14:paraId="00000080">
      <w:pPr>
        <w:rPr/>
      </w:pPr>
      <w:r>
        <w:rPr>
          <w:rtl w:val="0"/>
        </w:rP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Pr>
          <w:rtl w:val="0"/>
        </w:rPr>
        <w:t xml:space="preserve">Pipeline B: guarded nested linear SVM framework</w:t>
      </w:r>
    </w:p>
    <w:p w:rsidR="00000000" w:rsidDel="00000000" w:rsidP="00000000" w:rsidRDefault="00000000" w:rsidRPr="00000000" w14:paraId="00000082">
      <w:pPr>
        <w:rPr/>
      </w:pPr>
      <w:r>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Pr>
          <w:rtl w:val="0"/>
        </w:rPr>
        <w:t xml:space="preserve">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Pr>
          <w:rtl w:val="0"/>
        </w:rPr>
        <w:t>Model specification (linear SVM)</w:t>
      </w:r>
    </w:p>
    <w:p w:rsidR="00000000" w:rsidDel="00000000" w:rsidP="00000000" w:rsidRDefault="00000000" w:rsidRPr="00000000" w14:paraId="00000085">
      <w:pPr>
        <w:rPr/>
      </w:pPr>
      <w:r>
        <w:rPr>
          <w:rtl w:val="0"/>
        </w:rPr>
        <w:t xml:space="preserve">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pPr>
        <w:rPr/>
      </w:pPr>
      <w:r>
        <w:rPr>
          <w:rtl w:val="0"/>
        </w:rPr>
        <w:t xml:space="preserve">Class weighting. To address pCR/RD imbalance, observations were weighted by inverse class frequency using e1071's class.weights argument, with weight w_k = N / (K · n_k) for class k (N training samples, K = 2 classes, n_k the class count). These weights were computed from each training partition only — recomputed within every cross-validation training fold — in both the naive and guarded pipelines, and no weights were derived using held-out or test-fold labels. The naive pipeline's leakage arises from its global supervised feature selection, not from class weighting, which was handled identically (per training fold) in both pipelines. Class weighting was the primary class-imbalance control in the reported pipelines.</w:t>
      </w:r>
    </w:p>
    <w:p w:rsidR="00000000" w:rsidDel="00000000" w:rsidP="00000000" w:rsidRDefault="00000000" w:rsidRPr="00000000" w14:paraId="00000086">
      <w:pPr>
        <w:pStyle w:val="Heading2"/>
        <w:rPr/>
      </w:pPr>
      <w:r>
        <w:rPr>
          <w:rtl w:val="0"/>
        </w:rPr>
        <w:t xml:space="preserve">Feature-selection methods</w:t>
      </w:r>
    </w:p>
    <w:p w:rsidR="00000000" w:rsidDel="00000000" w:rsidP="00000000" w:rsidRDefault="00000000" w:rsidRPr="00000000" w14:paraId="00000087">
      <w:pPr>
        <w:rPr/>
      </w:pPr>
      <w:r>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pPr>
        <w:rPr/>
      </w:pPr>
      <w:r>
        <w:rPr>
          <w:i w:val="1"/>
          <w:iCs w:val="1"/>
          <w:rtl w:val="0"/>
        </w:rPr>
        <w:t xml:space="preserve">Selector-budget sensitivity analysis. </w:t>
      </w:r>
      <w:r>
        <w:rPr>
          <w:rtl w:val="0"/>
        </w:rPr>
        <w:t xml:space="preserve">To assess robustness to the feature-selection budget, the univariate Welch t-test selector was held fixed while the top-K budget was varied over K = 25, 50, 100, and 200, and the leaky and guarded nested pipelines were re-evaluated at each K on GSE25055 (scripts/12_selector_k_sweep.R). All other settings — seed, fold structure, scaling, class weighting, and cost grid — were unchanged, and K = 100 reproduced the primary analysis exactly, anchoring the sweep. No external cohorts were used.</w:t>
      </w:r>
    </w:p>
    <w:p w:rsidR="00000000" w:rsidDel="00000000" w:rsidP="00000000" w:rsidRDefault="00000000" w:rsidRPr="00000000" w14:paraId="00000088">
      <w:pPr>
        <w:pStyle w:val="Heading2"/>
        <w:rPr/>
      </w:pPr>
      <w:r>
        <w:rPr>
          <w:rtl w:val="0"/>
        </w:rPr>
        <w:t xml:space="preserve">Performance, leakage, and stability metrics</w:t>
      </w:r>
    </w:p>
    <w:p w:rsidR="00000000" w:rsidDel="00000000" w:rsidP="00000000" w:rsidRDefault="00000000" w:rsidRPr="00000000" w14:paraId="00000089">
      <w:pPr>
        <w:rPr/>
      </w:pPr>
      <w:r>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pPr>
        <w:rPr/>
      </w:pPr>
      <w:r>
        <w:rPr>
          <w:rtl w:val="0"/>
        </w:rPr>
        <w:t xml:space="preserve">Scores and probabilities. AUROC and PR-AUC were computed from the predicted probability of pCR, P(pCR). Class probabilities were obtained from the e1071/libsvm built-in probability estimates (Platt-style logistic calibration that libsvm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rsidR="00000000" w:rsidDel="00000000" w:rsidP="00000000" w:rsidRDefault="00000000" w:rsidRPr="00000000" w14:paraId="0000008A">
      <w:pPr>
        <w:pStyle w:val="Heading2"/>
        <w:rPr/>
      </w:pPr>
      <w:r>
        <w:rPr>
          <w:rtl w:val="0"/>
        </w:rPr>
        <w:t xml:space="preserve">Uncertainty quantification, permutation control, and repeated cross-validation</w:t>
      </w:r>
    </w:p>
    <w:p w:rsidR="00000000" w:rsidDel="00000000" w:rsidP="00000000" w:rsidRDefault="00000000" w:rsidRPr="00000000" w14:paraId="0000008B">
      <w:pPr>
        <w:rPr/>
      </w:pPr>
      <w:r>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Pr>
          <w:rtl w:val="0"/>
        </w:rPr>
      </w:r>
    </w:p>
    <w:p w:rsidR="00000000" w:rsidDel="00000000" w:rsidP="00000000" w:rsidRDefault="00000000" w:rsidRPr="00000000" w14:paraId="0000008D">
      <w:pPr>
        <w:rPr/>
      </w:pPr>
      <w:r>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Pr>
          <w:rtl w:val="0"/>
        </w:rPr>
      </w:r>
    </w:p>
    <w:p w:rsidR="00000000" w:rsidDel="00000000" w:rsidP="00000000" w:rsidRDefault="00000000" w:rsidRPr="00000000" w14:paraId="0000008E">
      <w:pPr>
        <w:rPr/>
      </w:pPr>
      <w:r>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Pr>
          <w:rtl w:val="0"/>
        </w:rPr>
      </w:r>
    </w:p>
    <w:p w:rsidR="00000000" w:rsidDel="00000000" w:rsidP="00000000" w:rsidRDefault="00000000" w:rsidRPr="00000000">
      <w:pPr>
        <w:rPr/>
      </w:pPr>
      <w:r>
        <w:rPr>
          <w:rtl w:val="0"/>
        </w:rP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pCR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rsidR="00000000" w:rsidDel="00000000" w:rsidP="00000000" w:rsidRDefault="00000000" w:rsidRPr="00000000" w14:paraId="0000008F">
      <w:pPr>
        <w:pStyle w:val="Heading2"/>
        <w:rPr/>
      </w:pPr>
      <w:r>
        <w:rPr>
          <w:rtl w:val="0"/>
        </w:rPr>
        <w:t xml:space="preserve">External validation protocol</w:t>
      </w:r>
    </w:p>
    <w:p w:rsidR="00000000" w:rsidDel="00000000" w:rsidP="00000000" w:rsidRDefault="00000000" w:rsidRPr="00000000" w14:paraId="00000090">
      <w:pPr>
        <w:rPr/>
      </w:pPr>
      <w:r>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F000901">
      <w:pPr>
        <w:rPr/>
      </w:pPr>
      <w:r>
        <w:rPr>
          <w:rtl w:val="0"/>
        </w:rPr>
        <w:t xml:space="preserve">As a pre-registered cross-platform transportability sensitivity analysis, the same frozen GSE25055 model — identical 100-probe feature set, cost C = 0.25, 0.5 P(pCR) threshold, and discovery-derived scaling — was additionally projected onto GSE41998 (Affymetrix HG-U133A 2.0, GPL571), an independent, different-platform neoadjuvant breast-cancer cohort. Following a predeclared design (docs/gse41998_external_validation_design.md), only the documented pcr Yes/No endpoint was used: of 279 samples, 20 coded “0” and 6 missing or unclear were excluded as not-evaluable, leaving 253 evaluable (69 pCR, 184 RD). Platform mapping used the exact Affymetrix probe-ID intersection (no gene-symbol collapse, no joint normalization, no ComBat), and all 100 frozen probes were recovered in GPL571. GSE41998 labels were used only for final evaluation, with no tuning, selection, or threshold adjustment. The primary analysis applied the discovery-derived scaling; a within-cohort, label-blind z-score was reported as a clearly separated unsupervised adaptation sensitivity, not as the frozen primary projection.</w:t>
      </w:r>
    </w:p>
    <w:p w:rsidR="00000000" w:rsidDel="00000000" w:rsidP="00000000" w:rsidRDefault="00000000" w:rsidRPr="00000000" w14:paraId="00000091">
      <w:pPr>
        <w:pStyle w:val="Heading2"/>
        <w:rPr/>
      </w:pPr>
      <w:r>
        <w:rPr>
          <w:rtl w:val="0"/>
        </w:rPr>
        <w:t xml:space="preserve">Reproducibility and software availability</w:t>
      </w:r>
    </w:p>
    <w:p w:rsidR="00000000" w:rsidDel="00000000" w:rsidP="00000000" w:rsidRDefault="00000000" w:rsidRPr="00000000" w14:paraId="00000092">
      <w:pPr>
        <w:rPr/>
      </w:pPr>
      <w:r>
        <w:rPr>
          <w:rtl w:val="0"/>
        </w:rP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Zenodo) will accompany the final submission.</w:t>
      </w:r>
      <w:r>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tblHeader/>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Pr>
                <w:rtl w:val="0"/>
              </w:rPr>
            </w:r>
          </w:p>
        </w:tc>
      </w:tr>
      <w:tr>
        <w:trPr>
          <w:cantSpli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Pr>
          <w:rtl w:val="0"/>
        </w:rPr>
      </w:r>
    </w:p>
    <w:p w:rsidR="00000000" w:rsidDel="00000000" w:rsidP="00000000" w:rsidRDefault="00000000" w:rsidRPr="00000000" w14:paraId="000000A9">
      <w:pPr>
        <w:rPr/>
      </w:pPr>
      <w:r>
        <w:rPr>
          <w:i w:val="1"/>
          <w:iCs w:val="1"/>
          <w:sz w:val="20"/>
          <w:szCs w:val="20"/>
          <w:rtl w:val="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top-100 selector.</w:t>
      </w:r>
      <w:r>
        <w:rPr>
          <w:rtl w:val="0"/>
        </w:rPr>
      </w:r>
    </w:p>
    <w:p w:rsidR="00000000" w:rsidDel="00000000" w:rsidP="00000000" w:rsidRDefault="00000000" w:rsidRPr="00000000" w14:paraId="000000AA">
      <w:pPr>
        <w:pStyle w:val="Heading1"/>
        <w:rPr/>
      </w:pPr>
      <w:r>
        <w:rPr>
          <w:b w:val="0"/>
          <w:bCs w:val="0"/>
          <w:rtl w:val="0"/>
        </w:rPr>
        <w:t xml:space="preserve">Results</w:t>
      </w:r>
      <w:r>
        <w:rPr>
          <w:rtl w:val="0"/>
        </w:rPr>
      </w:r>
    </w:p>
    <w:p w:rsidR="00000000" w:rsidDel="00000000" w:rsidP="00000000" w:rsidRDefault="00000000" w:rsidRPr="00000000" w14:paraId="000000AB">
      <w:pPr>
        <w:rPr/>
      </w:pPr>
      <w:r>
        <w:rPr>
          <w:rtl w:val="0"/>
        </w:rPr>
        <w:t xml:space="preserve">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rsidR="00000000" w:rsidDel="00000000" w:rsidP="00000000" w:rsidRDefault="00000000" w:rsidRPr="00000000" w14:paraId="000000AC">
      <w:pPr>
        <w:pStyle w:val="Heading2"/>
        <w:rPr/>
      </w:pPr>
      <w:r>
        <w:rPr>
          <w:b w:val="0"/>
          <w:bCs w:val="0"/>
          <w:rtl w:val="0"/>
        </w:rPr>
        <w:t xml:space="preserve">Cohort construction and endpoint harmonization</w:t>
      </w:r>
      <w:r>
        <w:rPr>
          <w:rtl w:val="0"/>
        </w:rPr>
      </w:r>
    </w:p>
    <w:p w:rsidR="00000000" w:rsidDel="00000000" w:rsidP="00000000" w:rsidRDefault="00000000" w:rsidRPr="00000000" w14:paraId="000000AD">
      <w:pPr>
        <w:rPr/>
      </w:pPr>
      <w:r>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0B2">
            <w:pPr>
              <w:spacing w:line="240" w:lineRule="auto"/>
              <w:ind w:firstLine="0"/>
              <w:jc w:val="center"/>
              <w:rPr>
                <w:sz w:val="18"/>
                <w:szCs w:val="18"/>
              </w:rPr>
            </w:pPr>
            <w:r>
              <w:rPr>
                <w:b w:val="1"/>
                <w:bCs w:val="1"/>
                <w:sz w:val="18"/>
                <w:szCs w:val="18"/>
                <w:rtl w:val="0"/>
              </w:rPr>
              <w:t xml:space="preserve">Cohort</w:t>
            </w:r>
            <w:r>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Pr>
                <w:b w:val="1"/>
                <w:bCs w:val="1"/>
                <w:sz w:val="18"/>
                <w:szCs w:val="18"/>
                <w:rtl w:val="0"/>
              </w:rPr>
              <w:t xml:space="preserve">Role/use</w:t>
            </w:r>
            <w:r>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Pr>
                <w:b w:val="1"/>
                <w:bCs w:val="1"/>
                <w:sz w:val="18"/>
                <w:szCs w:val="18"/>
                <w:rtl w:val="0"/>
              </w:rPr>
              <w:t xml:space="preserve">Usable labels</w:t>
            </w:r>
            <w:r>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Pr>
                <w:b w:val="1"/>
                <w:bCs w:val="1"/>
                <w:sz w:val="18"/>
                <w:szCs w:val="18"/>
                <w:rtl w:val="0"/>
              </w:rPr>
              <w:t xml:space="preserve">Audit note</w:t>
            </w:r>
            <w:r>
              <w:rPr>
                <w:rtl w:val="0"/>
              </w:rPr>
            </w:r>
          </w:p>
        </w:tc>
      </w:tr>
      <w:tr>
        <w:trPr>
          <w:cantSplit/>
          <w:tblHeader w:val="0"/>
        </w:trPr>
        <w:tc>
          <w:tcPr/>
          <w:p w:rsidR="00000000" w:rsidDel="00000000" w:rsidP="00000000" w:rsidRDefault="00000000" w:rsidRPr="00000000" w14:paraId="000000B6">
            <w:pPr>
              <w:spacing w:line="240" w:lineRule="auto"/>
              <w:ind w:firstLine="0"/>
              <w:jc w:val="center"/>
              <w:rPr>
                <w:sz w:val="18"/>
                <w:szCs w:val="18"/>
              </w:rPr>
            </w:pPr>
            <w:r>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Pr>
                <w:sz w:val="18"/>
                <w:szCs w:val="18"/>
                <w:rtl w:val="0"/>
              </w:rPr>
              <w:t xml:space="preserve">GPL96; 4 missing labels excluded.</w:t>
            </w:r>
          </w:p>
        </w:tc>
      </w:tr>
      <w:tr>
        <w:trPr>
          <w:cantSplit/>
          <w:tblHeader w:val="0"/>
        </w:trPr>
        <w:tc>
          <w:tcPr/>
          <w:p w:rsidR="00000000" w:rsidDel="00000000" w:rsidP="00000000" w:rsidRDefault="00000000" w:rsidRPr="00000000" w14:paraId="000000BA">
            <w:pPr>
              <w:spacing w:line="240" w:lineRule="auto"/>
              <w:ind w:firstLine="0"/>
              <w:jc w:val="center"/>
              <w:rPr>
                <w:sz w:val="18"/>
                <w:szCs w:val="18"/>
              </w:rPr>
            </w:pPr>
            <w:r>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Pr>
                <w:sz w:val="18"/>
                <w:szCs w:val="18"/>
                <w:rtl w:val="0"/>
              </w:rPr>
              <w:t xml:space="preserve">Same-platform, same-study-family validation</w:t>
            </w:r>
          </w:p>
        </w:tc>
        <w:tc>
          <w:tcPr/>
          <w:p w:rsidR="00000000" w:rsidDel="00000000" w:rsidP="00000000" w:rsidRDefault="00000000" w:rsidRPr="00000000" w14:paraId="000000BC">
            <w:pPr>
              <w:spacing w:line="240" w:lineRule="auto"/>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Pr>
                <w:sz w:val="18"/>
                <w:szCs w:val="18"/>
                <w:rtl w:val="0"/>
              </w:rPr>
              <w:t xml:space="preserve">GPL96; 16 missing labels excluded; non-overlapping with GSE25055.</w:t>
            </w:r>
          </w:p>
        </w:tc>
      </w:tr>
      <w:tr>
        <w:trPr>
          <w:cantSplit/>
          <w:tblHeader w:val="0"/>
        </w:trPr>
        <w:tc>
          <w:tcPr/>
          <w:p w:rsidR="00000000" w:rsidDel="00000000" w:rsidP="00000000" w:rsidRDefault="00000000" w:rsidRPr="00000000" w14:paraId="000000BE">
            <w:pPr>
              <w:spacing w:line="240" w:lineRule="auto"/>
              <w:ind w:firstLine="0"/>
              <w:jc w:val="center"/>
              <w:rPr>
                <w:sz w:val="18"/>
                <w:szCs w:val="18"/>
              </w:rPr>
            </w:pPr>
            <w:r>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Pr>
                <w:sz w:val="18"/>
                <w:szCs w:val="18"/>
                <w:rtl w:val="0"/>
              </w:rPr>
              <w:t xml:space="preserve">GPL571; not used in current modeling because 26 labels are unresolved/missing and cross-platform harmonization is needed.</w:t>
            </w:r>
          </w:p>
        </w:tc>
      </w:tr>
      <w:tr>
        <w:trPr>
          <w:cantSplit/>
          <w:tblHeader w:val="0"/>
        </w:trPr>
        <w:tc>
          <w:tcPr/>
          <w:p w:rsidR="00000000" w:rsidDel="00000000" w:rsidP="00000000" w:rsidRDefault="00000000" w:rsidRPr="00000000" w14:paraId="000000C2">
            <w:pPr>
              <w:spacing w:line="240" w:lineRule="auto"/>
              <w:ind w:firstLine="0"/>
              <w:jc w:val="center"/>
              <w:rPr>
                <w:sz w:val="18"/>
                <w:szCs w:val="18"/>
              </w:rPr>
            </w:pPr>
            <w:r>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Pr>
                <w:sz w:val="18"/>
                <w:szCs w:val="18"/>
                <w:rtl w:val="0"/>
              </w:rPr>
              <w:t xml:space="preserve">GPL96; held because of MDACC lineage overlap risk.</w:t>
            </w:r>
          </w:p>
        </w:tc>
      </w:tr>
      <w:tr>
        <w:trPr>
          <w:cantSplit/>
          <w:tblHeader w:val="0"/>
        </w:trPr>
        <w:tc>
          <w:tcPr/>
          <w:p w:rsidR="00000000" w:rsidDel="00000000" w:rsidP="00000000" w:rsidRDefault="00000000" w:rsidRPr="00000000" w14:paraId="000000C6">
            <w:pPr>
              <w:spacing w:line="240" w:lineRule="auto"/>
              <w:ind w:firstLine="0"/>
              <w:jc w:val="center"/>
              <w:rPr>
                <w:sz w:val="18"/>
                <w:szCs w:val="18"/>
              </w:rPr>
            </w:pPr>
            <w:r>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Pr>
          <w:b w:val="0"/>
          <w:bCs w:val="0"/>
          <w:rtl w:val="0"/>
        </w:rPr>
        <w:t xml:space="preserve">Leaky versus guarded nested linear SVM performance</w:t>
      </w:r>
      <w:r>
        <w:rPr>
          <w:rtl w:val="0"/>
        </w:rPr>
      </w:r>
    </w:p>
    <w:p w:rsidR="00000000" w:rsidDel="00000000" w:rsidP="00000000" w:rsidRDefault="00000000" w:rsidRPr="00000000" w14:paraId="000000CC">
      <w:pPr>
        <w:rPr/>
      </w:pPr>
      <w:r>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linear SVM Performance on GSE25055</w:t>
      </w:r>
      <w:r>
        <w:rPr>
          <w:rtl w:val="0"/>
        </w:rPr>
      </w:r>
    </w:p>
    <w:p w:rsidR="00000000" w:rsidDel="00000000" w:rsidP="00000000" w:rsidRDefault="00000000" w:rsidRPr="00000000" w14:paraId="000000D1">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tblHeader/>
        </w:trPr>
        <w:tc>
          <w:tcPr>
            <w:shd w:fill="d9eaf7" w:val="clear"/>
          </w:tcPr>
          <w:p w:rsidR="00000000" w:rsidDel="00000000" w:rsidP="00000000" w:rsidRDefault="00000000" w:rsidRPr="00000000" w14:paraId="000000D2">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0D3">
            <w:pPr>
              <w:ind w:firstLine="0"/>
              <w:jc w:val="center"/>
              <w:rPr>
                <w:sz w:val="18"/>
                <w:szCs w:val="18"/>
              </w:rPr>
            </w:pPr>
            <w:r>
              <w:rPr>
                <w:b w:val="1"/>
                <w:bCs w:val="1"/>
                <w:sz w:val="18"/>
                <w:szCs w:val="18"/>
                <w:rtl w:val="0"/>
              </w:rPr>
              <w:t xml:space="preserve">Leaky baseline</w:t>
            </w:r>
            <w:r>
              <w:rPr>
                <w:rtl w:val="0"/>
              </w:rPr>
            </w:r>
          </w:p>
        </w:tc>
        <w:tc>
          <w:tcPr>
            <w:shd w:fill="d9eaf7" w:val="clear"/>
          </w:tcPr>
          <w:p w:rsidR="00000000" w:rsidDel="00000000" w:rsidP="00000000" w:rsidRDefault="00000000" w:rsidRPr="00000000" w14:paraId="000000D4">
            <w:pPr>
              <w:ind w:firstLine="0"/>
              <w:jc w:val="center"/>
              <w:rPr>
                <w:sz w:val="18"/>
                <w:szCs w:val="18"/>
              </w:rPr>
            </w:pPr>
            <w:r>
              <w:rPr>
                <w:b w:val="1"/>
                <w:bCs w:val="1"/>
                <w:sz w:val="18"/>
                <w:szCs w:val="18"/>
                <w:rtl w:val="0"/>
              </w:rPr>
              <w:t xml:space="preserve">Guarded nested linear SVM</w:t>
            </w:r>
            <w:r>
              <w:rPr>
                <w:rtl w:val="0"/>
              </w:rPr>
            </w:r>
          </w:p>
        </w:tc>
        <w:tc>
          <w:tcPr>
            <w:shd w:fill="d9eaf7" w:val="clear"/>
          </w:tcPr>
          <w:p w:rsidR="00000000" w:rsidDel="00000000" w:rsidP="00000000" w:rsidRDefault="00000000" w:rsidRPr="00000000" w14:paraId="000000D5">
            <w:pPr>
              <w:ind w:firstLine="0"/>
              <w:jc w:val="center"/>
              <w:rPr>
                <w:sz w:val="18"/>
                <w:szCs w:val="18"/>
              </w:rPr>
            </w:pPr>
            <w:r>
              <w:rPr>
                <w:b w:val="1"/>
                <w:bCs w:val="1"/>
                <w:sz w:val="18"/>
                <w:szCs w:val="18"/>
                <w:rtl w:val="0"/>
              </w:rPr>
              <w:t xml:space="preserve">Leaky - guarded gap</w:t>
            </w:r>
            <w:r>
              <w:rPr>
                <w:rtl w:val="0"/>
              </w:rPr>
            </w:r>
          </w:p>
        </w:tc>
      </w:tr>
      <w:tr>
        <w:trPr>
          <w:cantSplit/>
          <w:trHeight w:val="502.4560546875" w:hRule="atLeast"/>
          <w:tblHeader w:val="0"/>
        </w:trPr>
        <w:tc>
          <w:tcPr/>
          <w:p w:rsidR="00000000" w:rsidDel="00000000" w:rsidP="00000000" w:rsidRDefault="00000000" w:rsidRPr="00000000" w14:paraId="000000D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AUROC</w:t>
            </w:r>
            <w:r>
              <w:rPr>
                <w:rtl w:val="0"/>
              </w:rPr>
            </w:r>
          </w:p>
        </w:tc>
        <w:tc>
          <w:tcPr/>
          <w:p w:rsidR="00000000" w:rsidDel="00000000" w:rsidP="00000000" w:rsidRDefault="00000000" w:rsidRPr="00000000" w14:paraId="000000D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 (0.711–0.824)</w:t>
            </w:r>
            <w:r>
              <w:rPr>
                <w:rtl w:val="0"/>
              </w:rPr>
            </w:r>
          </w:p>
        </w:tc>
        <w:tc>
          <w:tcPr/>
          <w:p w:rsidR="00000000" w:rsidDel="00000000" w:rsidP="00000000" w:rsidRDefault="00000000" w:rsidRPr="00000000" w14:paraId="000000D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 (0.653–0.791)</w:t>
            </w:r>
            <w:r>
              <w:rPr>
                <w:rtl w:val="0"/>
              </w:rPr>
            </w:r>
          </w:p>
        </w:tc>
        <w:tc>
          <w:tcPr/>
          <w:p w:rsidR="00000000" w:rsidDel="00000000" w:rsidP="00000000" w:rsidRDefault="00000000" w:rsidRPr="00000000" w14:paraId="000000D9">
            <w:pPr>
              <w:ind w:firstLine="0"/>
              <w:jc w:val="center"/>
              <w:rPr>
                <w:sz w:val="18"/>
                <w:szCs w:val="18"/>
              </w:rPr>
            </w:pPr>
            <w:r>
              <w:rPr>
                <w:rFonts w:ascii="Gungsuh" w:cs="Gungsuh" w:eastAsia="Gungsuh" w:hAnsi="Gungsuh"/>
                <w:b w:val="0"/>
                <w:bCs w:val="0"/>
                <w:i w:val="0"/>
                <w:iCs w:val="0"/>
                <w:sz w:val="18"/>
                <w:szCs w:val="18"/>
                <w:rtl w:val="0"/>
              </w:rPr>
              <w:t xml:space="preserve">+0.044 (95% CI −0.013 to +0.103; bootstrap p = 0.13)</w:t>
            </w:r>
            <w:r>
              <w:rPr>
                <w:rtl w:val="0"/>
              </w:rPr>
            </w:r>
          </w:p>
        </w:tc>
      </w:tr>
      <w:tr>
        <w:trPr>
          <w:cantSplit/>
          <w:tblHeader w:val="0"/>
        </w:trPr>
        <w:tc>
          <w:tcPr/>
          <w:p w:rsidR="00000000" w:rsidDel="00000000" w:rsidP="00000000" w:rsidRDefault="00000000" w:rsidRPr="00000000" w14:paraId="000000D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PR-AUC</w:t>
            </w:r>
            <w:r>
              <w:rPr>
                <w:rtl w:val="0"/>
              </w:rPr>
            </w:r>
          </w:p>
        </w:tc>
        <w:tc>
          <w:tcPr/>
          <w:p w:rsidR="00000000" w:rsidDel="00000000" w:rsidP="00000000" w:rsidRDefault="00000000" w:rsidRPr="00000000" w14:paraId="000000D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0.4016 (0.333–0.497)</w:t>
            </w:r>
            <w:r>
              <w:rPr>
                <w:rtl w:val="0"/>
              </w:rPr>
            </w:r>
          </w:p>
        </w:tc>
        <w:tc>
          <w:tcPr/>
          <w:p w:rsidR="00000000" w:rsidDel="00000000" w:rsidP="00000000" w:rsidRDefault="00000000" w:rsidRPr="00000000" w14:paraId="000000D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0.3653 (0.281–0.472)</w:t>
            </w:r>
            <w:r>
              <w:rPr>
                <w:rtl w:val="0"/>
              </w:rPr>
            </w:r>
          </w:p>
        </w:tc>
        <w:tc>
          <w:tcPr/>
          <w:p w:rsidR="00000000" w:rsidDel="00000000" w:rsidP="00000000" w:rsidRDefault="00000000" w:rsidRPr="00000000" w14:paraId="000000DD">
            <w:pPr>
              <w:ind w:firstLine="0"/>
              <w:jc w:val="center"/>
              <w:rPr>
                <w:sz w:val="18"/>
                <w:szCs w:val="18"/>
              </w:rPr>
            </w:pPr>
            <w:r>
              <w:rPr>
                <w:rFonts w:ascii="Gungsuh" w:cs="Gungsuh" w:eastAsia="Gungsuh" w:hAnsi="Gungsuh"/>
                <w:b w:val="0"/>
                <w:bCs w:val="0"/>
                <w:i w:val="0"/>
                <w:iCs w:val="0"/>
                <w:sz w:val="18"/>
                <w:szCs w:val="18"/>
                <w:rtl w:val="0"/>
              </w:rPr>
              <w:t xml:space="preserve">+0.036 (−0.048 to +0.125; p = 0.38)</w:t>
            </w:r>
            <w:r>
              <w:rPr>
                <w:rtl w:val="0"/>
              </w:rPr>
            </w:r>
          </w:p>
        </w:tc>
      </w:tr>
      <w:tr>
        <w:trPr>
          <w:cantSplit/>
          <w:tblHeader w:val="0"/>
        </w:trPr>
        <w:tc>
          <w:tcPr/>
          <w:p w:rsidR="00000000" w:rsidDel="00000000" w:rsidP="00000000" w:rsidRDefault="00000000" w:rsidRPr="00000000" w14:paraId="000000D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Balanced accuracy</w:t>
            </w:r>
            <w:r>
              <w:rPr>
                <w:rtl w:val="0"/>
              </w:rPr>
            </w:r>
          </w:p>
        </w:tc>
        <w:tc>
          <w:tcPr/>
          <w:p w:rsidR="00000000" w:rsidDel="00000000" w:rsidP="00000000" w:rsidRDefault="00000000" w:rsidRPr="00000000" w14:paraId="000000D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0.5546 (0.525–0.586)</w:t>
            </w:r>
            <w:r>
              <w:rPr>
                <w:rtl w:val="0"/>
              </w:rPr>
            </w:r>
          </w:p>
        </w:tc>
        <w:tc>
          <w:tcPr/>
          <w:p w:rsidR="00000000" w:rsidDel="00000000" w:rsidP="00000000" w:rsidRDefault="00000000" w:rsidRPr="00000000" w14:paraId="000000E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0.5792 (0.527–0.633)</w:t>
            </w:r>
            <w:r>
              <w:rPr>
                <w:rtl w:val="0"/>
              </w:rPr>
            </w:r>
          </w:p>
        </w:tc>
        <w:tc>
          <w:tcPr/>
          <w:p w:rsidR="00000000" w:rsidDel="00000000" w:rsidP="00000000" w:rsidRDefault="00000000" w:rsidRPr="00000000" w14:paraId="000000E1">
            <w:pPr>
              <w:ind w:firstLine="0"/>
              <w:jc w:val="center"/>
              <w:rPr>
                <w:sz w:val="18"/>
                <w:szCs w:val="18"/>
              </w:rPr>
            </w:pPr>
            <w:r>
              <w:rPr>
                <w:rFonts w:ascii="Gungsuh" w:cs="Gungsuh" w:eastAsia="Gungsuh" w:hAnsi="Gungsuh"/>
                <w:b w:val="0"/>
                <w:bCs w:val="0"/>
                <w:i w:val="0"/>
                <w:iCs w:val="0"/>
                <w:sz w:val="18"/>
                <w:szCs w:val="18"/>
                <w:rtl w:val="0"/>
              </w:rPr>
              <w:t xml:space="preserve">−0.025</w:t>
            </w:r>
            <w:r>
              <w:rPr>
                <w:rtl w:val="0"/>
              </w:rPr>
            </w:r>
          </w:p>
        </w:tc>
      </w:tr>
      <w:tr>
        <w:trPr>
          <w:cantSplit/>
          <w:tblHeader w:val="0"/>
        </w:trPr>
        <w:tc>
          <w:tcPr/>
          <w:p w:rsidR="00000000" w:rsidDel="00000000" w:rsidP="00000000" w:rsidRDefault="00000000" w:rsidRPr="00000000" w14:paraId="000000E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MCC</w:t>
            </w:r>
            <w:r>
              <w:rPr>
                <w:rtl w:val="0"/>
              </w:rPr>
            </w:r>
          </w:p>
        </w:tc>
        <w:tc>
          <w:tcPr/>
          <w:p w:rsidR="00000000" w:rsidDel="00000000" w:rsidP="00000000" w:rsidRDefault="00000000" w:rsidRPr="00000000" w14:paraId="000000E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0.2064 (0.105–0.298)</w:t>
            </w:r>
            <w:r>
              <w:rPr>
                <w:rtl w:val="0"/>
              </w:rPr>
            </w:r>
          </w:p>
        </w:tc>
        <w:tc>
          <w:tcPr/>
          <w:p w:rsidR="00000000" w:rsidDel="00000000" w:rsidP="00000000" w:rsidRDefault="00000000" w:rsidRPr="00000000" w14:paraId="000000E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0.2250 (0.075–0.360)</w:t>
            </w:r>
            <w:r>
              <w:rPr>
                <w:rtl w:val="0"/>
              </w:rPr>
            </w:r>
          </w:p>
        </w:tc>
        <w:tc>
          <w:tcPr/>
          <w:p w:rsidR="00000000" w:rsidDel="00000000" w:rsidP="00000000" w:rsidRDefault="00000000" w:rsidRPr="00000000" w14:paraId="000000E5">
            <w:pPr>
              <w:ind w:firstLine="0"/>
              <w:jc w:val="center"/>
              <w:rPr>
                <w:sz w:val="18"/>
                <w:szCs w:val="18"/>
              </w:rPr>
            </w:pPr>
            <w:r>
              <w:rPr>
                <w:rFonts w:ascii="Gungsuh" w:cs="Gungsuh" w:eastAsia="Gungsuh" w:hAnsi="Gungsuh"/>
                <w:b w:val="0"/>
                <w:bCs w:val="0"/>
                <w:i w:val="0"/>
                <w:iCs w:val="0"/>
                <w:sz w:val="18"/>
                <w:szCs w:val="18"/>
                <w:rtl w:val="0"/>
              </w:rPr>
              <w:t xml:space="preserve">−0.019</w:t>
            </w:r>
            <w:r>
              <w:rPr>
                <w:rtl w:val="0"/>
              </w:rPr>
            </w:r>
          </w:p>
        </w:tc>
      </w:tr>
      <w:tr>
        <w:trPr>
          <w:cantSplit/>
          <w:tblHeader w:val="0"/>
        </w:trPr>
        <w:tc>
          <w:tcPr/>
          <w:p w:rsidR="00000000" w:rsidDel="00000000" w:rsidP="00000000" w:rsidRDefault="00000000" w:rsidRPr="00000000" w14:paraId="000000E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Sensitivity (pCR)</w:t>
            </w:r>
            <w:r>
              <w:rPr>
                <w:rtl w:val="0"/>
              </w:rPr>
            </w:r>
          </w:p>
        </w:tc>
        <w:tc>
          <w:tcPr/>
          <w:p w:rsidR="00000000" w:rsidDel="00000000" w:rsidP="00000000" w:rsidRDefault="00000000" w:rsidRPr="00000000" w14:paraId="000000E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0.1333 (0.074–0.197)</w:t>
            </w:r>
            <w:r>
              <w:rPr>
                <w:rtl w:val="0"/>
              </w:rPr>
            </w:r>
          </w:p>
        </w:tc>
        <w:tc>
          <w:tcPr/>
          <w:p w:rsidR="00000000" w:rsidDel="00000000" w:rsidP="00000000" w:rsidRDefault="00000000" w:rsidRPr="00000000" w14:paraId="000000E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0.2105 (0.105–0.316)</w:t>
            </w:r>
            <w:r>
              <w:rPr>
                <w:rtl w:val="0"/>
              </w:rPr>
            </w:r>
          </w:p>
        </w:tc>
        <w:tc>
          <w:tcPr/>
          <w:p w:rsidR="00000000" w:rsidDel="00000000" w:rsidP="00000000" w:rsidRDefault="00000000" w:rsidRPr="00000000" w14:paraId="000000E9">
            <w:pPr>
              <w:ind w:firstLine="0"/>
              <w:jc w:val="center"/>
              <w:rPr>
                <w:sz w:val="18"/>
                <w:szCs w:val="18"/>
              </w:rPr>
            </w:pPr>
            <w:r>
              <w:rPr>
                <w:rFonts w:ascii="Gungsuh" w:cs="Gungsuh" w:eastAsia="Gungsuh" w:hAnsi="Gungsuh"/>
                <w:b w:val="0"/>
                <w:bCs w:val="0"/>
                <w:i w:val="0"/>
                <w:iCs w:val="0"/>
                <w:sz w:val="18"/>
                <w:szCs w:val="18"/>
                <w:rtl w:val="0"/>
              </w:rPr>
              <w:t xml:space="preserve">−0.077</w:t>
            </w:r>
            <w:r>
              <w:rPr>
                <w:rtl w:val="0"/>
              </w:rPr>
            </w:r>
          </w:p>
        </w:tc>
      </w:tr>
      <w:tr>
        <w:trPr>
          <w:cantSplit/>
          <w:tblHeader w:val="0"/>
        </w:trPr>
        <w:tc>
          <w:tcPr/>
          <w:p w:rsidR="00000000" w:rsidDel="00000000" w:rsidP="00000000" w:rsidRDefault="00000000" w:rsidRPr="00000000" w14:paraId="000000E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Specificity</w:t>
            </w:r>
            <w:r>
              <w:rPr>
                <w:rtl w:val="0"/>
              </w:rPr>
            </w:r>
          </w:p>
        </w:tc>
        <w:tc>
          <w:tcPr/>
          <w:p w:rsidR="00000000" w:rsidDel="00000000" w:rsidP="00000000" w:rsidRDefault="00000000" w:rsidRPr="00000000" w14:paraId="000000E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0.9759 (0.964–0.986)</w:t>
            </w:r>
            <w:r>
              <w:rPr>
                <w:rtl w:val="0"/>
              </w:rPr>
            </w:r>
          </w:p>
        </w:tc>
        <w:tc>
          <w:tcPr/>
          <w:p w:rsidR="00000000" w:rsidDel="00000000" w:rsidP="00000000" w:rsidRDefault="00000000" w:rsidRPr="00000000" w14:paraId="000000E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0.9478 (0.916–0.972)</w:t>
            </w:r>
            <w:r>
              <w:rPr>
                <w:rtl w:val="0"/>
              </w:rPr>
            </w:r>
          </w:p>
        </w:tc>
        <w:tc>
          <w:tcPr/>
          <w:p w:rsidR="00000000" w:rsidDel="00000000" w:rsidP="00000000" w:rsidRDefault="00000000" w:rsidRPr="00000000" w14:paraId="000000E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+0.028</w:t>
            </w:r>
            <w:r>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Pr>
          <w:rtl w:val="0"/>
        </w:rPr>
      </w:r>
    </w:p>
    <w:p w:rsidR="00000000" w:rsidDel="00000000" w:rsidP="00000000" w:rsidRDefault="00000000" w:rsidRPr="00000000" w14:paraId="000000EF">
      <w:pPr>
        <w:jc w:val="center"/>
        <w:rPr/>
      </w:pPr>
      <w:r>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Pr>
          <w:rtl w:val="0"/>
        </w:rPr>
      </w:r>
    </w:p>
    <w:p w:rsidR="00000000" w:rsidDel="00000000" w:rsidP="00000000" w:rsidRDefault="00000000" w:rsidRPr="00000000" w14:paraId="000000F0">
      <w:pPr>
        <w:rPr/>
      </w:pPr>
      <w:r>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Pr>
          <w:rtl w:val="0"/>
        </w:rPr>
      </w:r>
    </w:p>
    <w:p w:rsidR="00000000" w:rsidDel="00000000" w:rsidP="00000000" w:rsidRDefault="00000000" w:rsidRPr="00000000" w14:paraId="000000F1">
      <w:pPr>
        <w:pStyle w:val="Heading2"/>
        <w:rPr/>
      </w:pPr>
      <w:r>
        <w:rPr>
          <w:rtl w:val="0"/>
        </w:rPr>
        <w:t xml:space="preserve">Uncertainty quantification for the leakage gap</w:t>
      </w:r>
    </w:p>
    <w:p w:rsidR="00000000" w:rsidDel="00000000" w:rsidP="00000000" w:rsidRDefault="00000000" w:rsidRPr="00000000" w14:paraId="000000F2">
      <w:pPr>
        <w:rPr/>
      </w:pPr>
      <w:r>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pPr>
        <w:pStyle w:val="Heading2"/>
        <w:rPr/>
      </w:pPr>
      <w:r>
        <w:rPr>
          <w:rtl w:val="0"/>
        </w:rPr>
        <w:t xml:space="preserve">Sensitivity to the feature-selection budget (top-K sweep)</w:t>
      </w:r>
    </w:p>
    <w:p w:rsidR="00000000" w:rsidDel="00000000" w:rsidP="00000000" w:rsidRDefault="00000000" w:rsidRPr="00000000">
      <w:pPr>
        <w:rPr/>
      </w:pPr>
      <w:r>
        <w:rPr>
          <w:rFonts w:ascii="Cardo" w:cs="Cardo" w:eastAsia="Cardo" w:hAnsi="Cardo"/>
          <w:rtl w:val="0"/>
        </w:rPr>
        <w:t xml:space="preserve">To test whether the leakage gap depends on the size of the feature-selection budget, the Welch t-test selector was held fixed and the top-K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rsidR="00000000" w:rsidDel="00000000" w:rsidP="00000000" w:rsidRDefault="00000000" w:rsidRPr="00000000">
      <w:pPr>
        <w:rPr/>
      </w:pPr>
      <w:r>
        <w:rPr>
          <w:rFonts w:ascii="Times New Roman" w:cs="Times New Roman" w:eastAsia="Times New Roman" w:hAnsi="Times New Roman"/>
          <w:b w:val="0"/>
          <w:bCs w:val="0"/>
          <w:i w:val="0"/>
          <w:iCs w:val="0"/>
          <w:color w:val="000000"/>
          <w:sz w:val="24"/>
          <w:szCs w:val="24"/>
          <w:rtl w:val="0"/>
        </w:rPr>
        <w:t xml:space="preserve">Table 6</w:t>
      </w:r>
    </w:p>
    <w:p w:rsidR="00000000" w:rsidDel="00000000" w:rsidP="00000000" w:rsidRDefault="00000000" w:rsidRPr="00000000">
      <w:pPr>
        <w:rPr/>
      </w:pPr>
      <w:r>
        <w:rPr>
          <w:rFonts w:ascii="Times New Roman" w:cs="Times New Roman" w:eastAsia="Times New Roman" w:hAnsi="Times New Roman"/>
          <w:b w:val="0"/>
          <w:bCs w:val="0"/>
          <w:i w:val="1"/>
          <w:iCs w:val="1"/>
          <w:color w:val="000000"/>
          <w:sz w:val="24"/>
          <w:szCs w:val="24"/>
          <w:rtl w:val="0"/>
        </w:rPr>
        <w:t xml:space="preserve">Selector Top-K Sweep: Leakage Gap and Feature Stability on GSE25055</w:t>
      </w:r>
    </w:p>
    <w:p w:rsidR="00000000" w:rsidDel="00000000" w:rsidP="00000000" w:rsidRDefault="00000000" w:rsidRPr="00000000">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
        <w:gridCol w:w="900"/>
        <w:gridCol w:w="900"/>
        <w:gridCol w:w="760"/>
        <w:gridCol w:w="900"/>
        <w:gridCol w:w="900"/>
        <w:gridCol w:w="760"/>
        <w:gridCol w:w="820"/>
        <w:gridCol w:w="940"/>
        <w:gridCol w:w="920"/>
        <w:gridCol w:w="940"/>
      </w:tblGrid>
      <w:tr>
        <w:trPr>
          <w:cantSplit/>
          <w:tblHeader/>
        </w:trPr>
        <w:tc>
          <w:tcPr>
            <w:shd w:fill="d9eaf7" w:val="clear"/>
          </w:tcPr>
          <w:p>
            <w:pPr>
              <w:ind w:firstLine="0"/>
              <w:jc w:val="center"/>
              <w:rPr>
                <w:sz w:val="16"/>
                <w:szCs w:val="16"/>
              </w:rPr>
            </w:pPr>
            <w:r>
              <w:rPr>
                <w:b w:val="1"/>
                <w:bCs w:val="1"/>
                <w:sz w:val="16"/>
                <w:szCs w:val="16"/>
                <w:rtl w:val="0"/>
              </w:rPr>
              <w:t xml:space="preserve">K</w:t>
            </w:r>
          </w:p>
        </w:tc>
        <w:tc>
          <w:tcPr>
            <w:shd w:fill="d9eaf7" w:val="clear"/>
          </w:tcPr>
          <w:p>
            <w:pPr>
              <w:ind w:firstLine="0"/>
              <w:jc w:val="center"/>
              <w:rPr>
                <w:sz w:val="16"/>
                <w:szCs w:val="16"/>
              </w:rPr>
            </w:pPr>
            <w:r>
              <w:rPr>
                <w:b w:val="1"/>
                <w:bCs w:val="1"/>
                <w:sz w:val="16"/>
                <w:szCs w:val="16"/>
                <w:rtl w:val="0"/>
              </w:rPr>
              <w:t xml:space="preserve">Leaky AUROC</w:t>
            </w:r>
          </w:p>
        </w:tc>
        <w:tc>
          <w:tcPr>
            <w:shd w:fill="d9eaf7" w:val="clear"/>
          </w:tcPr>
          <w:p>
            <w:pPr>
              <w:ind w:firstLine="0"/>
              <w:jc w:val="center"/>
              <w:rPr>
                <w:sz w:val="16"/>
                <w:szCs w:val="16"/>
              </w:rPr>
            </w:pPr>
            <w:r>
              <w:rPr>
                <w:b w:val="1"/>
                <w:bCs w:val="1"/>
                <w:sz w:val="16"/>
                <w:szCs w:val="16"/>
                <w:rtl w:val="0"/>
              </w:rPr>
              <w:t xml:space="preserve">Guarded AUROC</w:t>
            </w:r>
          </w:p>
        </w:tc>
        <w:tc>
          <w:tcPr>
            <w:shd w:fill="d9eaf7" w:val="clear"/>
          </w:tcPr>
          <w:p>
            <w:pPr>
              <w:ind w:firstLine="0"/>
              <w:jc w:val="center"/>
              <w:rPr>
                <w:sz w:val="16"/>
                <w:szCs w:val="16"/>
              </w:rPr>
            </w:pPr>
            <w:r>
              <w:rPr>
                <w:b w:val="1"/>
                <w:bCs w:val="1"/>
                <w:sz w:val="16"/>
                <w:szCs w:val="16"/>
                <w:rtl w:val="0"/>
              </w:rPr>
              <w:t xml:space="preserve">ΔAUROC</w:t>
            </w:r>
          </w:p>
        </w:tc>
        <w:tc>
          <w:tcPr>
            <w:shd w:fill="d9eaf7" w:val="clear"/>
          </w:tcPr>
          <w:p>
            <w:pPr>
              <w:ind w:firstLine="0"/>
              <w:jc w:val="center"/>
              <w:rPr>
                <w:sz w:val="16"/>
                <w:szCs w:val="16"/>
              </w:rPr>
            </w:pPr>
            <w:r>
              <w:rPr>
                <w:b w:val="1"/>
                <w:bCs w:val="1"/>
                <w:sz w:val="16"/>
                <w:szCs w:val="16"/>
                <w:rtl w:val="0"/>
              </w:rPr>
              <w:t xml:space="preserve">Leaky PR-AUC</w:t>
            </w:r>
          </w:p>
        </w:tc>
        <w:tc>
          <w:tcPr>
            <w:shd w:fill="d9eaf7" w:val="clear"/>
          </w:tcPr>
          <w:p>
            <w:pPr>
              <w:ind w:firstLine="0"/>
              <w:jc w:val="center"/>
              <w:rPr>
                <w:sz w:val="16"/>
                <w:szCs w:val="16"/>
              </w:rPr>
            </w:pPr>
            <w:r>
              <w:rPr>
                <w:b w:val="1"/>
                <w:bCs w:val="1"/>
                <w:sz w:val="16"/>
                <w:szCs w:val="16"/>
                <w:rtl w:val="0"/>
              </w:rPr>
              <w:t xml:space="preserve">Guarded PR-AUC</w:t>
            </w:r>
          </w:p>
        </w:tc>
        <w:tc>
          <w:tcPr>
            <w:shd w:fill="d9eaf7" w:val="clear"/>
          </w:tcPr>
          <w:p>
            <w:pPr>
              <w:ind w:firstLine="0"/>
              <w:jc w:val="center"/>
              <w:rPr>
                <w:sz w:val="16"/>
                <w:szCs w:val="16"/>
              </w:rPr>
            </w:pPr>
            <w:r>
              <w:rPr>
                <w:b w:val="1"/>
                <w:bCs w:val="1"/>
                <w:sz w:val="16"/>
                <w:szCs w:val="16"/>
                <w:rtl w:val="0"/>
              </w:rPr>
              <w:t xml:space="preserve">ΔPR-AUC</w:t>
            </w:r>
          </w:p>
        </w:tc>
        <w:tc>
          <w:tcPr>
            <w:shd w:fill="d9eaf7" w:val="clear"/>
          </w:tcPr>
          <w:p>
            <w:pPr>
              <w:ind w:firstLine="0"/>
              <w:jc w:val="center"/>
              <w:rPr>
                <w:sz w:val="16"/>
                <w:szCs w:val="16"/>
              </w:rPr>
            </w:pPr>
            <w:r>
              <w:rPr>
                <w:b w:val="1"/>
                <w:bCs w:val="1"/>
                <w:sz w:val="16"/>
                <w:szCs w:val="16"/>
                <w:rtl w:val="0"/>
              </w:rPr>
              <w:t xml:space="preserve">Nogueira</w:t>
            </w:r>
          </w:p>
        </w:tc>
        <w:tc>
          <w:tcPr>
            <w:shd w:fill="d9eaf7" w:val="clear"/>
          </w:tcPr>
          <w:p>
            <w:pPr>
              <w:ind w:firstLine="0"/>
              <w:jc w:val="center"/>
              <w:rPr>
                <w:sz w:val="16"/>
                <w:szCs w:val="16"/>
              </w:rPr>
            </w:pPr>
            <w:r>
              <w:rPr>
                <w:b w:val="1"/>
                <w:bCs w:val="1"/>
                <w:sz w:val="16"/>
                <w:szCs w:val="16"/>
                <w:rtl w:val="0"/>
              </w:rPr>
              <w:t xml:space="preserve">Mean Jaccard</w:t>
            </w:r>
          </w:p>
        </w:tc>
        <w:tc>
          <w:tcPr>
            <w:shd w:fill="d9eaf7" w:val="clear"/>
          </w:tcPr>
          <w:p>
            <w:pPr>
              <w:ind w:firstLine="0"/>
              <w:jc w:val="center"/>
              <w:rPr>
                <w:sz w:val="16"/>
                <w:szCs w:val="16"/>
              </w:rPr>
            </w:pPr>
            <w:r>
              <w:rPr>
                <w:b w:val="1"/>
                <w:bCs w:val="1"/>
                <w:sz w:val="16"/>
                <w:szCs w:val="16"/>
                <w:rtl w:val="0"/>
              </w:rPr>
              <w:t xml:space="preserve">Stable core</w:t>
            </w:r>
          </w:p>
        </w:tc>
        <w:tc>
          <w:tcPr>
            <w:shd w:fill="d9eaf7" w:val="clear"/>
          </w:tcPr>
          <w:p>
            <w:pPr>
              <w:ind w:firstLine="0"/>
              <w:jc w:val="center"/>
              <w:rPr>
                <w:sz w:val="16"/>
                <w:szCs w:val="16"/>
              </w:rPr>
            </w:pPr>
            <w:r>
              <w:rPr>
                <w:b w:val="1"/>
                <w:bCs w:val="1"/>
                <w:sz w:val="16"/>
                <w:szCs w:val="16"/>
                <w:rtl w:val="0"/>
              </w:rPr>
              <w:t xml:space="preserve">Unstable tail</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0.8365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0.7197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+0.1167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0.5041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0.3340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+0.1701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0.2317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46</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50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0.8094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0.7426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+0.0668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0.4627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+0.0892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0.4448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0.2906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68</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0.7705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0.7265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+0.0440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0.4020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0.3656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+0.0363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0.5409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102</w:t>
            </w:r>
          </w:p>
        </w:tc>
      </w:tr>
      <w:tr>
        <w:trPr>
          <w:cantSplit/>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0.8198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0.7154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+0.1044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0.4572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0.6055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0.4389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77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174</w:t>
            </w:r>
          </w:p>
        </w:tc>
      </w:tr>
    </w:tbl>
    <w:p w:rsidR="00000000" w:rsidDel="00000000" w:rsidP="00000000" w:rsidRDefault="00000000" w:rsidRPr="00000000">
      <w:pPr>
        <w:rPr/>
      </w:pPr>
      <w:r>
        <w:rPr>
          <w:rFonts w:ascii="Times New Roman" w:cs="Times New Roman" w:eastAsia="Times New Roman" w:hAnsi="Times New Roman"/>
          <w:i w:val="1"/>
          <w:iCs w:val="1"/>
          <w:sz w:val="20"/>
          <w:szCs w:val="20"/>
          <w:rtl w:val="0"/>
        </w:rPr>
        <w:t xml:space="preserve">Note. </w:t>
      </w:r>
      <w:r>
        <w:rPr>
          <w:rFonts w:ascii="Times New Roman" w:cs="Times New Roman" w:eastAsia="Times New Roman" w:hAnsi="Times New Roman"/>
          <w:sz w:val="20"/>
          <w:szCs w:val="20"/>
          <w:rtl w:val="0"/>
        </w:rPr>
        <w:t xml:space="preserve">The Welch t-test selector is held fixed; only the top-K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rsidR="00000000" w:rsidDel="00000000" w:rsidP="00000000" w:rsidRDefault="00000000" w:rsidRPr="00000000" w14:paraId="000000F3">
      <w:pPr>
        <w:pStyle w:val="Heading2"/>
        <w:rPr/>
      </w:pPr>
      <w:r>
        <w:rPr>
          <w:rtl w:val="0"/>
        </w:rPr>
        <w:t xml:space="preserve">Permutation-control negative control</w:t>
      </w:r>
    </w:p>
    <w:p w:rsidR="00000000" w:rsidDel="00000000" w:rsidP="00000000" w:rsidRDefault="00000000" w:rsidRPr="00000000" w14:paraId="000000F4">
      <w:pPr>
        <w:rPr/>
      </w:pPr>
      <w:r>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r>
        <w:rPr>
          <w:rtl w:val="0"/>
        </w:rPr>
      </w:r>
    </w:p>
    <w:p w:rsidR="00000000" w:rsidDel="00000000" w:rsidP="00000000" w:rsidRDefault="00000000" w:rsidRPr="00000000" w14:paraId="000000F5">
      <w:pPr>
        <w:ind w:firstLine="0"/>
        <w:jc w:val="center"/>
        <w:rPr/>
      </w:pPr>
      <w:r>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Pr>
          <w:rtl w:val="0"/>
        </w:rPr>
      </w:r>
    </w:p>
    <w:p w:rsidR="00000000" w:rsidDel="00000000" w:rsidP="00000000" w:rsidRDefault="00000000" w:rsidRPr="00000000" w14:paraId="000000F6">
      <w:pPr>
        <w:rPr/>
      </w:pPr>
      <w:r>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Pr>
          <w:rtl w:val="0"/>
        </w:rPr>
      </w:r>
    </w:p>
    <w:p w:rsidR="00000000" w:rsidDel="00000000" w:rsidP="00000000" w:rsidRDefault="00000000" w:rsidRPr="00000000" w14:paraId="000000F7">
      <w:pPr>
        <w:rPr/>
      </w:pPr>
      <w:r>
        <w:rPr>
          <w:rFonts w:ascii="Times New Roman" w:cs="Times New Roman" w:eastAsia="Times New Roman" w:hAnsi="Times New Roman"/>
          <w:b w:val="0"/>
          <w:bCs w:val="0"/>
          <w:i w:val="0"/>
          <w:iCs w:val="0"/>
          <w:sz w:val="24"/>
          <w:szCs w:val="24"/>
          <w:rtl w:val="0"/>
        </w:rPr>
        <w:t xml:space="preserve">Table 7</w:t>
      </w:r>
      <w:r>
        <w:rPr>
          <w:rtl w:val="0"/>
        </w:rPr>
      </w:r>
    </w:p>
    <w:p w:rsidR="00000000" w:rsidDel="00000000" w:rsidP="00000000" w:rsidRDefault="00000000" w:rsidRPr="00000000" w14:paraId="000000F8">
      <w:pPr>
        <w:rPr/>
      </w:pPr>
      <w:r>
        <w:rPr>
          <w:rFonts w:ascii="Times New Roman" w:cs="Times New Roman" w:eastAsia="Times New Roman" w:hAnsi="Times New Roman"/>
          <w:b w:val="0"/>
          <w:bCs w:val="0"/>
          <w:i w:val="1"/>
          <w:iCs w:val="1"/>
          <w:sz w:val="24"/>
          <w:szCs w:val="24"/>
          <w:rtl w:val="0"/>
        </w:rPr>
        <w:t xml:space="preserve">Permutation-Control Negative Control (B = 1000), GSE25055</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tblHeader/>
        </w:trPr>
        <w:tc>
          <w:tcPr>
            <w:shd w:fill="d9eaf7" w:val="clear"/>
          </w:tcPr>
          <w:p w:rsidR="00000000" w:rsidDel="00000000" w:rsidP="00000000" w:rsidRDefault="00000000" w:rsidRPr="00000000" w14:paraId="000000F9">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Statistic</w:t>
            </w:r>
            <w:r>
              <w:rPr>
                <w:rtl w:val="0"/>
              </w:rPr>
            </w:r>
          </w:p>
        </w:tc>
        <w:tc>
          <w:tcPr>
            <w:shd w:fill="d9eaf7" w:val="clear"/>
          </w:tcPr>
          <w:p w:rsidR="00000000" w:rsidDel="00000000" w:rsidP="00000000" w:rsidRDefault="00000000" w:rsidRPr="00000000" w14:paraId="000000FA">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Observed</w:t>
            </w:r>
            <w:r>
              <w:rPr>
                <w:rtl w:val="0"/>
              </w:rPr>
            </w:r>
          </w:p>
        </w:tc>
        <w:tc>
          <w:tcPr>
            <w:shd w:fill="d9eaf7" w:val="clear"/>
          </w:tcPr>
          <w:p w:rsidR="00000000" w:rsidDel="00000000" w:rsidP="00000000" w:rsidRDefault="00000000" w:rsidRPr="00000000" w14:paraId="000000FB">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Null mean (95% range)</w:t>
            </w:r>
            <w:r>
              <w:rPr>
                <w:rtl w:val="0"/>
              </w:rPr>
            </w:r>
          </w:p>
        </w:tc>
        <w:tc>
          <w:tcPr>
            <w:shd w:fill="d9eaf7" w:val="clear"/>
          </w:tcPr>
          <w:p w:rsidR="00000000" w:rsidDel="00000000" w:rsidP="00000000" w:rsidRDefault="00000000" w:rsidRPr="00000000" w14:paraId="000000FC">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Empirical p</w:t>
            </w:r>
            <w:r>
              <w:rPr>
                <w:rtl w:val="0"/>
              </w:rPr>
            </w:r>
          </w:p>
        </w:tc>
        <w:tc>
          <w:tcPr>
            <w:shd w:fill="d9eaf7" w:val="clear"/>
          </w:tcPr>
          <w:p w:rsidR="00000000" w:rsidDel="00000000" w:rsidP="00000000" w:rsidRDefault="00000000" w:rsidRPr="00000000" w14:paraId="000000FD">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Interpretation</w:t>
            </w:r>
            <w:r>
              <w:rPr>
                <w:rtl w:val="0"/>
              </w:rPr>
            </w:r>
          </w:p>
        </w:tc>
      </w:tr>
      <w:tr>
        <w:trPr>
          <w:cantSplit/>
          <w:tblHeader w:val="0"/>
        </w:trPr>
        <w:tc>
          <w:tcPr/>
          <w:p w:rsidR="00000000" w:rsidDel="00000000" w:rsidP="00000000" w:rsidRDefault="00000000" w:rsidRPr="00000000" w14:paraId="000000F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0F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w:t>
            </w:r>
            <w:r>
              <w:rPr>
                <w:rtl w:val="0"/>
              </w:rPr>
            </w:r>
          </w:p>
        </w:tc>
        <w:tc>
          <w:tcPr/>
          <w:p w:rsidR="00000000" w:rsidDel="00000000" w:rsidP="00000000" w:rsidRDefault="00000000" w:rsidRPr="00000000" w14:paraId="0000010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0.878 (0.761–0.956)</w:t>
            </w:r>
            <w:r>
              <w:rPr>
                <w:rtl w:val="0"/>
              </w:rPr>
            </w:r>
          </w:p>
        </w:tc>
        <w:tc>
          <w:tcPr/>
          <w:p w:rsidR="00000000" w:rsidDel="00000000" w:rsidP="00000000" w:rsidRDefault="00000000" w:rsidRPr="00000000" w14:paraId="0000010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w:t>
            </w:r>
            <w:r>
              <w:rPr>
                <w:rtl w:val="0"/>
              </w:rPr>
            </w:r>
          </w:p>
        </w:tc>
        <w:tc>
          <w:tcPr/>
          <w:p w:rsidR="00000000" w:rsidDel="00000000" w:rsidP="00000000" w:rsidRDefault="00000000" w:rsidRPr="00000000" w14:paraId="0000010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null far above chance; observed lies within its own null</w:t>
            </w:r>
            <w:r>
              <w:rPr>
                <w:rtl w:val="0"/>
              </w:rPr>
            </w:r>
          </w:p>
        </w:tc>
      </w:tr>
      <w:tr>
        <w:trPr>
          <w:cantSplit/>
          <w:tblHeader w:val="0"/>
        </w:trPr>
        <w:tc>
          <w:tcPr/>
          <w:p w:rsidR="00000000" w:rsidDel="00000000" w:rsidP="00000000" w:rsidRDefault="00000000" w:rsidRPr="00000000" w14:paraId="0000010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0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w:t>
            </w:r>
            <w:r>
              <w:rPr>
                <w:rtl w:val="0"/>
              </w:rPr>
            </w:r>
          </w:p>
        </w:tc>
        <w:tc>
          <w:tcPr/>
          <w:p w:rsidR="00000000" w:rsidDel="00000000" w:rsidP="00000000" w:rsidRDefault="00000000" w:rsidRPr="00000000" w14:paraId="0000010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0.540 (0.478–0.619)</w:t>
            </w:r>
            <w:r>
              <w:rPr>
                <w:rtl w:val="0"/>
              </w:rPr>
            </w:r>
          </w:p>
        </w:tc>
        <w:tc>
          <w:tcPr/>
          <w:p w:rsidR="00000000" w:rsidDel="00000000" w:rsidP="00000000" w:rsidRDefault="00000000" w:rsidRPr="00000000" w14:paraId="0000010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0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null near chance; real-label value exceeds null</w:t>
            </w:r>
            <w:r>
              <w:rPr>
                <w:rtl w:val="0"/>
              </w:rPr>
            </w:r>
          </w:p>
        </w:tc>
      </w:tr>
      <w:tr>
        <w:trPr>
          <w:cantSplit/>
          <w:tblHeader w:val="0"/>
        </w:trPr>
        <w:tc>
          <w:tcPr/>
          <w:p w:rsidR="00000000" w:rsidDel="00000000" w:rsidP="00000000" w:rsidRDefault="00000000" w:rsidRPr="00000000" w14:paraId="0000010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PR-AUC</w:t>
            </w:r>
            <w:r>
              <w:rPr>
                <w:rtl w:val="0"/>
              </w:rPr>
            </w:r>
          </w:p>
        </w:tc>
        <w:tc>
          <w:tcPr/>
          <w:p w:rsidR="00000000" w:rsidDel="00000000" w:rsidP="00000000" w:rsidRDefault="00000000" w:rsidRPr="00000000" w14:paraId="0000010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0.402</w:t>
            </w:r>
            <w:r>
              <w:rPr>
                <w:rtl w:val="0"/>
              </w:rPr>
            </w:r>
          </w:p>
        </w:tc>
        <w:tc>
          <w:tcPr/>
          <w:p w:rsidR="00000000" w:rsidDel="00000000" w:rsidP="00000000" w:rsidRDefault="00000000" w:rsidRPr="00000000" w14:paraId="0000010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0.664 (0.413–0.861)</w:t>
            </w:r>
            <w:r>
              <w:rPr>
                <w:rtl w:val="0"/>
              </w:rPr>
            </w:r>
          </w:p>
        </w:tc>
        <w:tc>
          <w:tcPr/>
          <w:p w:rsidR="00000000" w:rsidDel="00000000" w:rsidP="00000000" w:rsidRDefault="00000000" w:rsidRPr="00000000" w14:paraId="0000010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0.98</w:t>
            </w:r>
            <w:r>
              <w:rPr>
                <w:rtl w:val="0"/>
              </w:rPr>
            </w:r>
          </w:p>
        </w:tc>
        <w:tc>
          <w:tcPr/>
          <w:p w:rsidR="00000000" w:rsidDel="00000000" w:rsidP="00000000" w:rsidRDefault="00000000" w:rsidRPr="00000000" w14:paraId="0000010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Inflated under randomized labels</w:t>
            </w:r>
            <w:r>
              <w:rPr>
                <w:rtl w:val="0"/>
              </w:rPr>
            </w:r>
          </w:p>
        </w:tc>
      </w:tr>
      <w:tr>
        <w:trPr>
          <w:cantSplit/>
          <w:tblHeader w:val="0"/>
        </w:trPr>
        <w:tc>
          <w:tcPr/>
          <w:p w:rsidR="00000000" w:rsidDel="00000000" w:rsidP="00000000" w:rsidRDefault="00000000" w:rsidRPr="00000000" w14:paraId="0000010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PR-AUC</w:t>
            </w:r>
            <w:r>
              <w:rPr>
                <w:rtl w:val="0"/>
              </w:rPr>
            </w:r>
          </w:p>
        </w:tc>
        <w:tc>
          <w:tcPr/>
          <w:p w:rsidR="00000000" w:rsidDel="00000000" w:rsidP="00000000" w:rsidRDefault="00000000" w:rsidRPr="00000000" w14:paraId="0000010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0.3656</w:t>
            </w:r>
            <w:r>
              <w:rPr>
                <w:rtl w:val="0"/>
              </w:rPr>
            </w:r>
          </w:p>
        </w:tc>
        <w:tc>
          <w:tcPr/>
          <w:p w:rsidR="00000000" w:rsidDel="00000000" w:rsidP="00000000" w:rsidRDefault="00000000" w:rsidRPr="00000000" w14:paraId="0000010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0.192 (0.147–0.261)</w:t>
            </w:r>
            <w:r>
              <w:rPr>
                <w:rtl w:val="0"/>
              </w:rPr>
            </w:r>
          </w:p>
        </w:tc>
        <w:tc>
          <w:tcPr/>
          <w:p w:rsidR="00000000" w:rsidDel="00000000" w:rsidP="00000000" w:rsidRDefault="00000000" w:rsidRPr="00000000" w14:paraId="0000011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11">
            <w:pPr>
              <w:ind w:firstLine="0"/>
              <w:jc w:val="center"/>
              <w:rPr>
                <w:sz w:val="18"/>
                <w:szCs w:val="18"/>
              </w:rPr>
            </w:pPr>
            <w:r>
              <w:rPr>
                <w:rFonts w:ascii="Gungsuh" w:cs="Gungsuh" w:eastAsia="Gungsuh" w:hAnsi="Gungsuh"/>
                <w:b w:val="0"/>
                <w:bCs w:val="0"/>
                <w:i w:val="0"/>
                <w:iCs w:val="0"/>
                <w:sz w:val="18"/>
                <w:szCs w:val="18"/>
                <w:rtl w:val="0"/>
              </w:rPr>
              <w:t xml:space="preserve">Null ≈ prevalence (0.186); real-label value exceeds null</w:t>
            </w:r>
            <w:r>
              <w:rPr>
                <w:rtl w:val="0"/>
              </w:rPr>
            </w:r>
          </w:p>
        </w:tc>
      </w:tr>
      <w:tr>
        <w:trPr>
          <w:cantSplit/>
          <w:tblHeader w:val="0"/>
        </w:trPr>
        <w:tc>
          <w:tcPr/>
          <w:p w:rsidR="00000000" w:rsidDel="00000000" w:rsidP="00000000" w:rsidRDefault="00000000" w:rsidRPr="00000000" w14:paraId="0000011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gap (AUROC)</w:t>
            </w:r>
            <w:r>
              <w:rPr>
                <w:rtl w:val="0"/>
              </w:rPr>
            </w:r>
          </w:p>
        </w:tc>
        <w:tc>
          <w:tcPr/>
          <w:p w:rsidR="00000000" w:rsidDel="00000000" w:rsidP="00000000" w:rsidRDefault="00000000" w:rsidRPr="00000000" w14:paraId="0000011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0.044</w:t>
            </w:r>
            <w:r>
              <w:rPr>
                <w:rtl w:val="0"/>
              </w:rPr>
            </w:r>
          </w:p>
        </w:tc>
        <w:tc>
          <w:tcPr/>
          <w:p w:rsidR="00000000" w:rsidDel="00000000" w:rsidP="00000000" w:rsidRDefault="00000000" w:rsidRPr="00000000" w14:paraId="0000011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0.338 (0.209–0.445)</w:t>
            </w:r>
            <w:r>
              <w:rPr>
                <w:rtl w:val="0"/>
              </w:rPr>
            </w:r>
          </w:p>
        </w:tc>
        <w:tc>
          <w:tcPr/>
          <w:p w:rsidR="00000000" w:rsidDel="00000000" w:rsidP="00000000" w:rsidRDefault="00000000" w:rsidRPr="00000000" w14:paraId="0000011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w:t>
            </w:r>
            <w:r>
              <w:rPr>
                <w:rtl w:val="0"/>
              </w:rPr>
            </w:r>
          </w:p>
        </w:tc>
        <w:tc>
          <w:tcPr/>
          <w:p w:rsidR="00000000" w:rsidDel="00000000" w:rsidP="00000000" w:rsidRDefault="00000000" w:rsidRPr="00000000" w14:paraId="0000011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Null gap is large; observed real-label gap is small</w:t>
            </w:r>
            <w:r>
              <w:rPr>
                <w:rtl w:val="0"/>
              </w:rPr>
            </w:r>
          </w:p>
        </w:tc>
      </w:tr>
    </w:tbl>
    <w:p w:rsidR="00000000" w:rsidDel="00000000" w:rsidP="00000000" w:rsidRDefault="00000000" w:rsidRPr="00000000" w14:paraId="00000117">
      <w:pPr>
        <w:rPr/>
      </w:pPr>
      <w:r>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Pr>
          <w:rtl w:val="0"/>
        </w:rPr>
      </w:r>
    </w:p>
    <w:p w:rsidR="00000000" w:rsidDel="00000000" w:rsidP="00000000" w:rsidRDefault="00000000" w:rsidRPr="00000000" w14:paraId="00000118">
      <w:pPr>
        <w:pStyle w:val="Heading2"/>
        <w:rPr/>
      </w:pPr>
      <w:r>
        <w:rPr>
          <w:rtl w:val="0"/>
        </w:rPr>
        <w:t xml:space="preserve">Seed-level robustness across 30 repeated cross-validation runs</w:t>
      </w:r>
    </w:p>
    <w:p w:rsidR="00000000" w:rsidDel="00000000" w:rsidP="00000000" w:rsidRDefault="00000000" w:rsidRPr="00000000" w14:paraId="00000119">
      <w:pPr>
        <w:rPr/>
      </w:pPr>
      <w:r>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 and summarized in Table 8.</w:t>
      </w:r>
    </w:p>
    <w:p w:rsidR="00000000" w:rsidDel="00000000" w:rsidP="00000000" w:rsidRDefault="00000000" w:rsidRPr="00000000" w14:paraId="0000011A">
      <w:pPr>
        <w:jc w:val="center"/>
        <w:rPr/>
      </w:pPr>
      <w:r>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B">
      <w:pPr>
        <w:rPr/>
      </w:pPr>
      <w:r>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Pr>
          <w:rtl w:val="0"/>
        </w:rPr>
      </w:r>
    </w:p>
    <w:p w:rsidR="00000000" w:rsidDel="00000000" w:rsidP="00000000" w:rsidRDefault="00000000" w:rsidRPr="00000000" w14:paraId="0000011C">
      <w:pPr>
        <w:jc w:val="center"/>
        <w:rPr/>
      </w:pPr>
      <w:r>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D">
      <w:pPr>
        <w:rPr/>
      </w:pPr>
      <w:r>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Pr>
          <w:rtl w:val="0"/>
        </w:rPr>
      </w:r>
    </w:p>
    <w:p w:rsidR="00000000" w:rsidDel="00000000" w:rsidP="00000000" w:rsidRDefault="00000000" w:rsidRPr="00000000" w14:paraId="0000011E">
      <w:pPr>
        <w:rPr/>
      </w:pPr>
      <w:r>
        <w:rPr>
          <w:rFonts w:ascii="Times New Roman" w:cs="Times New Roman" w:eastAsia="Times New Roman" w:hAnsi="Times New Roman"/>
          <w:b w:val="0"/>
          <w:bCs w:val="0"/>
          <w:i w:val="0"/>
          <w:iCs w:val="0"/>
          <w:sz w:val="24"/>
          <w:szCs w:val="24"/>
          <w:rtl w:val="0"/>
        </w:rPr>
        <w:t xml:space="preserve">Table 8</w:t>
      </w:r>
      <w:r>
        <w:rPr>
          <w:rtl w:val="0"/>
        </w:rPr>
      </w:r>
    </w:p>
    <w:p w:rsidR="00000000" w:rsidDel="00000000" w:rsidP="00000000" w:rsidRDefault="00000000" w:rsidRPr="00000000" w14:paraId="0000011F">
      <w:pPr>
        <w:rPr/>
      </w:pPr>
      <w:r>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Pr>
          <w:rtl w:val="0"/>
        </w:rPr>
      </w:r>
    </w:p>
    <w:p w:rsidR="00000000" w:rsidDel="00000000" w:rsidP="00000000" w:rsidRDefault="00000000" w:rsidRPr="00000000" w14:paraId="00000120">
      <w:pPr>
        <w:rPr/>
      </w:pPr>
      <w:r>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tblHeader/>
        </w:trPr>
        <w:tc>
          <w:tcPr>
            <w:shd w:fill="d9eaf7" w:val="clear"/>
          </w:tcPr>
          <w:p w:rsidR="00000000" w:rsidDel="00000000" w:rsidP="00000000" w:rsidRDefault="00000000" w:rsidRPr="00000000" w14:paraId="00000121">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Quantity</w:t>
            </w:r>
            <w:r>
              <w:rPr>
                <w:rtl w:val="0"/>
              </w:rPr>
            </w:r>
          </w:p>
        </w:tc>
        <w:tc>
          <w:tcPr>
            <w:shd w:fill="d9eaf7" w:val="clear"/>
          </w:tcPr>
          <w:p w:rsidR="00000000" w:rsidDel="00000000" w:rsidP="00000000" w:rsidRDefault="00000000" w:rsidRPr="00000000" w14:paraId="00000122">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Median</w:t>
            </w:r>
            <w:r>
              <w:rPr>
                <w:rtl w:val="0"/>
              </w:rPr>
            </w:r>
          </w:p>
        </w:tc>
        <w:tc>
          <w:tcPr>
            <w:shd w:fill="d9eaf7" w:val="clear"/>
          </w:tcPr>
          <w:p w:rsidR="00000000" w:rsidDel="00000000" w:rsidP="00000000" w:rsidRDefault="00000000" w:rsidRPr="00000000" w14:paraId="00000123">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2.5–97.5 percentile</w:t>
            </w:r>
            <w:r>
              <w:rPr>
                <w:rtl w:val="0"/>
              </w:rPr>
            </w:r>
          </w:p>
        </w:tc>
        <w:tc>
          <w:tcPr>
            <w:shd w:fill="d9eaf7" w:val="clear"/>
          </w:tcPr>
          <w:p w:rsidR="00000000" w:rsidDel="00000000" w:rsidP="00000000" w:rsidRDefault="00000000" w:rsidRPr="00000000" w14:paraId="00000124">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Notes</w:t>
            </w:r>
            <w:r>
              <w:rPr>
                <w:rtl w:val="0"/>
              </w:rPr>
            </w:r>
          </w:p>
        </w:tc>
      </w:tr>
      <w:tr>
        <w:trPr>
          <w:cantSplit/>
          <w:tblHeader w:val="0"/>
        </w:trPr>
        <w:tc>
          <w:tcPr/>
          <w:p w:rsidR="00000000" w:rsidDel="00000000" w:rsidP="00000000" w:rsidRDefault="00000000" w:rsidRPr="00000000" w14:paraId="0000012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12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0.774</w:t>
            </w:r>
            <w:r>
              <w:rPr>
                <w:rtl w:val="0"/>
              </w:rPr>
            </w:r>
          </w:p>
        </w:tc>
        <w:tc>
          <w:tcPr/>
          <w:p w:rsidR="00000000" w:rsidDel="00000000" w:rsidP="00000000" w:rsidRDefault="00000000" w:rsidRPr="00000000" w14:paraId="0000012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0.750–0.784</w:t>
            </w:r>
            <w:r>
              <w:rPr>
                <w:rtl w:val="0"/>
              </w:rPr>
            </w:r>
          </w:p>
        </w:tc>
        <w:tc>
          <w:tcPr/>
          <w:p w:rsidR="00000000" w:rsidDel="00000000" w:rsidP="00000000" w:rsidRDefault="00000000" w:rsidRPr="00000000" w14:paraId="0000012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w:t>
            </w:r>
            <w:r>
              <w:rPr>
                <w:rtl w:val="0"/>
              </w:rPr>
            </w:r>
          </w:p>
        </w:tc>
      </w:tr>
      <w:tr>
        <w:trPr>
          <w:cantSplit/>
          <w:tblHeader w:val="0"/>
        </w:trPr>
        <w:tc>
          <w:tcPr/>
          <w:p w:rsidR="00000000" w:rsidDel="00000000" w:rsidP="00000000" w:rsidRDefault="00000000" w:rsidRPr="00000000" w14:paraId="0000012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2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0.721</w:t>
            </w:r>
            <w:r>
              <w:rPr>
                <w:rtl w:val="0"/>
              </w:rPr>
            </w:r>
          </w:p>
        </w:tc>
        <w:tc>
          <w:tcPr/>
          <w:p w:rsidR="00000000" w:rsidDel="00000000" w:rsidP="00000000" w:rsidRDefault="00000000" w:rsidRPr="00000000" w14:paraId="0000012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0.674–0.777</w:t>
            </w:r>
            <w:r>
              <w:rPr>
                <w:rtl w:val="0"/>
              </w:rPr>
            </w:r>
          </w:p>
        </w:tc>
        <w:tc>
          <w:tcPr/>
          <w:p w:rsidR="00000000" w:rsidDel="00000000" w:rsidP="00000000" w:rsidRDefault="00000000" w:rsidRPr="00000000" w14:paraId="0000012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 more seed-sensitive than leaky</w:t>
            </w:r>
            <w:r>
              <w:rPr>
                <w:rtl w:val="0"/>
              </w:rPr>
            </w:r>
          </w:p>
        </w:tc>
      </w:tr>
      <w:tr>
        <w:trPr>
          <w:cantSplit/>
          <w:tblHeader w:val="0"/>
        </w:trPr>
        <w:tc>
          <w:tcPr/>
          <w:p w:rsidR="00000000" w:rsidDel="00000000" w:rsidP="00000000" w:rsidRDefault="00000000" w:rsidRPr="00000000" w14:paraId="0000012D">
            <w:pPr>
              <w:ind w:firstLine="0"/>
              <w:jc w:val="center"/>
              <w:rPr>
                <w:sz w:val="18"/>
                <w:szCs w:val="18"/>
              </w:rPr>
            </w:pPr>
            <w:r>
              <w:rPr>
                <w:rFonts w:ascii="Cardo" w:cs="Cardo" w:eastAsia="Cardo" w:hAnsi="Cardo"/>
                <w:b w:val="0"/>
                <w:bCs w:val="0"/>
                <w:i w:val="0"/>
                <w:iCs w:val="0"/>
                <w:sz w:val="18"/>
                <w:szCs w:val="18"/>
                <w:rtl w:val="0"/>
              </w:rPr>
              <w:t xml:space="preserve">ΔAUROC (leaky − guarded)</w:t>
            </w:r>
            <w:r>
              <w:rPr>
                <w:rtl w:val="0"/>
              </w:rPr>
            </w:r>
          </w:p>
        </w:tc>
        <w:tc>
          <w:tcPr/>
          <w:p w:rsidR="00000000" w:rsidDel="00000000" w:rsidP="00000000" w:rsidRDefault="00000000" w:rsidRPr="00000000" w14:paraId="0000012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0.054</w:t>
            </w:r>
            <w:r>
              <w:rPr>
                <w:rtl w:val="0"/>
              </w:rPr>
            </w:r>
          </w:p>
        </w:tc>
        <w:tc>
          <w:tcPr/>
          <w:p w:rsidR="00000000" w:rsidDel="00000000" w:rsidP="00000000" w:rsidRDefault="00000000" w:rsidRPr="00000000" w14:paraId="0000012F">
            <w:pPr>
              <w:ind w:firstLine="0"/>
              <w:jc w:val="center"/>
              <w:rPr>
                <w:sz w:val="18"/>
                <w:szCs w:val="18"/>
              </w:rPr>
            </w:pPr>
            <w:r>
              <w:rPr>
                <w:rFonts w:ascii="Gungsuh" w:cs="Gungsuh" w:eastAsia="Gungsuh" w:hAnsi="Gungsuh"/>
                <w:b w:val="0"/>
                <w:bCs w:val="0"/>
                <w:i w:val="0"/>
                <w:iCs w:val="0"/>
                <w:sz w:val="18"/>
                <w:szCs w:val="18"/>
                <w:rtl w:val="0"/>
              </w:rPr>
              <w:t xml:space="preserve">−0.007 to 0.108</w:t>
            </w:r>
            <w:r>
              <w:rPr>
                <w:rtl w:val="0"/>
              </w:rPr>
            </w:r>
          </w:p>
        </w:tc>
        <w:tc>
          <w:tcPr/>
          <w:p w:rsidR="00000000" w:rsidDel="00000000" w:rsidP="00000000" w:rsidRDefault="00000000" w:rsidRPr="00000000" w14:paraId="0000013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456, p = 4.5 × 10⁻⁶</w:t>
            </w:r>
            <w:r>
              <w:rPr>
                <w:rtl w:val="0"/>
              </w:rPr>
            </w:r>
          </w:p>
        </w:tc>
      </w:tr>
      <w:tr>
        <w:trPr>
          <w:cantSplit/>
          <w:tblHeader w:val="0"/>
        </w:trPr>
        <w:tc>
          <w:tcPr/>
          <w:p w:rsidR="00000000" w:rsidDel="00000000" w:rsidP="00000000" w:rsidRDefault="00000000" w:rsidRPr="00000000" w14:paraId="00000131">
            <w:pPr>
              <w:ind w:firstLine="0"/>
              <w:jc w:val="center"/>
              <w:rPr>
                <w:sz w:val="18"/>
                <w:szCs w:val="18"/>
              </w:rPr>
            </w:pPr>
            <w:r>
              <w:rPr>
                <w:rFonts w:ascii="Cardo" w:cs="Cardo" w:eastAsia="Cardo" w:hAnsi="Cardo"/>
                <w:b w:val="0"/>
                <w:bCs w:val="0"/>
                <w:i w:val="0"/>
                <w:iCs w:val="0"/>
                <w:sz w:val="18"/>
                <w:szCs w:val="18"/>
                <w:rtl w:val="0"/>
              </w:rPr>
              <w:t xml:space="preserve">ΔPR-AUC (leaky − guarded)</w:t>
            </w:r>
            <w:r>
              <w:rPr>
                <w:rtl w:val="0"/>
              </w:rPr>
            </w:r>
          </w:p>
        </w:tc>
        <w:tc>
          <w:tcPr/>
          <w:p w:rsidR="00000000" w:rsidDel="00000000" w:rsidP="00000000" w:rsidRDefault="00000000" w:rsidRPr="00000000" w14:paraId="0000013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0.057</w:t>
            </w:r>
            <w:r>
              <w:rPr>
                <w:rtl w:val="0"/>
              </w:rPr>
            </w:r>
          </w:p>
        </w:tc>
        <w:tc>
          <w:tcPr/>
          <w:p w:rsidR="00000000" w:rsidDel="00000000" w:rsidP="00000000" w:rsidRDefault="00000000" w:rsidRPr="00000000" w14:paraId="00000133">
            <w:pPr>
              <w:ind w:firstLine="0"/>
              <w:jc w:val="center"/>
              <w:rPr>
                <w:sz w:val="18"/>
                <w:szCs w:val="18"/>
              </w:rPr>
            </w:pPr>
            <w:r>
              <w:rPr>
                <w:rFonts w:ascii="Gungsuh" w:cs="Gungsuh" w:eastAsia="Gungsuh" w:hAnsi="Gungsuh"/>
                <w:b w:val="0"/>
                <w:bCs w:val="0"/>
                <w:i w:val="0"/>
                <w:iCs w:val="0"/>
                <w:sz w:val="18"/>
                <w:szCs w:val="18"/>
                <w:rtl w:val="0"/>
              </w:rPr>
              <w:t xml:space="preserve">−0.024 to 0.139</w:t>
            </w:r>
            <w:r>
              <w:rPr>
                <w:rtl w:val="0"/>
              </w:rPr>
            </w:r>
          </w:p>
        </w:tc>
        <w:tc>
          <w:tcPr/>
          <w:p w:rsidR="00000000" w:rsidDel="00000000" w:rsidP="00000000" w:rsidRDefault="00000000" w:rsidRPr="00000000" w14:paraId="0000013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445, p = 1.3 × 10⁻⁵</w:t>
            </w:r>
            <w:r>
              <w:rPr>
                <w:rtl w:val="0"/>
              </w:rPr>
            </w:r>
          </w:p>
        </w:tc>
      </w:tr>
      <w:tr>
        <w:trPr>
          <w:cantSplit/>
          <w:tblHeader w:val="0"/>
        </w:trPr>
        <w:tc>
          <w:tcPr/>
          <w:p w:rsidR="00000000" w:rsidDel="00000000" w:rsidP="00000000" w:rsidRDefault="00000000" w:rsidRPr="00000000" w14:paraId="0000013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Nogueira stability</w:t>
            </w:r>
            <w:r>
              <w:rPr>
                <w:rtl w:val="0"/>
              </w:rPr>
            </w:r>
          </w:p>
        </w:tc>
        <w:tc>
          <w:tcPr/>
          <w:p w:rsidR="00000000" w:rsidDel="00000000" w:rsidP="00000000" w:rsidRDefault="00000000" w:rsidRPr="00000000" w14:paraId="0000013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0.550</w:t>
            </w:r>
            <w:r>
              <w:rPr>
                <w:rtl w:val="0"/>
              </w:rPr>
            </w:r>
          </w:p>
        </w:tc>
        <w:tc>
          <w:tcPr/>
          <w:p w:rsidR="00000000" w:rsidDel="00000000" w:rsidP="00000000" w:rsidRDefault="00000000" w:rsidRPr="00000000" w14:paraId="0000013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0.490–0.595</w:t>
            </w:r>
            <w:r>
              <w:rPr>
                <w:rtl w:val="0"/>
              </w:rPr>
            </w:r>
          </w:p>
        </w:tc>
        <w:tc>
          <w:tcPr/>
          <w:p w:rsidR="00000000" w:rsidDel="00000000" w:rsidP="00000000" w:rsidRDefault="00000000" w:rsidRPr="00000000" w14:paraId="0000013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tblHeader w:val="0"/>
        </w:trPr>
        <w:tc>
          <w:tcPr/>
          <w:p w:rsidR="00000000" w:rsidDel="00000000" w:rsidP="00000000" w:rsidRDefault="00000000" w:rsidRPr="00000000" w14:paraId="0000013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Mean Jaccard overlap</w:t>
            </w:r>
            <w:r>
              <w:rPr>
                <w:rtl w:val="0"/>
              </w:rPr>
            </w:r>
          </w:p>
        </w:tc>
        <w:tc>
          <w:tcPr/>
          <w:p w:rsidR="00000000" w:rsidDel="00000000" w:rsidP="00000000" w:rsidRDefault="00000000" w:rsidRPr="00000000" w14:paraId="0000013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0.383</w:t>
            </w:r>
            <w:r>
              <w:rPr>
                <w:rtl w:val="0"/>
              </w:rPr>
            </w:r>
          </w:p>
        </w:tc>
        <w:tc>
          <w:tcPr/>
          <w:p w:rsidR="00000000" w:rsidDel="00000000" w:rsidP="00000000" w:rsidRDefault="00000000" w:rsidRPr="00000000" w14:paraId="0000013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0.328–0.428</w:t>
            </w:r>
            <w:r>
              <w:rPr>
                <w:rtl w:val="0"/>
              </w:rPr>
            </w:r>
          </w:p>
        </w:tc>
        <w:tc>
          <w:tcPr/>
          <w:p w:rsidR="00000000" w:rsidDel="00000000" w:rsidP="00000000" w:rsidRDefault="00000000" w:rsidRPr="00000000" w14:paraId="0000013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tblHeader w:val="0"/>
        </w:trPr>
        <w:tc>
          <w:tcPr/>
          <w:p w:rsidR="00000000" w:rsidDel="00000000" w:rsidP="00000000" w:rsidRDefault="00000000" w:rsidRPr="00000000" w14:paraId="0000013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Stable-core probes</w:t>
            </w:r>
            <w:r>
              <w:rPr>
                <w:rtl w:val="0"/>
              </w:rPr>
            </w:r>
          </w:p>
        </w:tc>
        <w:tc>
          <w:tcPr/>
          <w:p w:rsidR="00000000" w:rsidDel="00000000" w:rsidP="00000000" w:rsidRDefault="00000000" w:rsidRPr="00000000" w14:paraId="0000013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30</w:t>
            </w:r>
            <w:r>
              <w:rPr>
                <w:rtl w:val="0"/>
              </w:rPr>
            </w:r>
          </w:p>
        </w:tc>
        <w:tc>
          <w:tcPr/>
          <w:p w:rsidR="00000000" w:rsidDel="00000000" w:rsidP="00000000" w:rsidRDefault="00000000" w:rsidRPr="00000000" w14:paraId="0000013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23–35 (range)</w:t>
            </w:r>
            <w:r>
              <w:rPr>
                <w:rtl w:val="0"/>
              </w:rPr>
            </w:r>
          </w:p>
        </w:tc>
        <w:tc>
          <w:tcPr/>
          <w:p w:rsidR="00000000" w:rsidDel="00000000" w:rsidP="00000000" w:rsidRDefault="00000000" w:rsidRPr="00000000" w14:paraId="0000014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all five outer folds</w:t>
            </w:r>
            <w:r>
              <w:rPr>
                <w:rtl w:val="0"/>
              </w:rPr>
            </w:r>
          </w:p>
        </w:tc>
      </w:tr>
      <w:tr>
        <w:trPr>
          <w:cantSplit/>
          <w:tblHeader w:val="0"/>
        </w:trPr>
        <w:tc>
          <w:tcPr/>
          <w:p w:rsidR="00000000" w:rsidDel="00000000" w:rsidP="00000000" w:rsidRDefault="00000000" w:rsidRPr="00000000" w14:paraId="0000014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Unstable-tail probes</w:t>
            </w:r>
            <w:r>
              <w:rPr>
                <w:rtl w:val="0"/>
              </w:rPr>
            </w:r>
          </w:p>
        </w:tc>
        <w:tc>
          <w:tcPr/>
          <w:p w:rsidR="00000000" w:rsidDel="00000000" w:rsidP="00000000" w:rsidRDefault="00000000" w:rsidRPr="00000000" w14:paraId="0000014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103.5</w:t>
            </w:r>
            <w:r>
              <w:rPr>
                <w:rtl w:val="0"/>
              </w:rPr>
            </w:r>
          </w:p>
        </w:tc>
        <w:tc>
          <w:tcPr/>
          <w:p w:rsidR="00000000" w:rsidDel="00000000" w:rsidP="00000000" w:rsidRDefault="00000000" w:rsidRPr="00000000" w14:paraId="0000014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75–123 (range)</w:t>
            </w:r>
            <w:r>
              <w:rPr>
                <w:rtl w:val="0"/>
              </w:rPr>
            </w:r>
          </w:p>
        </w:tc>
        <w:tc>
          <w:tcPr/>
          <w:p w:rsidR="00000000" w:rsidDel="00000000" w:rsidP="00000000" w:rsidRDefault="00000000" w:rsidRPr="00000000" w14:paraId="0000014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only one fold</w:t>
            </w:r>
            <w:r>
              <w:rPr>
                <w:rtl w:val="0"/>
              </w:rPr>
            </w:r>
          </w:p>
        </w:tc>
      </w:tr>
    </w:tbl>
    <w:p w:rsidR="00000000" w:rsidDel="00000000" w:rsidP="00000000" w:rsidRDefault="00000000" w:rsidRPr="00000000" w14:paraId="00000145">
      <w:pPr>
        <w:rPr/>
      </w:pPr>
      <w:r>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Pr>
          <w:rtl w:val="0"/>
        </w:rPr>
      </w:r>
    </w:p>
    <w:p w:rsidR="00000000" w:rsidDel="00000000" w:rsidP="00000000" w:rsidRDefault="00000000" w:rsidRPr="00000000" w14:paraId="00000146">
      <w:pPr>
        <w:pStyle w:val="Heading2"/>
        <w:rPr/>
      </w:pPr>
      <w:r>
        <w:rPr>
          <w:b w:val="0"/>
          <w:bCs w:val="0"/>
          <w:rtl w:val="0"/>
        </w:rPr>
        <w:t xml:space="preserve">Feature-stability audit</w:t>
      </w:r>
      <w:r>
        <w:rPr>
          <w:rtl w:val="0"/>
        </w:rPr>
      </w:r>
    </w:p>
    <w:p w:rsidR="00000000" w:rsidDel="00000000" w:rsidP="00000000" w:rsidRDefault="00000000" w:rsidRPr="00000000" w14:paraId="00000147">
      <w:pPr>
        <w:rPr/>
      </w:pPr>
      <w:r>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tblHeader/>
        </w:trPr>
        <w:tc>
          <w:tcPr>
            <w:shd w:fill="d9eaf7" w:val="clear"/>
          </w:tcPr>
          <w:p w:rsidR="00000000" w:rsidDel="00000000" w:rsidP="00000000" w:rsidRDefault="00000000" w:rsidRPr="00000000" w14:paraId="0000014B">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4C">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4D">
            <w:pPr>
              <w:ind w:firstLine="0"/>
              <w:jc w:val="center"/>
              <w:rPr>
                <w:sz w:val="18"/>
                <w:szCs w:val="18"/>
              </w:rPr>
            </w:pPr>
            <w:r>
              <w:rPr>
                <w:b w:val="1"/>
                <w:bCs w:val="1"/>
                <w:sz w:val="18"/>
                <w:szCs w:val="18"/>
                <w:rtl w:val="0"/>
              </w:rPr>
              <w:t xml:space="preserve">Interpretation</w:t>
            </w:r>
            <w:r>
              <w:rPr>
                <w:rtl w:val="0"/>
              </w:rPr>
            </w:r>
          </w:p>
        </w:tc>
      </w:tr>
      <w:tr>
        <w:trPr>
          <w:cantSplit/>
          <w:tblHeader w:val="0"/>
        </w:trPr>
        <w:tc>
          <w:tcPr/>
          <w:p w:rsidR="00000000" w:rsidDel="00000000" w:rsidP="00000000" w:rsidRDefault="00000000" w:rsidRPr="00000000" w14:paraId="0000014E">
            <w:pPr>
              <w:ind w:firstLine="0"/>
              <w:jc w:val="center"/>
              <w:rPr>
                <w:sz w:val="18"/>
                <w:szCs w:val="18"/>
              </w:rPr>
            </w:pPr>
            <w:r>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Pr>
                <w:sz w:val="18"/>
                <w:szCs w:val="18"/>
                <w:rtl w:val="0"/>
              </w:rPr>
              <w:t xml:space="preserve">5</w:t>
            </w:r>
          </w:p>
        </w:tc>
        <w:tc>
          <w:tcPr/>
          <w:p w:rsidR="00000000" w:rsidDel="00000000" w:rsidP="00000000" w:rsidRDefault="00000000" w:rsidRPr="00000000" w14:paraId="00000150">
            <w:pPr>
              <w:ind w:firstLine="0"/>
              <w:jc w:val="center"/>
              <w:rPr>
                <w:sz w:val="18"/>
                <w:szCs w:val="18"/>
              </w:rPr>
            </w:pPr>
            <w:r>
              <w:rPr>
                <w:sz w:val="18"/>
                <w:szCs w:val="18"/>
                <w:rtl w:val="0"/>
              </w:rPr>
              <w:t xml:space="preserve">Pilot-scale stability estimate</w:t>
            </w:r>
          </w:p>
        </w:tc>
      </w:tr>
      <w:tr>
        <w:trPr>
          <w:cantSplit/>
          <w:tblHeader w:val="0"/>
        </w:trPr>
        <w:tc>
          <w:tcPr/>
          <w:p w:rsidR="00000000" w:rsidDel="00000000" w:rsidP="00000000" w:rsidRDefault="00000000" w:rsidRPr="00000000" w14:paraId="00000151">
            <w:pPr>
              <w:ind w:firstLine="0"/>
              <w:jc w:val="center"/>
              <w:rPr>
                <w:sz w:val="18"/>
                <w:szCs w:val="18"/>
              </w:rPr>
            </w:pPr>
            <w:r>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Pr>
                <w:sz w:val="18"/>
                <w:szCs w:val="18"/>
                <w:rtl w:val="0"/>
              </w:rPr>
              <w:t xml:space="preserve">100</w:t>
            </w:r>
          </w:p>
        </w:tc>
        <w:tc>
          <w:tcPr/>
          <w:p w:rsidR="00000000" w:rsidDel="00000000" w:rsidP="00000000" w:rsidRDefault="00000000" w:rsidRPr="00000000" w14:paraId="00000153">
            <w:pPr>
              <w:ind w:firstLine="0"/>
              <w:jc w:val="center"/>
              <w:rPr>
                <w:sz w:val="18"/>
                <w:szCs w:val="18"/>
              </w:rPr>
            </w:pPr>
            <w:r>
              <w:rPr>
                <w:sz w:val="18"/>
                <w:szCs w:val="18"/>
                <w:rtl w:val="0"/>
              </w:rPr>
              <w:t xml:space="preserve">Fixed top-K feature-selection setting</w:t>
            </w:r>
          </w:p>
        </w:tc>
      </w:tr>
      <w:tr>
        <w:trPr>
          <w:cantSplit/>
          <w:tblHeader w:val="0"/>
        </w:trPr>
        <w:tc>
          <w:tcPr/>
          <w:p w:rsidR="00000000" w:rsidDel="00000000" w:rsidP="00000000" w:rsidRDefault="00000000" w:rsidRPr="00000000" w14:paraId="00000154">
            <w:pPr>
              <w:ind w:firstLine="0"/>
              <w:jc w:val="center"/>
              <w:rPr>
                <w:sz w:val="18"/>
                <w:szCs w:val="18"/>
              </w:rPr>
            </w:pPr>
            <w:r>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Pr>
                <w:sz w:val="18"/>
                <w:szCs w:val="18"/>
                <w:rtl w:val="0"/>
              </w:rPr>
              <w:t xml:space="preserve">Probe-level GPL96 feature space</w:t>
            </w:r>
          </w:p>
        </w:tc>
      </w:tr>
      <w:tr>
        <w:trPr>
          <w:cantSplit/>
          <w:tblHeader w:val="0"/>
        </w:trPr>
        <w:tc>
          <w:tcPr/>
          <w:p w:rsidR="00000000" w:rsidDel="00000000" w:rsidP="00000000" w:rsidRDefault="00000000" w:rsidRPr="00000000" w14:paraId="00000157">
            <w:pPr>
              <w:ind w:firstLine="0"/>
              <w:jc w:val="center"/>
              <w:rPr>
                <w:sz w:val="18"/>
                <w:szCs w:val="18"/>
              </w:rPr>
            </w:pPr>
            <w:r>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Pr>
                <w:sz w:val="18"/>
                <w:szCs w:val="18"/>
                <w:rtl w:val="0"/>
              </w:rPr>
              <w:t xml:space="preserve">222</w:t>
            </w:r>
          </w:p>
        </w:tc>
        <w:tc>
          <w:tcPr/>
          <w:p w:rsidR="00000000" w:rsidDel="00000000" w:rsidP="00000000" w:rsidRDefault="00000000" w:rsidRPr="00000000" w14:paraId="00000159">
            <w:pPr>
              <w:ind w:firstLine="0"/>
              <w:jc w:val="center"/>
              <w:rPr>
                <w:sz w:val="18"/>
                <w:szCs w:val="18"/>
              </w:rPr>
            </w:pPr>
            <w:r>
              <w:rPr>
                <w:sz w:val="18"/>
                <w:szCs w:val="18"/>
                <w:rtl w:val="0"/>
              </w:rPr>
              <w:t xml:space="preserve">More features selected across folds than in any single model</w:t>
            </w:r>
          </w:p>
        </w:tc>
      </w:tr>
      <w:tr>
        <w:trPr>
          <w:cantSplit/>
          <w:tblHeader w:val="0"/>
        </w:trPr>
        <w:tc>
          <w:tcPr/>
          <w:p w:rsidR="00000000" w:rsidDel="00000000" w:rsidP="00000000" w:rsidRDefault="00000000" w:rsidRPr="00000000" w14:paraId="0000015A">
            <w:pPr>
              <w:ind w:firstLine="0"/>
              <w:jc w:val="center"/>
              <w:rPr>
                <w:sz w:val="18"/>
                <w:szCs w:val="18"/>
              </w:rPr>
            </w:pPr>
            <w:r>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Pr>
                <w:sz w:val="18"/>
                <w:szCs w:val="18"/>
                <w:rtl w:val="0"/>
              </w:rPr>
              <w:t xml:space="preserve">28</w:t>
            </w:r>
          </w:p>
        </w:tc>
        <w:tc>
          <w:tcPr/>
          <w:p w:rsidR="00000000" w:rsidDel="00000000" w:rsidP="00000000" w:rsidRDefault="00000000" w:rsidRPr="00000000" w14:paraId="0000015C">
            <w:pPr>
              <w:ind w:firstLine="0"/>
              <w:jc w:val="center"/>
              <w:rPr>
                <w:sz w:val="18"/>
                <w:szCs w:val="18"/>
              </w:rPr>
            </w:pPr>
            <w:r>
              <w:rPr>
                <w:sz w:val="18"/>
                <w:szCs w:val="18"/>
                <w:rtl w:val="0"/>
              </w:rPr>
              <w:t xml:space="preserve">Stable feature core</w:t>
            </w:r>
          </w:p>
        </w:tc>
      </w:tr>
      <w:tr>
        <w:trPr>
          <w:cantSplit/>
          <w:tblHeader w:val="0"/>
        </w:trPr>
        <w:tc>
          <w:tcPr/>
          <w:p w:rsidR="00000000" w:rsidDel="00000000" w:rsidP="00000000" w:rsidRDefault="00000000" w:rsidRPr="00000000" w14:paraId="0000015D">
            <w:pPr>
              <w:ind w:firstLine="0"/>
              <w:jc w:val="center"/>
              <w:rPr>
                <w:sz w:val="18"/>
                <w:szCs w:val="18"/>
              </w:rPr>
            </w:pPr>
            <w:r>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Pr>
                <w:sz w:val="18"/>
                <w:szCs w:val="18"/>
                <w:rtl w:val="0"/>
              </w:rPr>
              <w:t xml:space="preserve">102</w:t>
            </w:r>
          </w:p>
        </w:tc>
        <w:tc>
          <w:tcPr/>
          <w:p w:rsidR="00000000" w:rsidDel="00000000" w:rsidP="00000000" w:rsidRDefault="00000000" w:rsidRPr="00000000" w14:paraId="0000015F">
            <w:pPr>
              <w:ind w:firstLine="0"/>
              <w:jc w:val="center"/>
              <w:rPr>
                <w:sz w:val="18"/>
                <w:szCs w:val="18"/>
              </w:rPr>
            </w:pPr>
            <w:r>
              <w:rPr>
                <w:sz w:val="18"/>
                <w:szCs w:val="18"/>
                <w:rtl w:val="0"/>
              </w:rPr>
              <w:t xml:space="preserve">Large unstable tail</w:t>
            </w:r>
          </w:p>
        </w:tc>
      </w:tr>
      <w:tr>
        <w:trPr>
          <w:cantSplit/>
          <w:tblHeader w:val="0"/>
        </w:trPr>
        <w:tc>
          <w:tcPr/>
          <w:p w:rsidR="00000000" w:rsidDel="00000000" w:rsidP="00000000" w:rsidRDefault="00000000" w:rsidRPr="00000000" w14:paraId="00000160">
            <w:pPr>
              <w:ind w:firstLine="0"/>
              <w:jc w:val="center"/>
              <w:rPr>
                <w:sz w:val="18"/>
                <w:szCs w:val="18"/>
              </w:rPr>
            </w:pPr>
            <w:r>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Pr>
                <w:sz w:val="18"/>
                <w:szCs w:val="18"/>
                <w:rtl w:val="0"/>
              </w:rPr>
              <w:t xml:space="preserve">Moderate pairwise overlap</w:t>
            </w:r>
          </w:p>
        </w:tc>
      </w:tr>
      <w:tr>
        <w:trPr>
          <w:cantSplit/>
          <w:tblHeader w:val="0"/>
        </w:trPr>
        <w:tc>
          <w:tcPr/>
          <w:p w:rsidR="00000000" w:rsidDel="00000000" w:rsidP="00000000" w:rsidRDefault="00000000" w:rsidRPr="00000000" w14:paraId="00000163">
            <w:pPr>
              <w:ind w:firstLine="0"/>
              <w:jc w:val="center"/>
              <w:rPr>
                <w:sz w:val="18"/>
                <w:szCs w:val="18"/>
              </w:rPr>
            </w:pPr>
            <w:r>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Pr>
                <w:sz w:val="18"/>
                <w:szCs w:val="18"/>
                <w:rtl w:val="0"/>
              </w:rPr>
              <w:t xml:space="preserve">Moderate pairwise overlap</w:t>
            </w:r>
          </w:p>
        </w:tc>
      </w:tr>
      <w:tr>
        <w:trPr>
          <w:cantSplit/>
          <w:tblHeader w:val="0"/>
        </w:trPr>
        <w:tc>
          <w:tcPr/>
          <w:p w:rsidR="00000000" w:rsidDel="00000000" w:rsidP="00000000" w:rsidRDefault="00000000" w:rsidRPr="00000000" w14:paraId="00000166">
            <w:pPr>
              <w:ind w:firstLine="0"/>
              <w:jc w:val="center"/>
              <w:rPr>
                <w:sz w:val="18"/>
                <w:szCs w:val="18"/>
              </w:rPr>
            </w:pPr>
            <w:r>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Pr>
          <w:rtl w:val="0"/>
        </w:rPr>
      </w:r>
    </w:p>
    <w:p w:rsidR="00000000" w:rsidDel="00000000" w:rsidP="00000000" w:rsidRDefault="00000000" w:rsidRPr="00000000" w14:paraId="0000016B">
      <w:pPr>
        <w:rPr/>
      </w:pPr>
      <w:r>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Pr>
          <w:rtl w:val="0"/>
        </w:rPr>
      </w:r>
    </w:p>
    <w:p w:rsidR="00000000" w:rsidDel="00000000" w:rsidP="00000000" w:rsidRDefault="00000000" w:rsidRPr="00000000" w14:paraId="0000016C">
      <w:pPr>
        <w:pStyle w:val="Heading2"/>
        <w:rPr/>
      </w:pPr>
      <w:r>
        <w:rPr>
          <w:b w:val="0"/>
          <w:bCs w:val="0"/>
          <w:rtl w:val="0"/>
        </w:rPr>
        <w:t xml:space="preserve">External validation on GSE25065</w:t>
      </w:r>
      <w:r>
        <w:rPr>
          <w:rtl w:val="0"/>
        </w:rPr>
      </w:r>
    </w:p>
    <w:p w:rsidR="00000000" w:rsidDel="00000000" w:rsidP="00000000" w:rsidRDefault="00000000" w:rsidRPr="00000000" w14:paraId="0000016D">
      <w:pPr>
        <w:rPr/>
      </w:pPr>
      <w:r>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Pr>
          <w:rtl w:val="0"/>
        </w:rPr>
      </w:r>
    </w:p>
    <w:p w:rsidR="00000000" w:rsidDel="00000000" w:rsidP="00000000" w:rsidRDefault="00000000" w:rsidRPr="00000000" w14:paraId="00000171">
      <w:pPr>
        <w:rPr/>
      </w:pP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172">
            <w:pPr>
              <w:rPr/>
            </w:pPr>
            <w:r>
              <w:rPr>
                <w:b w:val="1"/>
                <w:bCs w:val="1"/>
                <w:sz w:val="15"/>
                <w:szCs w:val="15"/>
                <w:rtl w:val="0"/>
              </w:rPr>
              <w:t xml:space="preserve">Metric</w:t>
            </w:r>
            <w:r>
              <w:rPr>
                <w:rtl w:val="0"/>
              </w:rPr>
            </w:r>
          </w:p>
        </w:tc>
        <w:tc>
          <w:tcPr>
            <w:shd w:fill="d9eaf7" w:val="clear"/>
          </w:tcPr>
          <w:p w:rsidR="00000000" w:rsidDel="00000000" w:rsidP="00000000" w:rsidRDefault="00000000" w:rsidRPr="00000000" w14:paraId="00000173">
            <w:pPr>
              <w:rPr/>
            </w:pPr>
            <w:r>
              <w:rPr>
                <w:b w:val="1"/>
                <w:bCs w:val="1"/>
                <w:sz w:val="15"/>
                <w:szCs w:val="15"/>
                <w:rtl w:val="0"/>
              </w:rPr>
              <w:t xml:space="preserve">Guarded nested CV (GSE25055)</w:t>
            </w:r>
            <w:r>
              <w:rPr>
                <w:rtl w:val="0"/>
              </w:rPr>
            </w:r>
          </w:p>
        </w:tc>
        <w:tc>
          <w:tcPr>
            <w:shd w:fill="d9eaf7" w:val="clear"/>
          </w:tcPr>
          <w:p w:rsidR="00000000" w:rsidDel="00000000" w:rsidP="00000000" w:rsidRDefault="00000000" w:rsidRPr="00000000" w14:paraId="00000174">
            <w:pPr>
              <w:rPr/>
            </w:pPr>
            <w:r>
              <w:rPr>
                <w:b w:val="1"/>
                <w:bCs w:val="1"/>
                <w:sz w:val="15"/>
                <w:szCs w:val="15"/>
                <w:rtl w:val="0"/>
              </w:rPr>
              <w:t xml:space="preserve">External validation (GSE25065)</w:t>
            </w:r>
            <w:r>
              <w:rPr>
                <w:rtl w:val="0"/>
              </w:rPr>
            </w:r>
          </w:p>
        </w:tc>
        <w:tc>
          <w:tcPr>
            <w:shd w:fill="d9eaf7" w:val="clear"/>
          </w:tcPr>
          <w:p w:rsidR="00000000" w:rsidDel="00000000" w:rsidP="00000000" w:rsidRDefault="00000000" w:rsidRPr="00000000" w14:paraId="00000175">
            <w:pPr>
              <w:rPr/>
            </w:pPr>
            <w:r>
              <w:rPr>
                <w:b w:val="1"/>
                <w:bCs w:val="1"/>
                <w:sz w:val="15"/>
                <w:szCs w:val="15"/>
                <w:rtl w:val="0"/>
              </w:rPr>
              <w:t xml:space="preserve">External drop/change</w:t>
            </w:r>
            <w:r>
              <w:rPr>
                <w:rtl w:val="0"/>
              </w:rPr>
            </w:r>
          </w:p>
        </w:tc>
      </w:tr>
      <w:tr>
        <w:trPr>
          <w:cantSplit/>
          <w:tblHeader w:val="0"/>
        </w:trPr>
        <w:tc>
          <w:tcPr/>
          <w:p w:rsidR="00000000" w:rsidDel="00000000" w:rsidP="00000000" w:rsidRDefault="00000000" w:rsidRPr="00000000" w14:paraId="00000176">
            <w:pPr>
              <w:rPr/>
            </w:pPr>
            <w:r>
              <w:rPr>
                <w:sz w:val="15"/>
                <w:szCs w:val="15"/>
                <w:rtl w:val="0"/>
              </w:rPr>
              <w:t xml:space="preserve">AUROC</w:t>
            </w:r>
            <w:r>
              <w:rPr>
                <w:rtl w:val="0"/>
              </w:rPr>
            </w:r>
          </w:p>
        </w:tc>
        <w:tc>
          <w:tcPr/>
          <w:p w:rsidR="00000000" w:rsidDel="00000000" w:rsidP="00000000" w:rsidRDefault="00000000" w:rsidRPr="00000000" w14:paraId="00000177">
            <w:pPr>
              <w:rPr/>
            </w:pPr>
            <w:r>
              <w:rPr>
                <w:sz w:val="15"/>
                <w:szCs w:val="15"/>
                <w:rtl w:val="0"/>
              </w:rPr>
              <w:t xml:space="preserve">0.7265</w:t>
            </w:r>
            <w:r>
              <w:rPr>
                <w:rtl w:val="0"/>
              </w:rPr>
            </w:r>
          </w:p>
        </w:tc>
        <w:tc>
          <w:tcPr/>
          <w:p w:rsidR="00000000" w:rsidDel="00000000" w:rsidP="00000000" w:rsidRDefault="00000000" w:rsidRPr="00000000" w14:paraId="00000178">
            <w:pPr>
              <w:rPr/>
            </w:pPr>
            <w:r>
              <w:rPr>
                <w:sz w:val="15"/>
                <w:szCs w:val="15"/>
                <w:rtl w:val="0"/>
              </w:rPr>
              <w:t xml:space="preserve">0.6078</w:t>
            </w:r>
            <w:r>
              <w:rPr>
                <w:rtl w:val="0"/>
              </w:rPr>
            </w:r>
          </w:p>
        </w:tc>
        <w:tc>
          <w:tcPr/>
          <w:p w:rsidR="00000000" w:rsidDel="00000000" w:rsidP="00000000" w:rsidRDefault="00000000" w:rsidRPr="00000000" w14:paraId="00000179">
            <w:pPr>
              <w:rPr/>
            </w:pPr>
            <w:r>
              <w:rPr>
                <w:sz w:val="15"/>
                <w:szCs w:val="15"/>
                <w:rtl w:val="0"/>
              </w:rPr>
              <w:t xml:space="preserve">-0.1187</w:t>
            </w:r>
            <w:r>
              <w:rPr>
                <w:rtl w:val="0"/>
              </w:rPr>
            </w:r>
          </w:p>
        </w:tc>
      </w:tr>
      <w:tr>
        <w:trPr>
          <w:cantSplit/>
          <w:tblHeader w:val="0"/>
        </w:trPr>
        <w:tc>
          <w:tcPr/>
          <w:p w:rsidR="00000000" w:rsidDel="00000000" w:rsidP="00000000" w:rsidRDefault="00000000" w:rsidRPr="00000000" w14:paraId="0000017A">
            <w:pPr>
              <w:rPr/>
            </w:pPr>
            <w:r>
              <w:rPr>
                <w:sz w:val="15"/>
                <w:szCs w:val="15"/>
                <w:rtl w:val="0"/>
              </w:rPr>
              <w:t xml:space="preserve">PR-AUC</w:t>
            </w:r>
            <w:r>
              <w:rPr>
                <w:rtl w:val="0"/>
              </w:rPr>
            </w:r>
          </w:p>
        </w:tc>
        <w:tc>
          <w:tcPr/>
          <w:p w:rsidR="00000000" w:rsidDel="00000000" w:rsidP="00000000" w:rsidRDefault="00000000" w:rsidRPr="00000000" w14:paraId="0000017B">
            <w:pPr>
              <w:rPr/>
            </w:pPr>
            <w:r>
              <w:rPr>
                <w:sz w:val="15"/>
                <w:szCs w:val="15"/>
                <w:rtl w:val="0"/>
              </w:rPr>
              <w:t xml:space="preserve">0.3656</w:t>
            </w:r>
            <w:r>
              <w:rPr>
                <w:rtl w:val="0"/>
              </w:rPr>
            </w:r>
          </w:p>
        </w:tc>
        <w:tc>
          <w:tcPr/>
          <w:p w:rsidR="00000000" w:rsidDel="00000000" w:rsidP="00000000" w:rsidRDefault="00000000" w:rsidRPr="00000000" w14:paraId="0000017C">
            <w:pPr>
              <w:rPr/>
            </w:pPr>
            <w:r>
              <w:rPr>
                <w:sz w:val="15"/>
                <w:szCs w:val="15"/>
                <w:rtl w:val="0"/>
              </w:rPr>
              <w:t xml:space="preserve">0.3060</w:t>
            </w:r>
            <w:r>
              <w:rPr>
                <w:rtl w:val="0"/>
              </w:rPr>
            </w:r>
          </w:p>
        </w:tc>
        <w:tc>
          <w:tcPr/>
          <w:p w:rsidR="00000000" w:rsidDel="00000000" w:rsidP="00000000" w:rsidRDefault="00000000" w:rsidRPr="00000000" w14:paraId="0000017D">
            <w:pPr>
              <w:rPr/>
            </w:pPr>
            <w:r>
              <w:rPr>
                <w:sz w:val="15"/>
                <w:szCs w:val="15"/>
                <w:rtl w:val="0"/>
              </w:rPr>
              <w:t xml:space="preserve">-0.0596</w:t>
            </w:r>
            <w:r>
              <w:rPr>
                <w:rtl w:val="0"/>
              </w:rPr>
            </w:r>
          </w:p>
        </w:tc>
      </w:tr>
      <w:tr>
        <w:trPr>
          <w:cantSplit/>
          <w:tblHeader w:val="0"/>
        </w:trPr>
        <w:tc>
          <w:tcPr/>
          <w:p w:rsidR="00000000" w:rsidDel="00000000" w:rsidP="00000000" w:rsidRDefault="00000000" w:rsidRPr="00000000" w14:paraId="0000017E">
            <w:pPr>
              <w:rPr/>
            </w:pPr>
            <w:r>
              <w:rPr>
                <w:sz w:val="15"/>
                <w:szCs w:val="15"/>
                <w:rtl w:val="0"/>
              </w:rPr>
              <w:t xml:space="preserve">Balanced accuracy</w:t>
            </w:r>
            <w:r>
              <w:rPr>
                <w:rtl w:val="0"/>
              </w:rPr>
            </w:r>
          </w:p>
        </w:tc>
        <w:tc>
          <w:tcPr/>
          <w:p w:rsidR="00000000" w:rsidDel="00000000" w:rsidP="00000000" w:rsidRDefault="00000000" w:rsidRPr="00000000" w14:paraId="0000017F">
            <w:pPr>
              <w:rPr/>
            </w:pPr>
            <w:r>
              <w:rPr>
                <w:sz w:val="15"/>
                <w:szCs w:val="15"/>
                <w:rtl w:val="0"/>
              </w:rPr>
              <w:t xml:space="preserve">0.5792</w:t>
            </w:r>
            <w:r>
              <w:rPr>
                <w:rtl w:val="0"/>
              </w:rPr>
            </w:r>
          </w:p>
        </w:tc>
        <w:tc>
          <w:tcPr/>
          <w:p w:rsidR="00000000" w:rsidDel="00000000" w:rsidP="00000000" w:rsidRDefault="00000000" w:rsidRPr="00000000" w14:paraId="00000180">
            <w:pPr>
              <w:rPr/>
            </w:pPr>
            <w:r>
              <w:rPr>
                <w:sz w:val="15"/>
                <w:szCs w:val="15"/>
                <w:rtl w:val="0"/>
              </w:rPr>
              <w:t xml:space="preserve">0.5381</w:t>
            </w:r>
            <w:r>
              <w:rPr>
                <w:rtl w:val="0"/>
              </w:rPr>
            </w:r>
          </w:p>
        </w:tc>
        <w:tc>
          <w:tcPr/>
          <w:p w:rsidR="00000000" w:rsidDel="00000000" w:rsidP="00000000" w:rsidRDefault="00000000" w:rsidRPr="00000000" w14:paraId="00000181">
            <w:pPr>
              <w:rPr/>
            </w:pPr>
            <w:r>
              <w:rPr>
                <w:sz w:val="15"/>
                <w:szCs w:val="15"/>
                <w:rtl w:val="0"/>
              </w:rPr>
              <w:t xml:space="preserve">-0.0411</w:t>
            </w:r>
            <w:r>
              <w:rPr>
                <w:rtl w:val="0"/>
              </w:rPr>
            </w:r>
          </w:p>
        </w:tc>
      </w:tr>
      <w:tr>
        <w:trPr>
          <w:cantSplit/>
          <w:tblHeader w:val="0"/>
        </w:trPr>
        <w:tc>
          <w:tcPr/>
          <w:p w:rsidR="00000000" w:rsidDel="00000000" w:rsidP="00000000" w:rsidRDefault="00000000" w:rsidRPr="00000000" w14:paraId="00000182">
            <w:pPr>
              <w:rPr/>
            </w:pPr>
            <w:r>
              <w:rPr>
                <w:sz w:val="15"/>
                <w:szCs w:val="15"/>
                <w:rtl w:val="0"/>
              </w:rPr>
              <w:t xml:space="preserve">MCC</w:t>
            </w:r>
            <w:r>
              <w:rPr>
                <w:rtl w:val="0"/>
              </w:rPr>
            </w:r>
          </w:p>
        </w:tc>
        <w:tc>
          <w:tcPr/>
          <w:p w:rsidR="00000000" w:rsidDel="00000000" w:rsidP="00000000" w:rsidRDefault="00000000" w:rsidRPr="00000000" w14:paraId="00000183">
            <w:pPr>
              <w:rPr/>
            </w:pPr>
            <w:r>
              <w:rPr>
                <w:sz w:val="15"/>
                <w:szCs w:val="15"/>
                <w:rtl w:val="0"/>
              </w:rPr>
              <w:t xml:space="preserve">0.2250</w:t>
            </w:r>
            <w:r>
              <w:rPr>
                <w:rtl w:val="0"/>
              </w:rPr>
            </w:r>
          </w:p>
        </w:tc>
        <w:tc>
          <w:tcPr/>
          <w:p w:rsidR="00000000" w:rsidDel="00000000" w:rsidP="00000000" w:rsidRDefault="00000000" w:rsidRPr="00000000" w14:paraId="00000184">
            <w:pPr>
              <w:rPr/>
            </w:pPr>
            <w:r>
              <w:rPr>
                <w:sz w:val="15"/>
                <w:szCs w:val="15"/>
                <w:rtl w:val="0"/>
              </w:rPr>
              <w:t xml:space="preserve">0.1347</w:t>
            </w:r>
            <w:r>
              <w:rPr>
                <w:rtl w:val="0"/>
              </w:rPr>
            </w:r>
          </w:p>
        </w:tc>
        <w:tc>
          <w:tcPr/>
          <w:p w:rsidR="00000000" w:rsidDel="00000000" w:rsidP="00000000" w:rsidRDefault="00000000" w:rsidRPr="00000000" w14:paraId="00000185">
            <w:pPr>
              <w:rPr/>
            </w:pPr>
            <w:r>
              <w:rPr>
                <w:sz w:val="15"/>
                <w:szCs w:val="15"/>
                <w:rtl w:val="0"/>
              </w:rPr>
              <w:t xml:space="preserve">-0.0903</w:t>
            </w:r>
            <w:r>
              <w:rPr>
                <w:rtl w:val="0"/>
              </w:rPr>
            </w:r>
          </w:p>
        </w:tc>
      </w:tr>
      <w:tr>
        <w:trPr>
          <w:cantSplit/>
          <w:tblHeader w:val="0"/>
        </w:trPr>
        <w:tc>
          <w:tcPr/>
          <w:p w:rsidR="00000000" w:rsidDel="00000000" w:rsidP="00000000" w:rsidRDefault="00000000" w:rsidRPr="00000000" w14:paraId="00000186">
            <w:pPr>
              <w:rPr/>
            </w:pPr>
            <w:r>
              <w:rPr>
                <w:sz w:val="15"/>
                <w:szCs w:val="15"/>
                <w:rtl w:val="0"/>
              </w:rPr>
              <w:t xml:space="preserve">Sensitivity</w:t>
            </w:r>
            <w:r>
              <w:rPr>
                <w:rtl w:val="0"/>
              </w:rPr>
            </w:r>
          </w:p>
        </w:tc>
        <w:tc>
          <w:tcPr/>
          <w:p w:rsidR="00000000" w:rsidDel="00000000" w:rsidP="00000000" w:rsidRDefault="00000000" w:rsidRPr="00000000" w14:paraId="00000187">
            <w:pPr>
              <w:rPr/>
            </w:pPr>
            <w:r>
              <w:rPr>
                <w:sz w:val="15"/>
                <w:szCs w:val="15"/>
                <w:rtl w:val="0"/>
              </w:rPr>
              <w:t xml:space="preserve">0.2105</w:t>
            </w:r>
            <w:r>
              <w:rPr>
                <w:rtl w:val="0"/>
              </w:rPr>
            </w:r>
          </w:p>
        </w:tc>
        <w:tc>
          <w:tcPr/>
          <w:p w:rsidR="00000000" w:rsidDel="00000000" w:rsidP="00000000" w:rsidRDefault="00000000" w:rsidRPr="00000000" w14:paraId="00000188">
            <w:pPr>
              <w:rPr/>
            </w:pPr>
            <w:r>
              <w:rPr>
                <w:sz w:val="15"/>
                <w:szCs w:val="15"/>
                <w:rtl w:val="0"/>
              </w:rPr>
              <w:t xml:space="preserve">0.1190</w:t>
            </w:r>
            <w:r>
              <w:rPr>
                <w:rtl w:val="0"/>
              </w:rPr>
            </w:r>
          </w:p>
        </w:tc>
        <w:tc>
          <w:tcPr/>
          <w:p w:rsidR="00000000" w:rsidDel="00000000" w:rsidP="00000000" w:rsidRDefault="00000000" w:rsidRPr="00000000" w14:paraId="00000189">
            <w:pPr>
              <w:rPr/>
            </w:pPr>
            <w:r>
              <w:rPr>
                <w:sz w:val="15"/>
                <w:szCs w:val="15"/>
                <w:rtl w:val="0"/>
              </w:rPr>
              <w:t xml:space="preserve">-0.0915</w:t>
            </w:r>
            <w:r>
              <w:rPr>
                <w:rtl w:val="0"/>
              </w:rPr>
            </w:r>
          </w:p>
        </w:tc>
      </w:tr>
      <w:tr>
        <w:trPr>
          <w:cantSplit/>
          <w:tblHeader w:val="0"/>
        </w:trPr>
        <w:tc>
          <w:tcPr/>
          <w:p w:rsidR="00000000" w:rsidDel="00000000" w:rsidP="00000000" w:rsidRDefault="00000000" w:rsidRPr="00000000" w14:paraId="0000018A">
            <w:pPr>
              <w:rPr/>
            </w:pPr>
            <w:r>
              <w:rPr>
                <w:sz w:val="15"/>
                <w:szCs w:val="15"/>
                <w:rtl w:val="0"/>
              </w:rPr>
              <w:t xml:space="preserve">Specificity</w:t>
            </w:r>
            <w:r>
              <w:rPr>
                <w:rtl w:val="0"/>
              </w:rPr>
            </w:r>
          </w:p>
        </w:tc>
        <w:tc>
          <w:tcPr/>
          <w:p w:rsidR="00000000" w:rsidDel="00000000" w:rsidP="00000000" w:rsidRDefault="00000000" w:rsidRPr="00000000" w14:paraId="0000018B">
            <w:pPr>
              <w:rPr/>
            </w:pPr>
            <w:r>
              <w:rPr>
                <w:sz w:val="15"/>
                <w:szCs w:val="15"/>
                <w:rtl w:val="0"/>
              </w:rPr>
              <w:t xml:space="preserve">0.9478</w:t>
            </w:r>
            <w:r>
              <w:rPr>
                <w:rtl w:val="0"/>
              </w:rPr>
            </w:r>
          </w:p>
        </w:tc>
        <w:tc>
          <w:tcPr/>
          <w:p w:rsidR="00000000" w:rsidDel="00000000" w:rsidP="00000000" w:rsidRDefault="00000000" w:rsidRPr="00000000" w14:paraId="0000018C">
            <w:pPr>
              <w:rPr/>
            </w:pPr>
            <w:r>
              <w:rPr>
                <w:sz w:val="15"/>
                <w:szCs w:val="15"/>
                <w:rtl w:val="0"/>
              </w:rPr>
              <w:t xml:space="preserve">0.9571</w:t>
            </w:r>
            <w:r>
              <w:rPr>
                <w:rtl w:val="0"/>
              </w:rPr>
            </w:r>
          </w:p>
        </w:tc>
        <w:tc>
          <w:tcPr/>
          <w:p w:rsidR="00000000" w:rsidDel="00000000" w:rsidP="00000000" w:rsidRDefault="00000000" w:rsidRPr="00000000" w14:paraId="0000018D">
            <w:pPr>
              <w:rPr/>
            </w:pPr>
            <w:r>
              <w:rPr>
                <w:sz w:val="15"/>
                <w:szCs w:val="15"/>
                <w:rtl w:val="0"/>
              </w:rPr>
              <w:t xml:space="preserve">+0.0094</w:t>
            </w:r>
            <w:r>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F000801">
      <w:pPr>
        <w:pStyle w:val="Heading2"/>
        <w:rPr/>
      </w:pPr>
      <w:r>
        <w:rPr>
          <w:b w:val="0"/>
          <w:bCs w:val="0"/>
          <w:rtl w:val="0"/>
        </w:rPr>
        <w:t xml:space="preserve">Cross-platform transportability sensitivity on GSE41998</w:t>
      </w:r>
    </w:p>
    <w:p w:rsidR="00000000" w:rsidDel="00000000" w:rsidP="00000000" w:rsidRDefault="00000000" w:rsidRPr="00000000" w14:paraId="0F000802">
      <w:pPr>
        <w:rPr/>
      </w:pPr>
      <w:r>
        <w:rPr>
          <w:rtl w:val="0"/>
        </w:rPr>
        <w:t xml:space="preserve">To probe transportability beyond the same study family, the frozen GSE25055 model was projected onto the independent, different-platform cohort GSE41998 (GPL571) as a pre-registered sensitivity analysis. After the predeclared label rule (253 evaluable: 69 pCR, 184 RD; prevalence 0.273), the exact probe-ID intersection recovered all 100 frozen probes (coverage 1.000). Under the primary discovery-derived scaling, the frozen model achieved AUROC 0.6638, PR-AUC 0.4353, balanced accuracy 0.5697, MCC 0.1845, sensitivity 0.2319, and specificity 0.9076 (confusion matrix: 16 true positives, 53 false negatives, 167 true negatives, 17 false positives). A within-cohort, label-blind z-score adaptation, reported only as an unsupervised sensitivity variant, gave AUROC 0.6779 and PR-AUC 0.4300. Cross-platform discrimination was above chance but showed a transportability drop relative to the discovery guarded cross-validation (AUROC 0.7265), comparable to — and slightly above — the same-study-family GSE25065 result (AUROC 0.6078); minority-class sensitivity again remained low under class imbalance. This cross-platform projection is a transportability sensitivity analysis: a moderate external number is a generalization limit and supports the interpretation that leakage control and transportability are distinct; it is not evidence that leakage caused the external decline.</w:t>
      </w:r>
    </w:p>
    <w:p w:rsidR="00000000" w:rsidDel="00000000" w:rsidP="00000000" w:rsidRDefault="00000000" w:rsidRPr="00000000" w14:paraId="0F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11</w:t>
      </w:r>
    </w:p>
    <w:p w:rsidR="00000000" w:rsidDel="00000000" w:rsidP="00000000" w:rsidRDefault="00000000" w:rsidRPr="00000000" w14:paraId="0F000804">
      <w:pPr>
        <w:keepNext w:val="0"/>
        <w:keepLines w:val="0"/>
        <w:pageBreakBefore w:val="0"/>
        <w:widowControl w:val="1"/>
        <w:shd w:fill="auto" w:val="clear"/>
        <w:spacing w:after="0" w:before="0" w:line="480" w:lineRule="auto"/>
        <w:ind w:left="0" w:right="0" w:firstLine="0"/>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Cross-Platform Transportability Sensitivity on GSE41998 (Frozen GSE25055 Model)</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
      <w:tr>
        <w:trPr>
          <w:cantSplit/>
          <w:tblHeader/>
        </w:trPr>
        <w:tc>
          <w:tcPr>
            <w:shd w:fill="d9eaf7" w:val="clear"/>
          </w:tcPr>
          <w:p>
            <w:pPr>
              <w:rPr/>
            </w:pPr>
            <w:r>
              <w:rPr>
                <w:b w:val="1"/>
                <w:bCs w:val="1"/>
                <w:sz w:val="15"/>
                <w:szCs w:val="15"/>
                <w:rtl w:val="0"/>
              </w:rPr>
              <w:t xml:space="preserve">Metric</w:t>
            </w:r>
          </w:p>
        </w:tc>
        <w:tc>
          <w:tcPr>
            <w:shd w:fill="d9eaf7" w:val="clear"/>
          </w:tcPr>
          <w:p>
            <w:pPr>
              <w:rPr/>
            </w:pPr>
            <w:r>
              <w:rPr>
                <w:b w:val="1"/>
                <w:bCs w:val="1"/>
                <w:sz w:val="15"/>
                <w:szCs w:val="15"/>
                <w:rtl w:val="0"/>
              </w:rPr>
              <w:t xml:space="preserve">Discovery guarded CV (GSE25055)</w:t>
            </w:r>
          </w:p>
        </w:tc>
        <w:tc>
          <w:tcPr>
            <w:shd w:fill="d9eaf7" w:val="clear"/>
          </w:tcPr>
          <w:p>
            <w:pPr>
              <w:rPr/>
            </w:pPr>
            <w:r>
              <w:rPr>
                <w:b w:val="1"/>
                <w:bCs w:val="1"/>
                <w:sz w:val="15"/>
                <w:szCs w:val="15"/>
                <w:rtl w:val="0"/>
              </w:rPr>
              <w:t xml:space="preserve">GSE25065 (same-study-family)</w:t>
            </w:r>
          </w:p>
        </w:tc>
        <w:tc>
          <w:tcPr>
            <w:shd w:fill="d9eaf7" w:val="clear"/>
          </w:tcPr>
          <w:p>
            <w:pPr>
              <w:rPr/>
            </w:pPr>
            <w:r>
              <w:rPr>
                <w:b w:val="1"/>
                <w:bCs w:val="1"/>
                <w:sz w:val="15"/>
                <w:szCs w:val="15"/>
                <w:rtl w:val="0"/>
              </w:rPr>
              <w:t xml:space="preserve">GSE41998 (cross-platform, primary)</w:t>
            </w:r>
          </w:p>
        </w:tc>
      </w:tr>
      <w:tr>
        <w:trPr>
          <w:cantSplit/>
          <w:tblHeader w:val="0"/>
        </w:trPr>
        <w:tc>
          <w:tcPr/>
          <w:p>
            <w:pPr>
              <w:rPr/>
            </w:pPr>
            <w:r>
              <w:rPr>
                <w:sz w:val="15"/>
                <w:szCs w:val="15"/>
                <w:rtl w:val="0"/>
              </w:rPr>
              <w:t xml:space="preserve">AUROC</w:t>
            </w:r>
          </w:p>
        </w:tc>
        <w:tc>
          <w:tcPr/>
          <w:p>
            <w:pPr>
              <w:rPr/>
            </w:pPr>
            <w:r>
              <w:rPr>
                <w:sz w:val="15"/>
                <w:szCs w:val="15"/>
                <w:rtl w:val="0"/>
              </w:rPr>
              <w:t xml:space="preserve">0.7265</w:t>
            </w:r>
          </w:p>
        </w:tc>
        <w:tc>
          <w:tcPr/>
          <w:p>
            <w:pPr>
              <w:rPr/>
            </w:pPr>
            <w:r>
              <w:rPr>
                <w:sz w:val="15"/>
                <w:szCs w:val="15"/>
                <w:rtl w:val="0"/>
              </w:rPr>
              <w:t xml:space="preserve">0.6078</w:t>
            </w:r>
          </w:p>
        </w:tc>
        <w:tc>
          <w:tcPr/>
          <w:p>
            <w:pPr>
              <w:rPr/>
            </w:pPr>
            <w:r>
              <w:rPr>
                <w:sz w:val="15"/>
                <w:szCs w:val="15"/>
                <w:rtl w:val="0"/>
              </w:rPr>
              <w:t xml:space="preserve">0.6638</w:t>
            </w:r>
          </w:p>
        </w:tc>
      </w:tr>
      <w:tr>
        <w:trPr>
          <w:cantSplit/>
          <w:tblHeader w:val="0"/>
        </w:trPr>
        <w:tc>
          <w:tcPr/>
          <w:p>
            <w:pPr>
              <w:rPr/>
            </w:pPr>
            <w:r>
              <w:rPr>
                <w:sz w:val="15"/>
                <w:szCs w:val="15"/>
                <w:rtl w:val="0"/>
              </w:rPr>
              <w:t xml:space="preserve">PR-AUC</w:t>
            </w:r>
          </w:p>
        </w:tc>
        <w:tc>
          <w:tcPr/>
          <w:p>
            <w:pPr>
              <w:rPr/>
            </w:pPr>
            <w:r>
              <w:rPr>
                <w:sz w:val="15"/>
                <w:szCs w:val="15"/>
                <w:rtl w:val="0"/>
              </w:rPr>
              <w:t xml:space="preserve">0.3656</w:t>
            </w:r>
          </w:p>
        </w:tc>
        <w:tc>
          <w:tcPr/>
          <w:p>
            <w:pPr>
              <w:rPr/>
            </w:pPr>
            <w:r>
              <w:rPr>
                <w:sz w:val="15"/>
                <w:szCs w:val="15"/>
                <w:rtl w:val="0"/>
              </w:rPr>
              <w:t xml:space="preserve">0.3060</w:t>
            </w:r>
          </w:p>
        </w:tc>
        <w:tc>
          <w:tcPr/>
          <w:p>
            <w:pPr>
              <w:rPr/>
            </w:pPr>
            <w:r>
              <w:rPr>
                <w:sz w:val="15"/>
                <w:szCs w:val="15"/>
                <w:rtl w:val="0"/>
              </w:rPr>
              <w:t xml:space="preserve">0.4353</w:t>
            </w:r>
          </w:p>
        </w:tc>
      </w:tr>
      <w:tr>
        <w:trPr>
          <w:cantSplit/>
          <w:tblHeader w:val="0"/>
        </w:trPr>
        <w:tc>
          <w:tcPr/>
          <w:p>
            <w:pPr>
              <w:rPr/>
            </w:pPr>
            <w:r>
              <w:rPr>
                <w:sz w:val="15"/>
                <w:szCs w:val="15"/>
                <w:rtl w:val="0"/>
              </w:rPr>
              <w:t xml:space="preserve">Balanced accuracy</w:t>
            </w:r>
          </w:p>
        </w:tc>
        <w:tc>
          <w:tcPr/>
          <w:p>
            <w:pPr>
              <w:rPr/>
            </w:pPr>
            <w:r>
              <w:rPr>
                <w:sz w:val="15"/>
                <w:szCs w:val="15"/>
                <w:rtl w:val="0"/>
              </w:rPr>
              <w:t xml:space="preserve">0.5792</w:t>
            </w:r>
          </w:p>
        </w:tc>
        <w:tc>
          <w:tcPr/>
          <w:p>
            <w:pPr>
              <w:rPr/>
            </w:pPr>
            <w:r>
              <w:rPr>
                <w:sz w:val="15"/>
                <w:szCs w:val="15"/>
                <w:rtl w:val="0"/>
              </w:rPr>
              <w:t xml:space="preserve">0.5381</w:t>
            </w:r>
          </w:p>
        </w:tc>
        <w:tc>
          <w:tcPr/>
          <w:p>
            <w:pPr>
              <w:rPr/>
            </w:pPr>
            <w:r>
              <w:rPr>
                <w:sz w:val="15"/>
                <w:szCs w:val="15"/>
                <w:rtl w:val="0"/>
              </w:rPr>
              <w:t xml:space="preserve">0.5697</w:t>
            </w:r>
          </w:p>
        </w:tc>
      </w:tr>
      <w:tr>
        <w:trPr>
          <w:cantSplit/>
          <w:tblHeader w:val="0"/>
        </w:trPr>
        <w:tc>
          <w:tcPr/>
          <w:p>
            <w:pPr>
              <w:rPr/>
            </w:pPr>
            <w:r>
              <w:rPr>
                <w:sz w:val="15"/>
                <w:szCs w:val="15"/>
                <w:rtl w:val="0"/>
              </w:rPr>
              <w:t xml:space="preserve">MCC</w:t>
            </w:r>
          </w:p>
        </w:tc>
        <w:tc>
          <w:tcPr/>
          <w:p>
            <w:pPr>
              <w:rPr/>
            </w:pPr>
            <w:r>
              <w:rPr>
                <w:sz w:val="15"/>
                <w:szCs w:val="15"/>
                <w:rtl w:val="0"/>
              </w:rPr>
              <w:t xml:space="preserve">0.2250</w:t>
            </w:r>
          </w:p>
        </w:tc>
        <w:tc>
          <w:tcPr/>
          <w:p>
            <w:pPr>
              <w:rPr/>
            </w:pPr>
            <w:r>
              <w:rPr>
                <w:sz w:val="15"/>
                <w:szCs w:val="15"/>
                <w:rtl w:val="0"/>
              </w:rPr>
              <w:t xml:space="preserve">0.1347</w:t>
            </w:r>
          </w:p>
        </w:tc>
        <w:tc>
          <w:tcPr/>
          <w:p>
            <w:pPr>
              <w:rPr/>
            </w:pPr>
            <w:r>
              <w:rPr>
                <w:sz w:val="15"/>
                <w:szCs w:val="15"/>
                <w:rtl w:val="0"/>
              </w:rPr>
              <w:t xml:space="preserve">0.1845</w:t>
            </w:r>
          </w:p>
        </w:tc>
      </w:tr>
      <w:tr>
        <w:trPr>
          <w:cantSplit/>
          <w:tblHeader w:val="0"/>
        </w:trPr>
        <w:tc>
          <w:tcPr/>
          <w:p>
            <w:pPr>
              <w:rPr/>
            </w:pPr>
            <w:r>
              <w:rPr>
                <w:sz w:val="15"/>
                <w:szCs w:val="15"/>
                <w:rtl w:val="0"/>
              </w:rPr>
              <w:t xml:space="preserve">Sensitivity (pCR)</w:t>
            </w:r>
          </w:p>
        </w:tc>
        <w:tc>
          <w:tcPr/>
          <w:p>
            <w:pPr>
              <w:rPr/>
            </w:pPr>
            <w:r>
              <w:rPr>
                <w:sz w:val="15"/>
                <w:szCs w:val="15"/>
                <w:rtl w:val="0"/>
              </w:rPr>
              <w:t xml:space="preserve">0.2105</w:t>
            </w:r>
          </w:p>
        </w:tc>
        <w:tc>
          <w:tcPr/>
          <w:p>
            <w:pPr>
              <w:rPr/>
            </w:pPr>
            <w:r>
              <w:rPr>
                <w:sz w:val="15"/>
                <w:szCs w:val="15"/>
                <w:rtl w:val="0"/>
              </w:rPr>
              <w:t xml:space="preserve">0.1190</w:t>
            </w:r>
          </w:p>
        </w:tc>
        <w:tc>
          <w:tcPr/>
          <w:p>
            <w:pPr>
              <w:rPr/>
            </w:pPr>
            <w:r>
              <w:rPr>
                <w:sz w:val="15"/>
                <w:szCs w:val="15"/>
                <w:rtl w:val="0"/>
              </w:rPr>
              <w:t xml:space="preserve">0.2319</w:t>
            </w:r>
          </w:p>
        </w:tc>
      </w:tr>
      <w:tr>
        <w:trPr>
          <w:cantSplit/>
          <w:tblHeader w:val="0"/>
        </w:trPr>
        <w:tc>
          <w:tcPr/>
          <w:p>
            <w:pPr>
              <w:rPr/>
            </w:pPr>
            <w:r>
              <w:rPr>
                <w:sz w:val="15"/>
                <w:szCs w:val="15"/>
                <w:rtl w:val="0"/>
              </w:rPr>
              <w:t xml:space="preserve">Specificity</w:t>
            </w:r>
          </w:p>
        </w:tc>
        <w:tc>
          <w:tcPr/>
          <w:p>
            <w:pPr>
              <w:rPr/>
            </w:pPr>
            <w:r>
              <w:rPr>
                <w:sz w:val="15"/>
                <w:szCs w:val="15"/>
                <w:rtl w:val="0"/>
              </w:rPr>
              <w:t xml:space="preserve">0.9478</w:t>
            </w:r>
          </w:p>
        </w:tc>
        <w:tc>
          <w:tcPr/>
          <w:p>
            <w:pPr>
              <w:rPr/>
            </w:pPr>
            <w:r>
              <w:rPr>
                <w:sz w:val="15"/>
                <w:szCs w:val="15"/>
                <w:rtl w:val="0"/>
              </w:rPr>
              <w:t xml:space="preserve">0.9571</w:t>
            </w:r>
          </w:p>
        </w:tc>
        <w:tc>
          <w:tcPr/>
          <w:p>
            <w:pPr>
              <w:rPr/>
            </w:pPr>
            <w:r>
              <w:rPr>
                <w:sz w:val="15"/>
                <w:szCs w:val="15"/>
                <w:rtl w:val="0"/>
              </w:rPr>
              <w:t xml:space="preserve">0.9076</w:t>
            </w:r>
          </w:p>
        </w:tc>
      </w:tr>
    </w:tbl>
    <w:p w:rsidR="00000000" w:rsidDel="00000000" w:rsidP="00000000" w:rsidRDefault="00000000" w:rsidRPr="00000000" w14:paraId="0F000805">
      <w:pPr>
        <w:rPr/>
      </w:pPr>
      <w:r>
        <w:rPr>
          <w:i w:val="1"/>
          <w:iCs w:val="1"/>
          <w:sz w:val="20"/>
          <w:szCs w:val="20"/>
          <w:rtl w:val="0"/>
        </w:rPr>
        <w:t xml:space="preserve">Note. GSE41998 is an independent, different-platform (GPL571) cohort; the frozen GSE25055 model (100 probes, C = 0.25, 0.5 threshold, discovery-derived scaling) was projected once with no retuning. Evaluable N = 253 (69 pCR, 184 RD); 100 of 100 frozen probes recovered. A within-cohort z-score sensitivity variant gave AUROC 0.6779 / PR-AUC 0.4300. Cross-platform transportability sensitivity; not the main proof of leakage.</w:t>
      </w:r>
    </w:p>
    <w:p w:rsidR="00000000" w:rsidDel="00000000" w:rsidP="00000000" w:rsidRDefault="00000000" w:rsidRPr="00000000" w14:paraId="0F000806">
      <w:pPr>
        <w:jc w:val="center"/>
      </w:pPr>
      <w:r>
        <w:drawing>
          <wp:inline>
            <wp:extent cx="5943600" cy="3434080"/>
            <wp:docPr id="8" name="Picture 8"/>
            <wp:cNvGraphicFramePr>
              <a:graphicFrameLocks noChangeAspect="1"/>
            </wp:cNvGraphicFramePr>
            <a:graphic>
              <a:graphicData uri="http://schemas.openxmlformats.org/drawingml/2006/picture">
                <pic:pic>
                  <pic:nvPicPr>
                    <pic:cNvPr id="0" name="gse41998_transportability.png"/>
                    <pic:cNvPicPr/>
                  </pic:nvPicPr>
                  <pic:blipFill>
                    <a:blip r:embed="rId15"/>
                    <a:stretch>
                      <a:fillRect/>
                    </a:stretch>
                  </pic:blipFill>
                  <pic:spPr>
                    <a:xfrm>
                      <a:off x="0" y="0"/>
                      <a:ext cx="5943600" cy="3434080"/>
                    </a:xfrm>
                    <a:prstGeom prst="rect"/>
                  </pic:spPr>
                </pic:pic>
              </a:graphicData>
            </a:graphic>
          </wp:inline>
        </w:drawing>
      </w:r>
    </w:p>
    <w:p w:rsidR="00000000" w:rsidDel="00000000" w:rsidP="00000000" w:rsidRDefault="00000000" w:rsidRPr="00000000" w14:paraId="0F000807">
      <w:pPr>
        <w:rPr/>
      </w:pPr>
      <w:r>
        <w:rPr>
          <w:i w:val="1"/>
          <w:iCs w:val="1"/>
          <w:sz w:val="20"/>
          <w:szCs w:val="20"/>
          <w:rtl w:val="0"/>
        </w:rPr>
        <w:t xml:space="preserve">Figure 7. Cross-platform transportability sensitivity on GSE41998. The frozen GSE25055 model (100 probes, C = 0.25) projected onto the independent GPL571 cohort (N = 253) under discovery-derived scaling; discrimination is above chance with a transportability drop, consistent with a generalization limit rather than a leakage effect.</w:t>
      </w:r>
    </w:p>
    <w:p w:rsidR="00000000" w:rsidDel="00000000" w:rsidP="00000000" w:rsidRDefault="00000000" w:rsidRPr="00000000" w14:paraId="0000018F">
      <w:pPr>
        <w:pStyle w:val="Heading2"/>
        <w:rPr/>
      </w:pPr>
      <w:r>
        <w:rPr>
          <w:b w:val="0"/>
          <w:bCs w:val="0"/>
          <w:rtl w:val="0"/>
        </w:rPr>
        <w:t xml:space="preserve">Integrated Reproducible Omics Evidence Audit</w:t>
      </w:r>
      <w:r>
        <w:rPr>
          <w:rtl w:val="0"/>
        </w:rPr>
      </w:r>
    </w:p>
    <w:p w:rsidR="00000000" w:rsidDel="00000000" w:rsidP="00000000" w:rsidRDefault="00000000" w:rsidRPr="00000000" w14:paraId="00000190">
      <w:pPr>
        <w:rPr/>
      </w:pPr>
      <w:r>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r>
        <w:t xml:space="preserve"> These dimensions are shown together in the evidence-audit dashboard (Figure 8).</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12</w:t>
      </w:r>
      <w:r>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tblHeader/>
        </w:trPr>
        <w:tc>
          <w:tcPr>
            <w:shd w:fill="d9eaf7" w:val="clear"/>
          </w:tcPr>
          <w:p w:rsidR="00000000" w:rsidDel="00000000" w:rsidP="00000000" w:rsidRDefault="00000000" w:rsidRPr="00000000" w14:paraId="00000194">
            <w:pPr>
              <w:ind w:firstLine="0"/>
              <w:jc w:val="center"/>
              <w:rPr>
                <w:sz w:val="18"/>
                <w:szCs w:val="18"/>
              </w:rPr>
            </w:pPr>
            <w:r>
              <w:rPr>
                <w:b w:val="1"/>
                <w:bCs w:val="1"/>
                <w:sz w:val="18"/>
                <w:szCs w:val="18"/>
                <w:rtl w:val="0"/>
              </w:rPr>
              <w:t xml:space="preserve">Audit domain</w:t>
            </w:r>
            <w:r>
              <w:rPr>
                <w:rtl w:val="0"/>
              </w:rPr>
            </w:r>
          </w:p>
        </w:tc>
        <w:tc>
          <w:tcPr>
            <w:shd w:fill="d9eaf7" w:val="clear"/>
          </w:tcPr>
          <w:p w:rsidR="00000000" w:rsidDel="00000000" w:rsidP="00000000" w:rsidRDefault="00000000" w:rsidRPr="00000000" w14:paraId="00000195">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96">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97">
            <w:pPr>
              <w:ind w:firstLine="0"/>
              <w:jc w:val="center"/>
              <w:rPr>
                <w:sz w:val="18"/>
                <w:szCs w:val="18"/>
              </w:rPr>
            </w:pPr>
            <w:r>
              <w:rPr>
                <w:b w:val="1"/>
                <w:bCs w:val="1"/>
                <w:sz w:val="18"/>
                <w:szCs w:val="18"/>
                <w:rtl w:val="0"/>
              </w:rPr>
              <w:t xml:space="preserve">Interpretation</w:t>
            </w:r>
            <w:r>
              <w:rPr>
                <w:rtl w:val="0"/>
              </w:rPr>
            </w:r>
          </w:p>
        </w:tc>
      </w:tr>
      <w:tr>
        <w:trPr>
          <w:cantSplit/>
          <w:tblHeader w:val="0"/>
        </w:trPr>
        <w:tc>
          <w:tcPr/>
          <w:p w:rsidR="00000000" w:rsidDel="00000000" w:rsidP="00000000" w:rsidRDefault="00000000" w:rsidRPr="00000000" w14:paraId="00000198">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Pr>
                <w:sz w:val="18"/>
                <w:szCs w:val="18"/>
                <w:rtl w:val="0"/>
              </w:rPr>
              <w:t xml:space="preserve">Discovery cohort is labeled and same-platform.</w:t>
            </w:r>
          </w:p>
        </w:tc>
      </w:tr>
      <w:tr>
        <w:trPr>
          <w:cantSplit/>
          <w:tblHeader w:val="0"/>
        </w:trPr>
        <w:tc>
          <w:tcPr/>
          <w:p w:rsidR="00000000" w:rsidDel="00000000" w:rsidP="00000000" w:rsidRDefault="00000000" w:rsidRPr="00000000" w14:paraId="0000019C">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Pr>
                <w:sz w:val="18"/>
                <w:szCs w:val="18"/>
                <w:rtl w:val="0"/>
              </w:rPr>
              <w:t xml:space="preserve">Same-platform, same-study-family validation cohort is non-overlapping.</w:t>
            </w:r>
          </w:p>
        </w:tc>
      </w:tr>
      <w:tr>
        <w:trPr>
          <w:cantSplit/>
          <w:tblHeader w:val="0"/>
        </w:trPr>
        <w:tc>
          <w:tcPr/>
          <w:p w:rsidR="00000000" w:rsidDel="00000000" w:rsidP="00000000" w:rsidRDefault="00000000" w:rsidRPr="00000000" w14:paraId="000001A0">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Pr>
                <w:sz w:val="18"/>
                <w:szCs w:val="18"/>
                <w:rtl w:val="0"/>
              </w:rPr>
              <w:t xml:space="preserve">Global feature selection can inflate apparent discrimination; single-cohort gap CI includes zero (Table 5).</w:t>
            </w:r>
          </w:p>
        </w:tc>
      </w:tr>
      <w:tr>
        <w:trPr>
          <w:cantSplit/>
          <w:tblHeader w:val="0"/>
        </w:trPr>
        <w:tc>
          <w:tcPr/>
          <w:p w:rsidR="00000000" w:rsidDel="00000000" w:rsidP="00000000" w:rsidRDefault="00000000" w:rsidRPr="00000000" w14:paraId="000001A4">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Pr>
                <w:sz w:val="18"/>
                <w:szCs w:val="18"/>
                <w:rtl w:val="0"/>
              </w:rPr>
              <w:t xml:space="preserve">Leakage can also raise minority-class (PR-AUC) ranking; single-cohort gap CI includes zero.</w:t>
            </w:r>
          </w:p>
        </w:tc>
      </w:tr>
      <w:tr>
        <w:trPr>
          <w:cantSplit/>
          <w:tblHeader w:val="0"/>
        </w:trPr>
        <w:tc>
          <w:tcPr/>
          <w:p w:rsidR="00000000" w:rsidDel="00000000" w:rsidP="00000000" w:rsidRDefault="00000000" w:rsidRPr="00000000" w14:paraId="000001A8">
            <w:pPr>
              <w:ind w:firstLine="0"/>
              <w:jc w:val="center"/>
              <w:rPr>
                <w:sz w:val="18"/>
                <w:szCs w:val="18"/>
              </w:rPr>
            </w:pPr>
            <w:r>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Pr>
                <w:sz w:val="18"/>
                <w:szCs w:val="18"/>
                <w:rtl w:val="0"/>
              </w:rPr>
              <w:t xml:space="preserve">Operating-point metrics vary under class imbalance and should be interpreted cautiously.</w:t>
            </w:r>
          </w:p>
        </w:tc>
      </w:tr>
      <w:tr>
        <w:trPr>
          <w:cantSplit/>
          <w:tblHeader w:val="0"/>
        </w:trPr>
        <w:tc>
          <w:tcPr/>
          <w:p w:rsidR="00000000" w:rsidDel="00000000" w:rsidP="00000000" w:rsidRDefault="00000000" w:rsidRPr="00000000" w14:paraId="000001AC">
            <w:pPr>
              <w:ind w:firstLine="0"/>
              <w:jc w:val="center"/>
              <w:rPr>
                <w:sz w:val="18"/>
                <w:szCs w:val="18"/>
              </w:rPr>
            </w:pPr>
            <w:r>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Pr>
                <w:sz w:val="18"/>
                <w:szCs w:val="18"/>
                <w:rtl w:val="0"/>
              </w:rPr>
              <w:t xml:space="preserve">Moderate stability with stable core and unstable tail.</w:t>
            </w:r>
          </w:p>
        </w:tc>
      </w:tr>
      <w:tr>
        <w:trPr>
          <w:cantSplit/>
          <w:tblHeader w:val="0"/>
        </w:trPr>
        <w:tc>
          <w:tcPr/>
          <w:p w:rsidR="00000000" w:rsidDel="00000000" w:rsidP="00000000" w:rsidRDefault="00000000" w:rsidRPr="00000000" w14:paraId="000001B0">
            <w:pPr>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Pr>
                <w:sz w:val="18"/>
                <w:szCs w:val="18"/>
                <w:rtl w:val="0"/>
              </w:rPr>
              <w:t xml:space="preserve">Same-study-family validation shows a transportability drop; broader external transportability remains untested.</w:t>
            </w:r>
          </w:p>
        </w:tc>
      </w:tr>
      <w:tr>
        <w:trPr>
          <w:cantSplit/>
          <w:tblHeader w:val="0"/>
        </w:trPr>
        <w:tc>
          <w:tcPr/>
          <w:p w:rsidR="00000000" w:rsidDel="00000000" w:rsidP="00000000" w:rsidRDefault="00000000" w:rsidRPr="00000000" w14:paraId="0F0001BA">
            <w:pPr>
              <w:ind w:firstLine="0"/>
              <w:jc w:val="center"/>
              <w:rPr>
                <w:sz w:val="18"/>
                <w:szCs w:val="18"/>
              </w:rPr>
            </w:pPr>
            <w:r>
              <w:rPr>
                <w:sz w:val="18"/>
                <w:szCs w:val="18"/>
                <w:rtl w:val="0"/>
              </w:rPr>
              <w:t xml:space="preserve">Cross-platform transportability</w:t>
            </w:r>
          </w:p>
        </w:tc>
        <w:tc>
          <w:tcPr/>
          <w:p w:rsidR="00000000" w:rsidDel="00000000" w:rsidP="00000000" w:rsidRDefault="00000000" w:rsidRPr="00000000" w14:paraId="0F0001BB">
            <w:pPr>
              <w:ind w:firstLine="0"/>
              <w:jc w:val="center"/>
              <w:rPr>
                <w:sz w:val="18"/>
                <w:szCs w:val="18"/>
              </w:rPr>
            </w:pPr>
            <w:r>
              <w:rPr>
                <w:sz w:val="18"/>
                <w:szCs w:val="18"/>
                <w:rtl w:val="0"/>
              </w:rPr>
              <w:t xml:space="preserve">GSE41998 AUROC / PR-AUC</w:t>
            </w:r>
          </w:p>
        </w:tc>
        <w:tc>
          <w:tcPr/>
          <w:p w:rsidR="00000000" w:rsidDel="00000000" w:rsidP="00000000" w:rsidRDefault="00000000" w:rsidRPr="00000000" w14:paraId="0F0001BC">
            <w:pPr>
              <w:ind w:firstLine="0"/>
              <w:jc w:val="center"/>
              <w:rPr>
                <w:sz w:val="18"/>
                <w:szCs w:val="18"/>
              </w:rPr>
            </w:pPr>
            <w:r>
              <w:rPr>
                <w:sz w:val="18"/>
                <w:szCs w:val="18"/>
                <w:rtl w:val="0"/>
              </w:rPr>
              <w:t xml:space="preserve">0.6638 / 0.4353</w:t>
            </w:r>
          </w:p>
        </w:tc>
        <w:tc>
          <w:tcPr/>
          <w:p w:rsidR="00000000" w:rsidDel="00000000" w:rsidP="00000000" w:rsidRDefault="00000000" w:rsidRPr="00000000" w14:paraId="0F0001BD">
            <w:pPr>
              <w:ind w:firstLine="0"/>
              <w:jc w:val="center"/>
              <w:rPr>
                <w:sz w:val="18"/>
                <w:szCs w:val="18"/>
              </w:rPr>
            </w:pPr>
            <w:r>
              <w:rPr>
                <w:sz w:val="18"/>
                <w:szCs w:val="18"/>
                <w:rtl w:val="0"/>
              </w:rPr>
              <w:t xml:space="preserve">Independent different-platform (GPL571) cohort; N = 253; 100 of 100 frozen probes recovered; above chance with a transportability drop. Sensitivity analysis, not proof of leakage.</w:t>
            </w:r>
          </w:p>
        </w:tc>
      </w:tr>
      <w:tr>
        <w:trPr>
          <w:cantSplit/>
          <w:tblHeader w:val="0"/>
        </w:trPr>
        <w:tc>
          <w:tcPr/>
          <w:p w:rsidR="00000000" w:rsidDel="00000000" w:rsidP="00000000" w:rsidRDefault="00000000" w:rsidRPr="00000000" w14:paraId="000001B4">
            <w:pPr>
              <w:ind w:firstLine="0"/>
              <w:jc w:val="center"/>
              <w:rPr>
                <w:sz w:val="18"/>
                <w:szCs w:val="18"/>
              </w:rPr>
            </w:pPr>
            <w:r>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Pr>
                <w:sz w:val="18"/>
                <w:szCs w:val="18"/>
                <w:rtl w:val="0"/>
              </w:rPr>
              <w:t xml:space="preserve">High specificity but low pCR sensitivity.</w:t>
            </w:r>
          </w:p>
        </w:tc>
      </w:tr>
      <w:tr>
        <w:trPr>
          <w:cantSplit/>
          <w:tblHeader w:val="0"/>
        </w:trPr>
        <w:tc>
          <w:tcPr/>
          <w:p w:rsidR="00000000" w:rsidDel="00000000" w:rsidP="00000000" w:rsidRDefault="00000000" w:rsidRPr="00000000" w14:paraId="000001B8">
            <w:pPr>
              <w:ind w:firstLine="0"/>
              <w:jc w:val="center"/>
              <w:rPr>
                <w:sz w:val="18"/>
                <w:szCs w:val="18"/>
              </w:rPr>
            </w:pPr>
            <w:r>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Pr>
                <w:sz w:val="18"/>
                <w:szCs w:val="18"/>
                <w:rtl w:val="0"/>
              </w:rPr>
              <w:t xml:space="preserve">Pipeline is reproducible from repository artifacts.</w:t>
            </w:r>
          </w:p>
        </w:tc>
      </w:tr>
      <w:tr>
        <w:trPr>
          <w:cantSplit/>
          <w:tblHeader w:val="0"/>
        </w:trPr>
        <w:tc>
          <w:tcPr/>
          <w:p w:rsidR="00000000" w:rsidDel="00000000" w:rsidP="00000000" w:rsidRDefault="00000000" w:rsidRPr="00000000" w14:paraId="000001BC">
            <w:pPr>
              <w:ind w:firstLine="0"/>
              <w:jc w:val="center"/>
              <w:rPr>
                <w:sz w:val="18"/>
                <w:szCs w:val="18"/>
              </w:rPr>
            </w:pPr>
            <w:r>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Pr>
                <w:sz w:val="18"/>
                <w:szCs w:val="18"/>
                <w:rtl w:val="0"/>
              </w:rPr>
              <w:t xml:space="preserve">Findings are methodological and require further validation.</w:t>
            </w:r>
          </w:p>
        </w:tc>
      </w:tr>
      <w:tr>
        <w:trPr>
          <w:cantSplit/>
          <w:tblHeader w:val="0"/>
        </w:trPr>
        <w:tc>
          <w:tcPr/>
          <w:p w:rsidR="00000000" w:rsidDel="00000000" w:rsidP="00000000" w:rsidRDefault="00000000" w:rsidRPr="00000000" w14:paraId="000001C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Internal leakage gap, ΔAUROC (95% CI)</w:t>
            </w:r>
            <w:r>
              <w:rPr>
                <w:rtl w:val="0"/>
              </w:rPr>
            </w:r>
          </w:p>
        </w:tc>
        <w:tc>
          <w:tcPr/>
          <w:p w:rsidR="00000000" w:rsidDel="00000000" w:rsidP="00000000" w:rsidRDefault="00000000" w:rsidRPr="00000000" w14:paraId="000001C2">
            <w:pPr>
              <w:ind w:firstLine="0"/>
              <w:jc w:val="center"/>
              <w:rPr>
                <w:sz w:val="18"/>
                <w:szCs w:val="18"/>
              </w:rPr>
            </w:pPr>
            <w:r>
              <w:rPr>
                <w:rFonts w:ascii="Gungsuh" w:cs="Gungsuh" w:eastAsia="Gungsuh" w:hAnsi="Gungsuh"/>
                <w:b w:val="0"/>
                <w:bCs w:val="0"/>
                <w:i w:val="0"/>
                <w:iCs w:val="0"/>
                <w:sz w:val="18"/>
                <w:szCs w:val="18"/>
                <w:rtl w:val="0"/>
              </w:rPr>
              <w:t xml:space="preserve">+0.044 (−0.013 to +0.103)</w:t>
            </w:r>
            <w:r>
              <w:rPr>
                <w:rtl w:val="0"/>
              </w:rPr>
            </w:r>
          </w:p>
        </w:tc>
        <w:tc>
          <w:tcPr/>
          <w:p w:rsidR="00000000" w:rsidDel="00000000" w:rsidP="00000000" w:rsidRDefault="00000000" w:rsidRPr="00000000" w14:paraId="000001C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but CI includes zero in one cohort</w:t>
            </w:r>
            <w:r>
              <w:rPr>
                <w:rtl w:val="0"/>
              </w:rPr>
            </w:r>
          </w:p>
        </w:tc>
      </w:tr>
      <w:tr>
        <w:trPr>
          <w:cantSplit/>
          <w:tblHeader w:val="0"/>
        </w:trPr>
        <w:tc>
          <w:tcPr/>
          <w:p w:rsidR="00000000" w:rsidDel="00000000" w:rsidP="00000000" w:rsidRDefault="00000000" w:rsidRPr="00000000" w14:paraId="000001C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Permutation control, leaky null AUROC</w:t>
            </w:r>
            <w:r>
              <w:rPr>
                <w:rtl w:val="0"/>
              </w:rPr>
            </w:r>
          </w:p>
        </w:tc>
        <w:tc>
          <w:tcPr/>
          <w:p w:rsidR="00000000" w:rsidDel="00000000" w:rsidP="00000000" w:rsidRDefault="00000000" w:rsidRPr="00000000" w14:paraId="000001C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0.88 (all permutations &gt; chance)</w:t>
            </w:r>
            <w:r>
              <w:rPr>
                <w:rtl w:val="0"/>
              </w:rPr>
            </w:r>
          </w:p>
        </w:tc>
        <w:tc>
          <w:tcPr/>
          <w:p w:rsidR="00000000" w:rsidDel="00000000" w:rsidP="00000000" w:rsidRDefault="00000000" w:rsidRPr="00000000" w14:paraId="000001C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Diagnostic of leakage artifact; guarded null near chance</w:t>
            </w:r>
            <w:r>
              <w:rPr>
                <w:rtl w:val="0"/>
              </w:rPr>
            </w:r>
          </w:p>
        </w:tc>
      </w:tr>
      <w:tr>
        <w:trPr>
          <w:cantSplit/>
          <w:tblHeader w:val="0"/>
        </w:trPr>
        <w:tc>
          <w:tcPr/>
          <w:p w:rsidR="00000000" w:rsidDel="00000000" w:rsidP="00000000" w:rsidRDefault="00000000" w:rsidRPr="00000000" w14:paraId="000001C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Reproducibility</w:t>
            </w:r>
            <w:r>
              <w:rPr>
                <w:rtl w:val="0"/>
              </w:rPr>
            </w:r>
          </w:p>
        </w:tc>
        <w:tc>
          <w:tcPr/>
          <w:p w:rsidR="00000000" w:rsidDel="00000000" w:rsidP="00000000" w:rsidRDefault="00000000" w:rsidRPr="00000000" w14:paraId="000001C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Seed robustness, ΔAUROC (27/30 seeds)</w:t>
            </w:r>
            <w:r>
              <w:rPr>
                <w:rtl w:val="0"/>
              </w:rPr>
            </w:r>
          </w:p>
        </w:tc>
        <w:tc>
          <w:tcPr/>
          <w:p w:rsidR="00000000" w:rsidDel="00000000" w:rsidP="00000000" w:rsidRDefault="00000000" w:rsidRPr="00000000" w14:paraId="000001C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median +0.054; Wilcoxon p &lt; 0.001</w:t>
            </w:r>
            <w:r>
              <w:rPr>
                <w:rtl w:val="0"/>
              </w:rPr>
            </w:r>
          </w:p>
        </w:tc>
        <w:tc>
          <w:tcPr/>
          <w:p w:rsidR="00000000" w:rsidDel="00000000" w:rsidP="00000000" w:rsidRDefault="00000000" w:rsidRPr="00000000" w14:paraId="000001C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Modest but reproducible across folds</w:t>
            </w:r>
            <w:r>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5943600" cy="3266758"/>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5943600" cy="3266758"/>
                    </a:xfrm>
                    <a:prstGeom prst="rect"/>
                  </pic:spPr>
                </pic:pic>
              </a:graphicData>
            </a:graphic>
          </wp:inline>
        </w:drawing>
      </w:r>
    </w:p>
    <w:p>
      <w:r>
        <w:rPr>
          <w:i/>
          <w:sz w:val="20"/>
        </w:rPr>
        <w:t>Figure 8.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Pr>
          <w:rtl w:val="0"/>
        </w:rPr>
        <w:t xml:space="preserve">Discussion</w:t>
      </w:r>
    </w:p>
    <w:p w:rsidR="00000000" w:rsidDel="00000000" w:rsidP="00000000" w:rsidRDefault="00000000" w:rsidRPr="00000000" w14:paraId="000001CE">
      <w:pPr>
        <w:pStyle w:val="Heading2"/>
        <w:rPr/>
      </w:pPr>
      <w:r>
        <w:rPr>
          <w:rtl w:val="0"/>
        </w:rPr>
        <w:t xml:space="preserve">Principal findings</w:t>
      </w:r>
    </w:p>
    <w:p w:rsidR="00000000" w:rsidDel="00000000" w:rsidP="00000000" w:rsidRDefault="00000000" w:rsidRPr="00000000" w14:paraId="000001CF">
      <w:pPr>
        <w:rPr/>
      </w:pPr>
      <w:r>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two external projections showed transportability drops distinct from internal leakage: the same-study-family GSE25065 cohort (AUROC 0.6078) and, as a pre-registered cross-platform sensitivity analysis, the independent, different-platform GSE41998 cohort (AUROC 0.6638), where discrimination remained above chance. These five quantities answer different questions: the internal gap is a within-cohort magnitude, the permutation control is a mechanism demonstration, the repeated-CV result is fold-level reproducibility, the same-study-family drop is a within-family generalization limit, and the cross-platform drop is a between-platform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r>
        <w:rPr>
          <w:rtl w:val="0"/>
        </w:rPr>
      </w:r>
    </w:p>
    <w:p w:rsidR="00000000" w:rsidDel="00000000" w:rsidP="00000000" w:rsidRDefault="00000000" w:rsidRPr="00000000" w14:paraId="000001D0">
      <w:pPr>
        <w:pStyle w:val="Heading2"/>
        <w:rPr/>
      </w:pPr>
      <w:r>
        <w:rPr>
          <w:rtl w:val="0"/>
        </w:rPr>
        <w:t xml:space="preserve">Why leakage-aware validation changes biomarker interpretation</w:t>
      </w:r>
    </w:p>
    <w:p w:rsidR="00000000" w:rsidDel="00000000" w:rsidP="00000000" w:rsidRDefault="00000000" w:rsidRPr="00000000" w14:paraId="000001D1">
      <w:pPr>
        <w:rPr/>
      </w:pPr>
      <w:r>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r>
        <w:rPr>
          <w:rtl w:val="0"/>
        </w:rPr>
      </w:r>
    </w:p>
    <w:p w:rsidR="00000000" w:rsidDel="00000000" w:rsidP="00000000" w:rsidRDefault="00000000" w:rsidRPr="00000000" w14:paraId="000001D2">
      <w:pPr>
        <w:pStyle w:val="Heading2"/>
        <w:rPr/>
      </w:pPr>
      <w:r>
        <w:rPr>
          <w:rtl w:val="0"/>
        </w:rPr>
        <w:t xml:space="preserve">Feature stability versus predictive performance</w:t>
      </w:r>
    </w:p>
    <w:p w:rsidR="00000000" w:rsidDel="00000000" w:rsidP="00000000" w:rsidRDefault="00000000" w:rsidRPr="00000000" w14:paraId="000001D3">
      <w:pPr>
        <w:rPr/>
      </w:pPr>
      <w:r>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Pr>
          <w:rtl w:val="0"/>
        </w:rPr>
      </w:r>
    </w:p>
    <w:p w:rsidR="00000000" w:rsidDel="00000000" w:rsidP="00000000" w:rsidRDefault="00000000" w:rsidRPr="00000000" w14:paraId="000001D4">
      <w:pPr>
        <w:pStyle w:val="Heading2"/>
        <w:rPr/>
      </w:pPr>
      <w:r>
        <w:rPr>
          <w:rtl w:val="0"/>
        </w:rPr>
        <w:t xml:space="preserve">Relation to existing tools and literature</w:t>
      </w:r>
    </w:p>
    <w:p w:rsidR="00000000" w:rsidDel="00000000" w:rsidP="00000000" w:rsidRDefault="00000000" w:rsidRPr="00000000" w14:paraId="000001D5">
      <w:pPr>
        <w:rPr/>
      </w:pPr>
      <w:r>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Pr>
          <w:rtl w:val="0"/>
        </w:rPr>
        <w:t xml:space="preserve">Limitations</w:t>
      </w:r>
    </w:p>
    <w:p w:rsidR="00000000" w:rsidDel="00000000" w:rsidP="00000000" w:rsidRDefault="00000000" w:rsidRPr="00000000" w14:paraId="000001E0">
      <w:pPr>
        <w:rPr/>
      </w:pPr>
      <w:r>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cross-platform generalization was assessed only by the single GSE41998 sensitivity analysis and otherwise remains limited. GSE41998 was evaluated as a pre-registered cross-platform transportability sensitivity analysis; it is an independent, different-platform (GPL571) cohort from a different trial with treatment-regimen heterogeneity (an AC-then-ixabepilone-or-paclitaxel regimen versus the discovery taxane–anthracycline cohorts), so its moderate external performance reflects platform and case-mix differences and should be read as a transportability limit rather than a leakage effect. GSE20194 and GSE20271 were held because of patient-overlap risk. The analysis used a single primary feature selector (varied only in budget through the top-K sweep) and a linear SVM configuration, and pCR sensitivity remained low under both pipelines; whether the leakage and stability behaviour generalizes across selector families and model classes remains untested. No prospective clinical, mechanistic, or wet-lab validation was performed; recurrent probes should be interpreted as stability-ranked candidates for future review, not as clinically validated biomarkers.</w:t>
      </w:r>
      <w:r>
        <w:rPr>
          <w:rtl w:val="0"/>
        </w:rPr>
      </w:r>
    </w:p>
    <w:p w:rsidR="00000000" w:rsidDel="00000000" w:rsidP="00000000" w:rsidRDefault="00000000" w:rsidRPr="00000000" w14:paraId="000001E1">
      <w:pPr>
        <w:pStyle w:val="Heading2"/>
        <w:rPr/>
      </w:pPr>
      <w:r>
        <w:rPr>
          <w:rtl w:val="0"/>
        </w:rPr>
        <w:t xml:space="preserve">Future work</w:t>
      </w:r>
    </w:p>
    <w:p w:rsidR="00000000" w:rsidDel="00000000" w:rsidP="00000000" w:rsidRDefault="00000000" w:rsidRPr="00000000" w14:paraId="000001E2">
      <w:pPr>
        <w:rPr/>
      </w:pPr>
      <w:r>
        <w:rPr>
          <w:rtl w:val="0"/>
        </w:rPr>
        <w:t xml:space="preserve">Future work may extend the framework to RNA-seq, multi-omics integration, survival endpoints, other cancer types, and automated evidence-dossier systems for biomarker and therapeutic-target claims.</w:t>
      </w:r>
      <w:r>
        <w:rPr>
          <w:rFonts w:ascii="Times New Roman" w:cs="Times New Roman" w:eastAsia="Times New Roman" w:hAnsi="Times New Roman"/>
          <w:b w:val="0"/>
          <w:bCs w:val="0"/>
          <w:i w:val="0"/>
          <w:iCs w:val="0"/>
          <w:sz w:val="24"/>
          <w:szCs w:val="24"/>
          <w:rtl w:val="0"/>
        </w:rPr>
        <w:t xml:space="preserve"> Additional feature selectors and classifiers remain natural sensitivity analyses, and broader multi-cohort, multi-platform external validation would further test transportability.</w:t>
      </w:r>
      <w:r>
        <w:rPr>
          <w:rtl w:val="0"/>
        </w:rPr>
      </w:r>
      <w:r>
        <w:t xml:space="preserve"> The feature-budget (top-K) sweep and the leakage-safe cross-platform GSE41998 validation have been completed and are reported above (Tables 6 and 11; Figure 7). One pre-specified robustness extension remains, to be reported once executed under its frozen, pre-registered protocol: an elastic-net comparator to test whether the leakage and stability behaviour is specific to the SVM model class.</w:t>
      </w:r>
    </w:p>
    <w:p w:rsidR="00000000" w:rsidDel="00000000" w:rsidP="00000000" w:rsidRDefault="00000000" w:rsidRPr="00000000" w14:paraId="000001E3">
      <w:pPr>
        <w:pStyle w:val="Heading1"/>
        <w:rPr/>
      </w:pPr>
      <w:r>
        <w:rPr>
          <w:rtl w:val="0"/>
        </w:rPr>
        <w:t xml:space="preserve">Conclusion</w:t>
      </w:r>
    </w:p>
    <w:p w:rsidR="00000000" w:rsidDel="00000000" w:rsidP="00000000" w:rsidRDefault="00000000" w:rsidRPr="00000000" w14:paraId="000001E4">
      <w:pPr>
        <w:rPr/>
      </w:pPr>
      <w:r>
        <w:rPr>
          <w:rtl w:val="0"/>
        </w:rPr>
        <w:t xml:space="preserve">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Pr>
          <w:rtl w:val="0"/>
        </w:rPr>
        <w:t xml:space="preserve">List of Abbreviations</w:t>
      </w:r>
    </w:p>
    <w:p w:rsidR="00000000" w:rsidDel="00000000" w:rsidP="00000000" w:rsidRDefault="00000000" w:rsidRPr="00000000" w14:paraId="000001E6">
      <w:pPr>
        <w:rPr/>
      </w:pPr>
      <w:r>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tblHeader/>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Pr>
                <w:rtl w:val="0"/>
              </w:rPr>
            </w:r>
          </w:p>
        </w:tc>
      </w:tr>
      <w:tr>
        <w:trPr>
          <w:cantSplit/>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Pr>
          <w:rtl w:val="0"/>
        </w:rPr>
        <w:t xml:space="preserve">Declarations</w:t>
      </w:r>
    </w:p>
    <w:p w:rsidR="00000000" w:rsidDel="00000000" w:rsidP="00000000" w:rsidRDefault="00000000" w:rsidRPr="00000000" w14:paraId="00000202">
      <w:pPr>
        <w:pStyle w:val="Heading2"/>
        <w:rPr/>
      </w:pPr>
      <w:r>
        <w:rPr>
          <w:rtl w:val="0"/>
        </w:rPr>
        <w:t xml:space="preserve">Ethics approval and consent to participate</w:t>
      </w:r>
    </w:p>
    <w:p w:rsidR="00000000" w:rsidDel="00000000" w:rsidP="00000000" w:rsidRDefault="00000000" w:rsidRPr="00000000" w14:paraId="00000203">
      <w:pPr>
        <w:rPr/>
      </w:pPr>
      <w:r>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Pr>
          <w:rtl w:val="0"/>
        </w:rPr>
        <w:t xml:space="preserve">Consent for publication</w:t>
      </w:r>
    </w:p>
    <w:p w:rsidR="00000000" w:rsidDel="00000000" w:rsidP="00000000" w:rsidRDefault="00000000" w:rsidRPr="00000000" w14:paraId="00000205">
      <w:pPr>
        <w:rPr/>
      </w:pPr>
      <w:r>
        <w:rPr>
          <w:rtl w:val="0"/>
        </w:rPr>
        <w:t xml:space="preserve">Not applicable.</w:t>
      </w:r>
    </w:p>
    <w:p w:rsidR="00000000" w:rsidDel="00000000" w:rsidP="00000000" w:rsidRDefault="00000000" w:rsidRPr="00000000" w14:paraId="00000206">
      <w:pPr>
        <w:pStyle w:val="Heading2"/>
        <w:rPr/>
      </w:pPr>
      <w:r>
        <w:rPr>
          <w:rtl w:val="0"/>
        </w:rPr>
        <w:t xml:space="preserve">Availability of data and materials</w:t>
      </w:r>
    </w:p>
    <w:p w:rsidR="00000000" w:rsidDel="00000000" w:rsidP="00000000" w:rsidRDefault="00000000" w:rsidRPr="00000000" w14:paraId="00000207">
      <w:pPr>
        <w:rPr/>
      </w:pPr>
      <w:r>
        <w:rPr>
          <w:rtl w:val="0"/>
        </w:rPr>
        <w:t xml:space="preserve">All public datasets are cited by accession number. The associated code, fold assignments, random seeds, selected-feature lists, and analysis outputs are available in the project GitHub repository, with a frozen, Zenodo-DOI-archivable release.</w:t>
      </w:r>
    </w:p>
    <w:p w:rsidR="00000000" w:rsidDel="00000000" w:rsidP="00000000" w:rsidRDefault="00000000" w:rsidRPr="00000000" w14:paraId="00000208">
      <w:pPr>
        <w:pStyle w:val="Heading2"/>
        <w:rPr/>
      </w:pPr>
      <w:r>
        <w:rPr>
          <w:rtl w:val="0"/>
        </w:rPr>
        <w:t xml:space="preserve">Competing interests</w:t>
      </w:r>
    </w:p>
    <w:p w:rsidR="00000000" w:rsidDel="00000000" w:rsidP="00000000" w:rsidRDefault="00000000" w:rsidRPr="00000000" w14:paraId="00000209">
      <w:pPr>
        <w:rPr/>
      </w:pPr>
      <w:r>
        <w:rPr>
          <w:rtl w:val="0"/>
        </w:rPr>
        <w:t xml:space="preserve">Competing interests will be declared by all authors prior to submission.</w:t>
      </w:r>
    </w:p>
    <w:p w:rsidR="00000000" w:rsidDel="00000000" w:rsidP="00000000" w:rsidRDefault="00000000" w:rsidRPr="00000000" w14:paraId="0000020A">
      <w:pPr>
        <w:pStyle w:val="Heading2"/>
        <w:rPr/>
      </w:pPr>
      <w:r>
        <w:rPr>
          <w:rtl w:val="0"/>
        </w:rPr>
        <w:t xml:space="preserve">Funding</w:t>
      </w:r>
    </w:p>
    <w:p w:rsidR="00000000" w:rsidDel="00000000" w:rsidP="00000000" w:rsidRDefault="00000000" w:rsidRPr="00000000" w14:paraId="0000020B">
      <w:pPr>
        <w:rPr/>
      </w:pPr>
      <w:r>
        <w:rPr>
          <w:rtl w:val="0"/>
        </w:rPr>
        <w:t xml:space="preserve">Funding sources will be declared prior to submission.</w:t>
      </w:r>
    </w:p>
    <w:p w:rsidR="00000000" w:rsidDel="00000000" w:rsidP="00000000" w:rsidRDefault="00000000" w:rsidRPr="00000000" w14:paraId="0000020C">
      <w:pPr>
        <w:pStyle w:val="Heading2"/>
        <w:rPr/>
      </w:pPr>
      <w:r>
        <w:rPr>
          <w:rtl w:val="0"/>
        </w:rPr>
        <w:t xml:space="preserve">Authors’ contributions</w:t>
      </w:r>
    </w:p>
    <w:p w:rsidR="00000000" w:rsidDel="00000000" w:rsidP="00000000" w:rsidRDefault="00000000" w:rsidRPr="00000000" w14:paraId="0000020D">
      <w:pPr>
        <w:rPr/>
      </w:pPr>
      <w:r>
        <w:rPr>
          <w:rtl w:val="0"/>
        </w:rPr>
        <w:t xml:space="preserve">Author contributions will be finalized prior to submission.</w:t>
      </w:r>
    </w:p>
    <w:p w:rsidR="00000000" w:rsidDel="00000000" w:rsidP="00000000" w:rsidRDefault="00000000" w:rsidRPr="00000000" w14:paraId="0000020E">
      <w:pPr>
        <w:pStyle w:val="Heading2"/>
        <w:rPr/>
      </w:pPr>
      <w:r>
        <w:rPr>
          <w:rtl w:val="0"/>
        </w:rPr>
        <w:t xml:space="preserve">Acknowledgements</w:t>
      </w:r>
    </w:p>
    <w:p w:rsidR="00000000" w:rsidDel="00000000" w:rsidP="00000000" w:rsidRDefault="00000000" w:rsidRPr="00000000" w14:paraId="0000020F">
      <w:pPr>
        <w:rPr/>
      </w:pPr>
      <w:r>
        <w:rPr>
          <w:rtl w:val="0"/>
        </w:rPr>
        <w:t xml:space="preserve">Acknowledgements will be added prior to submission.</w:t>
      </w:r>
    </w:p>
    <w:p w:rsidR="00000000" w:rsidDel="00000000" w:rsidP="00000000" w:rsidRDefault="00000000" w:rsidRPr="00000000" w14:paraId="00000210">
      <w:pPr>
        <w:pStyle w:val="Heading1"/>
        <w:rPr/>
      </w:pPr>
      <w:r>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