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Pr>
          <w:rFonts w:ascii="Times New Roman" w:cs="Times New Roman" w:eastAsia="Times New Roman" w:hAnsi="Times New Roman"/>
          <w:b w:val="1"/>
          <w:bCs w:val="1"/>
          <w:i w:val="0"/>
          <w:iCs w:val="0"/>
          <w:smallCaps w:val="0"/>
          <w:strike w:val="0"/>
          <w:color w:val="000000"/>
          <w:sz w:val="28"/>
          <w:szCs w:val="28"/>
          <w:u w:val="none"/>
          <w:vertAlign w:val="baseline"/>
          <w:rtl w:val="0"/>
        </w:rPr>
        <w:t>A Reproducible Audit of Data Leakage, Feature Stability, and Transportability in Transcriptomic Biomarker Classification</w:t>
      </w:r>
      <w:r>
        <w:rPr>
          <w:rtl w:val="0"/>
        </w:rPr>
      </w:r>
    </w:p>
    <w:p w:rsidR="00000000" w:rsidDel="00000000" w:rsidP="00000000" w:rsidRDefault="00000000" w:rsidRPr="00000000" w14:paraId="00000002">
      <w:pPr>
        <w:spacing w:line="480" w:lineRule="auto"/>
        <w:ind w:firstLine="0"/>
        <w:jc w:val="center"/>
        <w:rPr/>
      </w:pPr>
      <w:r>
        <w:rPr>
          <w:rFonts w:ascii="Times New Roman" w:cs="Times New Roman" w:eastAsia="Times New Roman" w:hAnsi="Times New Roman"/>
          <w:sz w:val="24"/>
          <w:szCs w:val="24"/>
          <w:rtl w:val="0"/>
        </w:rPr>
        <w:t xml:space="preserve">Iris Yang</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Wing-Keung Wong</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Paul Tan</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Chung-I Huang</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 Jewel Wang</w:t>
      </w:r>
      <w:r>
        <w:rPr>
          <w:rFonts w:ascii="Times New Roman" w:cs="Times New Roman" w:eastAsia="Times New Roman" w:hAnsi="Times New Roman"/>
          <w:sz w:val="24"/>
          <w:szCs w:val="24"/>
          <w:vertAlign w:val="superscript"/>
          <w:rtl w:val="0"/>
        </w:rPr>
        <w:t xml:space="preserve">5</w:t>
      </w:r>
      <w:r>
        <w:rPr>
          <w:rtl w:val="0"/>
        </w:rPr>
      </w:r>
    </w:p>
    <w:p w:rsidR="00000000" w:rsidDel="00000000" w:rsidP="00000000" w:rsidRDefault="00000000" w:rsidRPr="00000000" w14:paraId="00000003">
      <w:pPr>
        <w:spacing w:line="480" w:lineRule="auto"/>
        <w:ind w:firstLine="0"/>
        <w:jc w:val="center"/>
        <w:rPr/>
      </w:pP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California State University, Los Angeles, USA and Purdue University, USA; </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Asia University, Taiwan; </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Affiliation to be finalized; </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National Chung Hsing University, Taiwan; </w:t>
      </w:r>
      <w:r>
        <w:rPr>
          <w:rFonts w:ascii="Times New Roman" w:cs="Times New Roman" w:eastAsia="Times New Roman" w:hAnsi="Times New Roman"/>
          <w:sz w:val="24"/>
          <w:szCs w:val="24"/>
          <w:vertAlign w:val="superscript"/>
          <w:rtl w:val="0"/>
        </w:rPr>
        <w:t xml:space="preserve">5</w:t>
      </w:r>
      <w:r>
        <w:rPr>
          <w:rFonts w:ascii="Times New Roman" w:cs="Times New Roman" w:eastAsia="Times New Roman" w:hAnsi="Times New Roman"/>
          <w:sz w:val="24"/>
          <w:szCs w:val="24"/>
          <w:rtl w:val="0"/>
        </w:rPr>
        <w:t xml:space="preserve">Brandeis University, USA.</w:t>
      </w:r>
      <w:r>
        <w:rPr>
          <w:rtl w:val="0"/>
        </w:rPr>
      </w:r>
    </w:p>
    <w:p w:rsidR="00000000" w:rsidDel="00000000" w:rsidP="00000000" w:rsidRDefault="00000000" w:rsidRPr="00000000" w14:paraId="00000004">
      <w:pPr>
        <w:spacing w:line="480" w:lineRule="auto"/>
        <w:ind w:firstLine="0"/>
        <w:jc w:val="center"/>
        <w:rPr/>
      </w:pPr>
      <w:r>
        <w:rPr>
          <w:rFonts w:ascii="Times New Roman" w:cs="Times New Roman" w:eastAsia="Times New Roman" w:hAnsi="Times New Roman"/>
          <w:sz w:val="24"/>
          <w:szCs w:val="24"/>
          <w:rtl w:val="0"/>
        </w:rPr>
        <w:t xml:space="preserve">*Denotes co-corresponding authors.</w:t>
      </w:r>
      <w:r>
        <w:rPr>
          <w:rtl w:val="0"/>
        </w:rPr>
      </w:r>
    </w:p>
    <w:p w:rsidR="00000000" w:rsidDel="00000000" w:rsidP="00000000" w:rsidRDefault="00000000" w:rsidRPr="00000000" w14:paraId="00000005">
      <w:pPr>
        <w:pStyle w:val="Heading1"/>
        <w:rPr/>
      </w:pPr>
      <w:r>
        <w:rPr>
          <w:rtl w:val="0"/>
        </w:rPr>
        <w:t xml:space="preserve">Abstract</w:t>
      </w:r>
    </w:p>
    <w:p w:rsidR="00000000" w:rsidDel="00000000" w:rsidP="00000000" w:rsidRDefault="00000000" w:rsidRPr="00000000" w14:paraId="00000006">
      <w:pPr>
        <w:spacing w:line="480" w:lineRule="auto"/>
        <w:ind w:firstLine="0"/>
        <w:rPr/>
      </w:pPr>
      <w:r>
        <w:rPr>
          <w:rFonts w:ascii="Cardo" w:cs="Cardo" w:eastAsia="Cardo" w:hAnsi="Cardo"/>
          <w:rtl w:val="0"/>
        </w:rPr>
        <w:t>High-dimensional transcriptomic biomarker studies are vulnerable to data leakage when feature selection, preprocessing, scaling, or class balancing is performed before validation splitting, because reported performance can then reflect contamination of the test fold rather than generalizable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pCR/RD labels were analyzed (57 pCR, 249 RD). A naive pipeline that performed supervised feature selection on the full dataset before cross-validation achieved AUROC 0.7705 (95% bootstrap CI 0.711–0.824) and PR-AUC 0.4016, whereas a guarded nested pipeline that confined feature selection, scaling, class weighting, and cost tuning to training folds achieved AUROC 0.7265 (0.653–0.791) and PR-AUC 0.3653. The single-cohort naive-minus-guarded gap was positive but modest and its confidence interval included zero (ΔAUROC +0.044, 95% CI −0.013 to +0.103; paired bootstrap p = 0.13). A 1000-permutation label-shuffle negative control showed the naive pipeline producing strongly above-chance discrimination from randomized labels while the guarded pipeline shifted toward chance, supporting the interpretation that global feature selection is diagnostic of a leakage artifact rather than added signal. Across 30 repeated nested cross-validation seeds the gap was modest but reproducible (positive in 27 of 30 seeds; median ΔAUROC +0.054), reflecting seed/fold-level robustness rather than patient-level inference. Feature selection showed moderate, reproducible stability (single-split Nogueira index 0.5409). Same-platform, same-study-family external validation on GSE25065 (42 pCR, 140 RD) yielded AUROC 0.6078 (0.506–0.700), a transportability drop distinct from internal leakage. The linear SVM, nested cross-validation, and feature-stability metrics are established methods; the contribution is their integration into a single reproducible, leakage-aware audit, presented as within-cohort diagnostic evidence rather than clinical biomarker discovery.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nested cross-validation; feature selection; feature stability; pathological complete response; BioData Mining</w:t>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rPr/>
      </w:pPr>
      <w:r>
        <w:rPr>
          <w:rtl w:val="0"/>
        </w:rPr>
        <w:t xml:space="preserve">Introduction</w:t>
      </w:r>
    </w:p>
    <w:p w:rsidR="00000000" w:rsidDel="00000000" w:rsidP="00000000" w:rsidRDefault="00000000" w:rsidRPr="00000000" w14:paraId="0000000A">
      <w:pPr>
        <w:pStyle w:val="Heading2"/>
        <w:rPr/>
      </w:pPr>
      <w:r>
        <w:rPr>
          <w:rtl w:val="0"/>
        </w:rPr>
        <w:t xml:space="preserve">Public transcriptomic biomarker discovery and the reproducibility problem</w:t>
      </w:r>
    </w:p>
    <w:p w:rsidR="00000000" w:rsidDel="00000000" w:rsidP="00000000" w:rsidRDefault="00000000" w:rsidRPr="00000000" w14:paraId="0000000B">
      <w:pPr>
        <w:rPr/>
      </w:pPr>
      <w:r>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C">
      <w:pPr>
        <w:rPr/>
      </w:pPr>
      <w:r>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D">
      <w:pPr>
        <w:pStyle w:val="Heading2"/>
        <w:rPr/>
      </w:pPr>
      <w:r>
        <w:rPr>
          <w:rtl w:val="0"/>
        </w:rPr>
        <w:t xml:space="preserve">Data leakage as a methodological failure in omics machine learning</w:t>
      </w:r>
    </w:p>
    <w:p w:rsidR="00000000" w:rsidDel="00000000" w:rsidP="00000000" w:rsidRDefault="00000000" w:rsidRPr="00000000" w14:paraId="0000000E">
      <w:pPr>
        <w:rPr/>
      </w:pPr>
      <w:r>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F">
      <w:pPr>
        <w:rPr/>
      </w:pPr>
      <w:r>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10">
      <w:pPr>
        <w:pStyle w:val="Heading2"/>
        <w:rPr/>
      </w:pPr>
      <w:r>
        <w:rPr>
          <w:rtl w:val="0"/>
        </w:rPr>
        <w:t xml:space="preserve">Why a linear SVM remains a useful test case</w:t>
      </w:r>
    </w:p>
    <w:p w:rsidR="00000000" w:rsidDel="00000000" w:rsidP="00000000" w:rsidRDefault="00000000" w:rsidRPr="00000000" w14:paraId="00000011">
      <w:pPr>
        <w:rPr/>
      </w:pPr>
      <w:r>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2">
      <w:pPr>
        <w:rPr/>
      </w:pPr>
      <w:r>
        <w:rPr>
          <w:rtl w:val="0"/>
        </w:rPr>
        <w:t xml:space="preserve">linear 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3">
      <w:pPr>
        <w:pStyle w:val="Heading2"/>
        <w:rPr/>
      </w:pPr>
      <w:r>
        <w:rPr>
          <w:rtl w:val="0"/>
        </w:rPr>
        <w:t xml:space="preserve">Nested cross-validation as the leakage-control architecture</w:t>
      </w:r>
    </w:p>
    <w:p w:rsidR="00000000" w:rsidDel="00000000" w:rsidP="00000000" w:rsidRDefault="00000000" w:rsidRPr="00000000" w14:paraId="00000014">
      <w:pPr>
        <w:rPr/>
      </w:pPr>
      <w:r>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5">
      <w:pPr>
        <w:rPr/>
      </w:pPr>
      <w:r>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6">
      <w:pPr>
        <w:pStyle w:val="Heading2"/>
        <w:rPr/>
      </w:pPr>
      <w:r>
        <w:rPr>
          <w:rtl w:val="0"/>
        </w:rPr>
        <w:t xml:space="preserve">Feature stability as a missing layer in biomarker evaluation</w:t>
      </w:r>
    </w:p>
    <w:p w:rsidR="00000000" w:rsidDel="00000000" w:rsidP="00000000" w:rsidRDefault="00000000" w:rsidRPr="00000000" w14:paraId="00000017">
      <w:pPr>
        <w:rPr/>
      </w:pPr>
      <w:r>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8">
      <w:pPr>
        <w:rPr/>
      </w:pPr>
      <w:r>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9">
      <w:pPr>
        <w:pStyle w:val="Heading2"/>
        <w:rPr/>
      </w:pPr>
      <w:r>
        <w:rPr>
          <w:rtl w:val="0"/>
        </w:rPr>
        <w:t xml:space="preserve">Study objective and contributions</w:t>
      </w:r>
    </w:p>
    <w:p w:rsidR="00000000" w:rsidDel="00000000" w:rsidP="00000000" w:rsidRDefault="00000000" w:rsidRPr="00000000" w14:paraId="0000001A">
      <w:pPr>
        <w:rPr/>
      </w:pPr>
      <w:r>
        <w:rPr>
          <w:rtl w:val="0"/>
        </w:rP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linear 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linear SVM performance, profiles feature-selection stability across folds, tests external transportability on an independent cohort, and reports these dimensions together in a single evidence-audit table.</w:t>
      </w:r>
    </w:p>
    <w:p>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and one same-study-family external cohort, and should be read as a within-cohort methodological demonstration.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A leakage-aware linear-SVM workflow for public transcriptomic biomarker classification.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1">
      <w:pPr>
        <w:pStyle w:val="Heading1"/>
        <w:rPr/>
      </w:pPr>
      <w:r>
        <w:rPr>
          <w:rtl w:val="0"/>
        </w:rPr>
        <w:t xml:space="preserve">Literature Review</w:t>
      </w:r>
    </w:p>
    <w:p w:rsidR="00000000" w:rsidDel="00000000" w:rsidP="00000000" w:rsidRDefault="00000000" w:rsidRPr="00000000" w14:paraId="00000022">
      <w:pPr>
        <w:pStyle w:val="Heading2"/>
        <w:rPr/>
      </w:pPr>
      <w:r>
        <w:rPr>
          <w:rtl w:val="0"/>
        </w:rPr>
        <w:t xml:space="preserve">Search and evidence-screening basis</w:t>
      </w:r>
    </w:p>
    <w:p w:rsidR="00000000" w:rsidDel="00000000" w:rsidP="00000000" w:rsidRDefault="00000000" w:rsidRPr="00000000" w14:paraId="00000023">
      <w:pPr>
        <w:rPr/>
      </w:pPr>
      <w:r>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4">
      <w:pPr>
        <w:pStyle w:val="Heading2"/>
        <w:rPr/>
      </w:pPr>
      <w:r>
        <w:rPr>
          <w:rtl w:val="0"/>
        </w:rPr>
        <w:t xml:space="preserve">Data leakage and feature-selection bias in biomedical machine learning</w:t>
      </w:r>
    </w:p>
    <w:p w:rsidR="00000000" w:rsidDel="00000000" w:rsidP="00000000" w:rsidRDefault="00000000" w:rsidRPr="00000000" w14:paraId="00000025">
      <w:pPr>
        <w:rPr/>
      </w:pPr>
      <w:r>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6">
      <w:pPr>
        <w:rPr/>
      </w:pPr>
      <w:r>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7">
      <w:pPr>
        <w:pStyle w:val="Heading2"/>
        <w:rPr/>
      </w:pPr>
      <w:r>
        <w:rPr>
          <w:rtl w:val="0"/>
        </w:rPr>
        <w:t xml:space="preserve">Nested validation for high-dimensional omics</w:t>
      </w:r>
    </w:p>
    <w:p w:rsidR="00000000" w:rsidDel="00000000" w:rsidP="00000000" w:rsidRDefault="00000000" w:rsidRPr="00000000" w14:paraId="00000028">
      <w:pPr>
        <w:rPr/>
      </w:pPr>
      <w:r>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9">
      <w:pPr>
        <w:rPr/>
      </w:pPr>
      <w:r>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linear SVM leakage behavior, feature-stability auditing, class-imbalance sensitivity, and external validation.</w:t>
      </w:r>
    </w:p>
    <w:p w:rsidR="00000000" w:rsidDel="00000000" w:rsidP="00000000" w:rsidRDefault="00000000" w:rsidRPr="00000000" w14:paraId="0000002A">
      <w:pPr>
        <w:pStyle w:val="Heading2"/>
        <w:rPr/>
      </w:pPr>
      <w:r>
        <w:rPr>
          <w:rtl w:val="0"/>
        </w:rPr>
        <w:t xml:space="preserve">SVM/SMO and feature selection in transcriptomic classification</w:t>
      </w:r>
    </w:p>
    <w:p w:rsidR="00000000" w:rsidDel="00000000" w:rsidP="00000000" w:rsidRDefault="00000000" w:rsidRPr="00000000" w14:paraId="0000002B">
      <w:pPr>
        <w:rPr/>
      </w:pPr>
      <w:r>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C">
      <w:pPr>
        <w:rPr/>
      </w:pPr>
      <w:r>
        <w:rPr>
          <w:rtl w:val="0"/>
        </w:rPr>
        <w:t xml:space="preserve">This study does not overstate algorithmic novelty. linear SVM is not new; the novelty is the audit architecture around it. The literature supports positioning linear SVM as a sensitive and historically important classifier through which to quantify the impact of leakage-aware validation, rather than as a newly invented method.</w:t>
      </w:r>
    </w:p>
    <w:p w:rsidR="00000000" w:rsidDel="00000000" w:rsidP="00000000" w:rsidRDefault="00000000" w:rsidRPr="00000000" w14:paraId="0000002D">
      <w:pPr>
        <w:pStyle w:val="Heading2"/>
        <w:rPr/>
      </w:pPr>
      <w:r>
        <w:rPr>
          <w:rtl w:val="0"/>
        </w:rPr>
        <w:t xml:space="preserve">Feature stability and biomarker reproducibility</w:t>
      </w:r>
    </w:p>
    <w:p w:rsidR="00000000" w:rsidDel="00000000" w:rsidP="00000000" w:rsidRDefault="00000000" w:rsidRPr="00000000" w14:paraId="0000002E">
      <w:pPr>
        <w:rPr/>
      </w:pPr>
      <w:r>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F">
      <w:pPr>
        <w:rPr/>
      </w:pPr>
      <w:r>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30">
      <w:pPr>
        <w:pStyle w:val="Heading2"/>
        <w:rPr/>
      </w:pPr>
      <w:r>
        <w:rPr>
          <w:rtl w:val="0"/>
        </w:rPr>
        <w:t xml:space="preserve">Imbalanced biomedical classification and evaluation metrics</w:t>
      </w:r>
    </w:p>
    <w:p w:rsidR="00000000" w:rsidDel="00000000" w:rsidP="00000000" w:rsidRDefault="00000000" w:rsidRPr="00000000" w14:paraId="00000031">
      <w:pPr>
        <w:rPr/>
      </w:pPr>
      <w:r>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2">
      <w:pPr>
        <w:rPr/>
      </w:pPr>
      <w:r>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3">
      <w:pPr>
        <w:pStyle w:val="Heading2"/>
        <w:rPr/>
      </w:pPr>
      <w:r>
        <w:rPr>
          <w:rtl w:val="0"/>
        </w:rPr>
        <w:t xml:space="preserve">Breast cancer pCR/RD prediction as a biological stress test</w:t>
      </w:r>
    </w:p>
    <w:p w:rsidR="00000000" w:rsidDel="00000000" w:rsidP="00000000" w:rsidRDefault="00000000" w:rsidRPr="00000000" w14:paraId="00000034">
      <w:pPr>
        <w:rPr/>
      </w:pPr>
      <w:r>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5">
      <w:pPr>
        <w:rPr/>
      </w:pPr>
      <w:r>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6">
      <w:pPr>
        <w:pStyle w:val="Heading2"/>
        <w:rPr/>
      </w:pPr>
      <w:r>
        <w:rPr>
          <w:rtl w:val="0"/>
        </w:rPr>
        <w:t xml:space="preserve">Reporting standards and trustworthy biomedical AI</w:t>
      </w:r>
    </w:p>
    <w:p w:rsidR="00000000" w:rsidDel="00000000" w:rsidP="00000000" w:rsidRDefault="00000000" w:rsidRPr="00000000" w14:paraId="00000037">
      <w:pPr>
        <w:rPr/>
      </w:pPr>
      <w:r>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8">
      <w:pPr>
        <w:pStyle w:val="Heading2"/>
        <w:rPr/>
      </w:pPr>
      <w:r>
        <w:rPr>
          <w:rtl w:val="0"/>
        </w:rPr>
        <w:t xml:space="preserve">Remaining methodological gap</w:t>
      </w:r>
    </w:p>
    <w:p w:rsidR="00000000" w:rsidDel="00000000" w:rsidP="00000000" w:rsidRDefault="00000000" w:rsidRPr="00000000" w14:paraId="00000039">
      <w:pPr>
        <w:rPr/>
      </w:pPr>
      <w:r>
        <w:rPr>
          <w:rtl w:val="0"/>
        </w:rPr>
        <w:t xml:space="preserve">The literature establishes all individual components of this project: feature-selection leakage, nested cross-validation, linear 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linear 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p w:rsidR="00000000" w:rsidDel="00000000" w:rsidP="00000000" w:rsidRDefault="00000000" w:rsidRPr="00000000" w14:paraId="0000003C">
      <w:pPr>
        <w:rPr/>
      </w:pPr>
      <w:r>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
        <w:gridCol w:w="3226"/>
        <w:gridCol w:w="4029"/>
        <w:tblGridChange w:id="0">
          <w:tblGrid>
            <w:gridCol w:w="2321"/>
            <w:gridCol w:w="3226"/>
            <w:gridCol w:w="4029"/>
          </w:tblGrid>
        </w:tblGridChange>
      </w:tblGrid>
      <w:tr>
        <w:trPr>
          <w:cantSplit/>
          <w:tblHeader/>
        </w:trPr>
        <w:tc>
          <w:tcPr/>
          <w:p w:rsidR="00000000" w:rsidDel="00000000" w:rsidP="00000000" w:rsidRDefault="00000000" w:rsidRPr="00000000" w14:paraId="0000003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Theme</w:t>
            </w:r>
            <w:r>
              <w:rPr>
                <w:rtl w:val="0"/>
              </w:rPr>
            </w:r>
          </w:p>
        </w:tc>
        <w:tc>
          <w:tcPr/>
          <w:p w:rsidR="00000000" w:rsidDel="00000000" w:rsidP="00000000" w:rsidRDefault="00000000" w:rsidRPr="00000000" w14:paraId="0000003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Core sources</w:t>
            </w:r>
            <w:r>
              <w:rPr>
                <w:rtl w:val="0"/>
              </w:rPr>
            </w:r>
          </w:p>
        </w:tc>
        <w:tc>
          <w:tcPr/>
          <w:p w:rsidR="00000000" w:rsidDel="00000000" w:rsidP="00000000" w:rsidRDefault="00000000" w:rsidRPr="00000000" w14:paraId="0000003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it shapes this manuscript</w:t>
            </w:r>
            <w:r>
              <w:rPr>
                <w:rtl w:val="0"/>
              </w:rPr>
            </w:r>
          </w:p>
        </w:tc>
      </w:tr>
      <w:tr>
        <w:trPr>
          <w:cantSplit/>
          <w:tblHeader w:val="0"/>
        </w:trPr>
        <w:tc>
          <w:tcPr/>
          <w:p w:rsidR="00000000" w:rsidDel="00000000" w:rsidP="00000000" w:rsidRDefault="00000000" w:rsidRPr="00000000" w14:paraId="0000004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Leakage and feature-selection bias</w:t>
            </w:r>
          </w:p>
        </w:tc>
        <w:tc>
          <w:tcPr/>
          <w:p w:rsidR="00000000" w:rsidDel="00000000" w:rsidP="00000000" w:rsidRDefault="00000000" w:rsidRPr="00000000" w14:paraId="0000004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Ambroise &amp; McLachlan (2002); Kapoor &amp; Narayanan (2023)</w:t>
            </w:r>
          </w:p>
        </w:tc>
        <w:tc>
          <w:tcPr/>
          <w:p w:rsidR="00000000" w:rsidDel="00000000" w:rsidP="00000000" w:rsidRDefault="00000000" w:rsidRPr="00000000" w14:paraId="0000004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Motivates direct comparison of leaky global feature selection versus guarded nested selection.</w:t>
            </w:r>
          </w:p>
        </w:tc>
      </w:tr>
      <w:tr>
        <w:trPr>
          <w:cantSplit/>
          <w:tblHeader w:val="0"/>
        </w:trPr>
        <w:tc>
          <w:tcPr/>
          <w:p w:rsidR="00000000" w:rsidDel="00000000" w:rsidP="00000000" w:rsidRDefault="00000000" w:rsidRPr="00000000" w14:paraId="0000004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validation</w:t>
            </w:r>
          </w:p>
        </w:tc>
        <w:tc>
          <w:tcPr/>
          <w:p w:rsidR="00000000" w:rsidDel="00000000" w:rsidP="00000000" w:rsidRDefault="00000000" w:rsidRPr="00000000" w14:paraId="0000004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Varma &amp; Simon (2006); Cawley &amp; Talbot (2010); Vabalas et al. (2019); Lewis et al. (2023)</w:t>
            </w:r>
          </w:p>
        </w:tc>
        <w:tc>
          <w:tcPr/>
          <w:p w:rsidR="00000000" w:rsidDel="00000000" w:rsidP="00000000" w:rsidRDefault="00000000" w:rsidRPr="00000000" w14:paraId="0000004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Requires inner-loop model selection and outer-loop performance estimation.</w:t>
            </w:r>
          </w:p>
        </w:tc>
      </w:tr>
      <w:tr>
        <w:trPr>
          <w:cantSplit/>
          <w:tblHeader w:val="0"/>
        </w:trPr>
        <w:tc>
          <w:tcPr/>
          <w:p w:rsidR="00000000" w:rsidDel="00000000" w:rsidP="00000000" w:rsidRDefault="00000000" w:rsidRPr="00000000" w14:paraId="0000004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SVM/SMO and feature selection</w:t>
            </w:r>
          </w:p>
        </w:tc>
        <w:tc>
          <w:tcPr/>
          <w:p w:rsidR="00000000" w:rsidDel="00000000" w:rsidP="00000000" w:rsidRDefault="00000000" w:rsidRPr="00000000" w14:paraId="0000004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Cortes &amp; Vapnik (1995); Platt (1999); Guyon et al. (2002)</w:t>
            </w:r>
          </w:p>
        </w:tc>
        <w:tc>
          <w:tcPr/>
          <w:p w:rsidR="00000000" w:rsidDel="00000000" w:rsidP="00000000" w:rsidRDefault="00000000" w:rsidRPr="00000000" w14:paraId="0000004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Justifies linear SVM as a historically important, high-dimensional classification engine.</w:t>
            </w:r>
          </w:p>
        </w:tc>
      </w:tr>
      <w:tr>
        <w:trPr>
          <w:cantSplit/>
          <w:tblHeader w:val="0"/>
        </w:trPr>
        <w:tc>
          <w:tcPr/>
          <w:p w:rsidR="00000000" w:rsidDel="00000000" w:rsidP="00000000" w:rsidRDefault="00000000" w:rsidRPr="00000000" w14:paraId="0000004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Feature stability</w:t>
            </w:r>
          </w:p>
        </w:tc>
        <w:tc>
          <w:tcPr/>
          <w:p w:rsidR="00000000" w:rsidDel="00000000" w:rsidP="00000000" w:rsidRDefault="00000000" w:rsidRPr="00000000" w14:paraId="0000004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Haury et al. (2011); Nogueira et al. (2018)</w:t>
            </w:r>
          </w:p>
        </w:tc>
        <w:tc>
          <w:tcPr/>
          <w:p w:rsidR="00000000" w:rsidDel="00000000" w:rsidP="00000000" w:rsidRDefault="00000000" w:rsidRPr="00000000" w14:paraId="0000004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Makes stability a main audit dimension rather than a supplement.</w:t>
            </w:r>
          </w:p>
        </w:tc>
      </w:tr>
      <w:tr>
        <w:trPr>
          <w:cantSplit/>
          <w:tblHeader w:val="0"/>
        </w:trPr>
        <w:tc>
          <w:tcPr/>
          <w:p w:rsidR="00000000" w:rsidDel="00000000" w:rsidP="00000000" w:rsidRDefault="00000000" w:rsidRPr="00000000" w14:paraId="0000004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Class imbalance and metrics</w:t>
            </w:r>
          </w:p>
        </w:tc>
        <w:tc>
          <w:tcPr/>
          <w:p w:rsidR="00000000" w:rsidDel="00000000" w:rsidP="00000000" w:rsidRDefault="00000000" w:rsidRPr="00000000" w14:paraId="0000004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Chawla et al. (2002); Blagus &amp; Lusa (2013); Chicco &amp; Jurman (2020, 2023)</w:t>
            </w:r>
          </w:p>
        </w:tc>
        <w:tc>
          <w:tcPr/>
          <w:p w:rsidR="00000000" w:rsidDel="00000000" w:rsidP="00000000" w:rsidRDefault="00000000" w:rsidRPr="00000000" w14:paraId="0000004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PR-AUC, MCC, balanced accuracy, and fold-contained resampling.</w:t>
            </w:r>
          </w:p>
        </w:tc>
      </w:tr>
      <w:tr>
        <w:trPr>
          <w:cantSplit/>
          <w:tblHeader w:val="0"/>
        </w:trPr>
        <w:tc>
          <w:tcPr/>
          <w:p w:rsidR="00000000" w:rsidDel="00000000" w:rsidP="00000000" w:rsidRDefault="00000000" w:rsidRPr="00000000" w14:paraId="0000004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pCR/RD stress test</w:t>
            </w:r>
          </w:p>
        </w:tc>
        <w:tc>
          <w:tcPr/>
          <w:p w:rsidR="00000000" w:rsidDel="00000000" w:rsidP="00000000" w:rsidRDefault="00000000" w:rsidRPr="00000000" w14:paraId="0000005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Hatzis et al. (2011)</w:t>
            </w:r>
          </w:p>
        </w:tc>
        <w:tc>
          <w:tcPr/>
          <w:p w:rsidR="00000000" w:rsidDel="00000000" w:rsidP="00000000" w:rsidRDefault="00000000" w:rsidRPr="00000000" w14:paraId="0000005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breast cancer neoadjuvant response as a public transcriptomic use case.</w:t>
            </w:r>
          </w:p>
        </w:tc>
      </w:tr>
      <w:tr>
        <w:trPr>
          <w:cantSplit/>
          <w:tblHeader w:val="0"/>
        </w:trPr>
        <w:tc>
          <w:tcPr/>
          <w:p w:rsidR="00000000" w:rsidDel="00000000" w:rsidP="00000000" w:rsidRDefault="00000000" w:rsidRPr="00000000" w14:paraId="0000005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Trustworthy AI reporting</w:t>
            </w:r>
          </w:p>
        </w:tc>
        <w:tc>
          <w:tcPr/>
          <w:p w:rsidR="00000000" w:rsidDel="00000000" w:rsidP="00000000" w:rsidRDefault="00000000" w:rsidRPr="00000000" w14:paraId="0000005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Collins et al. (2024)</w:t>
            </w:r>
          </w:p>
        </w:tc>
        <w:tc>
          <w:tcPr/>
          <w:p w:rsidR="00000000" w:rsidDel="00000000" w:rsidP="00000000" w:rsidRDefault="00000000" w:rsidRPr="00000000" w14:paraId="0000005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the Reproducible Omics Evidence Audit as transparent reporting infrastructure.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p w:rsidR="00000000" w:rsidDel="00000000" w:rsidP="00000000" w:rsidRDefault="00000000" w:rsidRPr="00000000" w14:paraId="00000058">
      <w:pPr>
        <w:rPr/>
      </w:pPr>
      <w:r>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1"/>
        <w:gridCol w:w="2312"/>
        <w:gridCol w:w="2589"/>
        <w:gridCol w:w="2724"/>
        <w:tblGridChange w:id="0">
          <w:tblGrid>
            <w:gridCol w:w="1951"/>
            <w:gridCol w:w="2312"/>
            <w:gridCol w:w="2589"/>
            <w:gridCol w:w="2724"/>
          </w:tblGrid>
        </w:tblGridChange>
      </w:tblGrid>
      <w:tr>
        <w:trPr>
          <w:cantSplit/>
          <w:tblHeader/>
        </w:trPr>
        <w:tc>
          <w:tcPr/>
          <w:p w:rsidR="00000000" w:rsidDel="00000000" w:rsidP="00000000" w:rsidRDefault="00000000" w:rsidRPr="00000000" w14:paraId="0000005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Closest literature</w:t>
            </w:r>
            <w:r>
              <w:rPr>
                <w:rtl w:val="0"/>
              </w:rPr>
            </w:r>
          </w:p>
        </w:tc>
        <w:tc>
          <w:tcPr/>
          <w:p w:rsidR="00000000" w:rsidDel="00000000" w:rsidP="00000000" w:rsidRDefault="00000000" w:rsidRPr="00000000" w14:paraId="0000005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it contributes</w:t>
            </w:r>
            <w:r>
              <w:rPr>
                <w:rtl w:val="0"/>
              </w:rPr>
            </w:r>
          </w:p>
        </w:tc>
        <w:tc>
          <w:tcPr/>
          <w:p w:rsidR="00000000" w:rsidDel="00000000" w:rsidP="00000000" w:rsidRDefault="00000000" w:rsidRPr="00000000" w14:paraId="0000005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remains missing</w:t>
            </w:r>
            <w:r>
              <w:rPr>
                <w:rtl w:val="0"/>
              </w:rPr>
            </w:r>
          </w:p>
        </w:tc>
        <w:tc>
          <w:tcPr/>
          <w:p w:rsidR="00000000" w:rsidDel="00000000" w:rsidP="00000000" w:rsidRDefault="00000000" w:rsidRPr="00000000" w14:paraId="0000005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this manuscript differs</w:t>
            </w:r>
            <w:r>
              <w:rPr>
                <w:rtl w:val="0"/>
              </w:rPr>
            </w:r>
          </w:p>
        </w:tc>
      </w:tr>
      <w:tr>
        <w:trPr>
          <w:cantSplit/>
          <w:tblHeader w:val="0"/>
        </w:trPr>
        <w:tc>
          <w:tcPr/>
          <w:p w:rsidR="00000000" w:rsidDel="00000000" w:rsidP="00000000" w:rsidRDefault="00000000" w:rsidRPr="00000000" w14:paraId="0000005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Lewis et al. (2023), nestedcv</w:t>
            </w:r>
          </w:p>
        </w:tc>
        <w:tc>
          <w:tcPr/>
          <w:p w:rsidR="00000000" w:rsidDel="00000000" w:rsidP="00000000" w:rsidRDefault="00000000" w:rsidRPr="00000000" w14:paraId="0000005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Implements nested CV with embedded feature selection for transcriptomic/high-dimensional data.</w:t>
            </w:r>
          </w:p>
        </w:tc>
        <w:tc>
          <w:tcPr/>
          <w:p w:rsidR="00000000" w:rsidDel="00000000" w:rsidP="00000000" w:rsidRDefault="00000000" w:rsidRPr="00000000" w14:paraId="0000005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center a leakage-inflation audit of linear SVM with feature-stability and pCR/RD external validation.</w:t>
            </w:r>
          </w:p>
        </w:tc>
        <w:tc>
          <w:tcPr/>
          <w:p w:rsidR="00000000" w:rsidDel="00000000" w:rsidP="00000000" w:rsidRDefault="00000000" w:rsidRPr="00000000" w14:paraId="0000006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nested-CV principles to quantify linear SVM leakage inflation and feature stability.</w:t>
            </w:r>
          </w:p>
        </w:tc>
      </w:tr>
      <w:tr>
        <w:trPr>
          <w:cantSplit/>
          <w:tblHeader w:val="0"/>
        </w:trPr>
        <w:tc>
          <w:tcPr/>
          <w:p w:rsidR="00000000" w:rsidDel="00000000" w:rsidP="00000000" w:rsidRDefault="00000000" w:rsidRPr="00000000" w14:paraId="0000006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Kapoor &amp; Narayanan (2023), leakage taxonomy</w:t>
            </w:r>
          </w:p>
        </w:tc>
        <w:tc>
          <w:tcPr/>
          <w:p w:rsidR="00000000" w:rsidDel="00000000" w:rsidP="00000000" w:rsidRDefault="00000000" w:rsidRPr="00000000" w14:paraId="0000006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Frames leakage as a broader reproducibility failure in ML-based science.</w:t>
            </w:r>
          </w:p>
        </w:tc>
        <w:tc>
          <w:tcPr/>
          <w:p w:rsidR="00000000" w:rsidDel="00000000" w:rsidP="00000000" w:rsidRDefault="00000000" w:rsidRPr="00000000" w14:paraId="0000006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Not an omics-specific computational benchmark.</w:t>
            </w:r>
          </w:p>
        </w:tc>
        <w:tc>
          <w:tcPr/>
          <w:p w:rsidR="00000000" w:rsidDel="00000000" w:rsidP="00000000" w:rsidRDefault="00000000" w:rsidRPr="00000000" w14:paraId="0000006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Operationalizes leakage auditing in public transcriptomic classification.</w:t>
            </w:r>
          </w:p>
        </w:tc>
      </w:tr>
      <w:tr>
        <w:trPr>
          <w:cantSplit/>
          <w:tblHeader w:val="0"/>
        </w:trPr>
        <w:tc>
          <w:tcPr/>
          <w:p w:rsidR="00000000" w:rsidDel="00000000" w:rsidP="00000000" w:rsidRDefault="00000000" w:rsidRPr="00000000" w14:paraId="0000006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Vabalas et al. (2019), limited-sample validation</w:t>
            </w:r>
          </w:p>
        </w:tc>
        <w:tc>
          <w:tcPr/>
          <w:p w:rsidR="00000000" w:rsidDel="00000000" w:rsidP="00000000" w:rsidRDefault="00000000" w:rsidRPr="00000000" w14:paraId="0000006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Shows bias in validation under limited samples and high dimensions.</w:t>
            </w:r>
          </w:p>
        </w:tc>
        <w:tc>
          <w:tcPr/>
          <w:p w:rsidR="00000000" w:rsidDel="00000000" w:rsidP="00000000" w:rsidRDefault="00000000" w:rsidRPr="00000000" w14:paraId="0000006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focus on transcriptomic linear SVM biomarker stability or pCR/RD cohorts.</w:t>
            </w:r>
          </w:p>
        </w:tc>
        <w:tc>
          <w:tcPr/>
          <w:p w:rsidR="00000000" w:rsidDel="00000000" w:rsidP="00000000" w:rsidRDefault="00000000" w:rsidRPr="00000000" w14:paraId="0000006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Extends validation concern to omics feature selection, class imbalance, and external validation.</w:t>
            </w:r>
          </w:p>
        </w:tc>
      </w:tr>
      <w:tr>
        <w:trPr>
          <w:cantSplit/>
          <w:tblHeader w:val="0"/>
        </w:trPr>
        <w:tc>
          <w:tcPr/>
          <w:p w:rsidR="00000000" w:rsidDel="00000000" w:rsidP="00000000" w:rsidRDefault="00000000" w:rsidRPr="00000000" w14:paraId="0000006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Breast cancer pCR signature studies</w:t>
            </w:r>
          </w:p>
        </w:tc>
        <w:tc>
          <w:tcPr/>
          <w:p w:rsidR="00000000" w:rsidDel="00000000" w:rsidP="00000000" w:rsidRDefault="00000000" w:rsidRPr="00000000" w14:paraId="0000006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Provide public datasets and biological endpoint context.</w:t>
            </w:r>
          </w:p>
        </w:tc>
        <w:tc>
          <w:tcPr/>
          <w:p w:rsidR="00000000" w:rsidDel="00000000" w:rsidP="00000000" w:rsidRDefault="00000000" w:rsidRPr="00000000" w14:paraId="0000006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pCR/RD as a stress test for methodology, not as a new biomarker claim.</w:t>
            </w:r>
          </w:p>
        </w:tc>
      </w:tr>
      <w:tr>
        <w:trPr>
          <w:cantSplit/>
          <w:tblHeader w:val="0"/>
        </w:trPr>
        <w:tc>
          <w:tcPr/>
          <w:p w:rsidR="00000000" w:rsidDel="00000000" w:rsidP="00000000" w:rsidRDefault="00000000" w:rsidRPr="00000000" w14:paraId="0000006D">
            <w:pPr>
              <w:spacing w:line="240" w:lineRule="auto"/>
              <w:ind w:firstLine="0"/>
              <w:rPr/>
            </w:pPr>
            <w:r>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Pr>
                <w:rtl w:val="0"/>
              </w:rPr>
            </w:r>
          </w:p>
        </w:tc>
        <w:tc>
          <w:tcPr/>
          <w:p w:rsidR="00000000" w:rsidDel="00000000" w:rsidP="00000000" w:rsidRDefault="00000000" w:rsidRPr="00000000" w14:paraId="0000006E">
            <w:pPr>
              <w:spacing w:line="240" w:lineRule="auto"/>
              <w:ind w:firstLine="0"/>
              <w:rPr/>
            </w:pPr>
            <w:r>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Pr>
                <w:rtl w:val="0"/>
              </w:rPr>
            </w:r>
          </w:p>
        </w:tc>
        <w:tc>
          <w:tcPr/>
          <w:p w:rsidR="00000000" w:rsidDel="00000000" w:rsidP="00000000" w:rsidRDefault="00000000" w:rsidRPr="00000000" w14:paraId="0000006F">
            <w:pPr>
              <w:spacing w:line="240" w:lineRule="auto"/>
              <w:ind w:firstLine="0"/>
              <w:rPr/>
            </w:pPr>
            <w:r>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Pr>
                <w:rtl w:val="0"/>
              </w:rPr>
            </w:r>
          </w:p>
        </w:tc>
        <w:tc>
          <w:tcPr/>
          <w:p w:rsidR="00000000" w:rsidDel="00000000" w:rsidP="00000000" w:rsidRDefault="00000000" w:rsidRPr="00000000" w14:paraId="00000070">
            <w:pPr>
              <w:spacing w:line="240" w:lineRule="auto"/>
              <w:ind w:firstLine="0"/>
              <w:rPr/>
            </w:pPr>
            <w:r>
              <w:rPr>
                <w:rFonts w:ascii="Times New Roman" w:cs="Times New Roman" w:eastAsia="Times New Roman" w:hAnsi="Times New Roman"/>
                <w:b w:val="0"/>
                <w:bCs w:val="0"/>
                <w:i w:val="0"/>
                <w:iCs w:val="0"/>
                <w:sz w:val="18"/>
                <w:szCs w:val="18"/>
                <w:rtl w:val="0"/>
              </w:rPr>
              <w:t xml:space="preserve">Uses an established linear SVM workhorse to produce an integrated empirical audit (leakage gap + feature stability + external validation + evidence-audit table), complementary to such tools.</w:t>
            </w:r>
            <w:r>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72">
      <w:pPr>
        <w:pStyle w:val="Heading1"/>
        <w:rPr/>
      </w:pPr>
      <w:r>
        <w:rPr>
          <w:rtl w:val="0"/>
        </w:rPr>
        <w:t xml:space="preserve">Methods</w:t>
      </w:r>
    </w:p>
    <w:p w:rsidR="00000000" w:rsidDel="00000000" w:rsidP="00000000" w:rsidRDefault="00000000" w:rsidRPr="00000000" w14:paraId="00000073">
      <w:pPr>
        <w:pStyle w:val="Heading2"/>
        <w:rPr/>
      </w:pPr>
      <w:r>
        <w:rPr>
          <w:rtl w:val="0"/>
        </w:rPr>
        <w:t xml:space="preserve">Study design overview</w:t>
      </w:r>
    </w:p>
    <w:p w:rsidR="00000000" w:rsidDel="00000000" w:rsidP="00000000" w:rsidRDefault="00000000" w:rsidRPr="00000000" w14:paraId="00000074">
      <w:pPr>
        <w:rPr/>
      </w:pPr>
      <w:r>
        <w:rPr>
          <w:rtl w:val="0"/>
        </w:rPr>
        <w:t xml:space="preserve">This is a public-data computational methodology study comparing two linear 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 The two pipelines are contrasted schematically in Figure 1.</w:t>
      </w:r>
    </w:p>
    <w:p w:rsidR="00000000" w:rsidDel="00000000" w:rsidP="00000000" w:rsidRDefault="00000000" w:rsidRPr="00000000" w14:paraId="00000075">
      <w:pPr>
        <w:pStyle w:val="Heading2"/>
        <w:rPr/>
      </w:pPr>
      <w:r>
        <w:rPr>
          <w:rtl w:val="0"/>
        </w:rPr>
        <w:t xml:space="preserve">Public datasets and cohort eligibility</w:t>
      </w:r>
    </w:p>
    <w:p w:rsidR="00000000" w:rsidDel="00000000" w:rsidP="00000000" w:rsidRDefault="00000000" w:rsidRPr="00000000" w14:paraId="00000076">
      <w:pPr>
        <w:rPr/>
      </w:pPr>
      <w:r>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GSE41998 (GPL571) is documented in the dataset audit but not used in the present analysis; its labels and platform require additional leakage-safe, cross-platform handling.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GSE20194 and GSE20271 are documented but not used, owing to MDACC-lineage patient-overlap risk.</w:t>
      </w:r>
    </w:p>
    <w:p w:rsidR="00000000" w:rsidDel="00000000" w:rsidP="00000000" w:rsidRDefault="00000000" w:rsidRPr="00000000" w14:paraId="0000007B">
      <w:pPr>
        <w:pStyle w:val="Heading2"/>
        <w:rPr/>
      </w:pPr>
      <w:r>
        <w:rPr>
          <w:rtl w:val="0"/>
        </w:rPr>
        <w:t xml:space="preserve">Outcome definition</w:t>
      </w:r>
    </w:p>
    <w:p w:rsidR="00000000" w:rsidDel="00000000" w:rsidP="00000000" w:rsidRDefault="00000000" w:rsidRPr="00000000" w14:paraId="0000007C">
      <w:pPr>
        <w:rPr/>
      </w:pPr>
      <w:r>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D">
      <w:pPr>
        <w:pStyle w:val="Heading2"/>
        <w:rPr/>
      </w:pPr>
      <w:r>
        <w:rPr>
          <w:rtl w:val="0"/>
        </w:rPr>
        <w:t xml:space="preserve">Data preprocessing and leakage-control rules</w:t>
      </w:r>
    </w:p>
    <w:p w:rsidR="00000000" w:rsidDel="00000000" w:rsidP="00000000" w:rsidRDefault="00000000" w:rsidRPr="00000000" w14:paraId="0000007E">
      <w:pPr>
        <w:rPr/>
      </w:pPr>
      <w:r>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pPr>
        <w:rPr/>
      </w:pPr>
      <w:r>
        <w:rPr>
          <w:rtl w:val="0"/>
        </w:rPr>
        <w:t xml:space="preserve">Expression data and preprocessing. Expression matrices were obtained as author-processed GEO Series Matrix files via GEOquery (GSEMatrix = TRUE; getGPL = FALSE); raw CEL files were not reprocessed. Values were used as provided by the original study (already normalized by the depositors); no additional between-array normalization or log transformation was applied here. Discovery used the Affymetrix HG-U133A platform (GPL96), a feature universe of 22,283 probe sets. Features were retained at the probe level and were not collapsed to gene symbols, preserving probe-level signals for selection and stability analysis. The only label-independent expression filtering was removal of near-zero-variance probes (variance ≤ 1×10⁻⁸); the matrix contained no imputed values, and feature standardization (z-scoring) was fit on training-fold data only. Sample labels were extracted from the pathologic_response_pcr_rd metadata field and mapped to pCR versus RD; samples coded NA, blank, NaN, or N/A were excluded before modeling (4 of 310 in GSE25055, leaving 306; 16 of 198 in GSE25065, leaving 182).</w:t>
      </w:r>
    </w:p>
    <w:p w:rsidR="00000000" w:rsidDel="00000000" w:rsidP="00000000" w:rsidRDefault="00000000" w:rsidRPr="00000000" w14:paraId="0000007F">
      <w:pPr>
        <w:pStyle w:val="Heading2"/>
        <w:rPr/>
      </w:pPr>
      <w:r>
        <w:rPr>
          <w:rtl w:val="0"/>
        </w:rPr>
        <w:t xml:space="preserve">Pipeline A: naive/leaky baseline</w:t>
      </w:r>
    </w:p>
    <w:p w:rsidR="00000000" w:rsidDel="00000000" w:rsidP="00000000" w:rsidRDefault="00000000" w:rsidRPr="00000000" w14:paraId="00000080">
      <w:pPr>
        <w:rPr/>
      </w:pPr>
      <w:r>
        <w:rPr>
          <w:rtl w:val="0"/>
        </w:rPr>
        <w:t xml:space="preserve">The naive pipeline intentionally represents the flawed workflow this paper audits. It used the full discovery cohort to perform feature selection before cross-validation. The top K features were then passed to linear SVM cross-validation. This pipeline is not intended for valid inference; it is included to quantify the inflation that a leaky analysis can produce.</w:t>
      </w:r>
      <w:r>
        <w:t xml:space="preserve"> Concretely, t-test top-100 feature selection is performed once on the entire discovery cohort before any cross-validation split, after which a linear SVM with a fixed cost of 1 is evaluated by 5×5 repeated cross-validation.</w:t>
      </w:r>
    </w:p>
    <w:p w:rsidR="00000000" w:rsidDel="00000000" w:rsidP="00000000" w:rsidRDefault="00000000" w:rsidRPr="00000000" w14:paraId="00000081">
      <w:pPr>
        <w:pStyle w:val="Heading2"/>
        <w:rPr/>
      </w:pPr>
      <w:r>
        <w:rPr>
          <w:rtl w:val="0"/>
        </w:rPr>
        <w:t xml:space="preserve">Pipeline B: guarded nested linear SVM framework</w:t>
      </w:r>
    </w:p>
    <w:p w:rsidR="00000000" w:rsidDel="00000000" w:rsidP="00000000" w:rsidRDefault="00000000" w:rsidRPr="00000000" w14:paraId="00000082">
      <w:pPr>
        <w:rPr/>
      </w:pPr>
      <w:r>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linear SVM hyperparameter tuning. After choosing the best inner-loop configuration, the model was refit on the full outer training set and evaluated once on the held-out outer test fold.</w:t>
      </w:r>
      <w:r>
        <w:t xml:space="preserve"> Concretely, within each of the five outer folds the inner five-fold loop performs t-test top-100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rsidR="00000000" w:rsidDel="00000000" w:rsidP="00000000" w:rsidRDefault="00000000" w:rsidRPr="00000000" w14:paraId="00000083">
      <w:pPr>
        <w:rPr/>
      </w:pPr>
      <w:r>
        <w:rPr>
          <w:rtl w:val="0"/>
        </w:rPr>
        <w:t xml:space="preserve">For each outer split, the outer test fold was first withheld from all model-development procedures. All preprocessing, feature selection, class-imbalance handling, and linear 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4">
      <w:pPr>
        <w:pStyle w:val="Heading2"/>
        <w:rPr/>
      </w:pPr>
      <w:r>
        <w:rPr>
          <w:rtl w:val="0"/>
        </w:rPr>
        <w:t>Model specification (linear SVM)</w:t>
      </w:r>
    </w:p>
    <w:p w:rsidR="00000000" w:rsidDel="00000000" w:rsidP="00000000" w:rsidRDefault="00000000" w:rsidRPr="00000000" w14:paraId="00000085">
      <w:pPr>
        <w:rPr/>
      </w:pPr>
      <w:r>
        <w:rPr>
          <w:rtl w:val="0"/>
        </w:rPr>
        <w:t xml:space="preserve">The primary classifier was a SMO-trained linear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r>
        <w:t xml:space="preserve"> Sequential minimal optimization (SMO) is used only as the training solver for this linear SVM and is an implementation detail rather than a methodological contribution.</w:t>
      </w:r>
    </w:p>
    <w:p w:rsidR="00000000" w:rsidDel="00000000" w:rsidP="00000000" w:rsidRDefault="00000000" w:rsidRPr="00000000">
      <w:pPr>
        <w:rPr/>
      </w:pPr>
      <w:r>
        <w:rPr>
          <w:rtl w:val="0"/>
        </w:rPr>
        <w:t xml:space="preserve">Class weighting. To address pCR/RD imbalance, observations were weighted by inverse class frequency using e1071's class.weights argument, with weight w_k = N / (K · n_k) for class k (N training samples, K = 2 classes, n_k the class count). These weights were computed from each training partition only — recomputed within every cross-validation training fold — in both the naive and guarded pipelines, and no weights were derived using held-out or test-fold labels. The naive pipeline's leakage arises from its global supervised feature selection, not from class weighting, which was handled identically (per training fold) in both pipelines. Class weighting was the primary class-imbalance control in the reported pipelines.</w:t>
      </w:r>
    </w:p>
    <w:p w:rsidR="00000000" w:rsidDel="00000000" w:rsidP="00000000" w:rsidRDefault="00000000" w:rsidRPr="00000000" w14:paraId="00000086">
      <w:pPr>
        <w:pStyle w:val="Heading2"/>
        <w:rPr/>
      </w:pPr>
      <w:r>
        <w:rPr>
          <w:rtl w:val="0"/>
        </w:rPr>
        <w:t xml:space="preserve">Feature-selection methods</w:t>
      </w:r>
    </w:p>
    <w:p w:rsidR="00000000" w:rsidDel="00000000" w:rsidP="00000000" w:rsidRDefault="00000000" w:rsidRPr="00000000" w14:paraId="00000087">
      <w:pPr>
        <w:rPr/>
      </w:pPr>
      <w:r>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pPr>
        <w:rPr/>
      </w:pPr>
      <w:r>
        <w:rPr>
          <w:i w:val="1"/>
          <w:iCs w:val="1"/>
          <w:rtl w:val="0"/>
        </w:rPr>
        <w:t xml:space="preserve">Selector-budget sensitivity analysis. </w:t>
      </w:r>
      <w:r>
        <w:rPr>
          <w:rtl w:val="0"/>
        </w:rPr>
        <w:t xml:space="preserve">To assess robustness to the feature-selection budget, the univariate Welch t-test selector was held fixed while the top-K budget was varied over K = 25, 50, 100, and 200, and the leaky and guarded nested pipelines were re-evaluated at each K on GSE25055 (scripts/12_selector_k_sweep.R). All other settings — seed, fold structure, scaling, class weighting, and cost grid — were unchanged, and K = 100 reproduced the primary analysis exactly, anchoring the sweep. No external cohorts were used.</w:t>
      </w:r>
    </w:p>
    <w:p w:rsidR="00000000" w:rsidDel="00000000" w:rsidP="00000000" w:rsidRDefault="00000000" w:rsidRPr="00000000" w14:paraId="00000088">
      <w:pPr>
        <w:pStyle w:val="Heading2"/>
        <w:rPr/>
      </w:pPr>
      <w:r>
        <w:rPr>
          <w:rtl w:val="0"/>
        </w:rPr>
        <w:t xml:space="preserve">Performance, leakage, and stability metrics</w:t>
      </w:r>
    </w:p>
    <w:p w:rsidR="00000000" w:rsidDel="00000000" w:rsidP="00000000" w:rsidRDefault="00000000" w:rsidRPr="00000000" w14:paraId="00000089">
      <w:pPr>
        <w:rPr/>
      </w:pPr>
      <w:r>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r>
        <w:t xml:space="preserve"> For the guarded nested pipeline, each metric was computed once on the pooled out-of-fold predictions from the five outer folds; for the leaky baseline, each metric was computed within each of the five repeats (pooling that repeat’s folds) and then averaged across repeats. Each pipeline is thus summarized as a single value per metric, and the leakage gap is the leaky-minus-guarded difference of these summaries.</w:t>
      </w:r>
    </w:p>
    <w:p w:rsidR="00000000" w:rsidDel="00000000" w:rsidP="00000000" w:rsidRDefault="00000000" w:rsidRPr="00000000">
      <w:pPr>
        <w:rPr/>
      </w:pPr>
      <w:r>
        <w:rPr>
          <w:rtl w:val="0"/>
        </w:rPr>
        <w:t xml:space="preserve">Scores and probabilities. AUROC and PR-AUC were computed from the predicted probability of pCR, P(pCR). Class probabilities were obtained from the e1071/libsvm built-in probability estimates (Platt-style logistic calibration that libsvm fits on the training data via an internal cross-validation); the same probability output defined the operating-point predictions at the 0.5 threshold. The probability model was fit only on training-fold data within cross-validation, and on the discovery cohort only for the frozen external-validation model, so calibration was never fit on held-out test folds or on the external cohort. Because probability calibration is itself label-dependent, fitting it globally across all samples before splitting would constitute leakage; it was therefore kept inside the training partitions.</w:t>
      </w:r>
    </w:p>
    <w:p w:rsidR="00000000" w:rsidDel="00000000" w:rsidP="00000000" w:rsidRDefault="00000000" w:rsidRPr="00000000" w14:paraId="0000008A">
      <w:pPr>
        <w:pStyle w:val="Heading2"/>
        <w:rPr/>
      </w:pPr>
      <w:r>
        <w:rPr>
          <w:rtl w:val="0"/>
        </w:rPr>
        <w:t xml:space="preserve">Uncertainty quantification, permutation control, and repeated cross-validation</w:t>
      </w:r>
    </w:p>
    <w:p w:rsidR="00000000" w:rsidDel="00000000" w:rsidP="00000000" w:rsidRDefault="00000000" w:rsidRPr="00000000" w14:paraId="0000008B">
      <w:pPr>
        <w:rPr/>
      </w:pPr>
      <w:r>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Pr>
          <w:rtl w:val="0"/>
        </w:rPr>
      </w:r>
      <w:r>
        <w:t xml:space="preserve"> The DeLong test is reported only as a secondary sensitivity check; the bootstrap confidence intervals, the permutation negative control, and the repeated nested cross-validation carry the primary interpretation.</w:t>
      </w:r>
    </w:p>
    <w:p w:rsidR="00000000" w:rsidDel="00000000" w:rsidP="00000000" w:rsidRDefault="00000000" w:rsidRPr="00000000" w14:paraId="0000008C">
      <w:pPr>
        <w:rPr/>
      </w:pPr>
      <w:r>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Pr>
          <w:rtl w:val="0"/>
        </w:rPr>
      </w:r>
    </w:p>
    <w:p w:rsidR="00000000" w:rsidDel="00000000" w:rsidP="00000000" w:rsidRDefault="00000000" w:rsidRPr="00000000" w14:paraId="0000008D">
      <w:pPr>
        <w:rPr/>
      </w:pPr>
      <w:r>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Pr>
          <w:rtl w:val="0"/>
        </w:rPr>
      </w:r>
    </w:p>
    <w:p w:rsidR="00000000" w:rsidDel="00000000" w:rsidP="00000000" w:rsidRDefault="00000000" w:rsidRPr="00000000" w14:paraId="0000008E">
      <w:pPr>
        <w:rPr/>
      </w:pPr>
      <w:r>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Pr>
          <w:rtl w:val="0"/>
        </w:rPr>
      </w:r>
    </w:p>
    <w:p w:rsidR="00000000" w:rsidDel="00000000" w:rsidP="00000000" w:rsidRDefault="00000000" w:rsidRPr="00000000">
      <w:pPr>
        <w:rPr/>
      </w:pPr>
      <w:r>
        <w:rPr>
          <w:rtl w:val="0"/>
        </w:rPr>
        <w:t xml:space="preserve">Resampling unit for the naive baseline. The naive baseline produces five repeat-level predictions per patient (one per repeated-CV run); its AUROC and PR-AUC point estimates are the mean of the five per-repeat values, while operating-point metrics pool the five repeats. The stratified percentile bootstrap resamples patients separately within the pCR and RD strata and, within each resample, recomputes this mean-over-repeats for the naive arm and the single out-of-fold value for the guarded arm; the naive repeat-level predictions were therefore not collapsed to one probability per patient. This procedure matches scripts/07_bootstrap_ci.R.</w:t>
      </w:r>
    </w:p>
    <w:p w:rsidR="00000000" w:rsidDel="00000000" w:rsidP="00000000" w:rsidRDefault="00000000" w:rsidRPr="00000000" w14:paraId="0000008F">
      <w:pPr>
        <w:pStyle w:val="Heading2"/>
        <w:rPr/>
      </w:pPr>
      <w:r>
        <w:rPr>
          <w:rtl w:val="0"/>
        </w:rPr>
        <w:t xml:space="preserve">External validation protocol</w:t>
      </w:r>
    </w:p>
    <w:p w:rsidR="00000000" w:rsidDel="00000000" w:rsidP="00000000" w:rsidRDefault="00000000" w:rsidRPr="00000000" w14:paraId="00000090">
      <w:pPr>
        <w:rPr/>
      </w:pPr>
      <w:r>
        <w:rPr>
          <w:rtl w:val="0"/>
        </w:rPr>
        <w:t>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pCR,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rsidR="00000000" w:rsidDel="00000000" w:rsidP="00000000" w:rsidRDefault="00000000" w:rsidRPr="00000000" w14:paraId="00000091">
      <w:pPr>
        <w:pStyle w:val="Heading2"/>
        <w:rPr/>
      </w:pPr>
      <w:r>
        <w:rPr>
          <w:rtl w:val="0"/>
        </w:rPr>
        <w:t xml:space="preserve">Reproducibility and software availability</w:t>
      </w:r>
    </w:p>
    <w:p w:rsidR="00000000" w:rsidDel="00000000" w:rsidP="00000000" w:rsidRDefault="00000000" w:rsidRPr="00000000" w14:paraId="00000092">
      <w:pPr>
        <w:rPr/>
      </w:pPr>
      <w:r>
        <w:rPr>
          <w:rtl w:val="0"/>
        </w:rP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Zenodo) will accompany the final submission.</w:t>
      </w:r>
      <w:r>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Pr>
          <w:rtl w:val="0"/>
        </w:rPr>
      </w:r>
      <w:r>
        <w:t xml:space="preserve"> A machine-readable evidence-audit artifact and a six-panel evidence-audit dashboard are produced from the committed outputs by scripts/10_build_evidence_audit_artifact.R and scripts/11_plot_evidence_audit_dashboard.R, with no new modeling.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tblHeader/>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Pr>
                <w:rtl w:val="0"/>
              </w:rPr>
            </w:r>
          </w:p>
        </w:tc>
      </w:tr>
      <w:tr>
        <w:trPr>
          <w:cantSplit/>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A8">
      <w:pPr>
        <w:jc w:val="center"/>
        <w:rPr/>
      </w:pPr>
      <w:r>
        <w:rPr/>
        <w:drawing>
          <wp:inline distB="0" distT="0" distL="114300" distR="114300">
            <wp:extent cx="5667375" cy="3019425"/>
            <wp:effectExtent b="0" l="0" r="0" t="0"/>
            <wp:docPr id="2" name="image6.png"/>
            <a:graphic>
              <a:graphicData uri="http://schemas.openxmlformats.org/drawingml/2006/picture">
                <pic:pic>
                  <pic:nvPicPr>
                    <pic:cNvPr id="0" name="image6.png"/>
                    <pic:cNvPicPr preferRelativeResize="0"/>
                  </pic:nvPicPr>
                  <pic:blipFill>
                    <a:blip r:embed="rId7"/>
                    <a:srcRect b="22871" l="0" r="0" t="0"/>
                    <a:stretch>
                      <a:fillRect/>
                    </a:stretch>
                  </pic:blipFill>
                  <pic:spPr>
                    <a:xfrm>
                      <a:off x="0" y="0"/>
                      <a:ext cx="5667375" cy="3019425"/>
                    </a:xfrm>
                    <a:prstGeom prst="rect"/>
                    <a:ln/>
                  </pic:spPr>
                </pic:pic>
              </a:graphicData>
            </a:graphic>
          </wp:inline>
        </w:drawing>
      </w:r>
      <w:r>
        <w:rPr>
          <w:rtl w:val="0"/>
        </w:rPr>
      </w:r>
    </w:p>
    <w:p w:rsidR="00000000" w:rsidDel="00000000" w:rsidP="00000000" w:rsidRDefault="00000000" w:rsidRPr="00000000" w14:paraId="000000A9">
      <w:pPr>
        <w:rPr/>
      </w:pPr>
      <w:r>
        <w:rPr>
          <w:i w:val="1"/>
          <w:iCs w:val="1"/>
          <w:sz w:val="20"/>
          <w:szCs w:val="20"/>
          <w:rtl w:val="0"/>
        </w:rPr>
        <w:t xml:space="preserve">Figure 1. Conceptual comparison of the leaky (global) and guarded (nested) pipelines on GSE25055. The naive baseline intentionally performs supervised feature selection on the full dataset before validation and is evaluated with flat 5×5 repeated cross-validation, whereas the guarded pipeline nests feature selection, scaling, class weighting, and cost tuning inside training folds before outer-fold evaluation. Both use the same linear SVM and t-test top-100 selector.</w:t>
      </w:r>
      <w:r>
        <w:rPr>
          <w:rtl w:val="0"/>
        </w:rPr>
      </w:r>
    </w:p>
    <w:p w:rsidR="00000000" w:rsidDel="00000000" w:rsidP="00000000" w:rsidRDefault="00000000" w:rsidRPr="00000000" w14:paraId="000000AA">
      <w:pPr>
        <w:pStyle w:val="Heading1"/>
        <w:rPr/>
      </w:pPr>
      <w:r>
        <w:rPr>
          <w:b w:val="0"/>
          <w:bCs w:val="0"/>
          <w:rtl w:val="0"/>
        </w:rPr>
        <w:t xml:space="preserve">Results</w:t>
      </w:r>
      <w:r>
        <w:rPr>
          <w:rtl w:val="0"/>
        </w:rPr>
      </w:r>
    </w:p>
    <w:p w:rsidR="00000000" w:rsidDel="00000000" w:rsidP="00000000" w:rsidRDefault="00000000" w:rsidRPr="00000000" w14:paraId="000000AB">
      <w:pPr>
        <w:rPr/>
      </w:pPr>
      <w:r>
        <w:rPr>
          <w:rtl w:val="0"/>
        </w:rPr>
        <w:t xml:space="preserve">The contribution described here is methodological and audit-oriented: the analysis characterizes leakage sensitivity, feature reproducibility, class-imbalance behavior, and external-validation transportability for a leakage-aware linear SVM workflow. It does not claim clinical biomarker discovery.</w:t>
      </w:r>
    </w:p>
    <w:p w:rsidR="00000000" w:rsidDel="00000000" w:rsidP="00000000" w:rsidRDefault="00000000" w:rsidRPr="00000000" w14:paraId="000000AC">
      <w:pPr>
        <w:pStyle w:val="Heading2"/>
        <w:rPr/>
      </w:pPr>
      <w:r>
        <w:rPr>
          <w:b w:val="0"/>
          <w:bCs w:val="0"/>
          <w:rtl w:val="0"/>
        </w:rPr>
        <w:t xml:space="preserve">Cohort construction and endpoint harmonization</w:t>
      </w:r>
      <w:r>
        <w:rPr>
          <w:rtl w:val="0"/>
        </w:rPr>
      </w:r>
    </w:p>
    <w:p w:rsidR="00000000" w:rsidDel="00000000" w:rsidP="00000000" w:rsidRDefault="00000000" w:rsidRPr="00000000" w14:paraId="000000AD">
      <w:pPr>
        <w:rPr/>
      </w:pPr>
      <w:r>
        <w:rPr>
          <w:rtl w:val="0"/>
        </w:rPr>
        <w:t xml:space="preserve">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E">
      <w:pPr>
        <w:rPr/>
      </w:pPr>
      <w:r>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F">
      <w:pPr>
        <w:rPr/>
      </w:pPr>
      <w:r>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tblHeader/>
        </w:trPr>
        <w:tc>
          <w:tcPr>
            <w:shd w:fill="d9eaf7" w:val="clear"/>
          </w:tcPr>
          <w:p w:rsidR="00000000" w:rsidDel="00000000" w:rsidP="00000000" w:rsidRDefault="00000000" w:rsidRPr="00000000" w14:paraId="000000B2">
            <w:pPr>
              <w:spacing w:line="240" w:lineRule="auto"/>
              <w:ind w:firstLine="0"/>
              <w:jc w:val="center"/>
              <w:rPr>
                <w:sz w:val="18"/>
                <w:szCs w:val="18"/>
              </w:rPr>
            </w:pPr>
            <w:r>
              <w:rPr>
                <w:b w:val="1"/>
                <w:bCs w:val="1"/>
                <w:sz w:val="18"/>
                <w:szCs w:val="18"/>
                <w:rtl w:val="0"/>
              </w:rPr>
              <w:t xml:space="preserve">Cohort</w:t>
            </w:r>
            <w:r>
              <w:rPr>
                <w:rtl w:val="0"/>
              </w:rPr>
            </w:r>
          </w:p>
        </w:tc>
        <w:tc>
          <w:tcPr>
            <w:shd w:fill="d9eaf7" w:val="clear"/>
          </w:tcPr>
          <w:p w:rsidR="00000000" w:rsidDel="00000000" w:rsidP="00000000" w:rsidRDefault="00000000" w:rsidRPr="00000000" w14:paraId="000000B3">
            <w:pPr>
              <w:spacing w:line="240" w:lineRule="auto"/>
              <w:ind w:firstLine="0"/>
              <w:jc w:val="center"/>
              <w:rPr>
                <w:sz w:val="18"/>
                <w:szCs w:val="18"/>
              </w:rPr>
            </w:pPr>
            <w:r>
              <w:rPr>
                <w:b w:val="1"/>
                <w:bCs w:val="1"/>
                <w:sz w:val="18"/>
                <w:szCs w:val="18"/>
                <w:rtl w:val="0"/>
              </w:rPr>
              <w:t xml:space="preserve">Role/use</w:t>
            </w:r>
            <w:r>
              <w:rPr>
                <w:rtl w:val="0"/>
              </w:rPr>
            </w:r>
          </w:p>
        </w:tc>
        <w:tc>
          <w:tcPr>
            <w:shd w:fill="d9eaf7" w:val="clear"/>
          </w:tcPr>
          <w:p w:rsidR="00000000" w:rsidDel="00000000" w:rsidP="00000000" w:rsidRDefault="00000000" w:rsidRPr="00000000" w14:paraId="000000B4">
            <w:pPr>
              <w:spacing w:line="240" w:lineRule="auto"/>
              <w:ind w:firstLine="0"/>
              <w:jc w:val="center"/>
              <w:rPr>
                <w:sz w:val="18"/>
                <w:szCs w:val="18"/>
              </w:rPr>
            </w:pPr>
            <w:r>
              <w:rPr>
                <w:b w:val="1"/>
                <w:bCs w:val="1"/>
                <w:sz w:val="18"/>
                <w:szCs w:val="18"/>
                <w:rtl w:val="0"/>
              </w:rPr>
              <w:t xml:space="preserve">Usable labels</w:t>
            </w:r>
            <w:r>
              <w:rPr>
                <w:rtl w:val="0"/>
              </w:rPr>
            </w:r>
          </w:p>
        </w:tc>
        <w:tc>
          <w:tcPr>
            <w:shd w:fill="d9eaf7" w:val="clear"/>
          </w:tcPr>
          <w:p w:rsidR="00000000" w:rsidDel="00000000" w:rsidP="00000000" w:rsidRDefault="00000000" w:rsidRPr="00000000" w14:paraId="000000B5">
            <w:pPr>
              <w:spacing w:line="240" w:lineRule="auto"/>
              <w:ind w:firstLine="0"/>
              <w:jc w:val="center"/>
              <w:rPr>
                <w:sz w:val="18"/>
                <w:szCs w:val="18"/>
              </w:rPr>
            </w:pPr>
            <w:r>
              <w:rPr>
                <w:b w:val="1"/>
                <w:bCs w:val="1"/>
                <w:sz w:val="18"/>
                <w:szCs w:val="18"/>
                <w:rtl w:val="0"/>
              </w:rPr>
              <w:t xml:space="preserve">Audit note</w:t>
            </w:r>
            <w:r>
              <w:rPr>
                <w:rtl w:val="0"/>
              </w:rPr>
            </w:r>
          </w:p>
        </w:tc>
      </w:tr>
      <w:tr>
        <w:trPr>
          <w:cantSplit/>
          <w:tblHeader w:val="0"/>
        </w:trPr>
        <w:tc>
          <w:tcPr/>
          <w:p w:rsidR="00000000" w:rsidDel="00000000" w:rsidP="00000000" w:rsidRDefault="00000000" w:rsidRPr="00000000" w14:paraId="000000B6">
            <w:pPr>
              <w:spacing w:line="240" w:lineRule="auto"/>
              <w:ind w:firstLine="0"/>
              <w:jc w:val="center"/>
              <w:rPr>
                <w:sz w:val="18"/>
                <w:szCs w:val="18"/>
              </w:rPr>
            </w:pPr>
            <w:r>
              <w:rPr>
                <w:sz w:val="18"/>
                <w:szCs w:val="18"/>
                <w:rtl w:val="0"/>
              </w:rPr>
              <w:t xml:space="preserve">GSE25055</w:t>
            </w:r>
          </w:p>
        </w:tc>
        <w:tc>
          <w:tcPr/>
          <w:p w:rsidR="00000000" w:rsidDel="00000000" w:rsidP="00000000" w:rsidRDefault="00000000" w:rsidRPr="00000000" w14:paraId="000000B7">
            <w:pPr>
              <w:spacing w:line="240" w:lineRule="auto"/>
              <w:ind w:firstLine="0"/>
              <w:jc w:val="center"/>
              <w:rPr>
                <w:sz w:val="18"/>
                <w:szCs w:val="18"/>
              </w:rPr>
            </w:pPr>
            <w:r>
              <w:rPr>
                <w:sz w:val="18"/>
                <w:szCs w:val="18"/>
                <w:rtl w:val="0"/>
              </w:rPr>
              <w:t xml:space="preserve">Discovery/internal validation</w:t>
            </w:r>
          </w:p>
        </w:tc>
        <w:tc>
          <w:tcPr/>
          <w:p w:rsidR="00000000" w:rsidDel="00000000" w:rsidP="00000000" w:rsidRDefault="00000000" w:rsidRPr="00000000" w14:paraId="000000B8">
            <w:pPr>
              <w:spacing w:line="240" w:lineRule="auto"/>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0B9">
            <w:pPr>
              <w:spacing w:line="240" w:lineRule="auto"/>
              <w:ind w:firstLine="0"/>
              <w:jc w:val="center"/>
              <w:rPr>
                <w:sz w:val="18"/>
                <w:szCs w:val="18"/>
              </w:rPr>
            </w:pPr>
            <w:r>
              <w:rPr>
                <w:sz w:val="18"/>
                <w:szCs w:val="18"/>
                <w:rtl w:val="0"/>
              </w:rPr>
              <w:t xml:space="preserve">GPL96; 4 missing labels excluded.</w:t>
            </w:r>
          </w:p>
        </w:tc>
      </w:tr>
      <w:tr>
        <w:trPr>
          <w:cantSplit/>
          <w:tblHeader w:val="0"/>
        </w:trPr>
        <w:tc>
          <w:tcPr/>
          <w:p w:rsidR="00000000" w:rsidDel="00000000" w:rsidP="00000000" w:rsidRDefault="00000000" w:rsidRPr="00000000" w14:paraId="000000BA">
            <w:pPr>
              <w:spacing w:line="240" w:lineRule="auto"/>
              <w:ind w:firstLine="0"/>
              <w:jc w:val="center"/>
              <w:rPr>
                <w:sz w:val="18"/>
                <w:szCs w:val="18"/>
              </w:rPr>
            </w:pPr>
            <w:r>
              <w:rPr>
                <w:sz w:val="18"/>
                <w:szCs w:val="18"/>
                <w:rtl w:val="0"/>
              </w:rPr>
              <w:t xml:space="preserve">GSE25065</w:t>
            </w:r>
          </w:p>
        </w:tc>
        <w:tc>
          <w:tcPr/>
          <w:p w:rsidR="00000000" w:rsidDel="00000000" w:rsidP="00000000" w:rsidRDefault="00000000" w:rsidRPr="00000000" w14:paraId="000000BB">
            <w:pPr>
              <w:spacing w:line="240" w:lineRule="auto"/>
              <w:ind w:firstLine="0"/>
              <w:jc w:val="center"/>
              <w:rPr>
                <w:sz w:val="18"/>
                <w:szCs w:val="18"/>
              </w:rPr>
            </w:pPr>
            <w:r>
              <w:rPr>
                <w:sz w:val="18"/>
                <w:szCs w:val="18"/>
                <w:rtl w:val="0"/>
              </w:rPr>
              <w:t xml:space="preserve">Same-platform, same-study-family validation</w:t>
            </w:r>
          </w:p>
        </w:tc>
        <w:tc>
          <w:tcPr/>
          <w:p w:rsidR="00000000" w:rsidDel="00000000" w:rsidP="00000000" w:rsidRDefault="00000000" w:rsidRPr="00000000" w14:paraId="000000BC">
            <w:pPr>
              <w:spacing w:line="240" w:lineRule="auto"/>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0BD">
            <w:pPr>
              <w:spacing w:line="240" w:lineRule="auto"/>
              <w:ind w:firstLine="0"/>
              <w:jc w:val="center"/>
              <w:rPr>
                <w:sz w:val="18"/>
                <w:szCs w:val="18"/>
              </w:rPr>
            </w:pPr>
            <w:r>
              <w:rPr>
                <w:sz w:val="18"/>
                <w:szCs w:val="18"/>
                <w:rtl w:val="0"/>
              </w:rPr>
              <w:t xml:space="preserve">GPL96; 16 missing labels excluded; non-overlapping with GSE25055.</w:t>
            </w:r>
          </w:p>
        </w:tc>
      </w:tr>
      <w:tr>
        <w:trPr>
          <w:cantSplit/>
          <w:tblHeader w:val="0"/>
        </w:trPr>
        <w:tc>
          <w:tcPr/>
          <w:p w:rsidR="00000000" w:rsidDel="00000000" w:rsidP="00000000" w:rsidRDefault="00000000" w:rsidRPr="00000000" w14:paraId="000000BE">
            <w:pPr>
              <w:spacing w:line="240" w:lineRule="auto"/>
              <w:ind w:firstLine="0"/>
              <w:jc w:val="center"/>
              <w:rPr>
                <w:sz w:val="18"/>
                <w:szCs w:val="18"/>
              </w:rPr>
            </w:pPr>
            <w:r>
              <w:rPr>
                <w:sz w:val="18"/>
                <w:szCs w:val="18"/>
                <w:rtl w:val="0"/>
              </w:rPr>
              <w:t xml:space="preserve">GSE41998</w:t>
            </w:r>
          </w:p>
        </w:tc>
        <w:tc>
          <w:tcPr/>
          <w:p w:rsidR="00000000" w:rsidDel="00000000" w:rsidP="00000000" w:rsidRDefault="00000000" w:rsidRPr="00000000" w14:paraId="000000BF">
            <w:pPr>
              <w:spacing w:line="240" w:lineRule="auto"/>
              <w:ind w:firstLine="0"/>
              <w:jc w:val="center"/>
              <w:rPr>
                <w:sz w:val="18"/>
                <w:szCs w:val="18"/>
              </w:rPr>
            </w:pPr>
            <w:r>
              <w:rPr>
                <w:sz w:val="18"/>
                <w:szCs w:val="18"/>
                <w:rtl w:val="0"/>
              </w:rPr>
              <w:t xml:space="preserve">External validation candidate</w:t>
            </w:r>
          </w:p>
        </w:tc>
        <w:tc>
          <w:tcPr/>
          <w:p w:rsidR="00000000" w:rsidDel="00000000" w:rsidP="00000000" w:rsidRDefault="00000000" w:rsidRPr="00000000" w14:paraId="000000C0">
            <w:pPr>
              <w:spacing w:line="240" w:lineRule="auto"/>
              <w:ind w:firstLine="0"/>
              <w:jc w:val="center"/>
              <w:rPr>
                <w:sz w:val="18"/>
                <w:szCs w:val="18"/>
              </w:rPr>
            </w:pPr>
            <w:r>
              <w:rPr>
                <w:sz w:val="18"/>
                <w:szCs w:val="18"/>
                <w:rtl w:val="0"/>
              </w:rPr>
              <w:t xml:space="preserve">253 evaluable (69 pCR, 184 RD)</w:t>
            </w:r>
          </w:p>
        </w:tc>
        <w:tc>
          <w:tcPr/>
          <w:p w:rsidR="00000000" w:rsidDel="00000000" w:rsidP="00000000" w:rsidRDefault="00000000" w:rsidRPr="00000000" w14:paraId="000000C1">
            <w:pPr>
              <w:spacing w:line="240" w:lineRule="auto"/>
              <w:ind w:firstLine="0"/>
              <w:jc w:val="center"/>
              <w:rPr>
                <w:sz w:val="18"/>
                <w:szCs w:val="18"/>
              </w:rPr>
            </w:pPr>
            <w:r>
              <w:rPr>
                <w:sz w:val="18"/>
                <w:szCs w:val="18"/>
                <w:rtl w:val="0"/>
              </w:rPr>
              <w:t xml:space="preserve">GPL571; not used in current modeling because 26 labels are unresolved/missing and cross-platform harmonization is needed.</w:t>
            </w:r>
          </w:p>
        </w:tc>
      </w:tr>
      <w:tr>
        <w:trPr>
          <w:cantSplit/>
          <w:tblHeader w:val="0"/>
        </w:trPr>
        <w:tc>
          <w:tcPr/>
          <w:p w:rsidR="00000000" w:rsidDel="00000000" w:rsidP="00000000" w:rsidRDefault="00000000" w:rsidRPr="00000000" w14:paraId="000000C2">
            <w:pPr>
              <w:spacing w:line="240" w:lineRule="auto"/>
              <w:ind w:firstLine="0"/>
              <w:jc w:val="center"/>
              <w:rPr>
                <w:sz w:val="18"/>
                <w:szCs w:val="18"/>
              </w:rPr>
            </w:pPr>
            <w:r>
              <w:rPr>
                <w:sz w:val="18"/>
                <w:szCs w:val="18"/>
                <w:rtl w:val="0"/>
              </w:rPr>
              <w:t xml:space="preserve">GSE20194</w:t>
            </w:r>
          </w:p>
        </w:tc>
        <w:tc>
          <w:tcPr/>
          <w:p w:rsidR="00000000" w:rsidDel="00000000" w:rsidP="00000000" w:rsidRDefault="00000000" w:rsidRPr="00000000" w14:paraId="000000C3">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4">
            <w:pPr>
              <w:spacing w:line="240" w:lineRule="auto"/>
              <w:ind w:firstLine="0"/>
              <w:jc w:val="center"/>
              <w:rPr>
                <w:sz w:val="18"/>
                <w:szCs w:val="18"/>
              </w:rPr>
            </w:pPr>
            <w:r>
              <w:rPr>
                <w:sz w:val="18"/>
                <w:szCs w:val="18"/>
                <w:rtl w:val="0"/>
              </w:rPr>
              <w:t xml:space="preserve">278 (56 pCR, 222 RD)</w:t>
            </w:r>
          </w:p>
        </w:tc>
        <w:tc>
          <w:tcPr/>
          <w:p w:rsidR="00000000" w:rsidDel="00000000" w:rsidP="00000000" w:rsidRDefault="00000000" w:rsidRPr="00000000" w14:paraId="000000C5">
            <w:pPr>
              <w:spacing w:line="240" w:lineRule="auto"/>
              <w:ind w:firstLine="0"/>
              <w:jc w:val="center"/>
              <w:rPr>
                <w:sz w:val="18"/>
                <w:szCs w:val="18"/>
              </w:rPr>
            </w:pPr>
            <w:r>
              <w:rPr>
                <w:sz w:val="18"/>
                <w:szCs w:val="18"/>
                <w:rtl w:val="0"/>
              </w:rPr>
              <w:t xml:space="preserve">GPL96; held because of MDACC lineage overlap risk.</w:t>
            </w:r>
          </w:p>
        </w:tc>
      </w:tr>
      <w:tr>
        <w:trPr>
          <w:cantSplit/>
          <w:tblHeader w:val="0"/>
        </w:trPr>
        <w:tc>
          <w:tcPr/>
          <w:p w:rsidR="00000000" w:rsidDel="00000000" w:rsidP="00000000" w:rsidRDefault="00000000" w:rsidRPr="00000000" w14:paraId="000000C6">
            <w:pPr>
              <w:spacing w:line="240" w:lineRule="auto"/>
              <w:ind w:firstLine="0"/>
              <w:jc w:val="center"/>
              <w:rPr>
                <w:sz w:val="18"/>
                <w:szCs w:val="18"/>
              </w:rPr>
            </w:pPr>
            <w:r>
              <w:rPr>
                <w:sz w:val="18"/>
                <w:szCs w:val="18"/>
                <w:rtl w:val="0"/>
              </w:rPr>
              <w:t xml:space="preserve">GSE20271</w:t>
            </w:r>
          </w:p>
        </w:tc>
        <w:tc>
          <w:tcPr/>
          <w:p w:rsidR="00000000" w:rsidDel="00000000" w:rsidP="00000000" w:rsidRDefault="00000000" w:rsidRPr="00000000" w14:paraId="000000C7">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8">
            <w:pPr>
              <w:spacing w:line="240" w:lineRule="auto"/>
              <w:ind w:firstLine="0"/>
              <w:jc w:val="center"/>
              <w:rPr>
                <w:sz w:val="18"/>
                <w:szCs w:val="18"/>
              </w:rPr>
            </w:pPr>
            <w:r>
              <w:rPr>
                <w:sz w:val="18"/>
                <w:szCs w:val="18"/>
                <w:rtl w:val="0"/>
              </w:rPr>
              <w:t xml:space="preserve">178 (26 pCR, 152 RD)</w:t>
            </w:r>
          </w:p>
        </w:tc>
        <w:tc>
          <w:tcPr/>
          <w:p w:rsidR="00000000" w:rsidDel="00000000" w:rsidP="00000000" w:rsidRDefault="00000000" w:rsidRPr="00000000" w14:paraId="000000C9">
            <w:pPr>
              <w:spacing w:line="240" w:lineRule="auto"/>
              <w:ind w:firstLine="0"/>
              <w:jc w:val="center"/>
              <w:rPr>
                <w:sz w:val="18"/>
                <w:szCs w:val="18"/>
              </w:rPr>
            </w:pPr>
            <w:r>
              <w:rPr>
                <w:sz w:val="18"/>
                <w:szCs w:val="18"/>
                <w:rtl w:val="0"/>
              </w:rPr>
              <w:t xml:space="preserve">GPL96; held because of MDACC lineage overlap risk.</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CB">
      <w:pPr>
        <w:pStyle w:val="Heading2"/>
        <w:rPr/>
      </w:pPr>
      <w:r>
        <w:rPr>
          <w:b w:val="0"/>
          <w:bCs w:val="0"/>
          <w:rtl w:val="0"/>
        </w:rPr>
        <w:t xml:space="preserve">Leaky versus guarded nested linear SVM performance</w:t>
      </w:r>
      <w:r>
        <w:rPr>
          <w:rtl w:val="0"/>
        </w:rPr>
      </w:r>
    </w:p>
    <w:p w:rsidR="00000000" w:rsidDel="00000000" w:rsidP="00000000" w:rsidRDefault="00000000" w:rsidRPr="00000000" w14:paraId="000000CC">
      <w:pPr>
        <w:rPr/>
      </w:pPr>
      <w:r>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D">
      <w:pPr>
        <w:rPr/>
      </w:pPr>
      <w:r>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E">
      <w:pPr>
        <w:ind w:firstLine="270"/>
        <w:rPr/>
      </w:pPr>
      <w:r>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 These intervals are visualized in Figure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linear SVM Performance on GSE25055</w:t>
      </w:r>
      <w:r>
        <w:rPr>
          <w:rtl w:val="0"/>
        </w:rPr>
      </w:r>
    </w:p>
    <w:p w:rsidR="00000000" w:rsidDel="00000000" w:rsidP="00000000" w:rsidRDefault="00000000" w:rsidRPr="00000000" w14:paraId="000000D1">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715"/>
        <w:gridCol w:w="2340"/>
        <w:gridCol w:w="2340"/>
        <w:tblGridChange w:id="0">
          <w:tblGrid>
            <w:gridCol w:w="1965"/>
            <w:gridCol w:w="2715"/>
            <w:gridCol w:w="2340"/>
            <w:gridCol w:w="2340"/>
          </w:tblGrid>
        </w:tblGridChange>
      </w:tblGrid>
      <w:tr>
        <w:trPr>
          <w:cantSplit/>
          <w:tblHeader/>
        </w:trPr>
        <w:tc>
          <w:tcPr>
            <w:shd w:fill="d9eaf7" w:val="clear"/>
          </w:tcPr>
          <w:p w:rsidR="00000000" w:rsidDel="00000000" w:rsidP="00000000" w:rsidRDefault="00000000" w:rsidRPr="00000000" w14:paraId="000000D2">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0D3">
            <w:pPr>
              <w:ind w:firstLine="0"/>
              <w:jc w:val="center"/>
              <w:rPr>
                <w:sz w:val="18"/>
                <w:szCs w:val="18"/>
              </w:rPr>
            </w:pPr>
            <w:r>
              <w:rPr>
                <w:b w:val="1"/>
                <w:bCs w:val="1"/>
                <w:sz w:val="18"/>
                <w:szCs w:val="18"/>
                <w:rtl w:val="0"/>
              </w:rPr>
              <w:t xml:space="preserve">Leaky baseline</w:t>
            </w:r>
            <w:r>
              <w:rPr>
                <w:rtl w:val="0"/>
              </w:rPr>
            </w:r>
          </w:p>
        </w:tc>
        <w:tc>
          <w:tcPr>
            <w:shd w:fill="d9eaf7" w:val="clear"/>
          </w:tcPr>
          <w:p w:rsidR="00000000" w:rsidDel="00000000" w:rsidP="00000000" w:rsidRDefault="00000000" w:rsidRPr="00000000" w14:paraId="000000D4">
            <w:pPr>
              <w:ind w:firstLine="0"/>
              <w:jc w:val="center"/>
              <w:rPr>
                <w:sz w:val="18"/>
                <w:szCs w:val="18"/>
              </w:rPr>
            </w:pPr>
            <w:r>
              <w:rPr>
                <w:b w:val="1"/>
                <w:bCs w:val="1"/>
                <w:sz w:val="18"/>
                <w:szCs w:val="18"/>
                <w:rtl w:val="0"/>
              </w:rPr>
              <w:t xml:space="preserve">Guarded nested linear SVM</w:t>
            </w:r>
            <w:r>
              <w:rPr>
                <w:rtl w:val="0"/>
              </w:rPr>
            </w:r>
          </w:p>
        </w:tc>
        <w:tc>
          <w:tcPr>
            <w:shd w:fill="d9eaf7" w:val="clear"/>
          </w:tcPr>
          <w:p w:rsidR="00000000" w:rsidDel="00000000" w:rsidP="00000000" w:rsidRDefault="00000000" w:rsidRPr="00000000" w14:paraId="000000D5">
            <w:pPr>
              <w:ind w:firstLine="0"/>
              <w:jc w:val="center"/>
              <w:rPr>
                <w:sz w:val="18"/>
                <w:szCs w:val="18"/>
              </w:rPr>
            </w:pPr>
            <w:r>
              <w:rPr>
                <w:b w:val="1"/>
                <w:bCs w:val="1"/>
                <w:sz w:val="18"/>
                <w:szCs w:val="18"/>
                <w:rtl w:val="0"/>
              </w:rPr>
              <w:t xml:space="preserve">Leaky - guarded gap</w:t>
            </w:r>
            <w:r>
              <w:rPr>
                <w:rtl w:val="0"/>
              </w:rPr>
            </w:r>
          </w:p>
        </w:tc>
      </w:tr>
      <w:tr>
        <w:trPr>
          <w:cantSplit/>
          <w:trHeight w:val="502.4560546875" w:hRule="atLeast"/>
          <w:tblHeader w:val="0"/>
        </w:trPr>
        <w:tc>
          <w:tcPr/>
          <w:p w:rsidR="00000000" w:rsidDel="00000000" w:rsidP="00000000" w:rsidRDefault="00000000" w:rsidRPr="00000000" w14:paraId="000000D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AUROC</w:t>
            </w:r>
            <w:r>
              <w:rPr>
                <w:rtl w:val="0"/>
              </w:rPr>
            </w:r>
          </w:p>
        </w:tc>
        <w:tc>
          <w:tcPr/>
          <w:p w:rsidR="00000000" w:rsidDel="00000000" w:rsidP="00000000" w:rsidRDefault="00000000" w:rsidRPr="00000000" w14:paraId="000000D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 (0.711–0.824)</w:t>
            </w:r>
            <w:r>
              <w:rPr>
                <w:rtl w:val="0"/>
              </w:rPr>
            </w:r>
          </w:p>
        </w:tc>
        <w:tc>
          <w:tcPr/>
          <w:p w:rsidR="00000000" w:rsidDel="00000000" w:rsidP="00000000" w:rsidRDefault="00000000" w:rsidRPr="00000000" w14:paraId="000000D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 (0.653–0.791)</w:t>
            </w:r>
            <w:r>
              <w:rPr>
                <w:rtl w:val="0"/>
              </w:rPr>
            </w:r>
          </w:p>
        </w:tc>
        <w:tc>
          <w:tcPr/>
          <w:p w:rsidR="00000000" w:rsidDel="00000000" w:rsidP="00000000" w:rsidRDefault="00000000" w:rsidRPr="00000000" w14:paraId="000000D9">
            <w:pPr>
              <w:ind w:firstLine="0"/>
              <w:jc w:val="center"/>
              <w:rPr>
                <w:sz w:val="18"/>
                <w:szCs w:val="18"/>
              </w:rPr>
            </w:pPr>
            <w:r>
              <w:rPr>
                <w:rFonts w:ascii="Gungsuh" w:cs="Gungsuh" w:eastAsia="Gungsuh" w:hAnsi="Gungsuh"/>
                <w:b w:val="0"/>
                <w:bCs w:val="0"/>
                <w:i w:val="0"/>
                <w:iCs w:val="0"/>
                <w:sz w:val="18"/>
                <w:szCs w:val="18"/>
                <w:rtl w:val="0"/>
              </w:rPr>
              <w:t xml:space="preserve">+0.044 (95% CI −0.013 to +0.103; bootstrap p = 0.13)</w:t>
            </w:r>
            <w:r>
              <w:rPr>
                <w:rtl w:val="0"/>
              </w:rPr>
            </w:r>
          </w:p>
        </w:tc>
      </w:tr>
      <w:tr>
        <w:trPr>
          <w:cantSplit/>
          <w:tblHeader w:val="0"/>
        </w:trPr>
        <w:tc>
          <w:tcPr/>
          <w:p w:rsidR="00000000" w:rsidDel="00000000" w:rsidP="00000000" w:rsidRDefault="00000000" w:rsidRPr="00000000" w14:paraId="000000D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PR-AUC</w:t>
            </w:r>
            <w:r>
              <w:rPr>
                <w:rtl w:val="0"/>
              </w:rPr>
            </w:r>
          </w:p>
        </w:tc>
        <w:tc>
          <w:tcPr/>
          <w:p w:rsidR="00000000" w:rsidDel="00000000" w:rsidP="00000000" w:rsidRDefault="00000000" w:rsidRPr="00000000" w14:paraId="000000D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0.4016 (0.333–0.497)</w:t>
            </w:r>
            <w:r>
              <w:rPr>
                <w:rtl w:val="0"/>
              </w:rPr>
            </w:r>
          </w:p>
        </w:tc>
        <w:tc>
          <w:tcPr/>
          <w:p w:rsidR="00000000" w:rsidDel="00000000" w:rsidP="00000000" w:rsidRDefault="00000000" w:rsidRPr="00000000" w14:paraId="000000D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0.3653 (0.281–0.472)</w:t>
            </w:r>
            <w:r>
              <w:rPr>
                <w:rtl w:val="0"/>
              </w:rPr>
            </w:r>
          </w:p>
        </w:tc>
        <w:tc>
          <w:tcPr/>
          <w:p w:rsidR="00000000" w:rsidDel="00000000" w:rsidP="00000000" w:rsidRDefault="00000000" w:rsidRPr="00000000" w14:paraId="000000DD">
            <w:pPr>
              <w:ind w:firstLine="0"/>
              <w:jc w:val="center"/>
              <w:rPr>
                <w:sz w:val="18"/>
                <w:szCs w:val="18"/>
              </w:rPr>
            </w:pPr>
            <w:r>
              <w:rPr>
                <w:rFonts w:ascii="Gungsuh" w:cs="Gungsuh" w:eastAsia="Gungsuh" w:hAnsi="Gungsuh"/>
                <w:b w:val="0"/>
                <w:bCs w:val="0"/>
                <w:i w:val="0"/>
                <w:iCs w:val="0"/>
                <w:sz w:val="18"/>
                <w:szCs w:val="18"/>
                <w:rtl w:val="0"/>
              </w:rPr>
              <w:t xml:space="preserve">+0.036 (−0.048 to +0.125; p = 0.38)</w:t>
            </w:r>
            <w:r>
              <w:rPr>
                <w:rtl w:val="0"/>
              </w:rPr>
            </w:r>
          </w:p>
        </w:tc>
      </w:tr>
      <w:tr>
        <w:trPr>
          <w:cantSplit/>
          <w:tblHeader w:val="0"/>
        </w:trPr>
        <w:tc>
          <w:tcPr/>
          <w:p w:rsidR="00000000" w:rsidDel="00000000" w:rsidP="00000000" w:rsidRDefault="00000000" w:rsidRPr="00000000" w14:paraId="000000D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Balanced accuracy</w:t>
            </w:r>
            <w:r>
              <w:rPr>
                <w:rtl w:val="0"/>
              </w:rPr>
            </w:r>
          </w:p>
        </w:tc>
        <w:tc>
          <w:tcPr/>
          <w:p w:rsidR="00000000" w:rsidDel="00000000" w:rsidP="00000000" w:rsidRDefault="00000000" w:rsidRPr="00000000" w14:paraId="000000D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0.5546 (0.525–0.586)</w:t>
            </w:r>
            <w:r>
              <w:rPr>
                <w:rtl w:val="0"/>
              </w:rPr>
            </w:r>
          </w:p>
        </w:tc>
        <w:tc>
          <w:tcPr/>
          <w:p w:rsidR="00000000" w:rsidDel="00000000" w:rsidP="00000000" w:rsidRDefault="00000000" w:rsidRPr="00000000" w14:paraId="000000E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0.5792 (0.527–0.633)</w:t>
            </w:r>
            <w:r>
              <w:rPr>
                <w:rtl w:val="0"/>
              </w:rPr>
            </w:r>
          </w:p>
        </w:tc>
        <w:tc>
          <w:tcPr/>
          <w:p w:rsidR="00000000" w:rsidDel="00000000" w:rsidP="00000000" w:rsidRDefault="00000000" w:rsidRPr="00000000" w14:paraId="000000E1">
            <w:pPr>
              <w:ind w:firstLine="0"/>
              <w:jc w:val="center"/>
              <w:rPr>
                <w:sz w:val="18"/>
                <w:szCs w:val="18"/>
              </w:rPr>
            </w:pPr>
            <w:r>
              <w:rPr>
                <w:rFonts w:ascii="Gungsuh" w:cs="Gungsuh" w:eastAsia="Gungsuh" w:hAnsi="Gungsuh"/>
                <w:b w:val="0"/>
                <w:bCs w:val="0"/>
                <w:i w:val="0"/>
                <w:iCs w:val="0"/>
                <w:sz w:val="18"/>
                <w:szCs w:val="18"/>
                <w:rtl w:val="0"/>
              </w:rPr>
              <w:t xml:space="preserve">−0.025</w:t>
            </w:r>
            <w:r>
              <w:rPr>
                <w:rtl w:val="0"/>
              </w:rPr>
            </w:r>
          </w:p>
        </w:tc>
      </w:tr>
      <w:tr>
        <w:trPr>
          <w:cantSplit/>
          <w:tblHeader w:val="0"/>
        </w:trPr>
        <w:tc>
          <w:tcPr/>
          <w:p w:rsidR="00000000" w:rsidDel="00000000" w:rsidP="00000000" w:rsidRDefault="00000000" w:rsidRPr="00000000" w14:paraId="000000E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MCC</w:t>
            </w:r>
            <w:r>
              <w:rPr>
                <w:rtl w:val="0"/>
              </w:rPr>
            </w:r>
          </w:p>
        </w:tc>
        <w:tc>
          <w:tcPr/>
          <w:p w:rsidR="00000000" w:rsidDel="00000000" w:rsidP="00000000" w:rsidRDefault="00000000" w:rsidRPr="00000000" w14:paraId="000000E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0.2064 (0.105–0.298)</w:t>
            </w:r>
            <w:r>
              <w:rPr>
                <w:rtl w:val="0"/>
              </w:rPr>
            </w:r>
          </w:p>
        </w:tc>
        <w:tc>
          <w:tcPr/>
          <w:p w:rsidR="00000000" w:rsidDel="00000000" w:rsidP="00000000" w:rsidRDefault="00000000" w:rsidRPr="00000000" w14:paraId="000000E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0.2250 (0.075–0.360)</w:t>
            </w:r>
            <w:r>
              <w:rPr>
                <w:rtl w:val="0"/>
              </w:rPr>
            </w:r>
          </w:p>
        </w:tc>
        <w:tc>
          <w:tcPr/>
          <w:p w:rsidR="00000000" w:rsidDel="00000000" w:rsidP="00000000" w:rsidRDefault="00000000" w:rsidRPr="00000000" w14:paraId="000000E5">
            <w:pPr>
              <w:ind w:firstLine="0"/>
              <w:jc w:val="center"/>
              <w:rPr>
                <w:sz w:val="18"/>
                <w:szCs w:val="18"/>
              </w:rPr>
            </w:pPr>
            <w:r>
              <w:rPr>
                <w:rFonts w:ascii="Gungsuh" w:cs="Gungsuh" w:eastAsia="Gungsuh" w:hAnsi="Gungsuh"/>
                <w:b w:val="0"/>
                <w:bCs w:val="0"/>
                <w:i w:val="0"/>
                <w:iCs w:val="0"/>
                <w:sz w:val="18"/>
                <w:szCs w:val="18"/>
                <w:rtl w:val="0"/>
              </w:rPr>
              <w:t xml:space="preserve">−0.019</w:t>
            </w:r>
            <w:r>
              <w:rPr>
                <w:rtl w:val="0"/>
              </w:rPr>
            </w:r>
          </w:p>
        </w:tc>
      </w:tr>
      <w:tr>
        <w:trPr>
          <w:cantSplit/>
          <w:tblHeader w:val="0"/>
        </w:trPr>
        <w:tc>
          <w:tcPr/>
          <w:p w:rsidR="00000000" w:rsidDel="00000000" w:rsidP="00000000" w:rsidRDefault="00000000" w:rsidRPr="00000000" w14:paraId="000000E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Sensitivity (pCR)</w:t>
            </w:r>
            <w:r>
              <w:rPr>
                <w:rtl w:val="0"/>
              </w:rPr>
            </w:r>
          </w:p>
        </w:tc>
        <w:tc>
          <w:tcPr/>
          <w:p w:rsidR="00000000" w:rsidDel="00000000" w:rsidP="00000000" w:rsidRDefault="00000000" w:rsidRPr="00000000" w14:paraId="000000E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0.1333 (0.074–0.197)</w:t>
            </w:r>
            <w:r>
              <w:rPr>
                <w:rtl w:val="0"/>
              </w:rPr>
            </w:r>
          </w:p>
        </w:tc>
        <w:tc>
          <w:tcPr/>
          <w:p w:rsidR="00000000" w:rsidDel="00000000" w:rsidP="00000000" w:rsidRDefault="00000000" w:rsidRPr="00000000" w14:paraId="000000E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0.2105 (0.105–0.316)</w:t>
            </w:r>
            <w:r>
              <w:rPr>
                <w:rtl w:val="0"/>
              </w:rPr>
            </w:r>
          </w:p>
        </w:tc>
        <w:tc>
          <w:tcPr/>
          <w:p w:rsidR="00000000" w:rsidDel="00000000" w:rsidP="00000000" w:rsidRDefault="00000000" w:rsidRPr="00000000" w14:paraId="000000E9">
            <w:pPr>
              <w:ind w:firstLine="0"/>
              <w:jc w:val="center"/>
              <w:rPr>
                <w:sz w:val="18"/>
                <w:szCs w:val="18"/>
              </w:rPr>
            </w:pPr>
            <w:r>
              <w:rPr>
                <w:rFonts w:ascii="Gungsuh" w:cs="Gungsuh" w:eastAsia="Gungsuh" w:hAnsi="Gungsuh"/>
                <w:b w:val="0"/>
                <w:bCs w:val="0"/>
                <w:i w:val="0"/>
                <w:iCs w:val="0"/>
                <w:sz w:val="18"/>
                <w:szCs w:val="18"/>
                <w:rtl w:val="0"/>
              </w:rPr>
              <w:t xml:space="preserve">−0.077</w:t>
            </w:r>
            <w:r>
              <w:rPr>
                <w:rtl w:val="0"/>
              </w:rPr>
            </w:r>
          </w:p>
        </w:tc>
      </w:tr>
      <w:tr>
        <w:trPr>
          <w:cantSplit/>
          <w:tblHeader w:val="0"/>
        </w:trPr>
        <w:tc>
          <w:tcPr/>
          <w:p w:rsidR="00000000" w:rsidDel="00000000" w:rsidP="00000000" w:rsidRDefault="00000000" w:rsidRPr="00000000" w14:paraId="000000E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Specificity</w:t>
            </w:r>
            <w:r>
              <w:rPr>
                <w:rtl w:val="0"/>
              </w:rPr>
            </w:r>
          </w:p>
        </w:tc>
        <w:tc>
          <w:tcPr/>
          <w:p w:rsidR="00000000" w:rsidDel="00000000" w:rsidP="00000000" w:rsidRDefault="00000000" w:rsidRPr="00000000" w14:paraId="000000E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0.9759 (0.964–0.986)</w:t>
            </w:r>
            <w:r>
              <w:rPr>
                <w:rtl w:val="0"/>
              </w:rPr>
            </w:r>
          </w:p>
        </w:tc>
        <w:tc>
          <w:tcPr/>
          <w:p w:rsidR="00000000" w:rsidDel="00000000" w:rsidP="00000000" w:rsidRDefault="00000000" w:rsidRPr="00000000" w14:paraId="000000E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0.9478 (0.916–0.972)</w:t>
            </w:r>
            <w:r>
              <w:rPr>
                <w:rtl w:val="0"/>
              </w:rPr>
            </w:r>
          </w:p>
        </w:tc>
        <w:tc>
          <w:tcPr/>
          <w:p w:rsidR="00000000" w:rsidDel="00000000" w:rsidP="00000000" w:rsidRDefault="00000000" w:rsidRPr="00000000" w14:paraId="000000E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+0.028</w:t>
            </w:r>
            <w:r>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Pr>
          <w:rtl w:val="0"/>
        </w:rPr>
      </w:r>
    </w:p>
    <w:p w:rsidR="00000000" w:rsidDel="00000000" w:rsidP="00000000" w:rsidRDefault="00000000" w:rsidRPr="00000000" w14:paraId="000000EF">
      <w:pPr>
        <w:jc w:val="center"/>
        <w:rPr/>
      </w:pPr>
      <w:r>
        <w:rPr/>
        <w:drawing>
          <wp:inline distB="0" distT="0" distL="114300" distR="114300">
            <wp:extent cx="5760720" cy="263275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32759"/>
                    </a:xfrm>
                    <a:prstGeom prst="rect"/>
                    <a:ln/>
                  </pic:spPr>
                </pic:pic>
              </a:graphicData>
            </a:graphic>
          </wp:inline>
        </w:drawing>
      </w:r>
      <w:r>
        <w:rPr>
          <w:rtl w:val="0"/>
        </w:rPr>
      </w:r>
    </w:p>
    <w:p w:rsidR="00000000" w:rsidDel="00000000" w:rsidP="00000000" w:rsidRDefault="00000000" w:rsidRPr="00000000" w14:paraId="000000F0">
      <w:pPr>
        <w:rPr/>
      </w:pPr>
      <w:r>
        <w:rPr>
          <w:i w:val="1"/>
          <w:iCs w:val="1"/>
          <w:sz w:val="20"/>
          <w:szCs w:val="20"/>
          <w:rtl w:val="0"/>
        </w:rPr>
        <w:t xml:space="preserve">Figure 2. Leaky versus guarded discrimination on GSE25055 with 95% bootstrap confidence intervals (AUROC and PR-AUC). The leaky and guarded intervals overlap, consistent with a positive but modest leakage gap whose confidence interval includes zero.</w:t>
      </w:r>
      <w:r>
        <w:rPr>
          <w:rtl w:val="0"/>
        </w:rPr>
      </w:r>
    </w:p>
    <w:p w:rsidR="00000000" w:rsidDel="00000000" w:rsidP="00000000" w:rsidRDefault="00000000" w:rsidRPr="00000000" w14:paraId="000000F1">
      <w:pPr>
        <w:pStyle w:val="Heading2"/>
        <w:rPr/>
      </w:pPr>
      <w:r>
        <w:rPr>
          <w:rtl w:val="0"/>
        </w:rPr>
        <w:t xml:space="preserve">Uncertainty quantification for the leakage gap</w:t>
      </w:r>
    </w:p>
    <w:p w:rsidR="00000000" w:rsidDel="00000000" w:rsidP="00000000" w:rsidRDefault="00000000" w:rsidRPr="00000000" w14:paraId="000000F2">
      <w:pPr>
        <w:rPr/>
      </w:pPr>
      <w:r>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pPr>
        <w:pStyle w:val="Heading2"/>
        <w:rPr/>
      </w:pPr>
      <w:r>
        <w:rPr>
          <w:rtl w:val="0"/>
        </w:rPr>
        <w:t xml:space="preserve">Sensitivity to the feature-selection budget (top-K sweep)</w:t>
      </w:r>
    </w:p>
    <w:p w:rsidR="00000000" w:rsidDel="00000000" w:rsidP="00000000" w:rsidRDefault="00000000" w:rsidRPr="00000000">
      <w:pPr>
        <w:rPr/>
      </w:pPr>
      <w:r>
        <w:rPr>
          <w:rFonts w:ascii="Cardo" w:cs="Cardo" w:eastAsia="Cardo" w:hAnsi="Cardo"/>
          <w:rtl w:val="0"/>
        </w:rPr>
        <w:t xml:space="preserve">To test whether the leakage gap depends on the size of the feature-selection budget, the Welch t-test selector was held fixed and the top-K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6 and the committed summary table. This is a within-cohort sensitivity analysis of the feature-selection budget and does not test sensitivity to the model class.</w:t>
      </w:r>
    </w:p>
    <w:p w:rsidR="00000000" w:rsidDel="00000000" w:rsidP="00000000" w:rsidRDefault="00000000" w:rsidRPr="00000000">
      <w:pPr>
        <w:rPr/>
      </w:pPr>
      <w:r>
        <w:rPr>
          <w:rFonts w:ascii="Times New Roman" w:cs="Times New Roman" w:eastAsia="Times New Roman" w:hAnsi="Times New Roman"/>
          <w:b w:val="0"/>
          <w:bCs w:val="0"/>
          <w:i w:val="0"/>
          <w:iCs w:val="0"/>
          <w:color w:val="000000"/>
          <w:sz w:val="24"/>
          <w:szCs w:val="24"/>
          <w:rtl w:val="0"/>
        </w:rPr>
        <w:t xml:space="preserve">Table 6</w:t>
      </w:r>
    </w:p>
    <w:p w:rsidR="00000000" w:rsidDel="00000000" w:rsidP="00000000" w:rsidRDefault="00000000" w:rsidRPr="00000000">
      <w:pPr>
        <w:rPr/>
      </w:pPr>
      <w:r>
        <w:rPr>
          <w:rFonts w:ascii="Times New Roman" w:cs="Times New Roman" w:eastAsia="Times New Roman" w:hAnsi="Times New Roman"/>
          <w:b w:val="0"/>
          <w:bCs w:val="0"/>
          <w:i w:val="1"/>
          <w:iCs w:val="1"/>
          <w:color w:val="000000"/>
          <w:sz w:val="24"/>
          <w:szCs w:val="24"/>
          <w:rtl w:val="0"/>
        </w:rPr>
        <w:t xml:space="preserve">Selector Top-K Sweep: Leakage Gap and Feature Stability on GSE25055</w:t>
      </w:r>
    </w:p>
    <w:p w:rsidR="00000000" w:rsidDel="00000000" w:rsidP="00000000" w:rsidRDefault="00000000" w:rsidRPr="00000000">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
        <w:gridCol w:w="900"/>
        <w:gridCol w:w="900"/>
        <w:gridCol w:w="760"/>
        <w:gridCol w:w="900"/>
        <w:gridCol w:w="900"/>
        <w:gridCol w:w="760"/>
        <w:gridCol w:w="820"/>
        <w:gridCol w:w="940"/>
        <w:gridCol w:w="920"/>
        <w:gridCol w:w="940"/>
      </w:tblGrid>
      <w:tr>
        <w:trPr>
          <w:cantSplit/>
          <w:tblHeader/>
        </w:trPr>
        <w:tc>
          <w:tcPr>
            <w:shd w:fill="d9eaf7" w:val="clear"/>
          </w:tcPr>
          <w:p>
            <w:pPr>
              <w:ind w:firstLine="0"/>
              <w:jc w:val="center"/>
              <w:rPr>
                <w:sz w:val="16"/>
                <w:szCs w:val="16"/>
              </w:rPr>
            </w:pPr>
            <w:r>
              <w:rPr>
                <w:b w:val="1"/>
                <w:bCs w:val="1"/>
                <w:sz w:val="16"/>
                <w:szCs w:val="16"/>
                <w:rtl w:val="0"/>
              </w:rPr>
              <w:t xml:space="preserve">K</w:t>
            </w:r>
          </w:p>
        </w:tc>
        <w:tc>
          <w:tcPr>
            <w:shd w:fill="d9eaf7" w:val="clear"/>
          </w:tcPr>
          <w:p>
            <w:pPr>
              <w:ind w:firstLine="0"/>
              <w:jc w:val="center"/>
              <w:rPr>
                <w:sz w:val="16"/>
                <w:szCs w:val="16"/>
              </w:rPr>
            </w:pPr>
            <w:r>
              <w:rPr>
                <w:b w:val="1"/>
                <w:bCs w:val="1"/>
                <w:sz w:val="16"/>
                <w:szCs w:val="16"/>
                <w:rtl w:val="0"/>
              </w:rPr>
              <w:t xml:space="preserve">Leaky AUROC</w:t>
            </w:r>
          </w:p>
        </w:tc>
        <w:tc>
          <w:tcPr>
            <w:shd w:fill="d9eaf7" w:val="clear"/>
          </w:tcPr>
          <w:p>
            <w:pPr>
              <w:ind w:firstLine="0"/>
              <w:jc w:val="center"/>
              <w:rPr>
                <w:sz w:val="16"/>
                <w:szCs w:val="16"/>
              </w:rPr>
            </w:pPr>
            <w:r>
              <w:rPr>
                <w:b w:val="1"/>
                <w:bCs w:val="1"/>
                <w:sz w:val="16"/>
                <w:szCs w:val="16"/>
                <w:rtl w:val="0"/>
              </w:rPr>
              <w:t xml:space="preserve">Guarded AUROC</w:t>
            </w:r>
          </w:p>
        </w:tc>
        <w:tc>
          <w:tcPr>
            <w:shd w:fill="d9eaf7" w:val="clear"/>
          </w:tcPr>
          <w:p>
            <w:pPr>
              <w:ind w:firstLine="0"/>
              <w:jc w:val="center"/>
              <w:rPr>
                <w:sz w:val="16"/>
                <w:szCs w:val="16"/>
              </w:rPr>
            </w:pPr>
            <w:r>
              <w:rPr>
                <w:b w:val="1"/>
                <w:bCs w:val="1"/>
                <w:sz w:val="16"/>
                <w:szCs w:val="16"/>
                <w:rtl w:val="0"/>
              </w:rPr>
              <w:t xml:space="preserve">ΔAUROC</w:t>
            </w:r>
          </w:p>
        </w:tc>
        <w:tc>
          <w:tcPr>
            <w:shd w:fill="d9eaf7" w:val="clear"/>
          </w:tcPr>
          <w:p>
            <w:pPr>
              <w:ind w:firstLine="0"/>
              <w:jc w:val="center"/>
              <w:rPr>
                <w:sz w:val="16"/>
                <w:szCs w:val="16"/>
              </w:rPr>
            </w:pPr>
            <w:r>
              <w:rPr>
                <w:b w:val="1"/>
                <w:bCs w:val="1"/>
                <w:sz w:val="16"/>
                <w:szCs w:val="16"/>
                <w:rtl w:val="0"/>
              </w:rPr>
              <w:t xml:space="preserve">Leaky PR-AUC</w:t>
            </w:r>
          </w:p>
        </w:tc>
        <w:tc>
          <w:tcPr>
            <w:shd w:fill="d9eaf7" w:val="clear"/>
          </w:tcPr>
          <w:p>
            <w:pPr>
              <w:ind w:firstLine="0"/>
              <w:jc w:val="center"/>
              <w:rPr>
                <w:sz w:val="16"/>
                <w:szCs w:val="16"/>
              </w:rPr>
            </w:pPr>
            <w:r>
              <w:rPr>
                <w:b w:val="1"/>
                <w:bCs w:val="1"/>
                <w:sz w:val="16"/>
                <w:szCs w:val="16"/>
                <w:rtl w:val="0"/>
              </w:rPr>
              <w:t xml:space="preserve">Guarded PR-AUC</w:t>
            </w:r>
          </w:p>
        </w:tc>
        <w:tc>
          <w:tcPr>
            <w:shd w:fill="d9eaf7" w:val="clear"/>
          </w:tcPr>
          <w:p>
            <w:pPr>
              <w:ind w:firstLine="0"/>
              <w:jc w:val="center"/>
              <w:rPr>
                <w:sz w:val="16"/>
                <w:szCs w:val="16"/>
              </w:rPr>
            </w:pPr>
            <w:r>
              <w:rPr>
                <w:b w:val="1"/>
                <w:bCs w:val="1"/>
                <w:sz w:val="16"/>
                <w:szCs w:val="16"/>
                <w:rtl w:val="0"/>
              </w:rPr>
              <w:t xml:space="preserve">ΔPR-AUC</w:t>
            </w:r>
          </w:p>
        </w:tc>
        <w:tc>
          <w:tcPr>
            <w:shd w:fill="d9eaf7" w:val="clear"/>
          </w:tcPr>
          <w:p>
            <w:pPr>
              <w:ind w:firstLine="0"/>
              <w:jc w:val="center"/>
              <w:rPr>
                <w:sz w:val="16"/>
                <w:szCs w:val="16"/>
              </w:rPr>
            </w:pPr>
            <w:r>
              <w:rPr>
                <w:b w:val="1"/>
                <w:bCs w:val="1"/>
                <w:sz w:val="16"/>
                <w:szCs w:val="16"/>
                <w:rtl w:val="0"/>
              </w:rPr>
              <w:t xml:space="preserve">Nogueira</w:t>
            </w:r>
          </w:p>
        </w:tc>
        <w:tc>
          <w:tcPr>
            <w:shd w:fill="d9eaf7" w:val="clear"/>
          </w:tcPr>
          <w:p>
            <w:pPr>
              <w:ind w:firstLine="0"/>
              <w:jc w:val="center"/>
              <w:rPr>
                <w:sz w:val="16"/>
                <w:szCs w:val="16"/>
              </w:rPr>
            </w:pPr>
            <w:r>
              <w:rPr>
                <w:b w:val="1"/>
                <w:bCs w:val="1"/>
                <w:sz w:val="16"/>
                <w:szCs w:val="16"/>
                <w:rtl w:val="0"/>
              </w:rPr>
              <w:t xml:space="preserve">Mean Jaccard</w:t>
            </w:r>
          </w:p>
        </w:tc>
        <w:tc>
          <w:tcPr>
            <w:shd w:fill="d9eaf7" w:val="clear"/>
          </w:tcPr>
          <w:p>
            <w:pPr>
              <w:ind w:firstLine="0"/>
              <w:jc w:val="center"/>
              <w:rPr>
                <w:sz w:val="16"/>
                <w:szCs w:val="16"/>
              </w:rPr>
            </w:pPr>
            <w:r>
              <w:rPr>
                <w:b w:val="1"/>
                <w:bCs w:val="1"/>
                <w:sz w:val="16"/>
                <w:szCs w:val="16"/>
                <w:rtl w:val="0"/>
              </w:rPr>
              <w:t xml:space="preserve">Stable core</w:t>
            </w:r>
          </w:p>
        </w:tc>
        <w:tc>
          <w:tcPr>
            <w:shd w:fill="d9eaf7" w:val="clear"/>
          </w:tcPr>
          <w:p>
            <w:pPr>
              <w:ind w:firstLine="0"/>
              <w:jc w:val="center"/>
              <w:rPr>
                <w:sz w:val="16"/>
                <w:szCs w:val="16"/>
              </w:rPr>
            </w:pPr>
            <w:r>
              <w:rPr>
                <w:b w:val="1"/>
                <w:bCs w:val="1"/>
                <w:sz w:val="16"/>
                <w:szCs w:val="16"/>
                <w:rtl w:val="0"/>
              </w:rPr>
              <w:t xml:space="preserve">Unstable tail</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0.8365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0.7197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+0.1167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0.5041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0.3340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+0.1701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0.2317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46</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50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0.8094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0.7426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+0.0668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0.4627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+0.0892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0.4448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0.2906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68</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0.7705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0.7265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+0.0440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0.4020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0.3656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+0.0363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0.5409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102</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0.8198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0.7154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+0.1044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0.4572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0.6055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0.4389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77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174</w:t>
            </w:r>
          </w:p>
        </w:tc>
      </w:tr>
    </w:tbl>
    <w:p w:rsidR="00000000" w:rsidDel="00000000" w:rsidP="00000000" w:rsidRDefault="00000000" w:rsidRPr="00000000">
      <w:pPr>
        <w:rPr/>
      </w:pPr>
      <w:r>
        <w:rPr>
          <w:rFonts w:ascii="Times New Roman" w:cs="Times New Roman" w:eastAsia="Times New Roman" w:hAnsi="Times New Roman"/>
          <w:i w:val="1"/>
          <w:iCs w:val="1"/>
          <w:sz w:val="20"/>
          <w:szCs w:val="20"/>
          <w:rtl w:val="0"/>
        </w:rPr>
        <w:t xml:space="preserve">Note. </w:t>
      </w:r>
      <w:r>
        <w:rPr>
          <w:rFonts w:ascii="Times New Roman" w:cs="Times New Roman" w:eastAsia="Times New Roman" w:hAnsi="Times New Roman"/>
          <w:sz w:val="20"/>
          <w:szCs w:val="20"/>
          <w:rtl w:val="0"/>
        </w:rPr>
        <w:t xml:space="preserve">The Welch t-test selector is held fixed; only the top-K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rsidR="00000000" w:rsidDel="00000000" w:rsidP="00000000" w:rsidRDefault="00000000" w:rsidRPr="00000000" w14:paraId="000000F3">
      <w:pPr>
        <w:pStyle w:val="Heading2"/>
        <w:rPr/>
      </w:pPr>
      <w:r>
        <w:rPr>
          <w:rtl w:val="0"/>
        </w:rPr>
        <w:t xml:space="preserve">Permutation-control negative control</w:t>
      </w:r>
    </w:p>
    <w:p w:rsidR="00000000" w:rsidDel="00000000" w:rsidP="00000000" w:rsidRDefault="00000000" w:rsidRPr="00000000" w14:paraId="000000F4">
      <w:pPr>
        <w:rPr/>
      </w:pPr>
      <w:r>
        <w:rPr>
          <w:rFonts w:ascii="Times New Roman" w:cs="Times New Roman" w:eastAsia="Times New Roman" w:hAnsi="Times New Roman"/>
          <w:b w:val="0"/>
          <w:bCs w:val="0"/>
          <w:i w:val="0"/>
          <w:iCs w:val="0"/>
          <w:sz w:val="24"/>
          <w:szCs w:val="24"/>
          <w:rtl w:val="0"/>
        </w:rPr>
        <w:t xml:space="preserve">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can produce apparent discrimination under randomized labels—whereas the guarded pipeline result is consistent with label-dependent signal under the guarded validation architecture. The contrast is shown in Figure 3 and summarized in Table 7.</w:t>
      </w:r>
      <w:r>
        <w:rPr>
          <w:rtl w:val="0"/>
        </w:rPr>
      </w:r>
    </w:p>
    <w:p w:rsidR="00000000" w:rsidDel="00000000" w:rsidP="00000000" w:rsidRDefault="00000000" w:rsidRPr="00000000" w14:paraId="000000F5">
      <w:pPr>
        <w:ind w:firstLine="0"/>
        <w:jc w:val="center"/>
        <w:rPr/>
      </w:pPr>
      <w:r>
        <w:rPr/>
        <w:drawing>
          <wp:inline distB="0" distT="0" distL="114300" distR="114300">
            <wp:extent cx="5815013" cy="264502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5013" cy="2645023"/>
                    </a:xfrm>
                    <a:prstGeom prst="rect"/>
                    <a:ln/>
                  </pic:spPr>
                </pic:pic>
              </a:graphicData>
            </a:graphic>
          </wp:inline>
        </w:drawing>
      </w:r>
      <w:r>
        <w:rPr>
          <w:rtl w:val="0"/>
        </w:rPr>
      </w:r>
    </w:p>
    <w:p w:rsidR="00000000" w:rsidDel="00000000" w:rsidP="00000000" w:rsidRDefault="00000000" w:rsidRPr="00000000" w14:paraId="000000F6">
      <w:pPr>
        <w:rPr/>
      </w:pPr>
      <w:r>
        <w:rPr>
          <w:rFonts w:ascii="Times New Roman" w:cs="Times New Roman" w:eastAsia="Times New Roman" w:hAnsi="Times New Roman"/>
          <w:b w:val="0"/>
          <w:bCs w:val="0"/>
          <w:i w:val="1"/>
          <w:iCs w:val="1"/>
          <w:sz w:val="20"/>
          <w:szCs w:val="20"/>
          <w:rtl w:val="0"/>
        </w:rPr>
        <w:t xml:space="preserve">Figure 3. Null distributions of AUROC under 1000 label permutations for the leaky and guarded pipelines (GSE25055). The leaky null sits far above chance while the guarded null sits near 0.5; vertical lines mark the observed real-label AUROC for each pipeline.</w:t>
      </w:r>
      <w:r>
        <w:rPr>
          <w:rtl w:val="0"/>
        </w:rPr>
      </w:r>
    </w:p>
    <w:p w:rsidR="00000000" w:rsidDel="00000000" w:rsidP="00000000" w:rsidRDefault="00000000" w:rsidRPr="00000000" w14:paraId="000000F7">
      <w:pPr>
        <w:rPr/>
      </w:pPr>
      <w:r>
        <w:rPr>
          <w:rFonts w:ascii="Times New Roman" w:cs="Times New Roman" w:eastAsia="Times New Roman" w:hAnsi="Times New Roman"/>
          <w:b w:val="0"/>
          <w:bCs w:val="0"/>
          <w:i w:val="0"/>
          <w:iCs w:val="0"/>
          <w:sz w:val="24"/>
          <w:szCs w:val="24"/>
          <w:rtl w:val="0"/>
        </w:rPr>
        <w:t xml:space="preserve">Table 7</w:t>
      </w:r>
      <w:r>
        <w:rPr>
          <w:rtl w:val="0"/>
        </w:rPr>
      </w:r>
    </w:p>
    <w:p w:rsidR="00000000" w:rsidDel="00000000" w:rsidP="00000000" w:rsidRDefault="00000000" w:rsidRPr="00000000" w14:paraId="000000F8">
      <w:pPr>
        <w:rPr/>
      </w:pPr>
      <w:r>
        <w:rPr>
          <w:rFonts w:ascii="Times New Roman" w:cs="Times New Roman" w:eastAsia="Times New Roman" w:hAnsi="Times New Roman"/>
          <w:b w:val="0"/>
          <w:bCs w:val="0"/>
          <w:i w:val="1"/>
          <w:iCs w:val="1"/>
          <w:sz w:val="24"/>
          <w:szCs w:val="24"/>
          <w:rtl w:val="0"/>
        </w:rPr>
        <w:t xml:space="preserve">Permutation-Control Negative Control (B = 1000), GSE25055</w:t>
      </w:r>
      <w:r>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tblHeader/>
        </w:trPr>
        <w:tc>
          <w:tcPr>
            <w:shd w:fill="d9eaf7" w:val="clear"/>
          </w:tcPr>
          <w:p w:rsidR="00000000" w:rsidDel="00000000" w:rsidP="00000000" w:rsidRDefault="00000000" w:rsidRPr="00000000" w14:paraId="000000F9">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Statistic</w:t>
            </w:r>
            <w:r>
              <w:rPr>
                <w:rtl w:val="0"/>
              </w:rPr>
            </w:r>
          </w:p>
        </w:tc>
        <w:tc>
          <w:tcPr>
            <w:shd w:fill="d9eaf7" w:val="clear"/>
          </w:tcPr>
          <w:p w:rsidR="00000000" w:rsidDel="00000000" w:rsidP="00000000" w:rsidRDefault="00000000" w:rsidRPr="00000000" w14:paraId="000000FA">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Observed</w:t>
            </w:r>
            <w:r>
              <w:rPr>
                <w:rtl w:val="0"/>
              </w:rPr>
            </w:r>
          </w:p>
        </w:tc>
        <w:tc>
          <w:tcPr>
            <w:shd w:fill="d9eaf7" w:val="clear"/>
          </w:tcPr>
          <w:p w:rsidR="00000000" w:rsidDel="00000000" w:rsidP="00000000" w:rsidRDefault="00000000" w:rsidRPr="00000000" w14:paraId="000000FB">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Null mean (95% range)</w:t>
            </w:r>
            <w:r>
              <w:rPr>
                <w:rtl w:val="0"/>
              </w:rPr>
            </w:r>
          </w:p>
        </w:tc>
        <w:tc>
          <w:tcPr>
            <w:shd w:fill="d9eaf7" w:val="clear"/>
          </w:tcPr>
          <w:p w:rsidR="00000000" w:rsidDel="00000000" w:rsidP="00000000" w:rsidRDefault="00000000" w:rsidRPr="00000000" w14:paraId="000000FC">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Empirical p</w:t>
            </w:r>
            <w:r>
              <w:rPr>
                <w:rtl w:val="0"/>
              </w:rPr>
            </w:r>
          </w:p>
        </w:tc>
        <w:tc>
          <w:tcPr>
            <w:shd w:fill="d9eaf7" w:val="clear"/>
          </w:tcPr>
          <w:p w:rsidR="00000000" w:rsidDel="00000000" w:rsidP="00000000" w:rsidRDefault="00000000" w:rsidRPr="00000000" w14:paraId="000000FD">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Interpretation</w:t>
            </w:r>
            <w:r>
              <w:rPr>
                <w:rtl w:val="0"/>
              </w:rPr>
            </w:r>
          </w:p>
        </w:tc>
      </w:tr>
      <w:tr>
        <w:trPr>
          <w:cantSplit/>
          <w:tblHeader w:val="0"/>
        </w:trPr>
        <w:tc>
          <w:tcPr/>
          <w:p w:rsidR="00000000" w:rsidDel="00000000" w:rsidP="00000000" w:rsidRDefault="00000000" w:rsidRPr="00000000" w14:paraId="000000F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0F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w:t>
            </w:r>
            <w:r>
              <w:rPr>
                <w:rtl w:val="0"/>
              </w:rPr>
            </w:r>
          </w:p>
        </w:tc>
        <w:tc>
          <w:tcPr/>
          <w:p w:rsidR="00000000" w:rsidDel="00000000" w:rsidP="00000000" w:rsidRDefault="00000000" w:rsidRPr="00000000" w14:paraId="0000010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0.878 (0.761–0.956)</w:t>
            </w:r>
            <w:r>
              <w:rPr>
                <w:rtl w:val="0"/>
              </w:rPr>
            </w:r>
          </w:p>
        </w:tc>
        <w:tc>
          <w:tcPr/>
          <w:p w:rsidR="00000000" w:rsidDel="00000000" w:rsidP="00000000" w:rsidRDefault="00000000" w:rsidRPr="00000000" w14:paraId="0000010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w:t>
            </w:r>
            <w:r>
              <w:rPr>
                <w:rtl w:val="0"/>
              </w:rPr>
            </w:r>
          </w:p>
        </w:tc>
        <w:tc>
          <w:tcPr/>
          <w:p w:rsidR="00000000" w:rsidDel="00000000" w:rsidP="00000000" w:rsidRDefault="00000000" w:rsidRPr="00000000" w14:paraId="0000010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null far above chance; observed lies within its own null</w:t>
            </w:r>
            <w:r>
              <w:rPr>
                <w:rtl w:val="0"/>
              </w:rPr>
            </w:r>
          </w:p>
        </w:tc>
      </w:tr>
      <w:tr>
        <w:trPr>
          <w:cantSplit/>
          <w:tblHeader w:val="0"/>
        </w:trPr>
        <w:tc>
          <w:tcPr/>
          <w:p w:rsidR="00000000" w:rsidDel="00000000" w:rsidP="00000000" w:rsidRDefault="00000000" w:rsidRPr="00000000" w14:paraId="0000010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0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w:t>
            </w:r>
            <w:r>
              <w:rPr>
                <w:rtl w:val="0"/>
              </w:rPr>
            </w:r>
          </w:p>
        </w:tc>
        <w:tc>
          <w:tcPr/>
          <w:p w:rsidR="00000000" w:rsidDel="00000000" w:rsidP="00000000" w:rsidRDefault="00000000" w:rsidRPr="00000000" w14:paraId="0000010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0.540 (0.478–0.619)</w:t>
            </w:r>
            <w:r>
              <w:rPr>
                <w:rtl w:val="0"/>
              </w:rPr>
            </w:r>
          </w:p>
        </w:tc>
        <w:tc>
          <w:tcPr/>
          <w:p w:rsidR="00000000" w:rsidDel="00000000" w:rsidP="00000000" w:rsidRDefault="00000000" w:rsidRPr="00000000" w14:paraId="0000010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0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null near chance; real-label value exceeds null</w:t>
            </w:r>
            <w:r>
              <w:rPr>
                <w:rtl w:val="0"/>
              </w:rPr>
            </w:r>
          </w:p>
        </w:tc>
      </w:tr>
      <w:tr>
        <w:trPr>
          <w:cantSplit/>
          <w:tblHeader w:val="0"/>
        </w:trPr>
        <w:tc>
          <w:tcPr/>
          <w:p w:rsidR="00000000" w:rsidDel="00000000" w:rsidP="00000000" w:rsidRDefault="00000000" w:rsidRPr="00000000" w14:paraId="0000010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PR-AUC</w:t>
            </w:r>
            <w:r>
              <w:rPr>
                <w:rtl w:val="0"/>
              </w:rPr>
            </w:r>
          </w:p>
        </w:tc>
        <w:tc>
          <w:tcPr/>
          <w:p w:rsidR="00000000" w:rsidDel="00000000" w:rsidP="00000000" w:rsidRDefault="00000000" w:rsidRPr="00000000" w14:paraId="0000010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0.402</w:t>
            </w:r>
            <w:r>
              <w:rPr>
                <w:rtl w:val="0"/>
              </w:rPr>
            </w:r>
          </w:p>
        </w:tc>
        <w:tc>
          <w:tcPr/>
          <w:p w:rsidR="00000000" w:rsidDel="00000000" w:rsidP="00000000" w:rsidRDefault="00000000" w:rsidRPr="00000000" w14:paraId="0000010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0.664 (0.413–0.861)</w:t>
            </w:r>
            <w:r>
              <w:rPr>
                <w:rtl w:val="0"/>
              </w:rPr>
            </w:r>
          </w:p>
        </w:tc>
        <w:tc>
          <w:tcPr/>
          <w:p w:rsidR="00000000" w:rsidDel="00000000" w:rsidP="00000000" w:rsidRDefault="00000000" w:rsidRPr="00000000" w14:paraId="0000010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0.98</w:t>
            </w:r>
            <w:r>
              <w:rPr>
                <w:rtl w:val="0"/>
              </w:rPr>
            </w:r>
          </w:p>
        </w:tc>
        <w:tc>
          <w:tcPr/>
          <w:p w:rsidR="00000000" w:rsidDel="00000000" w:rsidP="00000000" w:rsidRDefault="00000000" w:rsidRPr="00000000" w14:paraId="0000010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Inflated under randomized labels</w:t>
            </w:r>
            <w:r>
              <w:rPr>
                <w:rtl w:val="0"/>
              </w:rPr>
            </w:r>
          </w:p>
        </w:tc>
      </w:tr>
      <w:tr>
        <w:trPr>
          <w:cantSplit/>
          <w:tblHeader w:val="0"/>
        </w:trPr>
        <w:tc>
          <w:tcPr/>
          <w:p w:rsidR="00000000" w:rsidDel="00000000" w:rsidP="00000000" w:rsidRDefault="00000000" w:rsidRPr="00000000" w14:paraId="0000010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PR-AUC</w:t>
            </w:r>
            <w:r>
              <w:rPr>
                <w:rtl w:val="0"/>
              </w:rPr>
            </w:r>
          </w:p>
        </w:tc>
        <w:tc>
          <w:tcPr/>
          <w:p w:rsidR="00000000" w:rsidDel="00000000" w:rsidP="00000000" w:rsidRDefault="00000000" w:rsidRPr="00000000" w14:paraId="0000010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0.3656</w:t>
            </w:r>
            <w:r>
              <w:rPr>
                <w:rtl w:val="0"/>
              </w:rPr>
            </w:r>
          </w:p>
        </w:tc>
        <w:tc>
          <w:tcPr/>
          <w:p w:rsidR="00000000" w:rsidDel="00000000" w:rsidP="00000000" w:rsidRDefault="00000000" w:rsidRPr="00000000" w14:paraId="0000010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0.192 (0.147–0.261)</w:t>
            </w:r>
            <w:r>
              <w:rPr>
                <w:rtl w:val="0"/>
              </w:rPr>
            </w:r>
          </w:p>
        </w:tc>
        <w:tc>
          <w:tcPr/>
          <w:p w:rsidR="00000000" w:rsidDel="00000000" w:rsidP="00000000" w:rsidRDefault="00000000" w:rsidRPr="00000000" w14:paraId="0000011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11">
            <w:pPr>
              <w:ind w:firstLine="0"/>
              <w:jc w:val="center"/>
              <w:rPr>
                <w:sz w:val="18"/>
                <w:szCs w:val="18"/>
              </w:rPr>
            </w:pPr>
            <w:r>
              <w:rPr>
                <w:rFonts w:ascii="Gungsuh" w:cs="Gungsuh" w:eastAsia="Gungsuh" w:hAnsi="Gungsuh"/>
                <w:b w:val="0"/>
                <w:bCs w:val="0"/>
                <w:i w:val="0"/>
                <w:iCs w:val="0"/>
                <w:sz w:val="18"/>
                <w:szCs w:val="18"/>
                <w:rtl w:val="0"/>
              </w:rPr>
              <w:t xml:space="preserve">Null ≈ prevalence (0.186); real-label value exceeds null</w:t>
            </w:r>
            <w:r>
              <w:rPr>
                <w:rtl w:val="0"/>
              </w:rPr>
            </w:r>
          </w:p>
        </w:tc>
      </w:tr>
      <w:tr>
        <w:trPr>
          <w:cantSplit/>
          <w:tblHeader w:val="0"/>
        </w:trPr>
        <w:tc>
          <w:tcPr/>
          <w:p w:rsidR="00000000" w:rsidDel="00000000" w:rsidP="00000000" w:rsidRDefault="00000000" w:rsidRPr="00000000" w14:paraId="0000011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gap (AUROC)</w:t>
            </w:r>
            <w:r>
              <w:rPr>
                <w:rtl w:val="0"/>
              </w:rPr>
            </w:r>
          </w:p>
        </w:tc>
        <w:tc>
          <w:tcPr/>
          <w:p w:rsidR="00000000" w:rsidDel="00000000" w:rsidP="00000000" w:rsidRDefault="00000000" w:rsidRPr="00000000" w14:paraId="0000011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0.044</w:t>
            </w:r>
            <w:r>
              <w:rPr>
                <w:rtl w:val="0"/>
              </w:rPr>
            </w:r>
          </w:p>
        </w:tc>
        <w:tc>
          <w:tcPr/>
          <w:p w:rsidR="00000000" w:rsidDel="00000000" w:rsidP="00000000" w:rsidRDefault="00000000" w:rsidRPr="00000000" w14:paraId="0000011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0.338 (0.209–0.445)</w:t>
            </w:r>
            <w:r>
              <w:rPr>
                <w:rtl w:val="0"/>
              </w:rPr>
            </w:r>
          </w:p>
        </w:tc>
        <w:tc>
          <w:tcPr/>
          <w:p w:rsidR="00000000" w:rsidDel="00000000" w:rsidP="00000000" w:rsidRDefault="00000000" w:rsidRPr="00000000" w14:paraId="0000011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w:t>
            </w:r>
            <w:r>
              <w:rPr>
                <w:rtl w:val="0"/>
              </w:rPr>
            </w:r>
          </w:p>
        </w:tc>
        <w:tc>
          <w:tcPr/>
          <w:p w:rsidR="00000000" w:rsidDel="00000000" w:rsidP="00000000" w:rsidRDefault="00000000" w:rsidRPr="00000000" w14:paraId="0000011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Null gap is large; observed real-label gap is small</w:t>
            </w:r>
            <w:r>
              <w:rPr>
                <w:rtl w:val="0"/>
              </w:rPr>
            </w:r>
          </w:p>
        </w:tc>
      </w:tr>
    </w:tbl>
    <w:p w:rsidR="00000000" w:rsidDel="00000000" w:rsidP="00000000" w:rsidRDefault="00000000" w:rsidRPr="00000000" w14:paraId="00000117">
      <w:pPr>
        <w:rPr/>
      </w:pPr>
      <w:r>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Pr>
          <w:rtl w:val="0"/>
        </w:rPr>
      </w:r>
    </w:p>
    <w:p w:rsidR="00000000" w:rsidDel="00000000" w:rsidP="00000000" w:rsidRDefault="00000000" w:rsidRPr="00000000" w14:paraId="00000118">
      <w:pPr>
        <w:pStyle w:val="Heading2"/>
        <w:rPr/>
      </w:pPr>
      <w:r>
        <w:rPr>
          <w:rtl w:val="0"/>
        </w:rPr>
        <w:t xml:space="preserve">Seed-level robustness across 30 repeated cross-validation runs</w:t>
      </w:r>
    </w:p>
    <w:p w:rsidR="00000000" w:rsidDel="00000000" w:rsidP="00000000" w:rsidRDefault="00000000" w:rsidRPr="00000000" w14:paraId="00000119">
      <w:pPr>
        <w:rPr/>
      </w:pPr>
      <w:r>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 and summarized in Table 8.</w:t>
      </w:r>
    </w:p>
    <w:p w:rsidR="00000000" w:rsidDel="00000000" w:rsidP="00000000" w:rsidRDefault="00000000" w:rsidRPr="00000000" w14:paraId="0000011A">
      <w:pPr>
        <w:jc w:val="center"/>
        <w:rPr/>
      </w:pPr>
      <w:r>
        <w:rPr/>
        <w:drawing>
          <wp:inline distB="0" distT="0" distL="114300" distR="114300">
            <wp:extent cx="5943600" cy="270163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B">
      <w:pPr>
        <w:rPr/>
      </w:pPr>
      <w:r>
        <w:rPr>
          <w:rFonts w:ascii="Times New Roman" w:cs="Times New Roman" w:eastAsia="Times New Roman" w:hAnsi="Times New Roman"/>
          <w:b w:val="0"/>
          <w:bCs w:val="0"/>
          <w:i w:val="1"/>
          <w:iCs w:val="1"/>
          <w:sz w:val="20"/>
          <w:szCs w:val="20"/>
          <w:rtl w:val="0"/>
        </w:rPr>
        <w:t xml:space="preserve">Figure 4. Per-seed AUROC for the leaky and guarded pipelines (left) and the distribution of the leakage gap (right) across 30 repeated nested cross-validation seeds (GSE25055).</w:t>
      </w:r>
      <w:r>
        <w:rPr>
          <w:rtl w:val="0"/>
        </w:rPr>
      </w:r>
    </w:p>
    <w:p w:rsidR="00000000" w:rsidDel="00000000" w:rsidP="00000000" w:rsidRDefault="00000000" w:rsidRPr="00000000" w14:paraId="0000011C">
      <w:pPr>
        <w:jc w:val="center"/>
        <w:rPr/>
      </w:pPr>
      <w:r>
        <w:rPr/>
        <w:drawing>
          <wp:inline distB="0" distT="0" distL="114300" distR="114300">
            <wp:extent cx="5943600" cy="270163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D">
      <w:pPr>
        <w:rPr/>
      </w:pPr>
      <w:r>
        <w:rPr>
          <w:rFonts w:ascii="Times New Roman" w:cs="Times New Roman" w:eastAsia="Times New Roman" w:hAnsi="Times New Roman"/>
          <w:b w:val="0"/>
          <w:bCs w:val="0"/>
          <w:i w:val="1"/>
          <w:iCs w:val="1"/>
          <w:sz w:val="20"/>
          <w:szCs w:val="20"/>
          <w:rtl w:val="0"/>
        </w:rPr>
        <w:t xml:space="preserve">Figure 5. Per-seed Nogueira stability (left) and mean pairwise Jaccard overlap (right) of the guarded pipeline’s fold-level feature sets across 30 seeds.</w:t>
      </w:r>
      <w:r>
        <w:rPr>
          <w:rtl w:val="0"/>
        </w:rPr>
      </w:r>
    </w:p>
    <w:p w:rsidR="00000000" w:rsidDel="00000000" w:rsidP="00000000" w:rsidRDefault="00000000" w:rsidRPr="00000000" w14:paraId="0000011E">
      <w:pPr>
        <w:rPr/>
      </w:pPr>
      <w:r>
        <w:rPr>
          <w:rFonts w:ascii="Times New Roman" w:cs="Times New Roman" w:eastAsia="Times New Roman" w:hAnsi="Times New Roman"/>
          <w:b w:val="0"/>
          <w:bCs w:val="0"/>
          <w:i w:val="0"/>
          <w:iCs w:val="0"/>
          <w:sz w:val="24"/>
          <w:szCs w:val="24"/>
          <w:rtl w:val="0"/>
        </w:rPr>
        <w:t xml:space="preserve">Table 8</w:t>
      </w:r>
      <w:r>
        <w:rPr>
          <w:rtl w:val="0"/>
        </w:rPr>
      </w:r>
    </w:p>
    <w:p w:rsidR="00000000" w:rsidDel="00000000" w:rsidP="00000000" w:rsidRDefault="00000000" w:rsidRPr="00000000" w14:paraId="0000011F">
      <w:pPr>
        <w:rPr/>
      </w:pPr>
      <w:r>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Pr>
          <w:rtl w:val="0"/>
        </w:rPr>
      </w:r>
    </w:p>
    <w:p w:rsidR="00000000" w:rsidDel="00000000" w:rsidP="00000000" w:rsidRDefault="00000000" w:rsidRPr="00000000" w14:paraId="00000120">
      <w:pPr>
        <w:rPr/>
      </w:pPr>
      <w:r>
        <w:rPr>
          <w:rtl w:val="0"/>
        </w:rPr>
      </w:r>
    </w:p>
    <w:tbl>
      <w:tblPr>
        <w:tblStyle w:val="Table7"/>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695"/>
        <w:gridCol w:w="2340"/>
        <w:gridCol w:w="2970"/>
        <w:tblGridChange w:id="0">
          <w:tblGrid>
            <w:gridCol w:w="2985"/>
            <w:gridCol w:w="1695"/>
            <w:gridCol w:w="2340"/>
            <w:gridCol w:w="2970"/>
          </w:tblGrid>
        </w:tblGridChange>
      </w:tblGrid>
      <w:tr>
        <w:trPr>
          <w:cantSplit/>
          <w:tblHeader/>
        </w:trPr>
        <w:tc>
          <w:tcPr>
            <w:shd w:fill="d9eaf7" w:val="clear"/>
          </w:tcPr>
          <w:p w:rsidR="00000000" w:rsidDel="00000000" w:rsidP="00000000" w:rsidRDefault="00000000" w:rsidRPr="00000000" w14:paraId="00000121">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Quantity</w:t>
            </w:r>
            <w:r>
              <w:rPr>
                <w:rtl w:val="0"/>
              </w:rPr>
            </w:r>
          </w:p>
        </w:tc>
        <w:tc>
          <w:tcPr>
            <w:shd w:fill="d9eaf7" w:val="clear"/>
          </w:tcPr>
          <w:p w:rsidR="00000000" w:rsidDel="00000000" w:rsidP="00000000" w:rsidRDefault="00000000" w:rsidRPr="00000000" w14:paraId="00000122">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Median</w:t>
            </w:r>
            <w:r>
              <w:rPr>
                <w:rtl w:val="0"/>
              </w:rPr>
            </w:r>
          </w:p>
        </w:tc>
        <w:tc>
          <w:tcPr>
            <w:shd w:fill="d9eaf7" w:val="clear"/>
          </w:tcPr>
          <w:p w:rsidR="00000000" w:rsidDel="00000000" w:rsidP="00000000" w:rsidRDefault="00000000" w:rsidRPr="00000000" w14:paraId="00000123">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2.5–97.5 percentile</w:t>
            </w:r>
            <w:r>
              <w:rPr>
                <w:rtl w:val="0"/>
              </w:rPr>
            </w:r>
          </w:p>
        </w:tc>
        <w:tc>
          <w:tcPr>
            <w:shd w:fill="d9eaf7" w:val="clear"/>
          </w:tcPr>
          <w:p w:rsidR="00000000" w:rsidDel="00000000" w:rsidP="00000000" w:rsidRDefault="00000000" w:rsidRPr="00000000" w14:paraId="00000124">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Notes</w:t>
            </w:r>
            <w:r>
              <w:rPr>
                <w:rtl w:val="0"/>
              </w:rPr>
            </w:r>
          </w:p>
        </w:tc>
      </w:tr>
      <w:tr>
        <w:trPr>
          <w:cantSplit/>
          <w:tblHeader w:val="0"/>
        </w:trPr>
        <w:tc>
          <w:tcPr/>
          <w:p w:rsidR="00000000" w:rsidDel="00000000" w:rsidP="00000000" w:rsidRDefault="00000000" w:rsidRPr="00000000" w14:paraId="0000012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12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0.774</w:t>
            </w:r>
            <w:r>
              <w:rPr>
                <w:rtl w:val="0"/>
              </w:rPr>
            </w:r>
          </w:p>
        </w:tc>
        <w:tc>
          <w:tcPr/>
          <w:p w:rsidR="00000000" w:rsidDel="00000000" w:rsidP="00000000" w:rsidRDefault="00000000" w:rsidRPr="00000000" w14:paraId="0000012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0.750–0.784</w:t>
            </w:r>
            <w:r>
              <w:rPr>
                <w:rtl w:val="0"/>
              </w:rPr>
            </w:r>
          </w:p>
        </w:tc>
        <w:tc>
          <w:tcPr/>
          <w:p w:rsidR="00000000" w:rsidDel="00000000" w:rsidP="00000000" w:rsidRDefault="00000000" w:rsidRPr="00000000" w14:paraId="0000012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w:t>
            </w:r>
            <w:r>
              <w:rPr>
                <w:rtl w:val="0"/>
              </w:rPr>
            </w:r>
          </w:p>
        </w:tc>
      </w:tr>
      <w:tr>
        <w:trPr>
          <w:cantSplit/>
          <w:tblHeader w:val="0"/>
        </w:trPr>
        <w:tc>
          <w:tcPr/>
          <w:p w:rsidR="00000000" w:rsidDel="00000000" w:rsidP="00000000" w:rsidRDefault="00000000" w:rsidRPr="00000000" w14:paraId="0000012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2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0.721</w:t>
            </w:r>
            <w:r>
              <w:rPr>
                <w:rtl w:val="0"/>
              </w:rPr>
            </w:r>
          </w:p>
        </w:tc>
        <w:tc>
          <w:tcPr/>
          <w:p w:rsidR="00000000" w:rsidDel="00000000" w:rsidP="00000000" w:rsidRDefault="00000000" w:rsidRPr="00000000" w14:paraId="0000012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0.674–0.777</w:t>
            </w:r>
            <w:r>
              <w:rPr>
                <w:rtl w:val="0"/>
              </w:rPr>
            </w:r>
          </w:p>
        </w:tc>
        <w:tc>
          <w:tcPr/>
          <w:p w:rsidR="00000000" w:rsidDel="00000000" w:rsidP="00000000" w:rsidRDefault="00000000" w:rsidRPr="00000000" w14:paraId="0000012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 more seed-sensitive than leaky</w:t>
            </w:r>
            <w:r>
              <w:rPr>
                <w:rtl w:val="0"/>
              </w:rPr>
            </w:r>
          </w:p>
        </w:tc>
      </w:tr>
      <w:tr>
        <w:trPr>
          <w:cantSplit/>
          <w:tblHeader w:val="0"/>
        </w:trPr>
        <w:tc>
          <w:tcPr/>
          <w:p w:rsidR="00000000" w:rsidDel="00000000" w:rsidP="00000000" w:rsidRDefault="00000000" w:rsidRPr="00000000" w14:paraId="0000012D">
            <w:pPr>
              <w:ind w:firstLine="0"/>
              <w:jc w:val="center"/>
              <w:rPr>
                <w:sz w:val="18"/>
                <w:szCs w:val="18"/>
              </w:rPr>
            </w:pPr>
            <w:r>
              <w:rPr>
                <w:rFonts w:ascii="Cardo" w:cs="Cardo" w:eastAsia="Cardo" w:hAnsi="Cardo"/>
                <w:b w:val="0"/>
                <w:bCs w:val="0"/>
                <w:i w:val="0"/>
                <w:iCs w:val="0"/>
                <w:sz w:val="18"/>
                <w:szCs w:val="18"/>
                <w:rtl w:val="0"/>
              </w:rPr>
              <w:t xml:space="preserve">ΔAUROC (leaky − guarded)</w:t>
            </w:r>
            <w:r>
              <w:rPr>
                <w:rtl w:val="0"/>
              </w:rPr>
            </w:r>
          </w:p>
        </w:tc>
        <w:tc>
          <w:tcPr/>
          <w:p w:rsidR="00000000" w:rsidDel="00000000" w:rsidP="00000000" w:rsidRDefault="00000000" w:rsidRPr="00000000" w14:paraId="0000012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0.054</w:t>
            </w:r>
            <w:r>
              <w:rPr>
                <w:rtl w:val="0"/>
              </w:rPr>
            </w:r>
          </w:p>
        </w:tc>
        <w:tc>
          <w:tcPr/>
          <w:p w:rsidR="00000000" w:rsidDel="00000000" w:rsidP="00000000" w:rsidRDefault="00000000" w:rsidRPr="00000000" w14:paraId="0000012F">
            <w:pPr>
              <w:ind w:firstLine="0"/>
              <w:jc w:val="center"/>
              <w:rPr>
                <w:sz w:val="18"/>
                <w:szCs w:val="18"/>
              </w:rPr>
            </w:pPr>
            <w:r>
              <w:rPr>
                <w:rFonts w:ascii="Gungsuh" w:cs="Gungsuh" w:eastAsia="Gungsuh" w:hAnsi="Gungsuh"/>
                <w:b w:val="0"/>
                <w:bCs w:val="0"/>
                <w:i w:val="0"/>
                <w:iCs w:val="0"/>
                <w:sz w:val="18"/>
                <w:szCs w:val="18"/>
                <w:rtl w:val="0"/>
              </w:rPr>
              <w:t xml:space="preserve">−0.007 to 0.108</w:t>
            </w:r>
            <w:r>
              <w:rPr>
                <w:rtl w:val="0"/>
              </w:rPr>
            </w:r>
          </w:p>
        </w:tc>
        <w:tc>
          <w:tcPr/>
          <w:p w:rsidR="00000000" w:rsidDel="00000000" w:rsidP="00000000" w:rsidRDefault="00000000" w:rsidRPr="00000000" w14:paraId="0000013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456, p = 4.5 × 10⁻⁶</w:t>
            </w:r>
            <w:r>
              <w:rPr>
                <w:rtl w:val="0"/>
              </w:rPr>
            </w:r>
          </w:p>
        </w:tc>
      </w:tr>
      <w:tr>
        <w:trPr>
          <w:cantSplit/>
          <w:tblHeader w:val="0"/>
        </w:trPr>
        <w:tc>
          <w:tcPr/>
          <w:p w:rsidR="00000000" w:rsidDel="00000000" w:rsidP="00000000" w:rsidRDefault="00000000" w:rsidRPr="00000000" w14:paraId="00000131">
            <w:pPr>
              <w:ind w:firstLine="0"/>
              <w:jc w:val="center"/>
              <w:rPr>
                <w:sz w:val="18"/>
                <w:szCs w:val="18"/>
              </w:rPr>
            </w:pPr>
            <w:r>
              <w:rPr>
                <w:rFonts w:ascii="Cardo" w:cs="Cardo" w:eastAsia="Cardo" w:hAnsi="Cardo"/>
                <w:b w:val="0"/>
                <w:bCs w:val="0"/>
                <w:i w:val="0"/>
                <w:iCs w:val="0"/>
                <w:sz w:val="18"/>
                <w:szCs w:val="18"/>
                <w:rtl w:val="0"/>
              </w:rPr>
              <w:t xml:space="preserve">ΔPR-AUC (leaky − guarded)</w:t>
            </w:r>
            <w:r>
              <w:rPr>
                <w:rtl w:val="0"/>
              </w:rPr>
            </w:r>
          </w:p>
        </w:tc>
        <w:tc>
          <w:tcPr/>
          <w:p w:rsidR="00000000" w:rsidDel="00000000" w:rsidP="00000000" w:rsidRDefault="00000000" w:rsidRPr="00000000" w14:paraId="0000013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0.057</w:t>
            </w:r>
            <w:r>
              <w:rPr>
                <w:rtl w:val="0"/>
              </w:rPr>
            </w:r>
          </w:p>
        </w:tc>
        <w:tc>
          <w:tcPr/>
          <w:p w:rsidR="00000000" w:rsidDel="00000000" w:rsidP="00000000" w:rsidRDefault="00000000" w:rsidRPr="00000000" w14:paraId="00000133">
            <w:pPr>
              <w:ind w:firstLine="0"/>
              <w:jc w:val="center"/>
              <w:rPr>
                <w:sz w:val="18"/>
                <w:szCs w:val="18"/>
              </w:rPr>
            </w:pPr>
            <w:r>
              <w:rPr>
                <w:rFonts w:ascii="Gungsuh" w:cs="Gungsuh" w:eastAsia="Gungsuh" w:hAnsi="Gungsuh"/>
                <w:b w:val="0"/>
                <w:bCs w:val="0"/>
                <w:i w:val="0"/>
                <w:iCs w:val="0"/>
                <w:sz w:val="18"/>
                <w:szCs w:val="18"/>
                <w:rtl w:val="0"/>
              </w:rPr>
              <w:t xml:space="preserve">−0.024 to 0.139</w:t>
            </w:r>
            <w:r>
              <w:rPr>
                <w:rtl w:val="0"/>
              </w:rPr>
            </w:r>
          </w:p>
        </w:tc>
        <w:tc>
          <w:tcPr/>
          <w:p w:rsidR="00000000" w:rsidDel="00000000" w:rsidP="00000000" w:rsidRDefault="00000000" w:rsidRPr="00000000" w14:paraId="0000013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445, p = 1.3 × 10⁻⁵</w:t>
            </w:r>
            <w:r>
              <w:rPr>
                <w:rtl w:val="0"/>
              </w:rPr>
            </w:r>
          </w:p>
        </w:tc>
      </w:tr>
      <w:tr>
        <w:trPr>
          <w:cantSplit/>
          <w:tblHeader w:val="0"/>
        </w:trPr>
        <w:tc>
          <w:tcPr/>
          <w:p w:rsidR="00000000" w:rsidDel="00000000" w:rsidP="00000000" w:rsidRDefault="00000000" w:rsidRPr="00000000" w14:paraId="0000013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Nogueira stability</w:t>
            </w:r>
            <w:r>
              <w:rPr>
                <w:rtl w:val="0"/>
              </w:rPr>
            </w:r>
          </w:p>
        </w:tc>
        <w:tc>
          <w:tcPr/>
          <w:p w:rsidR="00000000" w:rsidDel="00000000" w:rsidP="00000000" w:rsidRDefault="00000000" w:rsidRPr="00000000" w14:paraId="0000013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0.550</w:t>
            </w:r>
            <w:r>
              <w:rPr>
                <w:rtl w:val="0"/>
              </w:rPr>
            </w:r>
          </w:p>
        </w:tc>
        <w:tc>
          <w:tcPr/>
          <w:p w:rsidR="00000000" w:rsidDel="00000000" w:rsidP="00000000" w:rsidRDefault="00000000" w:rsidRPr="00000000" w14:paraId="0000013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0.490–0.595</w:t>
            </w:r>
            <w:r>
              <w:rPr>
                <w:rtl w:val="0"/>
              </w:rPr>
            </w:r>
          </w:p>
        </w:tc>
        <w:tc>
          <w:tcPr/>
          <w:p w:rsidR="00000000" w:rsidDel="00000000" w:rsidP="00000000" w:rsidRDefault="00000000" w:rsidRPr="00000000" w14:paraId="0000013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tblHeader w:val="0"/>
        </w:trPr>
        <w:tc>
          <w:tcPr/>
          <w:p w:rsidR="00000000" w:rsidDel="00000000" w:rsidP="00000000" w:rsidRDefault="00000000" w:rsidRPr="00000000" w14:paraId="0000013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Mean Jaccard overlap</w:t>
            </w:r>
            <w:r>
              <w:rPr>
                <w:rtl w:val="0"/>
              </w:rPr>
            </w:r>
          </w:p>
        </w:tc>
        <w:tc>
          <w:tcPr/>
          <w:p w:rsidR="00000000" w:rsidDel="00000000" w:rsidP="00000000" w:rsidRDefault="00000000" w:rsidRPr="00000000" w14:paraId="0000013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0.383</w:t>
            </w:r>
            <w:r>
              <w:rPr>
                <w:rtl w:val="0"/>
              </w:rPr>
            </w:r>
          </w:p>
        </w:tc>
        <w:tc>
          <w:tcPr/>
          <w:p w:rsidR="00000000" w:rsidDel="00000000" w:rsidP="00000000" w:rsidRDefault="00000000" w:rsidRPr="00000000" w14:paraId="0000013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0.328–0.428</w:t>
            </w:r>
            <w:r>
              <w:rPr>
                <w:rtl w:val="0"/>
              </w:rPr>
            </w:r>
          </w:p>
        </w:tc>
        <w:tc>
          <w:tcPr/>
          <w:p w:rsidR="00000000" w:rsidDel="00000000" w:rsidP="00000000" w:rsidRDefault="00000000" w:rsidRPr="00000000" w14:paraId="0000013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tblHeader w:val="0"/>
        </w:trPr>
        <w:tc>
          <w:tcPr/>
          <w:p w:rsidR="00000000" w:rsidDel="00000000" w:rsidP="00000000" w:rsidRDefault="00000000" w:rsidRPr="00000000" w14:paraId="0000013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Stable-core probes</w:t>
            </w:r>
            <w:r>
              <w:rPr>
                <w:rtl w:val="0"/>
              </w:rPr>
            </w:r>
          </w:p>
        </w:tc>
        <w:tc>
          <w:tcPr/>
          <w:p w:rsidR="00000000" w:rsidDel="00000000" w:rsidP="00000000" w:rsidRDefault="00000000" w:rsidRPr="00000000" w14:paraId="0000013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30</w:t>
            </w:r>
            <w:r>
              <w:rPr>
                <w:rtl w:val="0"/>
              </w:rPr>
            </w:r>
          </w:p>
        </w:tc>
        <w:tc>
          <w:tcPr/>
          <w:p w:rsidR="00000000" w:rsidDel="00000000" w:rsidP="00000000" w:rsidRDefault="00000000" w:rsidRPr="00000000" w14:paraId="0000013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23–35 (range)</w:t>
            </w:r>
            <w:r>
              <w:rPr>
                <w:rtl w:val="0"/>
              </w:rPr>
            </w:r>
          </w:p>
        </w:tc>
        <w:tc>
          <w:tcPr/>
          <w:p w:rsidR="00000000" w:rsidDel="00000000" w:rsidP="00000000" w:rsidRDefault="00000000" w:rsidRPr="00000000" w14:paraId="0000014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all five outer folds</w:t>
            </w:r>
            <w:r>
              <w:rPr>
                <w:rtl w:val="0"/>
              </w:rPr>
            </w:r>
          </w:p>
        </w:tc>
      </w:tr>
      <w:tr>
        <w:trPr>
          <w:cantSplit/>
          <w:tblHeader w:val="0"/>
        </w:trPr>
        <w:tc>
          <w:tcPr/>
          <w:p w:rsidR="00000000" w:rsidDel="00000000" w:rsidP="00000000" w:rsidRDefault="00000000" w:rsidRPr="00000000" w14:paraId="0000014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Unstable-tail probes</w:t>
            </w:r>
            <w:r>
              <w:rPr>
                <w:rtl w:val="0"/>
              </w:rPr>
            </w:r>
          </w:p>
        </w:tc>
        <w:tc>
          <w:tcPr/>
          <w:p w:rsidR="00000000" w:rsidDel="00000000" w:rsidP="00000000" w:rsidRDefault="00000000" w:rsidRPr="00000000" w14:paraId="0000014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103.5</w:t>
            </w:r>
            <w:r>
              <w:rPr>
                <w:rtl w:val="0"/>
              </w:rPr>
            </w:r>
          </w:p>
        </w:tc>
        <w:tc>
          <w:tcPr/>
          <w:p w:rsidR="00000000" w:rsidDel="00000000" w:rsidP="00000000" w:rsidRDefault="00000000" w:rsidRPr="00000000" w14:paraId="0000014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75–123 (range)</w:t>
            </w:r>
            <w:r>
              <w:rPr>
                <w:rtl w:val="0"/>
              </w:rPr>
            </w:r>
          </w:p>
        </w:tc>
        <w:tc>
          <w:tcPr/>
          <w:p w:rsidR="00000000" w:rsidDel="00000000" w:rsidP="00000000" w:rsidRDefault="00000000" w:rsidRPr="00000000" w14:paraId="0000014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only one fold</w:t>
            </w:r>
            <w:r>
              <w:rPr>
                <w:rtl w:val="0"/>
              </w:rPr>
            </w:r>
          </w:p>
        </w:tc>
      </w:tr>
    </w:tbl>
    <w:p w:rsidR="00000000" w:rsidDel="00000000" w:rsidP="00000000" w:rsidRDefault="00000000" w:rsidRPr="00000000" w14:paraId="00000145">
      <w:pPr>
        <w:rPr/>
      </w:pPr>
      <w:r>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Pr>
          <w:rtl w:val="0"/>
        </w:rPr>
      </w:r>
    </w:p>
    <w:p w:rsidR="00000000" w:rsidDel="00000000" w:rsidP="00000000" w:rsidRDefault="00000000" w:rsidRPr="00000000" w14:paraId="00000146">
      <w:pPr>
        <w:pStyle w:val="Heading2"/>
        <w:rPr/>
      </w:pPr>
      <w:r>
        <w:rPr>
          <w:b w:val="0"/>
          <w:bCs w:val="0"/>
          <w:rtl w:val="0"/>
        </w:rPr>
        <w:t xml:space="preserve">Feature-stability audit</w:t>
      </w:r>
      <w:r>
        <w:rPr>
          <w:rtl w:val="0"/>
        </w:rPr>
      </w:r>
    </w:p>
    <w:p w:rsidR="00000000" w:rsidDel="00000000" w:rsidP="00000000" w:rsidRDefault="00000000" w:rsidRPr="00000000" w14:paraId="00000147">
      <w:pPr>
        <w:rPr/>
      </w:pPr>
      <w:r>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48">
      <w:pPr>
        <w:rPr/>
      </w:pPr>
      <w:r>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tblHeader/>
        </w:trPr>
        <w:tc>
          <w:tcPr>
            <w:shd w:fill="d9eaf7" w:val="clear"/>
          </w:tcPr>
          <w:p w:rsidR="00000000" w:rsidDel="00000000" w:rsidP="00000000" w:rsidRDefault="00000000" w:rsidRPr="00000000" w14:paraId="0000014B">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4C">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4D">
            <w:pPr>
              <w:ind w:firstLine="0"/>
              <w:jc w:val="center"/>
              <w:rPr>
                <w:sz w:val="18"/>
                <w:szCs w:val="18"/>
              </w:rPr>
            </w:pPr>
            <w:r>
              <w:rPr>
                <w:b w:val="1"/>
                <w:bCs w:val="1"/>
                <w:sz w:val="18"/>
                <w:szCs w:val="18"/>
                <w:rtl w:val="0"/>
              </w:rPr>
              <w:t xml:space="preserve">Interpretation</w:t>
            </w:r>
            <w:r>
              <w:rPr>
                <w:rtl w:val="0"/>
              </w:rPr>
            </w:r>
          </w:p>
        </w:tc>
      </w:tr>
      <w:tr>
        <w:trPr>
          <w:cantSplit/>
          <w:tblHeader w:val="0"/>
        </w:trPr>
        <w:tc>
          <w:tcPr/>
          <w:p w:rsidR="00000000" w:rsidDel="00000000" w:rsidP="00000000" w:rsidRDefault="00000000" w:rsidRPr="00000000" w14:paraId="0000014E">
            <w:pPr>
              <w:ind w:firstLine="0"/>
              <w:jc w:val="center"/>
              <w:rPr>
                <w:sz w:val="18"/>
                <w:szCs w:val="18"/>
              </w:rPr>
            </w:pPr>
            <w:r>
              <w:rPr>
                <w:sz w:val="18"/>
                <w:szCs w:val="18"/>
                <w:rtl w:val="0"/>
              </w:rPr>
              <w:t xml:space="preserve">Outer folds</w:t>
            </w:r>
          </w:p>
        </w:tc>
        <w:tc>
          <w:tcPr/>
          <w:p w:rsidR="00000000" w:rsidDel="00000000" w:rsidP="00000000" w:rsidRDefault="00000000" w:rsidRPr="00000000" w14:paraId="0000014F">
            <w:pPr>
              <w:ind w:firstLine="0"/>
              <w:jc w:val="center"/>
              <w:rPr>
                <w:sz w:val="18"/>
                <w:szCs w:val="18"/>
              </w:rPr>
            </w:pPr>
            <w:r>
              <w:rPr>
                <w:sz w:val="18"/>
                <w:szCs w:val="18"/>
                <w:rtl w:val="0"/>
              </w:rPr>
              <w:t xml:space="preserve">5</w:t>
            </w:r>
          </w:p>
        </w:tc>
        <w:tc>
          <w:tcPr/>
          <w:p w:rsidR="00000000" w:rsidDel="00000000" w:rsidP="00000000" w:rsidRDefault="00000000" w:rsidRPr="00000000" w14:paraId="00000150">
            <w:pPr>
              <w:ind w:firstLine="0"/>
              <w:jc w:val="center"/>
              <w:rPr>
                <w:sz w:val="18"/>
                <w:szCs w:val="18"/>
              </w:rPr>
            </w:pPr>
            <w:r>
              <w:rPr>
                <w:sz w:val="18"/>
                <w:szCs w:val="18"/>
                <w:rtl w:val="0"/>
              </w:rPr>
              <w:t xml:space="preserve">Pilot-scale stability estimate</w:t>
            </w:r>
          </w:p>
        </w:tc>
      </w:tr>
      <w:tr>
        <w:trPr>
          <w:cantSplit/>
          <w:tblHeader w:val="0"/>
        </w:trPr>
        <w:tc>
          <w:tcPr/>
          <w:p w:rsidR="00000000" w:rsidDel="00000000" w:rsidP="00000000" w:rsidRDefault="00000000" w:rsidRPr="00000000" w14:paraId="00000151">
            <w:pPr>
              <w:ind w:firstLine="0"/>
              <w:jc w:val="center"/>
              <w:rPr>
                <w:sz w:val="18"/>
                <w:szCs w:val="18"/>
              </w:rPr>
            </w:pPr>
            <w:r>
              <w:rPr>
                <w:sz w:val="18"/>
                <w:szCs w:val="18"/>
                <w:rtl w:val="0"/>
              </w:rPr>
              <w:t xml:space="preserve">Features selected per fold</w:t>
            </w:r>
          </w:p>
        </w:tc>
        <w:tc>
          <w:tcPr/>
          <w:p w:rsidR="00000000" w:rsidDel="00000000" w:rsidP="00000000" w:rsidRDefault="00000000" w:rsidRPr="00000000" w14:paraId="00000152">
            <w:pPr>
              <w:ind w:firstLine="0"/>
              <w:jc w:val="center"/>
              <w:rPr>
                <w:sz w:val="18"/>
                <w:szCs w:val="18"/>
              </w:rPr>
            </w:pPr>
            <w:r>
              <w:rPr>
                <w:sz w:val="18"/>
                <w:szCs w:val="18"/>
                <w:rtl w:val="0"/>
              </w:rPr>
              <w:t xml:space="preserve">100</w:t>
            </w:r>
          </w:p>
        </w:tc>
        <w:tc>
          <w:tcPr/>
          <w:p w:rsidR="00000000" w:rsidDel="00000000" w:rsidP="00000000" w:rsidRDefault="00000000" w:rsidRPr="00000000" w14:paraId="00000153">
            <w:pPr>
              <w:ind w:firstLine="0"/>
              <w:jc w:val="center"/>
              <w:rPr>
                <w:sz w:val="18"/>
                <w:szCs w:val="18"/>
              </w:rPr>
            </w:pPr>
            <w:r>
              <w:rPr>
                <w:sz w:val="18"/>
                <w:szCs w:val="18"/>
                <w:rtl w:val="0"/>
              </w:rPr>
              <w:t xml:space="preserve">Fixed top-K feature-selection setting</w:t>
            </w:r>
          </w:p>
        </w:tc>
      </w:tr>
      <w:tr>
        <w:trPr>
          <w:cantSplit/>
          <w:tblHeader w:val="0"/>
        </w:trPr>
        <w:tc>
          <w:tcPr/>
          <w:p w:rsidR="00000000" w:rsidDel="00000000" w:rsidP="00000000" w:rsidRDefault="00000000" w:rsidRPr="00000000" w14:paraId="00000154">
            <w:pPr>
              <w:ind w:firstLine="0"/>
              <w:jc w:val="center"/>
              <w:rPr>
                <w:sz w:val="18"/>
                <w:szCs w:val="18"/>
              </w:rPr>
            </w:pPr>
            <w:r>
              <w:rPr>
                <w:sz w:val="18"/>
                <w:szCs w:val="18"/>
                <w:rtl w:val="0"/>
              </w:rPr>
              <w:t xml:space="preserve">Feature universe</w:t>
            </w:r>
          </w:p>
        </w:tc>
        <w:tc>
          <w:tcPr/>
          <w:p w:rsidR="00000000" w:rsidDel="00000000" w:rsidP="00000000" w:rsidRDefault="00000000" w:rsidRPr="00000000" w14:paraId="00000155">
            <w:pPr>
              <w:ind w:firstLine="0"/>
              <w:jc w:val="center"/>
              <w:rPr>
                <w:sz w:val="18"/>
                <w:szCs w:val="18"/>
              </w:rPr>
            </w:pPr>
            <w:r>
              <w:rPr>
                <w:sz w:val="18"/>
                <w:szCs w:val="18"/>
                <w:rtl w:val="0"/>
              </w:rPr>
              <w:t xml:space="preserve">22,283</w:t>
            </w:r>
          </w:p>
        </w:tc>
        <w:tc>
          <w:tcPr/>
          <w:p w:rsidR="00000000" w:rsidDel="00000000" w:rsidP="00000000" w:rsidRDefault="00000000" w:rsidRPr="00000000" w14:paraId="00000156">
            <w:pPr>
              <w:ind w:firstLine="0"/>
              <w:jc w:val="center"/>
              <w:rPr>
                <w:sz w:val="18"/>
                <w:szCs w:val="18"/>
              </w:rPr>
            </w:pPr>
            <w:r>
              <w:rPr>
                <w:sz w:val="18"/>
                <w:szCs w:val="18"/>
                <w:rtl w:val="0"/>
              </w:rPr>
              <w:t xml:space="preserve">Probe-level GPL96 feature space</w:t>
            </w:r>
          </w:p>
        </w:tc>
      </w:tr>
      <w:tr>
        <w:trPr>
          <w:cantSplit/>
          <w:tblHeader w:val="0"/>
        </w:trPr>
        <w:tc>
          <w:tcPr/>
          <w:p w:rsidR="00000000" w:rsidDel="00000000" w:rsidP="00000000" w:rsidRDefault="00000000" w:rsidRPr="00000000" w14:paraId="00000157">
            <w:pPr>
              <w:ind w:firstLine="0"/>
              <w:jc w:val="center"/>
              <w:rPr>
                <w:sz w:val="18"/>
                <w:szCs w:val="18"/>
              </w:rPr>
            </w:pPr>
            <w:r>
              <w:rPr>
                <w:sz w:val="18"/>
                <w:szCs w:val="18"/>
                <w:rtl w:val="0"/>
              </w:rPr>
              <w:t xml:space="preserve">Total unique selected features</w:t>
            </w:r>
          </w:p>
        </w:tc>
        <w:tc>
          <w:tcPr/>
          <w:p w:rsidR="00000000" w:rsidDel="00000000" w:rsidP="00000000" w:rsidRDefault="00000000" w:rsidRPr="00000000" w14:paraId="00000158">
            <w:pPr>
              <w:ind w:firstLine="0"/>
              <w:jc w:val="center"/>
              <w:rPr>
                <w:sz w:val="18"/>
                <w:szCs w:val="18"/>
              </w:rPr>
            </w:pPr>
            <w:r>
              <w:rPr>
                <w:sz w:val="18"/>
                <w:szCs w:val="18"/>
                <w:rtl w:val="0"/>
              </w:rPr>
              <w:t xml:space="preserve">222</w:t>
            </w:r>
          </w:p>
        </w:tc>
        <w:tc>
          <w:tcPr/>
          <w:p w:rsidR="00000000" w:rsidDel="00000000" w:rsidP="00000000" w:rsidRDefault="00000000" w:rsidRPr="00000000" w14:paraId="00000159">
            <w:pPr>
              <w:ind w:firstLine="0"/>
              <w:jc w:val="center"/>
              <w:rPr>
                <w:sz w:val="18"/>
                <w:szCs w:val="18"/>
              </w:rPr>
            </w:pPr>
            <w:r>
              <w:rPr>
                <w:sz w:val="18"/>
                <w:szCs w:val="18"/>
                <w:rtl w:val="0"/>
              </w:rPr>
              <w:t xml:space="preserve">More features selected across folds than in any single model</w:t>
            </w:r>
          </w:p>
        </w:tc>
      </w:tr>
      <w:tr>
        <w:trPr>
          <w:cantSplit/>
          <w:tblHeader w:val="0"/>
        </w:trPr>
        <w:tc>
          <w:tcPr/>
          <w:p w:rsidR="00000000" w:rsidDel="00000000" w:rsidP="00000000" w:rsidRDefault="00000000" w:rsidRPr="00000000" w14:paraId="0000015A">
            <w:pPr>
              <w:ind w:firstLine="0"/>
              <w:jc w:val="center"/>
              <w:rPr>
                <w:sz w:val="18"/>
                <w:szCs w:val="18"/>
              </w:rPr>
            </w:pPr>
            <w:r>
              <w:rPr>
                <w:sz w:val="18"/>
                <w:szCs w:val="18"/>
                <w:rtl w:val="0"/>
              </w:rPr>
              <w:t xml:space="preserve">Selected in all 5 folds</w:t>
            </w:r>
          </w:p>
        </w:tc>
        <w:tc>
          <w:tcPr/>
          <w:p w:rsidR="00000000" w:rsidDel="00000000" w:rsidP="00000000" w:rsidRDefault="00000000" w:rsidRPr="00000000" w14:paraId="0000015B">
            <w:pPr>
              <w:ind w:firstLine="0"/>
              <w:jc w:val="center"/>
              <w:rPr>
                <w:sz w:val="18"/>
                <w:szCs w:val="18"/>
              </w:rPr>
            </w:pPr>
            <w:r>
              <w:rPr>
                <w:sz w:val="18"/>
                <w:szCs w:val="18"/>
                <w:rtl w:val="0"/>
              </w:rPr>
              <w:t xml:space="preserve">28</w:t>
            </w:r>
          </w:p>
        </w:tc>
        <w:tc>
          <w:tcPr/>
          <w:p w:rsidR="00000000" w:rsidDel="00000000" w:rsidP="00000000" w:rsidRDefault="00000000" w:rsidRPr="00000000" w14:paraId="0000015C">
            <w:pPr>
              <w:ind w:firstLine="0"/>
              <w:jc w:val="center"/>
              <w:rPr>
                <w:sz w:val="18"/>
                <w:szCs w:val="18"/>
              </w:rPr>
            </w:pPr>
            <w:r>
              <w:rPr>
                <w:sz w:val="18"/>
                <w:szCs w:val="18"/>
                <w:rtl w:val="0"/>
              </w:rPr>
              <w:t xml:space="preserve">Stable feature core</w:t>
            </w:r>
          </w:p>
        </w:tc>
      </w:tr>
      <w:tr>
        <w:trPr>
          <w:cantSplit/>
          <w:tblHeader w:val="0"/>
        </w:trPr>
        <w:tc>
          <w:tcPr/>
          <w:p w:rsidR="00000000" w:rsidDel="00000000" w:rsidP="00000000" w:rsidRDefault="00000000" w:rsidRPr="00000000" w14:paraId="0000015D">
            <w:pPr>
              <w:ind w:firstLine="0"/>
              <w:jc w:val="center"/>
              <w:rPr>
                <w:sz w:val="18"/>
                <w:szCs w:val="18"/>
              </w:rPr>
            </w:pPr>
            <w:r>
              <w:rPr>
                <w:sz w:val="18"/>
                <w:szCs w:val="18"/>
                <w:rtl w:val="0"/>
              </w:rPr>
              <w:t xml:space="preserve">Selected in only 1 fold</w:t>
            </w:r>
          </w:p>
        </w:tc>
        <w:tc>
          <w:tcPr/>
          <w:p w:rsidR="00000000" w:rsidDel="00000000" w:rsidP="00000000" w:rsidRDefault="00000000" w:rsidRPr="00000000" w14:paraId="0000015E">
            <w:pPr>
              <w:ind w:firstLine="0"/>
              <w:jc w:val="center"/>
              <w:rPr>
                <w:sz w:val="18"/>
                <w:szCs w:val="18"/>
              </w:rPr>
            </w:pPr>
            <w:r>
              <w:rPr>
                <w:sz w:val="18"/>
                <w:szCs w:val="18"/>
                <w:rtl w:val="0"/>
              </w:rPr>
              <w:t xml:space="preserve">102</w:t>
            </w:r>
          </w:p>
        </w:tc>
        <w:tc>
          <w:tcPr/>
          <w:p w:rsidR="00000000" w:rsidDel="00000000" w:rsidP="00000000" w:rsidRDefault="00000000" w:rsidRPr="00000000" w14:paraId="0000015F">
            <w:pPr>
              <w:ind w:firstLine="0"/>
              <w:jc w:val="center"/>
              <w:rPr>
                <w:sz w:val="18"/>
                <w:szCs w:val="18"/>
              </w:rPr>
            </w:pPr>
            <w:r>
              <w:rPr>
                <w:sz w:val="18"/>
                <w:szCs w:val="18"/>
                <w:rtl w:val="0"/>
              </w:rPr>
              <w:t xml:space="preserve">Large unstable tail</w:t>
            </w:r>
          </w:p>
        </w:tc>
      </w:tr>
      <w:tr>
        <w:trPr>
          <w:cantSplit/>
          <w:tblHeader w:val="0"/>
        </w:trPr>
        <w:tc>
          <w:tcPr/>
          <w:p w:rsidR="00000000" w:rsidDel="00000000" w:rsidP="00000000" w:rsidRDefault="00000000" w:rsidRPr="00000000" w14:paraId="00000160">
            <w:pPr>
              <w:ind w:firstLine="0"/>
              <w:jc w:val="center"/>
              <w:rPr>
                <w:sz w:val="18"/>
                <w:szCs w:val="18"/>
              </w:rPr>
            </w:pPr>
            <w:r>
              <w:rPr>
                <w:sz w:val="18"/>
                <w:szCs w:val="18"/>
                <w:rtl w:val="0"/>
              </w:rPr>
              <w:t xml:space="preserve">Mean Jaccard overlap</w:t>
            </w:r>
          </w:p>
        </w:tc>
        <w:tc>
          <w:tcPr/>
          <w:p w:rsidR="00000000" w:rsidDel="00000000" w:rsidP="00000000" w:rsidRDefault="00000000" w:rsidRPr="00000000" w14:paraId="00000161">
            <w:pPr>
              <w:ind w:firstLine="0"/>
              <w:jc w:val="center"/>
              <w:rPr>
                <w:sz w:val="18"/>
                <w:szCs w:val="18"/>
              </w:rPr>
            </w:pPr>
            <w:r>
              <w:rPr>
                <w:sz w:val="18"/>
                <w:szCs w:val="18"/>
                <w:rtl w:val="0"/>
              </w:rPr>
              <w:t xml:space="preserve">0.3734</w:t>
            </w:r>
          </w:p>
        </w:tc>
        <w:tc>
          <w:tcPr/>
          <w:p w:rsidR="00000000" w:rsidDel="00000000" w:rsidP="00000000" w:rsidRDefault="00000000" w:rsidRPr="00000000" w14:paraId="00000162">
            <w:pPr>
              <w:ind w:firstLine="0"/>
              <w:jc w:val="center"/>
              <w:rPr>
                <w:sz w:val="18"/>
                <w:szCs w:val="18"/>
              </w:rPr>
            </w:pPr>
            <w:r>
              <w:rPr>
                <w:sz w:val="18"/>
                <w:szCs w:val="18"/>
                <w:rtl w:val="0"/>
              </w:rPr>
              <w:t xml:space="preserve">Moderate pairwise overlap</w:t>
            </w:r>
          </w:p>
        </w:tc>
      </w:tr>
      <w:tr>
        <w:trPr>
          <w:cantSplit/>
          <w:tblHeader w:val="0"/>
        </w:trPr>
        <w:tc>
          <w:tcPr/>
          <w:p w:rsidR="00000000" w:rsidDel="00000000" w:rsidP="00000000" w:rsidRDefault="00000000" w:rsidRPr="00000000" w14:paraId="00000163">
            <w:pPr>
              <w:ind w:firstLine="0"/>
              <w:jc w:val="center"/>
              <w:rPr>
                <w:sz w:val="18"/>
                <w:szCs w:val="18"/>
              </w:rPr>
            </w:pPr>
            <w:r>
              <w:rPr>
                <w:sz w:val="18"/>
                <w:szCs w:val="18"/>
                <w:rtl w:val="0"/>
              </w:rPr>
              <w:t xml:space="preserve">Median Jaccard overlap</w:t>
            </w:r>
          </w:p>
        </w:tc>
        <w:tc>
          <w:tcPr/>
          <w:p w:rsidR="00000000" w:rsidDel="00000000" w:rsidP="00000000" w:rsidRDefault="00000000" w:rsidRPr="00000000" w14:paraId="00000164">
            <w:pPr>
              <w:ind w:firstLine="0"/>
              <w:jc w:val="center"/>
              <w:rPr>
                <w:sz w:val="18"/>
                <w:szCs w:val="18"/>
              </w:rPr>
            </w:pPr>
            <w:r>
              <w:rPr>
                <w:sz w:val="18"/>
                <w:szCs w:val="18"/>
                <w:rtl w:val="0"/>
              </w:rPr>
              <w:t xml:space="preserve">0.3699</w:t>
            </w:r>
          </w:p>
        </w:tc>
        <w:tc>
          <w:tcPr/>
          <w:p w:rsidR="00000000" w:rsidDel="00000000" w:rsidP="00000000" w:rsidRDefault="00000000" w:rsidRPr="00000000" w14:paraId="00000165">
            <w:pPr>
              <w:ind w:firstLine="0"/>
              <w:jc w:val="center"/>
              <w:rPr>
                <w:sz w:val="18"/>
                <w:szCs w:val="18"/>
              </w:rPr>
            </w:pPr>
            <w:r>
              <w:rPr>
                <w:sz w:val="18"/>
                <w:szCs w:val="18"/>
                <w:rtl w:val="0"/>
              </w:rPr>
              <w:t xml:space="preserve">Moderate pairwise overlap</w:t>
            </w:r>
          </w:p>
        </w:tc>
      </w:tr>
      <w:tr>
        <w:trPr>
          <w:cantSplit/>
          <w:tblHeader w:val="0"/>
        </w:trPr>
        <w:tc>
          <w:tcPr/>
          <w:p w:rsidR="00000000" w:rsidDel="00000000" w:rsidP="00000000" w:rsidRDefault="00000000" w:rsidRPr="00000000" w14:paraId="00000166">
            <w:pPr>
              <w:ind w:firstLine="0"/>
              <w:jc w:val="center"/>
              <w:rPr>
                <w:sz w:val="18"/>
                <w:szCs w:val="18"/>
              </w:rPr>
            </w:pPr>
            <w:r>
              <w:rPr>
                <w:sz w:val="18"/>
                <w:szCs w:val="18"/>
                <w:rtl w:val="0"/>
              </w:rPr>
              <w:t xml:space="preserve">Nogueira stability index</w:t>
            </w:r>
          </w:p>
        </w:tc>
        <w:tc>
          <w:tcPr/>
          <w:p w:rsidR="00000000" w:rsidDel="00000000" w:rsidP="00000000" w:rsidRDefault="00000000" w:rsidRPr="00000000" w14:paraId="00000167">
            <w:pPr>
              <w:ind w:firstLine="0"/>
              <w:jc w:val="center"/>
              <w:rPr>
                <w:sz w:val="18"/>
                <w:szCs w:val="18"/>
              </w:rPr>
            </w:pPr>
            <w:r>
              <w:rPr>
                <w:sz w:val="18"/>
                <w:szCs w:val="18"/>
                <w:rtl w:val="0"/>
              </w:rPr>
              <w:t xml:space="preserve">0.5409</w:t>
            </w:r>
          </w:p>
        </w:tc>
        <w:tc>
          <w:tcPr/>
          <w:p w:rsidR="00000000" w:rsidDel="00000000" w:rsidP="00000000" w:rsidRDefault="00000000" w:rsidRPr="00000000" w14:paraId="00000168">
            <w:pPr>
              <w:ind w:firstLine="0"/>
              <w:jc w:val="center"/>
              <w:rPr>
                <w:sz w:val="18"/>
                <w:szCs w:val="18"/>
              </w:rPr>
            </w:pPr>
            <w:r>
              <w:rPr>
                <w:sz w:val="18"/>
                <w:szCs w:val="18"/>
                <w:rtl w:val="0"/>
              </w:rPr>
              <w:t xml:space="preserve">Moderate stability</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6A">
      <w:pPr>
        <w:jc w:val="center"/>
        <w:rPr/>
      </w:pPr>
      <w:r>
        <w:rPr/>
        <w:drawing>
          <wp:inline distB="0" distT="0" distL="114300" distR="114300">
            <wp:extent cx="5669280" cy="309164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3091647"/>
                    </a:xfrm>
                    <a:prstGeom prst="rect"/>
                    <a:ln/>
                  </pic:spPr>
                </pic:pic>
              </a:graphicData>
            </a:graphic>
          </wp:inline>
        </w:drawing>
      </w:r>
      <w:r>
        <w:rPr>
          <w:rtl w:val="0"/>
        </w:rPr>
      </w:r>
    </w:p>
    <w:p w:rsidR="00000000" w:rsidDel="00000000" w:rsidP="00000000" w:rsidRDefault="00000000" w:rsidRPr="00000000" w14:paraId="0000016B">
      <w:pPr>
        <w:rPr/>
      </w:pPr>
      <w:r>
        <w:rPr>
          <w:i w:val="1"/>
          <w:iCs w:val="1"/>
          <w:sz w:val="20"/>
          <w:szCs w:val="20"/>
          <w:rtl w:val="0"/>
        </w:rPr>
        <w:t xml:space="preserve">Figure 6. Feature-selection frequency across the five outer folds of the guarded pipeline (GSE25055). A small stable core (28 probes selected in all five folds) coexists with a large unstable tail (102 probes selected in only one fold).</w:t>
      </w:r>
      <w:r>
        <w:rPr>
          <w:rtl w:val="0"/>
        </w:rPr>
      </w:r>
    </w:p>
    <w:p w:rsidR="00000000" w:rsidDel="00000000" w:rsidP="00000000" w:rsidRDefault="00000000" w:rsidRPr="00000000" w14:paraId="0000016C">
      <w:pPr>
        <w:pStyle w:val="Heading2"/>
        <w:rPr/>
      </w:pPr>
      <w:r>
        <w:rPr>
          <w:b w:val="0"/>
          <w:bCs w:val="0"/>
          <w:rtl w:val="0"/>
        </w:rPr>
        <w:t xml:space="preserve">External validation on GSE25065</w:t>
      </w:r>
      <w:r>
        <w:rPr>
          <w:rtl w:val="0"/>
        </w:rPr>
      </w:r>
    </w:p>
    <w:p w:rsidR="00000000" w:rsidDel="00000000" w:rsidP="00000000" w:rsidRDefault="00000000" w:rsidRPr="00000000" w14:paraId="0000016D">
      <w:pPr>
        <w:rPr/>
      </w:pPr>
      <w:r>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E">
      <w:pPr>
        <w:rPr/>
      </w:pPr>
      <w:r>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Pr>
          <w:rtl w:val="0"/>
        </w:rPr>
      </w:r>
    </w:p>
    <w:p w:rsidR="00000000" w:rsidDel="00000000" w:rsidP="00000000" w:rsidRDefault="00000000" w:rsidRPr="00000000" w14:paraId="00000171">
      <w:pPr>
        <w:rPr/>
      </w:pPr>
      <w:r>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tblHeader/>
        </w:trPr>
        <w:tc>
          <w:tcPr>
            <w:shd w:fill="d9eaf7" w:val="clear"/>
          </w:tcPr>
          <w:p w:rsidR="00000000" w:rsidDel="00000000" w:rsidP="00000000" w:rsidRDefault="00000000" w:rsidRPr="00000000" w14:paraId="00000172">
            <w:pPr>
              <w:rPr/>
            </w:pPr>
            <w:r>
              <w:rPr>
                <w:b w:val="1"/>
                <w:bCs w:val="1"/>
                <w:sz w:val="15"/>
                <w:szCs w:val="15"/>
                <w:rtl w:val="0"/>
              </w:rPr>
              <w:t xml:space="preserve">Metric</w:t>
            </w:r>
            <w:r>
              <w:rPr>
                <w:rtl w:val="0"/>
              </w:rPr>
            </w:r>
          </w:p>
        </w:tc>
        <w:tc>
          <w:tcPr>
            <w:shd w:fill="d9eaf7" w:val="clear"/>
          </w:tcPr>
          <w:p w:rsidR="00000000" w:rsidDel="00000000" w:rsidP="00000000" w:rsidRDefault="00000000" w:rsidRPr="00000000" w14:paraId="00000173">
            <w:pPr>
              <w:rPr/>
            </w:pPr>
            <w:r>
              <w:rPr>
                <w:b w:val="1"/>
                <w:bCs w:val="1"/>
                <w:sz w:val="15"/>
                <w:szCs w:val="15"/>
                <w:rtl w:val="0"/>
              </w:rPr>
              <w:t xml:space="preserve">Guarded nested CV (GSE25055)</w:t>
            </w:r>
            <w:r>
              <w:rPr>
                <w:rtl w:val="0"/>
              </w:rPr>
            </w:r>
          </w:p>
        </w:tc>
        <w:tc>
          <w:tcPr>
            <w:shd w:fill="d9eaf7" w:val="clear"/>
          </w:tcPr>
          <w:p w:rsidR="00000000" w:rsidDel="00000000" w:rsidP="00000000" w:rsidRDefault="00000000" w:rsidRPr="00000000" w14:paraId="00000174">
            <w:pPr>
              <w:rPr/>
            </w:pPr>
            <w:r>
              <w:rPr>
                <w:b w:val="1"/>
                <w:bCs w:val="1"/>
                <w:sz w:val="15"/>
                <w:szCs w:val="15"/>
                <w:rtl w:val="0"/>
              </w:rPr>
              <w:t xml:space="preserve">External validation (GSE25065)</w:t>
            </w:r>
            <w:r>
              <w:rPr>
                <w:rtl w:val="0"/>
              </w:rPr>
            </w:r>
          </w:p>
        </w:tc>
        <w:tc>
          <w:tcPr>
            <w:shd w:fill="d9eaf7" w:val="clear"/>
          </w:tcPr>
          <w:p w:rsidR="00000000" w:rsidDel="00000000" w:rsidP="00000000" w:rsidRDefault="00000000" w:rsidRPr="00000000" w14:paraId="00000175">
            <w:pPr>
              <w:rPr/>
            </w:pPr>
            <w:r>
              <w:rPr>
                <w:b w:val="1"/>
                <w:bCs w:val="1"/>
                <w:sz w:val="15"/>
                <w:szCs w:val="15"/>
                <w:rtl w:val="0"/>
              </w:rPr>
              <w:t xml:space="preserve">External drop/change</w:t>
            </w:r>
            <w:r>
              <w:rPr>
                <w:rtl w:val="0"/>
              </w:rPr>
            </w:r>
          </w:p>
        </w:tc>
      </w:tr>
      <w:tr>
        <w:trPr>
          <w:cantSplit/>
          <w:tblHeader w:val="0"/>
        </w:trPr>
        <w:tc>
          <w:tcPr/>
          <w:p w:rsidR="00000000" w:rsidDel="00000000" w:rsidP="00000000" w:rsidRDefault="00000000" w:rsidRPr="00000000" w14:paraId="00000176">
            <w:pPr>
              <w:rPr/>
            </w:pPr>
            <w:r>
              <w:rPr>
                <w:sz w:val="15"/>
                <w:szCs w:val="15"/>
                <w:rtl w:val="0"/>
              </w:rPr>
              <w:t xml:space="preserve">AUROC</w:t>
            </w:r>
            <w:r>
              <w:rPr>
                <w:rtl w:val="0"/>
              </w:rPr>
            </w:r>
          </w:p>
        </w:tc>
        <w:tc>
          <w:tcPr/>
          <w:p w:rsidR="00000000" w:rsidDel="00000000" w:rsidP="00000000" w:rsidRDefault="00000000" w:rsidRPr="00000000" w14:paraId="00000177">
            <w:pPr>
              <w:rPr/>
            </w:pPr>
            <w:r>
              <w:rPr>
                <w:sz w:val="15"/>
                <w:szCs w:val="15"/>
                <w:rtl w:val="0"/>
              </w:rPr>
              <w:t xml:space="preserve">0.7265</w:t>
            </w:r>
            <w:r>
              <w:rPr>
                <w:rtl w:val="0"/>
              </w:rPr>
            </w:r>
          </w:p>
        </w:tc>
        <w:tc>
          <w:tcPr/>
          <w:p w:rsidR="00000000" w:rsidDel="00000000" w:rsidP="00000000" w:rsidRDefault="00000000" w:rsidRPr="00000000" w14:paraId="00000178">
            <w:pPr>
              <w:rPr/>
            </w:pPr>
            <w:r>
              <w:rPr>
                <w:sz w:val="15"/>
                <w:szCs w:val="15"/>
                <w:rtl w:val="0"/>
              </w:rPr>
              <w:t xml:space="preserve">0.6078</w:t>
            </w:r>
            <w:r>
              <w:rPr>
                <w:rtl w:val="0"/>
              </w:rPr>
            </w:r>
          </w:p>
        </w:tc>
        <w:tc>
          <w:tcPr/>
          <w:p w:rsidR="00000000" w:rsidDel="00000000" w:rsidP="00000000" w:rsidRDefault="00000000" w:rsidRPr="00000000" w14:paraId="00000179">
            <w:pPr>
              <w:rPr/>
            </w:pPr>
            <w:r>
              <w:rPr>
                <w:sz w:val="15"/>
                <w:szCs w:val="15"/>
                <w:rtl w:val="0"/>
              </w:rPr>
              <w:t xml:space="preserve">-0.1187</w:t>
            </w:r>
            <w:r>
              <w:rPr>
                <w:rtl w:val="0"/>
              </w:rPr>
            </w:r>
          </w:p>
        </w:tc>
      </w:tr>
      <w:tr>
        <w:trPr>
          <w:cantSplit/>
          <w:tblHeader w:val="0"/>
        </w:trPr>
        <w:tc>
          <w:tcPr/>
          <w:p w:rsidR="00000000" w:rsidDel="00000000" w:rsidP="00000000" w:rsidRDefault="00000000" w:rsidRPr="00000000" w14:paraId="0000017A">
            <w:pPr>
              <w:rPr/>
            </w:pPr>
            <w:r>
              <w:rPr>
                <w:sz w:val="15"/>
                <w:szCs w:val="15"/>
                <w:rtl w:val="0"/>
              </w:rPr>
              <w:t xml:space="preserve">PR-AUC</w:t>
            </w:r>
            <w:r>
              <w:rPr>
                <w:rtl w:val="0"/>
              </w:rPr>
            </w:r>
          </w:p>
        </w:tc>
        <w:tc>
          <w:tcPr/>
          <w:p w:rsidR="00000000" w:rsidDel="00000000" w:rsidP="00000000" w:rsidRDefault="00000000" w:rsidRPr="00000000" w14:paraId="0000017B">
            <w:pPr>
              <w:rPr/>
            </w:pPr>
            <w:r>
              <w:rPr>
                <w:sz w:val="15"/>
                <w:szCs w:val="15"/>
                <w:rtl w:val="0"/>
              </w:rPr>
              <w:t xml:space="preserve">0.3656</w:t>
            </w:r>
            <w:r>
              <w:rPr>
                <w:rtl w:val="0"/>
              </w:rPr>
            </w:r>
          </w:p>
        </w:tc>
        <w:tc>
          <w:tcPr/>
          <w:p w:rsidR="00000000" w:rsidDel="00000000" w:rsidP="00000000" w:rsidRDefault="00000000" w:rsidRPr="00000000" w14:paraId="0000017C">
            <w:pPr>
              <w:rPr/>
            </w:pPr>
            <w:r>
              <w:rPr>
                <w:sz w:val="15"/>
                <w:szCs w:val="15"/>
                <w:rtl w:val="0"/>
              </w:rPr>
              <w:t xml:space="preserve">0.3060</w:t>
            </w:r>
            <w:r>
              <w:rPr>
                <w:rtl w:val="0"/>
              </w:rPr>
            </w:r>
          </w:p>
        </w:tc>
        <w:tc>
          <w:tcPr/>
          <w:p w:rsidR="00000000" w:rsidDel="00000000" w:rsidP="00000000" w:rsidRDefault="00000000" w:rsidRPr="00000000" w14:paraId="0000017D">
            <w:pPr>
              <w:rPr/>
            </w:pPr>
            <w:r>
              <w:rPr>
                <w:sz w:val="15"/>
                <w:szCs w:val="15"/>
                <w:rtl w:val="0"/>
              </w:rPr>
              <w:t xml:space="preserve">-0.0596</w:t>
            </w:r>
            <w:r>
              <w:rPr>
                <w:rtl w:val="0"/>
              </w:rPr>
            </w:r>
          </w:p>
        </w:tc>
      </w:tr>
      <w:tr>
        <w:trPr>
          <w:cantSplit/>
          <w:tblHeader w:val="0"/>
        </w:trPr>
        <w:tc>
          <w:tcPr/>
          <w:p w:rsidR="00000000" w:rsidDel="00000000" w:rsidP="00000000" w:rsidRDefault="00000000" w:rsidRPr="00000000" w14:paraId="0000017E">
            <w:pPr>
              <w:rPr/>
            </w:pPr>
            <w:r>
              <w:rPr>
                <w:sz w:val="15"/>
                <w:szCs w:val="15"/>
                <w:rtl w:val="0"/>
              </w:rPr>
              <w:t xml:space="preserve">Balanced accuracy</w:t>
            </w:r>
            <w:r>
              <w:rPr>
                <w:rtl w:val="0"/>
              </w:rPr>
            </w:r>
          </w:p>
        </w:tc>
        <w:tc>
          <w:tcPr/>
          <w:p w:rsidR="00000000" w:rsidDel="00000000" w:rsidP="00000000" w:rsidRDefault="00000000" w:rsidRPr="00000000" w14:paraId="0000017F">
            <w:pPr>
              <w:rPr/>
            </w:pPr>
            <w:r>
              <w:rPr>
                <w:sz w:val="15"/>
                <w:szCs w:val="15"/>
                <w:rtl w:val="0"/>
              </w:rPr>
              <w:t xml:space="preserve">0.5792</w:t>
            </w:r>
            <w:r>
              <w:rPr>
                <w:rtl w:val="0"/>
              </w:rPr>
            </w:r>
          </w:p>
        </w:tc>
        <w:tc>
          <w:tcPr/>
          <w:p w:rsidR="00000000" w:rsidDel="00000000" w:rsidP="00000000" w:rsidRDefault="00000000" w:rsidRPr="00000000" w14:paraId="00000180">
            <w:pPr>
              <w:rPr/>
            </w:pPr>
            <w:r>
              <w:rPr>
                <w:sz w:val="15"/>
                <w:szCs w:val="15"/>
                <w:rtl w:val="0"/>
              </w:rPr>
              <w:t xml:space="preserve">0.5381</w:t>
            </w:r>
            <w:r>
              <w:rPr>
                <w:rtl w:val="0"/>
              </w:rPr>
            </w:r>
          </w:p>
        </w:tc>
        <w:tc>
          <w:tcPr/>
          <w:p w:rsidR="00000000" w:rsidDel="00000000" w:rsidP="00000000" w:rsidRDefault="00000000" w:rsidRPr="00000000" w14:paraId="00000181">
            <w:pPr>
              <w:rPr/>
            </w:pPr>
            <w:r>
              <w:rPr>
                <w:sz w:val="15"/>
                <w:szCs w:val="15"/>
                <w:rtl w:val="0"/>
              </w:rPr>
              <w:t xml:space="preserve">-0.0411</w:t>
            </w:r>
            <w:r>
              <w:rPr>
                <w:rtl w:val="0"/>
              </w:rPr>
            </w:r>
          </w:p>
        </w:tc>
      </w:tr>
      <w:tr>
        <w:trPr>
          <w:cantSplit/>
          <w:tblHeader w:val="0"/>
        </w:trPr>
        <w:tc>
          <w:tcPr/>
          <w:p w:rsidR="00000000" w:rsidDel="00000000" w:rsidP="00000000" w:rsidRDefault="00000000" w:rsidRPr="00000000" w14:paraId="00000182">
            <w:pPr>
              <w:rPr/>
            </w:pPr>
            <w:r>
              <w:rPr>
                <w:sz w:val="15"/>
                <w:szCs w:val="15"/>
                <w:rtl w:val="0"/>
              </w:rPr>
              <w:t xml:space="preserve">MCC</w:t>
            </w:r>
            <w:r>
              <w:rPr>
                <w:rtl w:val="0"/>
              </w:rPr>
            </w:r>
          </w:p>
        </w:tc>
        <w:tc>
          <w:tcPr/>
          <w:p w:rsidR="00000000" w:rsidDel="00000000" w:rsidP="00000000" w:rsidRDefault="00000000" w:rsidRPr="00000000" w14:paraId="00000183">
            <w:pPr>
              <w:rPr/>
            </w:pPr>
            <w:r>
              <w:rPr>
                <w:sz w:val="15"/>
                <w:szCs w:val="15"/>
                <w:rtl w:val="0"/>
              </w:rPr>
              <w:t xml:space="preserve">0.2250</w:t>
            </w:r>
            <w:r>
              <w:rPr>
                <w:rtl w:val="0"/>
              </w:rPr>
            </w:r>
          </w:p>
        </w:tc>
        <w:tc>
          <w:tcPr/>
          <w:p w:rsidR="00000000" w:rsidDel="00000000" w:rsidP="00000000" w:rsidRDefault="00000000" w:rsidRPr="00000000" w14:paraId="00000184">
            <w:pPr>
              <w:rPr/>
            </w:pPr>
            <w:r>
              <w:rPr>
                <w:sz w:val="15"/>
                <w:szCs w:val="15"/>
                <w:rtl w:val="0"/>
              </w:rPr>
              <w:t xml:space="preserve">0.1347</w:t>
            </w:r>
            <w:r>
              <w:rPr>
                <w:rtl w:val="0"/>
              </w:rPr>
            </w:r>
          </w:p>
        </w:tc>
        <w:tc>
          <w:tcPr/>
          <w:p w:rsidR="00000000" w:rsidDel="00000000" w:rsidP="00000000" w:rsidRDefault="00000000" w:rsidRPr="00000000" w14:paraId="00000185">
            <w:pPr>
              <w:rPr/>
            </w:pPr>
            <w:r>
              <w:rPr>
                <w:sz w:val="15"/>
                <w:szCs w:val="15"/>
                <w:rtl w:val="0"/>
              </w:rPr>
              <w:t xml:space="preserve">-0.0903</w:t>
            </w:r>
            <w:r>
              <w:rPr>
                <w:rtl w:val="0"/>
              </w:rPr>
            </w:r>
          </w:p>
        </w:tc>
      </w:tr>
      <w:tr>
        <w:trPr>
          <w:cantSplit/>
          <w:tblHeader w:val="0"/>
        </w:trPr>
        <w:tc>
          <w:tcPr/>
          <w:p w:rsidR="00000000" w:rsidDel="00000000" w:rsidP="00000000" w:rsidRDefault="00000000" w:rsidRPr="00000000" w14:paraId="00000186">
            <w:pPr>
              <w:rPr/>
            </w:pPr>
            <w:r>
              <w:rPr>
                <w:sz w:val="15"/>
                <w:szCs w:val="15"/>
                <w:rtl w:val="0"/>
              </w:rPr>
              <w:t xml:space="preserve">Sensitivity</w:t>
            </w:r>
            <w:r>
              <w:rPr>
                <w:rtl w:val="0"/>
              </w:rPr>
            </w:r>
          </w:p>
        </w:tc>
        <w:tc>
          <w:tcPr/>
          <w:p w:rsidR="00000000" w:rsidDel="00000000" w:rsidP="00000000" w:rsidRDefault="00000000" w:rsidRPr="00000000" w14:paraId="00000187">
            <w:pPr>
              <w:rPr/>
            </w:pPr>
            <w:r>
              <w:rPr>
                <w:sz w:val="15"/>
                <w:szCs w:val="15"/>
                <w:rtl w:val="0"/>
              </w:rPr>
              <w:t xml:space="preserve">0.2105</w:t>
            </w:r>
            <w:r>
              <w:rPr>
                <w:rtl w:val="0"/>
              </w:rPr>
            </w:r>
          </w:p>
        </w:tc>
        <w:tc>
          <w:tcPr/>
          <w:p w:rsidR="00000000" w:rsidDel="00000000" w:rsidP="00000000" w:rsidRDefault="00000000" w:rsidRPr="00000000" w14:paraId="00000188">
            <w:pPr>
              <w:rPr/>
            </w:pPr>
            <w:r>
              <w:rPr>
                <w:sz w:val="15"/>
                <w:szCs w:val="15"/>
                <w:rtl w:val="0"/>
              </w:rPr>
              <w:t xml:space="preserve">0.1190</w:t>
            </w:r>
            <w:r>
              <w:rPr>
                <w:rtl w:val="0"/>
              </w:rPr>
            </w:r>
          </w:p>
        </w:tc>
        <w:tc>
          <w:tcPr/>
          <w:p w:rsidR="00000000" w:rsidDel="00000000" w:rsidP="00000000" w:rsidRDefault="00000000" w:rsidRPr="00000000" w14:paraId="00000189">
            <w:pPr>
              <w:rPr/>
            </w:pPr>
            <w:r>
              <w:rPr>
                <w:sz w:val="15"/>
                <w:szCs w:val="15"/>
                <w:rtl w:val="0"/>
              </w:rPr>
              <w:t xml:space="preserve">-0.0915</w:t>
            </w:r>
            <w:r>
              <w:rPr>
                <w:rtl w:val="0"/>
              </w:rPr>
            </w:r>
          </w:p>
        </w:tc>
      </w:tr>
      <w:tr>
        <w:trPr>
          <w:cantSplit/>
          <w:tblHeader w:val="0"/>
        </w:trPr>
        <w:tc>
          <w:tcPr/>
          <w:p w:rsidR="00000000" w:rsidDel="00000000" w:rsidP="00000000" w:rsidRDefault="00000000" w:rsidRPr="00000000" w14:paraId="0000018A">
            <w:pPr>
              <w:rPr/>
            </w:pPr>
            <w:r>
              <w:rPr>
                <w:sz w:val="15"/>
                <w:szCs w:val="15"/>
                <w:rtl w:val="0"/>
              </w:rPr>
              <w:t xml:space="preserve">Specificity</w:t>
            </w:r>
            <w:r>
              <w:rPr>
                <w:rtl w:val="0"/>
              </w:rPr>
            </w:r>
          </w:p>
        </w:tc>
        <w:tc>
          <w:tcPr/>
          <w:p w:rsidR="00000000" w:rsidDel="00000000" w:rsidP="00000000" w:rsidRDefault="00000000" w:rsidRPr="00000000" w14:paraId="0000018B">
            <w:pPr>
              <w:rPr/>
            </w:pPr>
            <w:r>
              <w:rPr>
                <w:sz w:val="15"/>
                <w:szCs w:val="15"/>
                <w:rtl w:val="0"/>
              </w:rPr>
              <w:t xml:space="preserve">0.9478</w:t>
            </w:r>
            <w:r>
              <w:rPr>
                <w:rtl w:val="0"/>
              </w:rPr>
            </w:r>
          </w:p>
        </w:tc>
        <w:tc>
          <w:tcPr/>
          <w:p w:rsidR="00000000" w:rsidDel="00000000" w:rsidP="00000000" w:rsidRDefault="00000000" w:rsidRPr="00000000" w14:paraId="0000018C">
            <w:pPr>
              <w:rPr/>
            </w:pPr>
            <w:r>
              <w:rPr>
                <w:sz w:val="15"/>
                <w:szCs w:val="15"/>
                <w:rtl w:val="0"/>
              </w:rPr>
              <w:t xml:space="preserve">0.9571</w:t>
            </w:r>
            <w:r>
              <w:rPr>
                <w:rtl w:val="0"/>
              </w:rPr>
            </w:r>
          </w:p>
        </w:tc>
        <w:tc>
          <w:tcPr/>
          <w:p w:rsidR="00000000" w:rsidDel="00000000" w:rsidP="00000000" w:rsidRDefault="00000000" w:rsidRPr="00000000" w14:paraId="0000018D">
            <w:pPr>
              <w:rPr/>
            </w:pPr>
            <w:r>
              <w:rPr>
                <w:sz w:val="15"/>
                <w:szCs w:val="15"/>
                <w:rtl w:val="0"/>
              </w:rPr>
              <w:t xml:space="preserve">+0.0094</w:t>
            </w:r>
            <w:r>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8F">
      <w:pPr>
        <w:pStyle w:val="Heading2"/>
        <w:rPr/>
      </w:pPr>
      <w:r>
        <w:rPr>
          <w:b w:val="0"/>
          <w:bCs w:val="0"/>
          <w:rtl w:val="0"/>
        </w:rPr>
        <w:t xml:space="preserve">Integrated Reproducible Omics Evidence Audit</w:t>
      </w:r>
      <w:r>
        <w:rPr>
          <w:rtl w:val="0"/>
        </w:rPr>
      </w:r>
    </w:p>
    <w:p w:rsidR="00000000" w:rsidDel="00000000" w:rsidP="00000000" w:rsidRDefault="00000000" w:rsidRPr="00000000" w14:paraId="00000190">
      <w:pPr>
        <w:rPr/>
      </w:pPr>
      <w:r>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91">
      <w:pPr>
        <w:rPr/>
      </w:pPr>
      <w:r>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r>
        <w:t xml:space="preserve"> These dimensions are shown together in the evidence-audit dashboard (Figure 7).</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11</w:t>
      </w:r>
      <w:r>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tblHeader/>
        </w:trPr>
        <w:tc>
          <w:tcPr>
            <w:shd w:fill="d9eaf7" w:val="clear"/>
          </w:tcPr>
          <w:p w:rsidR="00000000" w:rsidDel="00000000" w:rsidP="00000000" w:rsidRDefault="00000000" w:rsidRPr="00000000" w14:paraId="00000194">
            <w:pPr>
              <w:ind w:firstLine="0"/>
              <w:jc w:val="center"/>
              <w:rPr>
                <w:sz w:val="18"/>
                <w:szCs w:val="18"/>
              </w:rPr>
            </w:pPr>
            <w:r>
              <w:rPr>
                <w:b w:val="1"/>
                <w:bCs w:val="1"/>
                <w:sz w:val="18"/>
                <w:szCs w:val="18"/>
                <w:rtl w:val="0"/>
              </w:rPr>
              <w:t xml:space="preserve">Audit domain</w:t>
            </w:r>
            <w:r>
              <w:rPr>
                <w:rtl w:val="0"/>
              </w:rPr>
            </w:r>
          </w:p>
        </w:tc>
        <w:tc>
          <w:tcPr>
            <w:shd w:fill="d9eaf7" w:val="clear"/>
          </w:tcPr>
          <w:p w:rsidR="00000000" w:rsidDel="00000000" w:rsidP="00000000" w:rsidRDefault="00000000" w:rsidRPr="00000000" w14:paraId="00000195">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96">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97">
            <w:pPr>
              <w:ind w:firstLine="0"/>
              <w:jc w:val="center"/>
              <w:rPr>
                <w:sz w:val="18"/>
                <w:szCs w:val="18"/>
              </w:rPr>
            </w:pPr>
            <w:r>
              <w:rPr>
                <w:b w:val="1"/>
                <w:bCs w:val="1"/>
                <w:sz w:val="18"/>
                <w:szCs w:val="18"/>
                <w:rtl w:val="0"/>
              </w:rPr>
              <w:t xml:space="preserve">Interpretation</w:t>
            </w:r>
            <w:r>
              <w:rPr>
                <w:rtl w:val="0"/>
              </w:rPr>
            </w:r>
          </w:p>
        </w:tc>
      </w:tr>
      <w:tr>
        <w:trPr>
          <w:cantSplit/>
          <w:tblHeader w:val="0"/>
        </w:trPr>
        <w:tc>
          <w:tcPr/>
          <w:p w:rsidR="00000000" w:rsidDel="00000000" w:rsidP="00000000" w:rsidRDefault="00000000" w:rsidRPr="00000000" w14:paraId="00000198">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9">
            <w:pPr>
              <w:ind w:firstLine="0"/>
              <w:jc w:val="center"/>
              <w:rPr>
                <w:sz w:val="18"/>
                <w:szCs w:val="18"/>
              </w:rPr>
            </w:pPr>
            <w:r>
              <w:rPr>
                <w:sz w:val="18"/>
                <w:szCs w:val="18"/>
                <w:rtl w:val="0"/>
              </w:rPr>
              <w:t xml:space="preserve">Discovery usable samples</w:t>
            </w:r>
          </w:p>
        </w:tc>
        <w:tc>
          <w:tcPr/>
          <w:p w:rsidR="00000000" w:rsidDel="00000000" w:rsidP="00000000" w:rsidRDefault="00000000" w:rsidRPr="00000000" w14:paraId="0000019A">
            <w:pPr>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19B">
            <w:pPr>
              <w:ind w:firstLine="0"/>
              <w:jc w:val="center"/>
              <w:rPr>
                <w:sz w:val="18"/>
                <w:szCs w:val="18"/>
              </w:rPr>
            </w:pPr>
            <w:r>
              <w:rPr>
                <w:sz w:val="18"/>
                <w:szCs w:val="18"/>
                <w:rtl w:val="0"/>
              </w:rPr>
              <w:t xml:space="preserve">Discovery cohort is labeled and same-platform.</w:t>
            </w:r>
          </w:p>
        </w:tc>
      </w:tr>
      <w:tr>
        <w:trPr>
          <w:cantSplit/>
          <w:tblHeader w:val="0"/>
        </w:trPr>
        <w:tc>
          <w:tcPr/>
          <w:p w:rsidR="00000000" w:rsidDel="00000000" w:rsidP="00000000" w:rsidRDefault="00000000" w:rsidRPr="00000000" w14:paraId="0000019C">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D">
            <w:pPr>
              <w:ind w:firstLine="0"/>
              <w:jc w:val="center"/>
              <w:rPr>
                <w:sz w:val="18"/>
                <w:szCs w:val="18"/>
              </w:rPr>
            </w:pPr>
            <w:r>
              <w:rPr>
                <w:sz w:val="18"/>
                <w:szCs w:val="18"/>
                <w:rtl w:val="0"/>
              </w:rPr>
              <w:t xml:space="preserve">External usable samples</w:t>
            </w:r>
          </w:p>
        </w:tc>
        <w:tc>
          <w:tcPr/>
          <w:p w:rsidR="00000000" w:rsidDel="00000000" w:rsidP="00000000" w:rsidRDefault="00000000" w:rsidRPr="00000000" w14:paraId="0000019E">
            <w:pPr>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19F">
            <w:pPr>
              <w:ind w:firstLine="0"/>
              <w:jc w:val="center"/>
              <w:rPr>
                <w:sz w:val="18"/>
                <w:szCs w:val="18"/>
              </w:rPr>
            </w:pPr>
            <w:r>
              <w:rPr>
                <w:sz w:val="18"/>
                <w:szCs w:val="18"/>
                <w:rtl w:val="0"/>
              </w:rPr>
              <w:t xml:space="preserve">Same-platform, same-study-family validation cohort is non-overlapping.</w:t>
            </w:r>
          </w:p>
        </w:tc>
      </w:tr>
      <w:tr>
        <w:trPr>
          <w:cantSplit/>
          <w:tblHeader w:val="0"/>
        </w:trPr>
        <w:tc>
          <w:tcPr/>
          <w:p w:rsidR="00000000" w:rsidDel="00000000" w:rsidP="00000000" w:rsidRDefault="00000000" w:rsidRPr="00000000" w14:paraId="000001A0">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1">
            <w:pPr>
              <w:ind w:firstLine="0"/>
              <w:jc w:val="center"/>
              <w:rPr>
                <w:sz w:val="18"/>
                <w:szCs w:val="18"/>
              </w:rPr>
            </w:pPr>
            <w:r>
              <w:rPr>
                <w:sz w:val="18"/>
                <w:szCs w:val="18"/>
                <w:rtl w:val="0"/>
              </w:rPr>
              <w:t xml:space="preserve">AUROC gap (leaky - guarded)</w:t>
            </w:r>
          </w:p>
        </w:tc>
        <w:tc>
          <w:tcPr/>
          <w:p w:rsidR="00000000" w:rsidDel="00000000" w:rsidP="00000000" w:rsidRDefault="00000000" w:rsidRPr="00000000" w14:paraId="000001A2">
            <w:pPr>
              <w:ind w:firstLine="0"/>
              <w:jc w:val="center"/>
              <w:rPr>
                <w:sz w:val="18"/>
                <w:szCs w:val="18"/>
              </w:rPr>
            </w:pPr>
            <w:r>
              <w:rPr>
                <w:sz w:val="18"/>
                <w:szCs w:val="18"/>
                <w:rtl w:val="0"/>
              </w:rPr>
              <w:t xml:space="preserve">+0.0440</w:t>
            </w:r>
          </w:p>
        </w:tc>
        <w:tc>
          <w:tcPr/>
          <w:p w:rsidR="00000000" w:rsidDel="00000000" w:rsidP="00000000" w:rsidRDefault="00000000" w:rsidRPr="00000000" w14:paraId="000001A3">
            <w:pPr>
              <w:ind w:firstLine="0"/>
              <w:jc w:val="center"/>
              <w:rPr>
                <w:sz w:val="18"/>
                <w:szCs w:val="18"/>
              </w:rPr>
            </w:pPr>
            <w:r>
              <w:rPr>
                <w:sz w:val="18"/>
                <w:szCs w:val="18"/>
                <w:rtl w:val="0"/>
              </w:rPr>
              <w:t xml:space="preserve">Global feature selection can inflate apparent discrimination; single-cohort gap CI includes zero (Table 5).</w:t>
            </w:r>
          </w:p>
        </w:tc>
      </w:tr>
      <w:tr>
        <w:trPr>
          <w:cantSplit/>
          <w:tblHeader w:val="0"/>
        </w:trPr>
        <w:tc>
          <w:tcPr/>
          <w:p w:rsidR="00000000" w:rsidDel="00000000" w:rsidP="00000000" w:rsidRDefault="00000000" w:rsidRPr="00000000" w14:paraId="000001A4">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5">
            <w:pPr>
              <w:ind w:firstLine="0"/>
              <w:jc w:val="center"/>
              <w:rPr>
                <w:sz w:val="18"/>
                <w:szCs w:val="18"/>
              </w:rPr>
            </w:pPr>
            <w:r>
              <w:rPr>
                <w:sz w:val="18"/>
                <w:szCs w:val="18"/>
                <w:rtl w:val="0"/>
              </w:rPr>
              <w:t xml:space="preserve">PR-AUC gap (leaky - guarded)</w:t>
            </w:r>
          </w:p>
        </w:tc>
        <w:tc>
          <w:tcPr/>
          <w:p w:rsidR="00000000" w:rsidDel="00000000" w:rsidP="00000000" w:rsidRDefault="00000000" w:rsidRPr="00000000" w14:paraId="000001A6">
            <w:pPr>
              <w:ind w:firstLine="0"/>
              <w:jc w:val="center"/>
              <w:rPr>
                <w:sz w:val="18"/>
                <w:szCs w:val="18"/>
              </w:rPr>
            </w:pPr>
            <w:r>
              <w:rPr>
                <w:sz w:val="18"/>
                <w:szCs w:val="18"/>
                <w:rtl w:val="0"/>
              </w:rPr>
              <w:t xml:space="preserve">+0.0363</w:t>
            </w:r>
          </w:p>
        </w:tc>
        <w:tc>
          <w:tcPr/>
          <w:p w:rsidR="00000000" w:rsidDel="00000000" w:rsidP="00000000" w:rsidRDefault="00000000" w:rsidRPr="00000000" w14:paraId="000001A7">
            <w:pPr>
              <w:ind w:firstLine="0"/>
              <w:jc w:val="center"/>
              <w:rPr>
                <w:sz w:val="18"/>
                <w:szCs w:val="18"/>
              </w:rPr>
            </w:pPr>
            <w:r>
              <w:rPr>
                <w:sz w:val="18"/>
                <w:szCs w:val="18"/>
                <w:rtl w:val="0"/>
              </w:rPr>
              <w:t xml:space="preserve">Leakage can also raise minority-class (PR-AUC) ranking; single-cohort gap CI includes zero.</w:t>
            </w:r>
          </w:p>
        </w:tc>
      </w:tr>
      <w:tr>
        <w:trPr>
          <w:cantSplit/>
          <w:tblHeader w:val="0"/>
        </w:trPr>
        <w:tc>
          <w:tcPr/>
          <w:p w:rsidR="00000000" w:rsidDel="00000000" w:rsidP="00000000" w:rsidRDefault="00000000" w:rsidRPr="00000000" w14:paraId="000001A8">
            <w:pPr>
              <w:ind w:firstLine="0"/>
              <w:jc w:val="center"/>
              <w:rPr>
                <w:sz w:val="18"/>
                <w:szCs w:val="18"/>
              </w:rPr>
            </w:pPr>
            <w:r>
              <w:rPr>
                <w:sz w:val="18"/>
                <w:szCs w:val="18"/>
                <w:rtl w:val="0"/>
              </w:rPr>
              <w:t xml:space="preserve">Guarded nested performance</w:t>
            </w:r>
          </w:p>
        </w:tc>
        <w:tc>
          <w:tcPr/>
          <w:p w:rsidR="00000000" w:rsidDel="00000000" w:rsidP="00000000" w:rsidRDefault="00000000" w:rsidRPr="00000000" w14:paraId="000001A9">
            <w:pPr>
              <w:ind w:firstLine="0"/>
              <w:jc w:val="center"/>
              <w:rPr>
                <w:sz w:val="18"/>
                <w:szCs w:val="18"/>
              </w:rPr>
            </w:pPr>
            <w:r>
              <w:rPr>
                <w:sz w:val="18"/>
                <w:szCs w:val="18"/>
                <w:rtl w:val="0"/>
              </w:rPr>
              <w:t xml:space="preserve">Balanced accuracy / MCC</w:t>
            </w:r>
          </w:p>
        </w:tc>
        <w:tc>
          <w:tcPr/>
          <w:p w:rsidR="00000000" w:rsidDel="00000000" w:rsidP="00000000" w:rsidRDefault="00000000" w:rsidRPr="00000000" w14:paraId="000001AA">
            <w:pPr>
              <w:ind w:firstLine="0"/>
              <w:jc w:val="center"/>
              <w:rPr>
                <w:sz w:val="18"/>
                <w:szCs w:val="18"/>
              </w:rPr>
            </w:pPr>
            <w:r>
              <w:rPr>
                <w:sz w:val="18"/>
                <w:szCs w:val="18"/>
                <w:rtl w:val="0"/>
              </w:rPr>
              <w:t xml:space="preserve">0.5792 / 0.2250</w:t>
            </w:r>
          </w:p>
        </w:tc>
        <w:tc>
          <w:tcPr/>
          <w:p w:rsidR="00000000" w:rsidDel="00000000" w:rsidP="00000000" w:rsidRDefault="00000000" w:rsidRPr="00000000" w14:paraId="000001AB">
            <w:pPr>
              <w:ind w:firstLine="0"/>
              <w:jc w:val="center"/>
              <w:rPr>
                <w:sz w:val="18"/>
                <w:szCs w:val="18"/>
              </w:rPr>
            </w:pPr>
            <w:r>
              <w:rPr>
                <w:sz w:val="18"/>
                <w:szCs w:val="18"/>
                <w:rtl w:val="0"/>
              </w:rPr>
              <w:t xml:space="preserve">Operating-point metrics vary under class imbalance and should be interpreted cautiously.</w:t>
            </w:r>
          </w:p>
        </w:tc>
      </w:tr>
      <w:tr>
        <w:trPr>
          <w:cantSplit/>
          <w:tblHeader w:val="0"/>
        </w:trPr>
        <w:tc>
          <w:tcPr/>
          <w:p w:rsidR="00000000" w:rsidDel="00000000" w:rsidP="00000000" w:rsidRDefault="00000000" w:rsidRPr="00000000" w14:paraId="000001AC">
            <w:pPr>
              <w:ind w:firstLine="0"/>
              <w:jc w:val="center"/>
              <w:rPr>
                <w:sz w:val="18"/>
                <w:szCs w:val="18"/>
              </w:rPr>
            </w:pPr>
            <w:r>
              <w:rPr>
                <w:sz w:val="18"/>
                <w:szCs w:val="18"/>
                <w:rtl w:val="0"/>
              </w:rPr>
              <w:t xml:space="preserve">Feature stability</w:t>
            </w:r>
          </w:p>
        </w:tc>
        <w:tc>
          <w:tcPr/>
          <w:p w:rsidR="00000000" w:rsidDel="00000000" w:rsidP="00000000" w:rsidRDefault="00000000" w:rsidRPr="00000000" w14:paraId="000001AD">
            <w:pPr>
              <w:ind w:firstLine="0"/>
              <w:jc w:val="center"/>
              <w:rPr>
                <w:sz w:val="18"/>
                <w:szCs w:val="18"/>
              </w:rPr>
            </w:pPr>
            <w:r>
              <w:rPr>
                <w:sz w:val="18"/>
                <w:szCs w:val="18"/>
                <w:rtl w:val="0"/>
              </w:rPr>
              <w:t xml:space="preserve">Nogueira index</w:t>
            </w:r>
          </w:p>
        </w:tc>
        <w:tc>
          <w:tcPr/>
          <w:p w:rsidR="00000000" w:rsidDel="00000000" w:rsidP="00000000" w:rsidRDefault="00000000" w:rsidRPr="00000000" w14:paraId="000001AE">
            <w:pPr>
              <w:ind w:firstLine="0"/>
              <w:jc w:val="center"/>
              <w:rPr>
                <w:sz w:val="18"/>
                <w:szCs w:val="18"/>
              </w:rPr>
            </w:pPr>
            <w:r>
              <w:rPr>
                <w:sz w:val="18"/>
                <w:szCs w:val="18"/>
                <w:rtl w:val="0"/>
              </w:rPr>
              <w:t xml:space="preserve">0.5409</w:t>
            </w:r>
          </w:p>
        </w:tc>
        <w:tc>
          <w:tcPr/>
          <w:p w:rsidR="00000000" w:rsidDel="00000000" w:rsidP="00000000" w:rsidRDefault="00000000" w:rsidRPr="00000000" w14:paraId="000001AF">
            <w:pPr>
              <w:ind w:firstLine="0"/>
              <w:jc w:val="center"/>
              <w:rPr>
                <w:sz w:val="18"/>
                <w:szCs w:val="18"/>
              </w:rPr>
            </w:pPr>
            <w:r>
              <w:rPr>
                <w:sz w:val="18"/>
                <w:szCs w:val="18"/>
                <w:rtl w:val="0"/>
              </w:rPr>
              <w:t xml:space="preserve">Moderate stability with stable core and unstable tail.</w:t>
            </w:r>
          </w:p>
        </w:tc>
      </w:tr>
      <w:tr>
        <w:trPr>
          <w:cantSplit/>
          <w:tblHeader w:val="0"/>
        </w:trPr>
        <w:tc>
          <w:tcPr/>
          <w:p w:rsidR="00000000" w:rsidDel="00000000" w:rsidP="00000000" w:rsidRDefault="00000000" w:rsidRPr="00000000" w14:paraId="000001B0">
            <w:pPr>
              <w:ind w:firstLine="0"/>
              <w:jc w:val="center"/>
              <w:rPr>
                <w:sz w:val="18"/>
                <w:szCs w:val="18"/>
              </w:rPr>
            </w:pPr>
            <w:r>
              <w:rPr>
                <w:sz w:val="18"/>
                <w:szCs w:val="18"/>
                <w:rtl w:val="0"/>
              </w:rPr>
              <w:t xml:space="preserve">External validation</w:t>
            </w:r>
          </w:p>
        </w:tc>
        <w:tc>
          <w:tcPr/>
          <w:p w:rsidR="00000000" w:rsidDel="00000000" w:rsidP="00000000" w:rsidRDefault="00000000" w:rsidRPr="00000000" w14:paraId="000001B1">
            <w:pPr>
              <w:ind w:firstLine="0"/>
              <w:jc w:val="center"/>
              <w:rPr>
                <w:sz w:val="18"/>
                <w:szCs w:val="18"/>
              </w:rPr>
            </w:pPr>
            <w:r>
              <w:rPr>
                <w:sz w:val="18"/>
                <w:szCs w:val="18"/>
                <w:rtl w:val="0"/>
              </w:rPr>
              <w:t xml:space="preserve">GSE25065 AUROC / PR-AUC</w:t>
            </w:r>
          </w:p>
        </w:tc>
        <w:tc>
          <w:tcPr/>
          <w:p w:rsidR="00000000" w:rsidDel="00000000" w:rsidP="00000000" w:rsidRDefault="00000000" w:rsidRPr="00000000" w14:paraId="000001B2">
            <w:pPr>
              <w:ind w:firstLine="0"/>
              <w:jc w:val="center"/>
              <w:rPr>
                <w:sz w:val="18"/>
                <w:szCs w:val="18"/>
              </w:rPr>
            </w:pPr>
            <w:r>
              <w:rPr>
                <w:sz w:val="18"/>
                <w:szCs w:val="18"/>
                <w:rtl w:val="0"/>
              </w:rPr>
              <w:t xml:space="preserve">0.6078 / 0.3060</w:t>
            </w:r>
          </w:p>
        </w:tc>
        <w:tc>
          <w:tcPr/>
          <w:p w:rsidR="00000000" w:rsidDel="00000000" w:rsidP="00000000" w:rsidRDefault="00000000" w:rsidRPr="00000000" w14:paraId="000001B3">
            <w:pPr>
              <w:ind w:firstLine="0"/>
              <w:jc w:val="center"/>
              <w:rPr>
                <w:sz w:val="18"/>
                <w:szCs w:val="18"/>
              </w:rPr>
            </w:pPr>
            <w:r>
              <w:rPr>
                <w:sz w:val="18"/>
                <w:szCs w:val="18"/>
                <w:rtl w:val="0"/>
              </w:rPr>
              <w:t xml:space="preserve">Same-study-family validation shows a transportability drop; broader external transportability remains untested.</w:t>
            </w:r>
          </w:p>
        </w:tc>
      </w:tr>
      <w:tr>
        <w:trPr>
          <w:cantSplit/>
          <w:tblHeader w:val="0"/>
        </w:trPr>
        <w:tc>
          <w:tcPr/>
          <w:p w:rsidR="00000000" w:rsidDel="00000000" w:rsidP="00000000" w:rsidRDefault="00000000" w:rsidRPr="00000000" w14:paraId="000001B4">
            <w:pPr>
              <w:ind w:firstLine="0"/>
              <w:jc w:val="center"/>
              <w:rPr>
                <w:sz w:val="18"/>
                <w:szCs w:val="18"/>
              </w:rPr>
            </w:pPr>
            <w:r>
              <w:rPr>
                <w:sz w:val="18"/>
                <w:szCs w:val="18"/>
                <w:rtl w:val="0"/>
              </w:rPr>
              <w:t xml:space="preserve">Class-imbalance behavior</w:t>
            </w:r>
          </w:p>
        </w:tc>
        <w:tc>
          <w:tcPr/>
          <w:p w:rsidR="00000000" w:rsidDel="00000000" w:rsidP="00000000" w:rsidRDefault="00000000" w:rsidRPr="00000000" w14:paraId="000001B5">
            <w:pPr>
              <w:ind w:firstLine="0"/>
              <w:jc w:val="center"/>
              <w:rPr>
                <w:sz w:val="18"/>
                <w:szCs w:val="18"/>
              </w:rPr>
            </w:pPr>
            <w:r>
              <w:rPr>
                <w:sz w:val="18"/>
                <w:szCs w:val="18"/>
                <w:rtl w:val="0"/>
              </w:rPr>
              <w:t xml:space="preserve">External sensitivity / specificity</w:t>
            </w:r>
          </w:p>
        </w:tc>
        <w:tc>
          <w:tcPr/>
          <w:p w:rsidR="00000000" w:rsidDel="00000000" w:rsidP="00000000" w:rsidRDefault="00000000" w:rsidRPr="00000000" w14:paraId="000001B6">
            <w:pPr>
              <w:ind w:firstLine="0"/>
              <w:jc w:val="center"/>
              <w:rPr>
                <w:sz w:val="18"/>
                <w:szCs w:val="18"/>
              </w:rPr>
            </w:pPr>
            <w:r>
              <w:rPr>
                <w:sz w:val="18"/>
                <w:szCs w:val="18"/>
                <w:rtl w:val="0"/>
              </w:rPr>
              <w:t xml:space="preserve">0.1190 / 0.9571</w:t>
            </w:r>
          </w:p>
        </w:tc>
        <w:tc>
          <w:tcPr/>
          <w:p w:rsidR="00000000" w:rsidDel="00000000" w:rsidP="00000000" w:rsidRDefault="00000000" w:rsidRPr="00000000" w14:paraId="000001B7">
            <w:pPr>
              <w:ind w:firstLine="0"/>
              <w:jc w:val="center"/>
              <w:rPr>
                <w:sz w:val="18"/>
                <w:szCs w:val="18"/>
              </w:rPr>
            </w:pPr>
            <w:r>
              <w:rPr>
                <w:sz w:val="18"/>
                <w:szCs w:val="18"/>
                <w:rtl w:val="0"/>
              </w:rPr>
              <w:t xml:space="preserve">High specificity but low pCR sensitivity.</w:t>
            </w:r>
          </w:p>
        </w:tc>
      </w:tr>
      <w:tr>
        <w:trPr>
          <w:cantSplit/>
          <w:tblHeader w:val="0"/>
        </w:trPr>
        <w:tc>
          <w:tcPr/>
          <w:p w:rsidR="00000000" w:rsidDel="00000000" w:rsidP="00000000" w:rsidRDefault="00000000" w:rsidRPr="00000000" w14:paraId="000001B8">
            <w:pPr>
              <w:ind w:firstLine="0"/>
              <w:jc w:val="center"/>
              <w:rPr>
                <w:sz w:val="18"/>
                <w:szCs w:val="18"/>
              </w:rPr>
            </w:pPr>
            <w:r>
              <w:rPr>
                <w:sz w:val="18"/>
                <w:szCs w:val="18"/>
                <w:rtl w:val="0"/>
              </w:rPr>
              <w:t xml:space="preserve">Reproducibility status</w:t>
            </w:r>
          </w:p>
        </w:tc>
        <w:tc>
          <w:tcPr/>
          <w:p w:rsidR="00000000" w:rsidDel="00000000" w:rsidP="00000000" w:rsidRDefault="00000000" w:rsidRPr="00000000" w14:paraId="000001B9">
            <w:pPr>
              <w:ind w:firstLine="0"/>
              <w:jc w:val="center"/>
              <w:rPr>
                <w:sz w:val="18"/>
                <w:szCs w:val="18"/>
              </w:rPr>
            </w:pPr>
            <w:r>
              <w:rPr>
                <w:sz w:val="18"/>
                <w:szCs w:val="18"/>
                <w:rtl w:val="0"/>
              </w:rPr>
              <w:t xml:space="preserve">Code/results artifacts</w:t>
            </w:r>
          </w:p>
        </w:tc>
        <w:tc>
          <w:tcPr/>
          <w:p w:rsidR="00000000" w:rsidDel="00000000" w:rsidP="00000000" w:rsidRDefault="00000000" w:rsidRPr="00000000" w14:paraId="000001BA">
            <w:pPr>
              <w:ind w:firstLine="0"/>
              <w:jc w:val="center"/>
              <w:rPr>
                <w:sz w:val="18"/>
                <w:szCs w:val="18"/>
              </w:rPr>
            </w:pPr>
            <w:r>
              <w:rPr>
                <w:sz w:val="18"/>
                <w:szCs w:val="18"/>
                <w:rtl w:val="0"/>
              </w:rPr>
              <w:t xml:space="preserve">Committed outputs and audit table</w:t>
            </w:r>
          </w:p>
        </w:tc>
        <w:tc>
          <w:tcPr/>
          <w:p w:rsidR="00000000" w:rsidDel="00000000" w:rsidP="00000000" w:rsidRDefault="00000000" w:rsidRPr="00000000" w14:paraId="000001BB">
            <w:pPr>
              <w:ind w:firstLine="0"/>
              <w:jc w:val="center"/>
              <w:rPr>
                <w:sz w:val="18"/>
                <w:szCs w:val="18"/>
              </w:rPr>
            </w:pPr>
            <w:r>
              <w:rPr>
                <w:sz w:val="18"/>
                <w:szCs w:val="18"/>
                <w:rtl w:val="0"/>
              </w:rPr>
              <w:t xml:space="preserve">Pipeline is reproducible from repository artifacts.</w:t>
            </w:r>
          </w:p>
        </w:tc>
      </w:tr>
      <w:tr>
        <w:trPr>
          <w:cantSplit/>
          <w:tblHeader w:val="0"/>
        </w:trPr>
        <w:tc>
          <w:tcPr/>
          <w:p w:rsidR="00000000" w:rsidDel="00000000" w:rsidP="00000000" w:rsidRDefault="00000000" w:rsidRPr="00000000" w14:paraId="000001BC">
            <w:pPr>
              <w:ind w:firstLine="0"/>
              <w:jc w:val="center"/>
              <w:rPr>
                <w:sz w:val="18"/>
                <w:szCs w:val="18"/>
              </w:rPr>
            </w:pPr>
            <w:r>
              <w:rPr>
                <w:sz w:val="18"/>
                <w:szCs w:val="18"/>
                <w:rtl w:val="0"/>
              </w:rPr>
              <w:t xml:space="preserve">Limitations/unresolved risks</w:t>
            </w:r>
          </w:p>
        </w:tc>
        <w:tc>
          <w:tcPr/>
          <w:p w:rsidR="00000000" w:rsidDel="00000000" w:rsidP="00000000" w:rsidRDefault="00000000" w:rsidRPr="00000000" w14:paraId="000001BD">
            <w:pPr>
              <w:ind w:firstLine="0"/>
              <w:jc w:val="center"/>
              <w:rPr>
                <w:sz w:val="18"/>
                <w:szCs w:val="18"/>
              </w:rPr>
            </w:pPr>
            <w:r>
              <w:rPr>
                <w:sz w:val="18"/>
                <w:szCs w:val="18"/>
                <w:rtl w:val="0"/>
              </w:rPr>
              <w:t xml:space="preserve">Unvalidated biomarker status</w:t>
            </w:r>
          </w:p>
        </w:tc>
        <w:tc>
          <w:tcPr/>
          <w:p w:rsidR="00000000" w:rsidDel="00000000" w:rsidP="00000000" w:rsidRDefault="00000000" w:rsidRPr="00000000" w14:paraId="000001BE">
            <w:pPr>
              <w:ind w:firstLine="0"/>
              <w:jc w:val="center"/>
              <w:rPr>
                <w:sz w:val="18"/>
                <w:szCs w:val="18"/>
              </w:rPr>
            </w:pPr>
            <w:r>
              <w:rPr>
                <w:sz w:val="18"/>
                <w:szCs w:val="18"/>
                <w:rtl w:val="0"/>
              </w:rPr>
              <w:t xml:space="preserve">No clinical biomarker claim</w:t>
            </w:r>
          </w:p>
        </w:tc>
        <w:tc>
          <w:tcPr/>
          <w:p w:rsidR="00000000" w:rsidDel="00000000" w:rsidP="00000000" w:rsidRDefault="00000000" w:rsidRPr="00000000" w14:paraId="000001BF">
            <w:pPr>
              <w:ind w:firstLine="0"/>
              <w:jc w:val="center"/>
              <w:rPr>
                <w:sz w:val="18"/>
                <w:szCs w:val="18"/>
              </w:rPr>
            </w:pPr>
            <w:r>
              <w:rPr>
                <w:sz w:val="18"/>
                <w:szCs w:val="18"/>
                <w:rtl w:val="0"/>
              </w:rPr>
              <w:t xml:space="preserve">Findings are methodological and require further validation.</w:t>
            </w:r>
          </w:p>
        </w:tc>
      </w:tr>
      <w:tr>
        <w:trPr>
          <w:cantSplit/>
          <w:tblHeader w:val="0"/>
        </w:trPr>
        <w:tc>
          <w:tcPr/>
          <w:p w:rsidR="00000000" w:rsidDel="00000000" w:rsidP="00000000" w:rsidRDefault="00000000" w:rsidRPr="00000000" w14:paraId="000001C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Internal leakage gap, ΔAUROC (95% CI)</w:t>
            </w:r>
            <w:r>
              <w:rPr>
                <w:rtl w:val="0"/>
              </w:rPr>
            </w:r>
          </w:p>
        </w:tc>
        <w:tc>
          <w:tcPr/>
          <w:p w:rsidR="00000000" w:rsidDel="00000000" w:rsidP="00000000" w:rsidRDefault="00000000" w:rsidRPr="00000000" w14:paraId="000001C2">
            <w:pPr>
              <w:ind w:firstLine="0"/>
              <w:jc w:val="center"/>
              <w:rPr>
                <w:sz w:val="18"/>
                <w:szCs w:val="18"/>
              </w:rPr>
            </w:pPr>
            <w:r>
              <w:rPr>
                <w:rFonts w:ascii="Gungsuh" w:cs="Gungsuh" w:eastAsia="Gungsuh" w:hAnsi="Gungsuh"/>
                <w:b w:val="0"/>
                <w:bCs w:val="0"/>
                <w:i w:val="0"/>
                <w:iCs w:val="0"/>
                <w:sz w:val="18"/>
                <w:szCs w:val="18"/>
                <w:rtl w:val="0"/>
              </w:rPr>
              <w:t xml:space="preserve">+0.044 (−0.013 to +0.103)</w:t>
            </w:r>
            <w:r>
              <w:rPr>
                <w:rtl w:val="0"/>
              </w:rPr>
            </w:r>
          </w:p>
        </w:tc>
        <w:tc>
          <w:tcPr/>
          <w:p w:rsidR="00000000" w:rsidDel="00000000" w:rsidP="00000000" w:rsidRDefault="00000000" w:rsidRPr="00000000" w14:paraId="000001C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but CI includes zero in one cohort</w:t>
            </w:r>
            <w:r>
              <w:rPr>
                <w:rtl w:val="0"/>
              </w:rPr>
            </w:r>
          </w:p>
        </w:tc>
      </w:tr>
      <w:tr>
        <w:trPr>
          <w:cantSplit/>
          <w:tblHeader w:val="0"/>
        </w:trPr>
        <w:tc>
          <w:tcPr/>
          <w:p w:rsidR="00000000" w:rsidDel="00000000" w:rsidP="00000000" w:rsidRDefault="00000000" w:rsidRPr="00000000" w14:paraId="000001C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Permutation control, leaky null AUROC</w:t>
            </w:r>
            <w:r>
              <w:rPr>
                <w:rtl w:val="0"/>
              </w:rPr>
            </w:r>
          </w:p>
        </w:tc>
        <w:tc>
          <w:tcPr/>
          <w:p w:rsidR="00000000" w:rsidDel="00000000" w:rsidP="00000000" w:rsidRDefault="00000000" w:rsidRPr="00000000" w14:paraId="000001C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0.88 (all permutations &gt; chance)</w:t>
            </w:r>
            <w:r>
              <w:rPr>
                <w:rtl w:val="0"/>
              </w:rPr>
            </w:r>
          </w:p>
        </w:tc>
        <w:tc>
          <w:tcPr/>
          <w:p w:rsidR="00000000" w:rsidDel="00000000" w:rsidP="00000000" w:rsidRDefault="00000000" w:rsidRPr="00000000" w14:paraId="000001C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Diagnostic of leakage artifact; guarded null near chance</w:t>
            </w:r>
            <w:r>
              <w:rPr>
                <w:rtl w:val="0"/>
              </w:rPr>
            </w:r>
          </w:p>
        </w:tc>
      </w:tr>
      <w:tr>
        <w:trPr>
          <w:cantSplit/>
          <w:tblHeader w:val="0"/>
        </w:trPr>
        <w:tc>
          <w:tcPr/>
          <w:p w:rsidR="00000000" w:rsidDel="00000000" w:rsidP="00000000" w:rsidRDefault="00000000" w:rsidRPr="00000000" w14:paraId="000001C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Reproducibility</w:t>
            </w:r>
            <w:r>
              <w:rPr>
                <w:rtl w:val="0"/>
              </w:rPr>
            </w:r>
          </w:p>
        </w:tc>
        <w:tc>
          <w:tcPr/>
          <w:p w:rsidR="00000000" w:rsidDel="00000000" w:rsidP="00000000" w:rsidRDefault="00000000" w:rsidRPr="00000000" w14:paraId="000001C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Seed robustness, ΔAUROC (27/30 seeds)</w:t>
            </w:r>
            <w:r>
              <w:rPr>
                <w:rtl w:val="0"/>
              </w:rPr>
            </w:r>
          </w:p>
        </w:tc>
        <w:tc>
          <w:tcPr/>
          <w:p w:rsidR="00000000" w:rsidDel="00000000" w:rsidP="00000000" w:rsidRDefault="00000000" w:rsidRPr="00000000" w14:paraId="000001C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median +0.054; Wilcoxon p &lt; 0.001</w:t>
            </w:r>
            <w:r>
              <w:rPr>
                <w:rtl w:val="0"/>
              </w:rPr>
            </w:r>
          </w:p>
        </w:tc>
        <w:tc>
          <w:tcPr/>
          <w:p w:rsidR="00000000" w:rsidDel="00000000" w:rsidP="00000000" w:rsidRDefault="00000000" w:rsidRPr="00000000" w14:paraId="000001C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Modest but reproducible across folds</w:t>
            </w:r>
            <w:r>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pPr>
        <w:jc w:val="center"/>
      </w:pPr>
      <w:r>
        <w:drawing>
          <wp:inline>
            <wp:extent cx="5943600" cy="3266758"/>
            <wp:docPr id="7" name="Picture 7"/>
            <wp:cNvGraphicFramePr>
              <a:graphicFrameLocks noChangeAspect="1"/>
            </wp:cNvGraphicFramePr>
            <a:graphic>
              <a:graphicData uri="http://schemas.openxmlformats.org/drawingml/2006/picture">
                <pic:pic>
                  <pic:nvPicPr>
                    <pic:cNvPr id="0" name="evidence_audit_dashboard.png"/>
                    <pic:cNvPicPr/>
                  </pic:nvPicPr>
                  <pic:blipFill>
                    <a:blip r:embed="rId14"/>
                    <a:stretch>
                      <a:fillRect/>
                    </a:stretch>
                  </pic:blipFill>
                  <pic:spPr>
                    <a:xfrm>
                      <a:off x="0" y="0"/>
                      <a:ext cx="5943600" cy="3266758"/>
                    </a:xfrm>
                    <a:prstGeom prst="rect"/>
                  </pic:spPr>
                </pic:pic>
              </a:graphicData>
            </a:graphic>
          </wp:inline>
        </w:drawing>
      </w:r>
    </w:p>
    <w:p>
      <w:r>
        <w:rPr>
          <w:i/>
          <w:sz w:val="20"/>
        </w:rPr>
        <w:t>Figure 7. Reproducible Omics Evidence Audit dashboard summarising,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rsidR="00000000" w:rsidDel="00000000" w:rsidP="00000000" w:rsidRDefault="00000000" w:rsidRPr="00000000" w14:paraId="000001CD">
      <w:pPr>
        <w:pStyle w:val="Heading1"/>
        <w:rPr/>
      </w:pPr>
      <w:r>
        <w:rPr>
          <w:rtl w:val="0"/>
        </w:rPr>
        <w:t xml:space="preserve">Discussion</w:t>
      </w:r>
    </w:p>
    <w:p w:rsidR="00000000" w:rsidDel="00000000" w:rsidP="00000000" w:rsidRDefault="00000000" w:rsidRPr="00000000" w14:paraId="000001CE">
      <w:pPr>
        <w:pStyle w:val="Heading2"/>
        <w:rPr/>
      </w:pPr>
      <w:r>
        <w:rPr>
          <w:rtl w:val="0"/>
        </w:rPr>
        <w:t xml:space="preserve">Principal findings</w:t>
      </w:r>
    </w:p>
    <w:p w:rsidR="00000000" w:rsidDel="00000000" w:rsidP="00000000" w:rsidRDefault="00000000" w:rsidRPr="00000000" w14:paraId="000001CF">
      <w:pPr>
        <w:rPr/>
      </w:pPr>
      <w:r>
        <w:rPr>
          <w:rFonts w:ascii="Times New Roman" w:cs="Times New Roman" w:eastAsia="Times New Roman" w:hAnsi="Times New Roman"/>
          <w:b w:val="0"/>
          <w:bCs w:val="0"/>
          <w:i w:val="0"/>
          <w:iCs w:val="0"/>
          <w:sz w:val="24"/>
          <w:szCs w:val="24"/>
          <w:rtl w:val="0"/>
        </w:rPr>
        <w:t xml:space="preserve">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6); this robustness concerns the feature-selection budget only and does not test generalization across model classes.</w:t>
      </w:r>
      <w:r>
        <w:rPr>
          <w:rtl w:val="0"/>
        </w:rPr>
      </w:r>
    </w:p>
    <w:p w:rsidR="00000000" w:rsidDel="00000000" w:rsidP="00000000" w:rsidRDefault="00000000" w:rsidRPr="00000000" w14:paraId="000001D0">
      <w:pPr>
        <w:pStyle w:val="Heading2"/>
        <w:rPr/>
      </w:pPr>
      <w:r>
        <w:rPr>
          <w:rtl w:val="0"/>
        </w:rPr>
        <w:t xml:space="preserve">Why leakage-aware validation changes biomarker interpretation</w:t>
      </w:r>
    </w:p>
    <w:p w:rsidR="00000000" w:rsidDel="00000000" w:rsidP="00000000" w:rsidRDefault="00000000" w:rsidRPr="00000000" w14:paraId="000001D1">
      <w:pPr>
        <w:rPr/>
      </w:pPr>
      <w:r>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can produce apparent discrimination even when no signal exists, which is why leakage-aware validation changes the interpretation of headline metrics rather than merely adjusting them.</w:t>
      </w:r>
      <w:r>
        <w:rPr>
          <w:rtl w:val="0"/>
        </w:rPr>
      </w:r>
    </w:p>
    <w:p w:rsidR="00000000" w:rsidDel="00000000" w:rsidP="00000000" w:rsidRDefault="00000000" w:rsidRPr="00000000" w14:paraId="000001D2">
      <w:pPr>
        <w:pStyle w:val="Heading2"/>
        <w:rPr/>
      </w:pPr>
      <w:r>
        <w:rPr>
          <w:rtl w:val="0"/>
        </w:rPr>
        <w:t xml:space="preserve">Feature stability versus predictive performance</w:t>
      </w:r>
    </w:p>
    <w:p w:rsidR="00000000" w:rsidDel="00000000" w:rsidP="00000000" w:rsidRDefault="00000000" w:rsidRPr="00000000" w14:paraId="000001D3">
      <w:pPr>
        <w:rPr/>
      </w:pPr>
      <w:r>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Pr>
          <w:rtl w:val="0"/>
        </w:rPr>
      </w:r>
    </w:p>
    <w:p w:rsidR="00000000" w:rsidDel="00000000" w:rsidP="00000000" w:rsidRDefault="00000000" w:rsidRPr="00000000" w14:paraId="000001D4">
      <w:pPr>
        <w:pStyle w:val="Heading2"/>
        <w:rPr/>
      </w:pPr>
      <w:r>
        <w:rPr>
          <w:rtl w:val="0"/>
        </w:rPr>
        <w:t xml:space="preserve">Relation to existing tools and literature</w:t>
      </w:r>
    </w:p>
    <w:p w:rsidR="00000000" w:rsidDel="00000000" w:rsidP="00000000" w:rsidRDefault="00000000" w:rsidRPr="00000000" w14:paraId="000001D5">
      <w:pPr>
        <w:rPr/>
      </w:pPr>
      <w:r>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linear 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D6">
      <w:pPr>
        <w:pStyle w:val="Heading2"/>
        <w:rPr/>
      </w:pPr>
      <w:r>
        <w:rPr>
          <w:rtl w:val="0"/>
        </w:rPr>
        <w:t xml:space="preserve">Practical recommendations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F">
      <w:pPr>
        <w:pStyle w:val="Heading2"/>
        <w:rPr/>
      </w:pPr>
      <w:r>
        <w:rPr>
          <w:rtl w:val="0"/>
        </w:rPr>
        <w:t xml:space="preserve">Limitations</w:t>
      </w:r>
    </w:p>
    <w:p w:rsidR="00000000" w:rsidDel="00000000" w:rsidP="00000000" w:rsidRDefault="00000000" w:rsidRPr="00000000" w14:paraId="000001E0">
      <w:pPr>
        <w:rPr/>
      </w:pPr>
      <w:r>
        <w:rPr>
          <w:rFonts w:ascii="Times New Roman" w:cs="Times New Roman" w:eastAsia="Times New Roman" w:hAnsi="Times New Roman"/>
          <w:b w:val="0"/>
          <w:bCs w:val="0"/>
          <w:i w:val="0"/>
          <w:iCs w:val="0"/>
          <w:sz w:val="24"/>
          <w:szCs w:val="24"/>
          <w:rtl w:val="0"/>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because its labels and platform require additional cross-platform, leakage-safe handling, while GSE20194 and GSE20271 were held because of patient-overlap risk. The analysis used a single primary feature selector (varied only in budget through the top-K sweep) and a linear SVM configuration, and pCR sensitivity remained low under both pipelines; whether the leakage and stability behaviour generalizes across selector families and model classes remains untested. No prospective clinical, mechanistic, or wet-lab validation was performed; recurrent probes should be interpreted as stability-ranked candidates for future review, not as clinically validated biomarkers.</w:t>
      </w:r>
      <w:r>
        <w:rPr>
          <w:rtl w:val="0"/>
        </w:rPr>
      </w:r>
    </w:p>
    <w:p w:rsidR="00000000" w:rsidDel="00000000" w:rsidP="00000000" w:rsidRDefault="00000000" w:rsidRPr="00000000" w14:paraId="000001E1">
      <w:pPr>
        <w:pStyle w:val="Heading2"/>
        <w:rPr/>
      </w:pPr>
      <w:r>
        <w:rPr>
          <w:rtl w:val="0"/>
        </w:rPr>
        <w:t xml:space="preserve">Future work</w:t>
      </w:r>
    </w:p>
    <w:p w:rsidR="00000000" w:rsidDel="00000000" w:rsidP="00000000" w:rsidRDefault="00000000" w:rsidRPr="00000000" w14:paraId="000001E2">
      <w:pPr>
        <w:rPr/>
      </w:pPr>
      <w:r>
        <w:rPr>
          <w:rtl w:val="0"/>
        </w:rPr>
        <w:t xml:space="preserve">Future work may extend the framework to RNA-seq, multi-omics integration, survival endpoints, other cancer types, and automated evidence-dossier systems for biomarker and therapeutic-target claims.</w:t>
      </w:r>
      <w:r>
        <w:rPr>
          <w:rFonts w:ascii="Times New Roman" w:cs="Times New Roman" w:eastAsia="Times New Roman" w:hAnsi="Times New Roman"/>
          <w:b w:val="0"/>
          <w:bCs w:val="0"/>
          <w:i w:val="0"/>
          <w:iCs w:val="0"/>
          <w:sz w:val="24"/>
          <w:szCs w:val="24"/>
          <w:rtl w:val="0"/>
        </w:rPr>
        <w:t xml:space="preserve"> A priority is leakage-safe cross-platform external validation (for example, GSE41998) using a training-derived probe/gene mapping with no joint normalization, alongside additional feature selectors and classifiers as sensitivity analyses.</w:t>
      </w:r>
      <w:r>
        <w:rPr>
          <w:rtl w:val="0"/>
        </w:rPr>
      </w:r>
      <w:r>
        <w:t xml:space="preserve"> The feature-budget (top-K) sensitivity sweep has been completed and is reported above (Table 6). Two pre-specified robustness extensions remain, to be reported once executed under frozen, pre-registered protocols: an elastic-net comparator to test whether the leakage and stability behaviour is specific to the SVM model class, and a leakage-safe cross-platform external validation on an independent-platform cohort (GSE41998).</w:t>
      </w:r>
    </w:p>
    <w:p w:rsidR="00000000" w:rsidDel="00000000" w:rsidP="00000000" w:rsidRDefault="00000000" w:rsidRPr="00000000" w14:paraId="000001E3">
      <w:pPr>
        <w:pStyle w:val="Heading1"/>
        <w:rPr/>
      </w:pPr>
      <w:r>
        <w:rPr>
          <w:rtl w:val="0"/>
        </w:rPr>
        <w:t xml:space="preserve">Conclusion</w:t>
      </w:r>
    </w:p>
    <w:p w:rsidR="00000000" w:rsidDel="00000000" w:rsidP="00000000" w:rsidRDefault="00000000" w:rsidRPr="00000000" w14:paraId="000001E4">
      <w:pPr>
        <w:rPr/>
      </w:pPr>
      <w:r>
        <w:rPr>
          <w:rtl w:val="0"/>
        </w:rPr>
        <w:t xml:space="preserve">In public transcriptomic biomarker discovery, apparent classification performance can be distorted when feature selection and model development are evaluated without strict validation separation. This study utilized an established linear SVM approach as a transparent, high-dimensional workhorse model for auditing leakage, feature stability, and transportability. A leaky GSE25055 pipeline showed higher AUROC and PR-AUC than the guarded nested audit pipeline, whereas operating-point metrics varied under class imbalance and were interpreted cautiously.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E5">
      <w:pPr>
        <w:pStyle w:val="Heading1"/>
        <w:rPr/>
      </w:pPr>
      <w:r>
        <w:rPr>
          <w:rtl w:val="0"/>
        </w:rPr>
        <w:t xml:space="preserve">List of Abbreviations</w:t>
      </w:r>
    </w:p>
    <w:p w:rsidR="00000000" w:rsidDel="00000000" w:rsidP="00000000" w:rsidRDefault="00000000" w:rsidRPr="00000000" w14:paraId="000001E6">
      <w:pPr>
        <w:rPr/>
      </w:pPr>
      <w:r>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7425"/>
        <w:tblGridChange w:id="0">
          <w:tblGrid>
            <w:gridCol w:w="2151"/>
            <w:gridCol w:w="7425"/>
          </w:tblGrid>
        </w:tblGridChange>
      </w:tblGrid>
      <w:tr>
        <w:trPr>
          <w:cantSplit/>
          <w:tblHeader/>
        </w:trPr>
        <w:tc>
          <w:tcPr/>
          <w:p w:rsidR="00000000" w:rsidDel="00000000" w:rsidP="00000000" w:rsidRDefault="00000000" w:rsidRPr="00000000" w14:paraId="000001E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Abbreviation</w:t>
            </w:r>
            <w:r>
              <w:rPr>
                <w:rtl w:val="0"/>
              </w:rPr>
            </w:r>
          </w:p>
        </w:tc>
        <w:tc>
          <w:tcPr/>
          <w:p w:rsidR="00000000" w:rsidDel="00000000" w:rsidP="00000000" w:rsidRDefault="00000000" w:rsidRPr="00000000" w14:paraId="000001E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Meaning</w:t>
            </w:r>
            <w:r>
              <w:rPr>
                <w:rtl w:val="0"/>
              </w:rPr>
            </w:r>
          </w:p>
        </w:tc>
      </w:tr>
      <w:tr>
        <w:trPr>
          <w:cantSplit/>
          <w:tblHeader w:val="0"/>
        </w:trPr>
        <w:tc>
          <w:tcPr/>
          <w:p w:rsidR="00000000" w:rsidDel="00000000" w:rsidP="00000000" w:rsidRDefault="00000000" w:rsidRPr="00000000" w14:paraId="000001E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AUROC</w:t>
            </w:r>
          </w:p>
        </w:tc>
        <w:tc>
          <w:tcPr/>
          <w:p w:rsidR="00000000" w:rsidDel="00000000" w:rsidP="00000000" w:rsidRDefault="00000000" w:rsidRPr="00000000" w14:paraId="000001E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receiver operating characteristic curve</w:t>
            </w:r>
          </w:p>
        </w:tc>
      </w:tr>
      <w:tr>
        <w:trPr>
          <w:cantSplit/>
          <w:tblHeader w:val="0"/>
        </w:trPr>
        <w:tc>
          <w:tcPr/>
          <w:p w:rsidR="00000000" w:rsidDel="00000000" w:rsidP="00000000" w:rsidRDefault="00000000" w:rsidRPr="00000000" w14:paraId="000001E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GEO</w:t>
            </w:r>
          </w:p>
        </w:tc>
        <w:tc>
          <w:tcPr/>
          <w:p w:rsidR="00000000" w:rsidDel="00000000" w:rsidP="00000000" w:rsidRDefault="00000000" w:rsidRPr="00000000" w14:paraId="000001E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Gene Expression Omnibus</w:t>
            </w:r>
          </w:p>
        </w:tc>
      </w:tr>
      <w:tr>
        <w:trPr>
          <w:cantSplit/>
          <w:tblHeader w:val="0"/>
        </w:trPr>
        <w:tc>
          <w:tcPr/>
          <w:p w:rsidR="00000000" w:rsidDel="00000000" w:rsidP="00000000" w:rsidRDefault="00000000" w:rsidRPr="00000000" w14:paraId="000001E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MCC</w:t>
            </w:r>
          </w:p>
        </w:tc>
        <w:tc>
          <w:tcPr/>
          <w:p w:rsidR="00000000" w:rsidDel="00000000" w:rsidP="00000000" w:rsidRDefault="00000000" w:rsidRPr="00000000" w14:paraId="000001F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Matthews correlation coefficient</w:t>
            </w:r>
          </w:p>
        </w:tc>
      </w:tr>
      <w:tr>
        <w:trPr>
          <w:cantSplit/>
          <w:tblHeader w:val="0"/>
        </w:trPr>
        <w:tc>
          <w:tcPr/>
          <w:p w:rsidR="00000000" w:rsidDel="00000000" w:rsidP="00000000" w:rsidRDefault="00000000" w:rsidRPr="00000000" w14:paraId="000001F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NCV</w:t>
            </w:r>
          </w:p>
        </w:tc>
        <w:tc>
          <w:tcPr/>
          <w:p w:rsidR="00000000" w:rsidDel="00000000" w:rsidP="00000000" w:rsidRDefault="00000000" w:rsidRPr="00000000" w14:paraId="000001F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cross-validation</w:t>
            </w:r>
          </w:p>
        </w:tc>
      </w:tr>
      <w:tr>
        <w:trPr>
          <w:cantSplit/>
          <w:tblHeader w:val="0"/>
        </w:trPr>
        <w:tc>
          <w:tcPr/>
          <w:p w:rsidR="00000000" w:rsidDel="00000000" w:rsidP="00000000" w:rsidRDefault="00000000" w:rsidRPr="00000000" w14:paraId="000001F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w:t>
            </w:r>
          </w:p>
        </w:tc>
        <w:tc>
          <w:tcPr/>
          <w:p w:rsidR="00000000" w:rsidDel="00000000" w:rsidP="00000000" w:rsidRDefault="00000000" w:rsidRPr="00000000" w14:paraId="000001F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Pathological complete response</w:t>
            </w:r>
          </w:p>
        </w:tc>
      </w:tr>
      <w:tr>
        <w:trPr>
          <w:cantSplit/>
          <w:tblHeader w:val="0"/>
        </w:trPr>
        <w:tc>
          <w:tcPr/>
          <w:p w:rsidR="00000000" w:rsidDel="00000000" w:rsidP="00000000" w:rsidRDefault="00000000" w:rsidRPr="00000000" w14:paraId="000001F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PR-AUC</w:t>
            </w:r>
          </w:p>
        </w:tc>
        <w:tc>
          <w:tcPr/>
          <w:p w:rsidR="00000000" w:rsidDel="00000000" w:rsidP="00000000" w:rsidRDefault="00000000" w:rsidRPr="00000000" w14:paraId="000001F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precision-recall curve</w:t>
            </w:r>
          </w:p>
        </w:tc>
      </w:tr>
      <w:tr>
        <w:trPr>
          <w:cantSplit/>
          <w:tblHeader w:val="0"/>
        </w:trPr>
        <w:tc>
          <w:tcPr/>
          <w:p w:rsidR="00000000" w:rsidDel="00000000" w:rsidP="00000000" w:rsidRDefault="00000000" w:rsidRPr="00000000" w14:paraId="000001F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RD</w:t>
            </w:r>
          </w:p>
        </w:tc>
        <w:tc>
          <w:tcPr/>
          <w:p w:rsidR="00000000" w:rsidDel="00000000" w:rsidP="00000000" w:rsidRDefault="00000000" w:rsidRPr="00000000" w14:paraId="000001F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Residual disease</w:t>
            </w:r>
          </w:p>
        </w:tc>
      </w:tr>
      <w:tr>
        <w:trPr>
          <w:cantSplit/>
          <w:tblHeader w:val="0"/>
        </w:trPr>
        <w:tc>
          <w:tcPr/>
          <w:p w:rsidR="00000000" w:rsidDel="00000000" w:rsidP="00000000" w:rsidRDefault="00000000" w:rsidRPr="00000000" w14:paraId="000001F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RFE</w:t>
            </w:r>
          </w:p>
        </w:tc>
        <w:tc>
          <w:tcPr/>
          <w:p w:rsidR="00000000" w:rsidDel="00000000" w:rsidP="00000000" w:rsidRDefault="00000000" w:rsidRPr="00000000" w14:paraId="000001F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Recursive feature elimination</w:t>
            </w:r>
          </w:p>
        </w:tc>
      </w:tr>
      <w:tr>
        <w:trPr>
          <w:cantSplit/>
          <w:tblHeader w:val="0"/>
        </w:trPr>
        <w:tc>
          <w:tcPr/>
          <w:p w:rsidR="00000000" w:rsidDel="00000000" w:rsidP="00000000" w:rsidRDefault="00000000" w:rsidRPr="00000000" w14:paraId="000001F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w:t>
            </w:r>
          </w:p>
        </w:tc>
        <w:tc>
          <w:tcPr/>
          <w:p w:rsidR="00000000" w:rsidDel="00000000" w:rsidP="00000000" w:rsidRDefault="00000000" w:rsidRPr="00000000" w14:paraId="000001F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Sequential Minimal Optimization</w:t>
            </w:r>
          </w:p>
        </w:tc>
      </w:tr>
      <w:tr>
        <w:trPr>
          <w:cantSplit/>
          <w:tblHeader w:val="0"/>
        </w:trPr>
        <w:tc>
          <w:tcPr/>
          <w:p w:rsidR="00000000" w:rsidDel="00000000" w:rsidP="00000000" w:rsidRDefault="00000000" w:rsidRPr="00000000" w14:paraId="000001F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SMOTE</w:t>
            </w:r>
          </w:p>
        </w:tc>
        <w:tc>
          <w:tcPr/>
          <w:p w:rsidR="00000000" w:rsidDel="00000000" w:rsidP="00000000" w:rsidRDefault="00000000" w:rsidRPr="00000000" w14:paraId="000001F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Synthetic Minority Over-sampling Technique</w:t>
            </w:r>
          </w:p>
        </w:tc>
      </w:tr>
      <w:tr>
        <w:trPr>
          <w:cantSplit/>
          <w:tblHeader w:val="0"/>
        </w:trPr>
        <w:tc>
          <w:tcPr/>
          <w:p w:rsidR="00000000" w:rsidDel="00000000" w:rsidP="00000000" w:rsidRDefault="00000000" w:rsidRPr="00000000" w14:paraId="000001F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w:t>
            </w:r>
          </w:p>
        </w:tc>
        <w:tc>
          <w:tcPr/>
          <w:p w:rsidR="00000000" w:rsidDel="00000000" w:rsidP="00000000" w:rsidRDefault="00000000" w:rsidRPr="00000000" w14:paraId="0000020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 vector machine</w:t>
            </w:r>
          </w:p>
        </w:tc>
      </w:tr>
    </w:tbl>
    <w:p w:rsidR="00000000" w:rsidDel="00000000" w:rsidP="00000000" w:rsidRDefault="00000000" w:rsidRPr="00000000" w14:paraId="00000201">
      <w:pPr>
        <w:pStyle w:val="Heading1"/>
        <w:rPr/>
      </w:pPr>
      <w:r>
        <w:rPr>
          <w:rtl w:val="0"/>
        </w:rPr>
        <w:t xml:space="preserve">Declarations</w:t>
      </w:r>
    </w:p>
    <w:p w:rsidR="00000000" w:rsidDel="00000000" w:rsidP="00000000" w:rsidRDefault="00000000" w:rsidRPr="00000000" w14:paraId="00000202">
      <w:pPr>
        <w:pStyle w:val="Heading2"/>
        <w:rPr/>
      </w:pPr>
      <w:r>
        <w:rPr>
          <w:rtl w:val="0"/>
        </w:rPr>
        <w:t xml:space="preserve">Ethics approval and consent to participate</w:t>
      </w:r>
    </w:p>
    <w:p w:rsidR="00000000" w:rsidDel="00000000" w:rsidP="00000000" w:rsidRDefault="00000000" w:rsidRPr="00000000" w14:paraId="00000203">
      <w:pPr>
        <w:rPr/>
      </w:pPr>
      <w:r>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204">
      <w:pPr>
        <w:pStyle w:val="Heading2"/>
        <w:rPr/>
      </w:pPr>
      <w:r>
        <w:rPr>
          <w:rtl w:val="0"/>
        </w:rPr>
        <w:t xml:space="preserve">Consent for publication</w:t>
      </w:r>
    </w:p>
    <w:p w:rsidR="00000000" w:rsidDel="00000000" w:rsidP="00000000" w:rsidRDefault="00000000" w:rsidRPr="00000000" w14:paraId="00000205">
      <w:pPr>
        <w:rPr/>
      </w:pPr>
      <w:r>
        <w:rPr>
          <w:rtl w:val="0"/>
        </w:rPr>
        <w:t xml:space="preserve">Not applicable.</w:t>
      </w:r>
    </w:p>
    <w:p w:rsidR="00000000" w:rsidDel="00000000" w:rsidP="00000000" w:rsidRDefault="00000000" w:rsidRPr="00000000" w14:paraId="00000206">
      <w:pPr>
        <w:pStyle w:val="Heading2"/>
        <w:rPr/>
      </w:pPr>
      <w:r>
        <w:rPr>
          <w:rtl w:val="0"/>
        </w:rPr>
        <w:t xml:space="preserve">Availability of data and materials</w:t>
      </w:r>
    </w:p>
    <w:p w:rsidR="00000000" w:rsidDel="00000000" w:rsidP="00000000" w:rsidRDefault="00000000" w:rsidRPr="00000000" w14:paraId="00000207">
      <w:pPr>
        <w:rPr/>
      </w:pPr>
      <w:r>
        <w:rPr>
          <w:rtl w:val="0"/>
        </w:rPr>
        <w:t xml:space="preserve">All public datasets are cited by accession number. The associated code, fold assignments, random seeds, selected-feature lists, and analysis outputs are available in the project GitHub repository, with a frozen, Zenodo-DOI-archivable release.</w:t>
      </w:r>
    </w:p>
    <w:p w:rsidR="00000000" w:rsidDel="00000000" w:rsidP="00000000" w:rsidRDefault="00000000" w:rsidRPr="00000000" w14:paraId="00000208">
      <w:pPr>
        <w:pStyle w:val="Heading2"/>
        <w:rPr/>
      </w:pPr>
      <w:r>
        <w:rPr>
          <w:rtl w:val="0"/>
        </w:rPr>
        <w:t xml:space="preserve">Competing interests</w:t>
      </w:r>
    </w:p>
    <w:p w:rsidR="00000000" w:rsidDel="00000000" w:rsidP="00000000" w:rsidRDefault="00000000" w:rsidRPr="00000000" w14:paraId="00000209">
      <w:pPr>
        <w:rPr/>
      </w:pPr>
      <w:r>
        <w:rPr>
          <w:rtl w:val="0"/>
        </w:rPr>
        <w:t xml:space="preserve">Competing interests will be declared by all authors prior to submission.</w:t>
      </w:r>
    </w:p>
    <w:p w:rsidR="00000000" w:rsidDel="00000000" w:rsidP="00000000" w:rsidRDefault="00000000" w:rsidRPr="00000000" w14:paraId="0000020A">
      <w:pPr>
        <w:pStyle w:val="Heading2"/>
        <w:rPr/>
      </w:pPr>
      <w:r>
        <w:rPr>
          <w:rtl w:val="0"/>
        </w:rPr>
        <w:t xml:space="preserve">Funding</w:t>
      </w:r>
    </w:p>
    <w:p w:rsidR="00000000" w:rsidDel="00000000" w:rsidP="00000000" w:rsidRDefault="00000000" w:rsidRPr="00000000" w14:paraId="0000020B">
      <w:pPr>
        <w:rPr/>
      </w:pPr>
      <w:r>
        <w:rPr>
          <w:rtl w:val="0"/>
        </w:rPr>
        <w:t xml:space="preserve">Funding sources will be declared prior to submission.</w:t>
      </w:r>
    </w:p>
    <w:p w:rsidR="00000000" w:rsidDel="00000000" w:rsidP="00000000" w:rsidRDefault="00000000" w:rsidRPr="00000000" w14:paraId="0000020C">
      <w:pPr>
        <w:pStyle w:val="Heading2"/>
        <w:rPr/>
      </w:pPr>
      <w:r>
        <w:rPr>
          <w:rtl w:val="0"/>
        </w:rPr>
        <w:t xml:space="preserve">Authors’ contributions</w:t>
      </w:r>
    </w:p>
    <w:p w:rsidR="00000000" w:rsidDel="00000000" w:rsidP="00000000" w:rsidRDefault="00000000" w:rsidRPr="00000000" w14:paraId="0000020D">
      <w:pPr>
        <w:rPr/>
      </w:pPr>
      <w:r>
        <w:rPr>
          <w:rtl w:val="0"/>
        </w:rPr>
        <w:t xml:space="preserve">Author contributions will be finalized prior to submission.</w:t>
      </w:r>
    </w:p>
    <w:p w:rsidR="00000000" w:rsidDel="00000000" w:rsidP="00000000" w:rsidRDefault="00000000" w:rsidRPr="00000000" w14:paraId="0000020E">
      <w:pPr>
        <w:pStyle w:val="Heading2"/>
        <w:rPr/>
      </w:pPr>
      <w:r>
        <w:rPr>
          <w:rtl w:val="0"/>
        </w:rPr>
        <w:t xml:space="preserve">Acknowledgements</w:t>
      </w:r>
    </w:p>
    <w:p w:rsidR="00000000" w:rsidDel="00000000" w:rsidP="00000000" w:rsidRDefault="00000000" w:rsidRPr="00000000" w14:paraId="0000020F">
      <w:pPr>
        <w:rPr/>
      </w:pPr>
      <w:r>
        <w:rPr>
          <w:rtl w:val="0"/>
        </w:rPr>
        <w:t xml:space="preserve">Acknowledgements will be added prior to submission.</w:t>
      </w:r>
    </w:p>
    <w:p w:rsidR="00000000" w:rsidDel="00000000" w:rsidP="00000000" w:rsidRDefault="00000000" w:rsidRPr="00000000" w14:paraId="00000210">
      <w:pPr>
        <w:pStyle w:val="Heading1"/>
        <w:rPr/>
      </w:pPr>
      <w:r>
        <w:rPr>
          <w:rtl w:val="0"/>
        </w:rPr>
        <w:t xml:space="preserve">References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23">
      <w:pPr>
        <w:rPr/>
      </w:pPr>
      <w:r>
        <w:rPr>
          <w:rtl w:val="0"/>
        </w:rPr>
      </w:r>
    </w:p>
    <w:sectPr>
      <w:footerReference r:id="rId1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 Id="rId14" Type="http://schemas.openxmlformats.org/officeDocument/2006/relationships/image" Target="media/image7.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