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Indent"/>
        <w:jc w:val="center"/>
      </w:pPr>
      <w:r>
        <w:rPr>
          <w:b/>
          <w:sz w:val="28"/>
        </w:rPr>
        <w:t>A Leakage-Aware Data Mining Framework for Transcriptomic Biomarker Classification Using Nested SMO/SVM and Feature-Stability Auditing</w:t>
      </w:r>
    </w:p>
    <w:p>
      <w:pPr>
        <w:pStyle w:val="NoIndent"/>
        <w:jc w:val="center"/>
      </w:pPr>
      <w:r>
        <w:t>[Author details to be finalized]</w:t>
      </w:r>
    </w:p>
    <w:p>
      <w:pPr>
        <w:pStyle w:val="NoIndent"/>
        <w:jc w:val="center"/>
      </w:pPr>
      <w:r>
        <w:t>Target journal: BioData Mining</w:t>
      </w:r>
    </w:p>
    <w:p>
      <w:pPr>
        <w:pStyle w:val="NoIndent"/>
        <w:jc w:val="center"/>
      </w:pPr>
      <w:r>
        <w:t>Article type: Methodology</w:t>
      </w:r>
    </w:p>
    <w:p>
      <w:pPr>
        <w:pStyle w:val="NoIndent"/>
        <w:jc w:val="center"/>
      </w:pPr>
      <w:r>
        <w:t>Working draft updated with literature review; APA 7 author-date citation format</w:t>
      </w:r>
    </w:p>
    <w:p>
      <w:pPr>
        <w:pStyle w:val="NoIndent"/>
        <w:jc w:val="center"/>
      </w:pPr>
      <w:r>
        <w:rPr>
          <w:b/>
        </w:rPr>
        <w:t>Author note</w:t>
      </w:r>
    </w:p>
    <w:p>
      <w:pPr>
        <w:pStyle w:val="NoIndent"/>
        <w:jc w:val="left"/>
      </w:pPr>
      <w:r>
        <w:t>This working manuscript backbone integrates the literature-review report into the BioData Mining methodology-paper structure. Quantitative results, final author order, affiliations, funding statements, and repository links remain placeholders until analysis is completed.</w:t>
      </w:r>
    </w:p>
    <w:p>
      <w:r>
        <w:br w:type="page"/>
      </w:r>
    </w:p>
    <w:p>
      <w:pPr>
        <w:pStyle w:val="Heading1"/>
      </w:pPr>
      <w:r>
        <w:t>Abstract</w:t>
      </w:r>
    </w:p>
    <w:p>
      <w:pPr>
        <w:pStyle w:val="NoIndent"/>
      </w:pPr>
      <w:r>
        <w:t>Background</w:t>
      </w:r>
    </w:p>
    <w:p>
      <w:r>
        <w:t>High-dimensional transcriptomic biomarker studies are vulnerable to data leakage when feature selection, preprocessing, imputation, scaling, or class balancing is performed before validation splitting. This risk is acute when the number of measured genes greatly exceeds the number of patient samples. In this setting, reported classification performance can reflect contamination of the test fold rather than generalizable biological signal. We propose a leakage-aware data-mining framework for public transcriptomic biomarker classification using an SMO-trained support vector machine (SMO/SVM), nested validation, feature-stability auditing, and external cohort evaluation.</w:t>
      </w:r>
    </w:p>
    <w:p>
      <w:pPr>
        <w:pStyle w:val="NoIndent"/>
      </w:pPr>
      <w:r>
        <w:t>Results</w:t>
      </w:r>
    </w:p>
    <w:p>
      <w:r>
        <w:t>The manuscript will compare a naive pipeline that performs global feature selection before cross-validation against a guarded nested pipeline in which preprocessing, feature selection, class-imbalance handling, and hyperparameter tuning are confined to training folds. The primary biological stress test will be public breast cancer neoadjuvant chemotherapy-response transcriptomic datasets with pathological complete response versus residual disease labels. Planned outcomes include AUROC, PR-AUC, balanced accuracy, sensitivity, specificity, Matthews correlation coefficient, leakage inflation gaps, Nogueira feature-stability indices, hyperparameter volatility, and external-validation performance. Placeholder: the final Results subsection will report the observed leakage inflation gap and external validation results after the pilot and full analysis are complete.</w:t>
      </w:r>
    </w:p>
    <w:p>
      <w:pPr>
        <w:pStyle w:val="NoIndent"/>
      </w:pPr>
      <w:r>
        <w:t>Conclusions</w:t>
      </w:r>
    </w:p>
    <w:p>
      <w:r>
        <w:t>The proposed manuscript will evaluate whether apparent transcriptomic biomarker performance is robust to leakage-aware validation. By combining nested SMO/SVM modeling with feature-stability and external-validation auditing, the study aims to provide a reproducible framework for assessing whether public omics machine-learning claims are predictive, stable, transparent, and transportable.</w:t>
      </w:r>
    </w:p>
    <w:p>
      <w:pPr>
        <w:pStyle w:val="NoIndent"/>
      </w:pPr>
      <w:r>
        <w:t>Keywords: data leakage; transcriptomics; biomarker discovery; support vector machine; sequential minimal optimization; nested cross-validation; feature selection; feature stability; pathological complete response; BioData Mining</w:t>
      </w:r>
    </w:p>
    <w:p>
      <w:r>
        <w:br w:type="page"/>
      </w:r>
    </w:p>
    <w:p>
      <w:pPr>
        <w:pStyle w:val="Heading1"/>
      </w:pPr>
      <w:r>
        <w:t>Manuscript Status and Updated Paper Map</w:t>
      </w:r>
    </w:p>
    <w:p>
      <w:r>
        <w:t>This version updates the original manuscript backbone by adding a literature-review section grounded in high-quality peer-reviewed methodology papers and foundational sources. The updated draft uses APA 7 author-date citations throughout the Background, Literature Review, and Methods plan. Unverified sources from the literature-review report were not carried into the reference list until they can be independently confirmed.</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top"/>
          </w:tcPr>
          <w:p>
            <w:pPr>
              <w:pStyle w:val="TableText"/>
            </w:pPr>
            <w:r/>
            <w:r>
              <w:rPr>
                <w:rFonts w:ascii="Times New Roman" w:hAnsi="Times New Roman" w:eastAsia="Times New Roman"/>
                <w:b/>
                <w:sz w:val="18"/>
              </w:rPr>
              <w:t>Section</w:t>
            </w:r>
          </w:p>
        </w:tc>
        <w:tc>
          <w:tcPr>
            <w:tcW w:type="dxa" w:w="5184"/>
            <w:vAlign w:val="top"/>
          </w:tcPr>
          <w:p>
            <w:pPr>
              <w:pStyle w:val="TableText"/>
            </w:pPr>
            <w:r/>
            <w:r>
              <w:rPr>
                <w:rFonts w:ascii="Times New Roman" w:hAnsi="Times New Roman" w:eastAsia="Times New Roman"/>
                <w:b/>
                <w:sz w:val="18"/>
              </w:rPr>
              <w:t>Function in the Paper</w:t>
            </w:r>
          </w:p>
        </w:tc>
        <w:tc>
          <w:tcPr>
            <w:tcW w:type="dxa" w:w="2304"/>
            <w:vAlign w:val="top"/>
          </w:tcPr>
          <w:p>
            <w:pPr>
              <w:pStyle w:val="TableText"/>
            </w:pPr>
            <w:r/>
            <w:r>
              <w:rPr>
                <w:rFonts w:ascii="Times New Roman" w:hAnsi="Times New Roman" w:eastAsia="Times New Roman"/>
                <w:b/>
                <w:sz w:val="18"/>
              </w:rPr>
              <w:t>Status in This Draft</w:t>
            </w:r>
          </w:p>
        </w:tc>
      </w:tr>
      <w:tr>
        <w:tc>
          <w:tcPr>
            <w:tcW w:type="dxa" w:w="2016"/>
            <w:vAlign w:val="top"/>
          </w:tcPr>
          <w:p>
            <w:pPr>
              <w:pStyle w:val="TableText"/>
            </w:pPr>
            <w:r/>
            <w:r>
              <w:rPr>
                <w:rFonts w:ascii="Times New Roman" w:hAnsi="Times New Roman" w:eastAsia="Times New Roman"/>
                <w:sz w:val="18"/>
              </w:rPr>
              <w:t>Background</w:t>
            </w:r>
          </w:p>
        </w:tc>
        <w:tc>
          <w:tcPr>
            <w:tcW w:type="dxa" w:w="5184"/>
            <w:vAlign w:val="top"/>
          </w:tcPr>
          <w:p>
            <w:pPr>
              <w:pStyle w:val="TableText"/>
            </w:pPr>
            <w:r/>
            <w:r>
              <w:rPr>
                <w:rFonts w:ascii="Times New Roman" w:hAnsi="Times New Roman" w:eastAsia="Times New Roman"/>
                <w:sz w:val="18"/>
              </w:rPr>
              <w:t>Define the reproducibility problem, leakage risk, SMO/SVM rationale, nested validation need, and feature-stability gap.</w:t>
            </w:r>
          </w:p>
        </w:tc>
        <w:tc>
          <w:tcPr>
            <w:tcW w:type="dxa" w:w="2304"/>
            <w:vAlign w:val="top"/>
          </w:tcPr>
          <w:p>
            <w:pPr>
              <w:pStyle w:val="TableText"/>
            </w:pPr>
            <w:r/>
            <w:r>
              <w:rPr>
                <w:rFonts w:ascii="Times New Roman" w:hAnsi="Times New Roman" w:eastAsia="Times New Roman"/>
                <w:sz w:val="18"/>
              </w:rPr>
              <w:t>Updated with APA-style citations.</w:t>
            </w:r>
          </w:p>
        </w:tc>
      </w:tr>
      <w:tr>
        <w:tc>
          <w:tcPr>
            <w:tcW w:type="dxa" w:w="2016"/>
            <w:vAlign w:val="top"/>
          </w:tcPr>
          <w:p>
            <w:pPr>
              <w:pStyle w:val="TableText"/>
            </w:pPr>
            <w:r/>
            <w:r>
              <w:rPr>
                <w:rFonts w:ascii="Times New Roman" w:hAnsi="Times New Roman" w:eastAsia="Times New Roman"/>
                <w:sz w:val="18"/>
              </w:rPr>
              <w:t>Literature Review</w:t>
            </w:r>
          </w:p>
        </w:tc>
        <w:tc>
          <w:tcPr>
            <w:tcW w:type="dxa" w:w="5184"/>
            <w:vAlign w:val="top"/>
          </w:tcPr>
          <w:p>
            <w:pPr>
              <w:pStyle w:val="TableText"/>
            </w:pPr>
            <w:r/>
            <w:r>
              <w:rPr>
                <w:rFonts w:ascii="Times New Roman" w:hAnsi="Times New Roman" w:eastAsia="Times New Roman"/>
                <w:sz w:val="18"/>
              </w:rPr>
              <w:t>Synthesize peer-reviewed evidence on leakage, nested validation, SVM/SMO, imbalanced classification, feature stability, pCR/RD prediction, and reporting standards.</w:t>
            </w:r>
          </w:p>
        </w:tc>
        <w:tc>
          <w:tcPr>
            <w:tcW w:type="dxa" w:w="2304"/>
            <w:vAlign w:val="top"/>
          </w:tcPr>
          <w:p>
            <w:pPr>
              <w:pStyle w:val="TableText"/>
            </w:pPr>
            <w:r/>
            <w:r>
              <w:rPr>
                <w:rFonts w:ascii="Times New Roman" w:hAnsi="Times New Roman" w:eastAsia="Times New Roman"/>
                <w:sz w:val="18"/>
              </w:rPr>
              <w:t>New full section added.</w:t>
            </w:r>
          </w:p>
        </w:tc>
      </w:tr>
      <w:tr>
        <w:tc>
          <w:tcPr>
            <w:tcW w:type="dxa" w:w="2016"/>
            <w:vAlign w:val="top"/>
          </w:tcPr>
          <w:p>
            <w:pPr>
              <w:pStyle w:val="TableText"/>
            </w:pPr>
            <w:r/>
            <w:r>
              <w:rPr>
                <w:rFonts w:ascii="Times New Roman" w:hAnsi="Times New Roman" w:eastAsia="Times New Roman"/>
                <w:sz w:val="18"/>
              </w:rPr>
              <w:t>Methods</w:t>
            </w:r>
          </w:p>
        </w:tc>
        <w:tc>
          <w:tcPr>
            <w:tcW w:type="dxa" w:w="5184"/>
            <w:vAlign w:val="top"/>
          </w:tcPr>
          <w:p>
            <w:pPr>
              <w:pStyle w:val="TableText"/>
            </w:pPr>
            <w:r/>
            <w:r>
              <w:rPr>
                <w:rFonts w:ascii="Times New Roman" w:hAnsi="Times New Roman" w:eastAsia="Times New Roman"/>
                <w:sz w:val="18"/>
              </w:rPr>
              <w:t>Specify public datasets, preprocessing rules, naive pipeline, guarded nested pipeline, SMO/SVM configuration, feature selection, metrics, external validation, and reproducibility artifacts.</w:t>
            </w:r>
          </w:p>
        </w:tc>
        <w:tc>
          <w:tcPr>
            <w:tcW w:type="dxa" w:w="2304"/>
            <w:vAlign w:val="top"/>
          </w:tcPr>
          <w:p>
            <w:pPr>
              <w:pStyle w:val="TableText"/>
            </w:pPr>
            <w:r/>
            <w:r>
              <w:rPr>
                <w:rFonts w:ascii="Times New Roman" w:hAnsi="Times New Roman" w:eastAsia="Times New Roman"/>
                <w:sz w:val="18"/>
              </w:rPr>
              <w:t>Backbone retained and updated to align with literature.</w:t>
            </w:r>
          </w:p>
        </w:tc>
      </w:tr>
      <w:tr>
        <w:tc>
          <w:tcPr>
            <w:tcW w:type="dxa" w:w="2016"/>
            <w:vAlign w:val="top"/>
          </w:tcPr>
          <w:p>
            <w:pPr>
              <w:pStyle w:val="TableText"/>
            </w:pPr>
            <w:r/>
            <w:r>
              <w:rPr>
                <w:rFonts w:ascii="Times New Roman" w:hAnsi="Times New Roman" w:eastAsia="Times New Roman"/>
                <w:sz w:val="18"/>
              </w:rPr>
              <w:t>Results</w:t>
            </w:r>
          </w:p>
        </w:tc>
        <w:tc>
          <w:tcPr>
            <w:tcW w:type="dxa" w:w="5184"/>
            <w:vAlign w:val="top"/>
          </w:tcPr>
          <w:p>
            <w:pPr>
              <w:pStyle w:val="TableText"/>
            </w:pPr>
            <w:r/>
            <w:r>
              <w:rPr>
                <w:rFonts w:ascii="Times New Roman" w:hAnsi="Times New Roman" w:eastAsia="Times New Roman"/>
                <w:sz w:val="18"/>
              </w:rPr>
              <w:t>Define planned result subsections and tables before analysis is run.</w:t>
            </w:r>
          </w:p>
        </w:tc>
        <w:tc>
          <w:tcPr>
            <w:tcW w:type="dxa" w:w="2304"/>
            <w:vAlign w:val="top"/>
          </w:tcPr>
          <w:p>
            <w:pPr>
              <w:pStyle w:val="TableText"/>
            </w:pPr>
            <w:r/>
            <w:r>
              <w:rPr>
                <w:rFonts w:ascii="Times New Roman" w:hAnsi="Times New Roman" w:eastAsia="Times New Roman"/>
                <w:sz w:val="18"/>
              </w:rPr>
              <w:t>Placeholders retained.</w:t>
            </w:r>
          </w:p>
        </w:tc>
      </w:tr>
      <w:tr>
        <w:tc>
          <w:tcPr>
            <w:tcW w:type="dxa" w:w="2016"/>
            <w:vAlign w:val="top"/>
          </w:tcPr>
          <w:p>
            <w:pPr>
              <w:pStyle w:val="TableText"/>
            </w:pPr>
            <w:r/>
            <w:r>
              <w:rPr>
                <w:rFonts w:ascii="Times New Roman" w:hAnsi="Times New Roman" w:eastAsia="Times New Roman"/>
                <w:sz w:val="18"/>
              </w:rPr>
              <w:t>Discussion</w:t>
            </w:r>
          </w:p>
        </w:tc>
        <w:tc>
          <w:tcPr>
            <w:tcW w:type="dxa" w:w="5184"/>
            <w:vAlign w:val="top"/>
          </w:tcPr>
          <w:p>
            <w:pPr>
              <w:pStyle w:val="TableText"/>
            </w:pPr>
            <w:r/>
            <w:r>
              <w:rPr>
                <w:rFonts w:ascii="Times New Roman" w:hAnsi="Times New Roman" w:eastAsia="Times New Roman"/>
                <w:sz w:val="18"/>
              </w:rPr>
              <w:t>Interpret expected findings and state practical recommendations for public omics ML.</w:t>
            </w:r>
          </w:p>
        </w:tc>
        <w:tc>
          <w:tcPr>
            <w:tcW w:type="dxa" w:w="2304"/>
            <w:vAlign w:val="top"/>
          </w:tcPr>
          <w:p>
            <w:pPr>
              <w:pStyle w:val="TableText"/>
            </w:pPr>
            <w:r/>
            <w:r>
              <w:rPr>
                <w:rFonts w:ascii="Times New Roman" w:hAnsi="Times New Roman" w:eastAsia="Times New Roman"/>
                <w:sz w:val="18"/>
              </w:rPr>
              <w:t>Updated to reflect literature-review gap.</w:t>
            </w:r>
          </w:p>
        </w:tc>
      </w:tr>
      <w:tr>
        <w:tc>
          <w:tcPr>
            <w:tcW w:type="dxa" w:w="2016"/>
            <w:vAlign w:val="top"/>
          </w:tcPr>
          <w:p>
            <w:pPr>
              <w:pStyle w:val="TableText"/>
            </w:pPr>
            <w:r/>
            <w:r>
              <w:rPr>
                <w:rFonts w:ascii="Times New Roman" w:hAnsi="Times New Roman" w:eastAsia="Times New Roman"/>
                <w:sz w:val="18"/>
              </w:rPr>
              <w:t>References</w:t>
            </w:r>
          </w:p>
        </w:tc>
        <w:tc>
          <w:tcPr>
            <w:tcW w:type="dxa" w:w="5184"/>
            <w:vAlign w:val="top"/>
          </w:tcPr>
          <w:p>
            <w:pPr>
              <w:pStyle w:val="TableText"/>
            </w:pPr>
            <w:r/>
            <w:r>
              <w:rPr>
                <w:rFonts w:ascii="Times New Roman" w:hAnsi="Times New Roman" w:eastAsia="Times New Roman"/>
                <w:sz w:val="18"/>
              </w:rPr>
              <w:t>Provide APA 7 reference list for all in-text citations.</w:t>
            </w:r>
          </w:p>
        </w:tc>
        <w:tc>
          <w:tcPr>
            <w:tcW w:type="dxa" w:w="2304"/>
            <w:vAlign w:val="top"/>
          </w:tcPr>
          <w:p>
            <w:pPr>
              <w:pStyle w:val="TableText"/>
            </w:pPr>
            <w:r/>
            <w:r>
              <w:rPr>
                <w:rFonts w:ascii="Times New Roman" w:hAnsi="Times New Roman" w:eastAsia="Times New Roman"/>
                <w:sz w:val="18"/>
              </w:rPr>
              <w:t>New APA 7 reference list added.</w:t>
            </w:r>
          </w:p>
        </w:tc>
      </w:tr>
    </w:tbl>
    <w:p>
      <w:pPr>
        <w:pStyle w:val="Heading1"/>
      </w:pPr>
      <w:r>
        <w:t>Background</w:t>
      </w:r>
    </w:p>
    <w:p>
      <w:pPr>
        <w:pStyle w:val="Heading2"/>
      </w:pPr>
      <w:r>
        <w:t>Public transcriptomic biomarker discovery and the reproducibility problem</w:t>
      </w:r>
    </w:p>
    <w:p>
      <w:r>
        <w:t>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r>
        <w:t>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pPr>
        <w:pStyle w:val="Heading2"/>
      </w:pPr>
      <w:r>
        <w:t>Data leakage as a methodological failure in omics machine learning</w:t>
      </w:r>
    </w:p>
    <w:p>
      <w:r>
        <w:t>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eventual test fold has already helped determine the feature space. Ambroise and McLachlan (2002) demonstrated this issue in microarray classification and showed that selection bias can drive cross-validated error estimates toward misleadingly low values.</w:t>
      </w:r>
    </w:p>
    <w:p>
      <w:r>
        <w:t>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pPr>
        <w:pStyle w:val="Heading2"/>
      </w:pPr>
      <w:r>
        <w:t>Why SMO/SVM remains a useful test case</w:t>
      </w:r>
    </w:p>
    <w:p>
      <w:r>
        <w:t>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r>
        <w:t>SMO/SVM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pPr>
        <w:pStyle w:val="Heading2"/>
      </w:pPr>
      <w:r>
        <w:t>Nested cross-validation as the leakage-control architecture</w:t>
      </w:r>
    </w:p>
    <w:p>
      <w:r>
        <w:t>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r>
        <w:t>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nestedcv package provides a practical example of this principle for transcriptomic and high-dimensional biomedical datasets, including embedded feature selection and filtering inside cross-validation loops to avoid information leakage (Lewis et al., 2023).</w:t>
      </w:r>
    </w:p>
    <w:p>
      <w:pPr>
        <w:pStyle w:val="Heading2"/>
      </w:pPr>
      <w:r>
        <w:t>Feature stability as a missing layer in biomarker evaluation</w:t>
      </w:r>
    </w:p>
    <w:p>
      <w:r>
        <w:t>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r>
        <w:t>The present manuscript therefore treats feature stability as a primary audit dimension, not a secondary supplement. The planned framework will report Nogueira stability, feature-selection frequencies, and overlap metrics alongside prediction metrics. This design helps distinguish a predictive classifier from a reproducible biomarker signature.</w:t>
      </w:r>
    </w:p>
    <w:p>
      <w:pPr>
        <w:pStyle w:val="Heading2"/>
      </w:pPr>
      <w:r>
        <w:t>Study objective and contributions</w:t>
      </w:r>
    </w:p>
    <w:p>
      <w:r>
        <w:t>The objective of this manuscript is to develop and evaluate a leakage-aware data-mining framework for public transcriptomic biomarker classification. The paper uses breast cancer neoadjuvant chemotherapy response as a biological stress test, focusing on pathological complete response versus residual disease. The study is not positioned as a new biomarker discovery paper. Its contribution is methodological: quantifying how much naive feature selection inflates SMO/SVM performance and determining whether leakage-aware nested validation changes the interpretation of predictive signal and feature reproducibility.</w:t>
      </w:r>
    </w:p>
    <w:p>
      <w:pPr>
        <w:pStyle w:val="NoIndent"/>
        <w:ind w:left="720" w:hanging="360"/>
      </w:pPr>
      <w:r>
        <w:t>1.</w:t>
        <w:tab/>
      </w:r>
      <w:r>
        <w:t>A leakage-aware SMO/SVM workflow for public transcriptomic biomarker classification.</w:t>
      </w:r>
    </w:p>
    <w:p>
      <w:pPr>
        <w:pStyle w:val="NoIndent"/>
        <w:ind w:left="720" w:hanging="360"/>
      </w:pPr>
      <w:r>
        <w:t>2.</w:t>
        <w:tab/>
      </w:r>
      <w:r>
        <w:t>An empirical comparison between naive global feature selection and guarded nested validation.</w:t>
      </w:r>
    </w:p>
    <w:p>
      <w:pPr>
        <w:pStyle w:val="NoIndent"/>
        <w:ind w:left="720" w:hanging="360"/>
      </w:pPr>
      <w:r>
        <w:t>3.</w:t>
        <w:tab/>
      </w:r>
      <w:r>
        <w:t>A feature-stability audit using fold-level selected-feature sets and the Nogueira stability framework.</w:t>
      </w:r>
    </w:p>
    <w:p>
      <w:pPr>
        <w:pStyle w:val="NoIndent"/>
        <w:ind w:left="720" w:hanging="360"/>
      </w:pPr>
      <w:r>
        <w:t>4.</w:t>
        <w:tab/>
      </w:r>
      <w:r>
        <w:t>A class-imbalance-sensitive evaluation strategy using PR-AUC, balanced accuracy, and MCC.</w:t>
      </w:r>
    </w:p>
    <w:p>
      <w:pPr>
        <w:pStyle w:val="NoIndent"/>
        <w:ind w:left="720" w:hanging="360"/>
      </w:pPr>
      <w:r>
        <w:t>5.</w:t>
        <w:tab/>
      </w:r>
      <w:r>
        <w:t>An external-validation protocol that freezes preprocessing, feature selection, thresholds, and model configuration before projection onto independent cohorts.</w:t>
      </w:r>
    </w:p>
    <w:p>
      <w:pPr>
        <w:pStyle w:val="NoIndent"/>
        <w:ind w:left="720" w:hanging="360"/>
      </w:pPr>
      <w:r>
        <w:t>6.</w:t>
        <w:tab/>
      </w:r>
      <w:r>
        <w:t>A Reproducible Omics Evidence Audit table that reports leakage sensitivity, predictive signal, stability, transportability, and reproducibility artifacts together.</w:t>
      </w:r>
    </w:p>
    <w:p>
      <w:pPr>
        <w:pStyle w:val="Heading1"/>
      </w:pPr>
      <w:r>
        <w:t>Literature Review</w:t>
      </w:r>
    </w:p>
    <w:p>
      <w:pPr>
        <w:pStyle w:val="Heading2"/>
      </w:pPr>
      <w:r>
        <w:t>Search and evidence-screening basis</w:t>
      </w:r>
    </w:p>
    <w:p>
      <w:r>
        <w:t>The literature-review report supporting this draft searched PubMed/MEDLINE, Web of Science, Scopus, and IEEE Xplore for evidence related to data leakage, nested validation, SVM/SMO, feature stability, imbalanced classification, public breast cancer pCR/RD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working reference list.</w:t>
      </w:r>
    </w:p>
    <w:p>
      <w:pPr>
        <w:pStyle w:val="Heading2"/>
      </w:pPr>
      <w:r>
        <w:t>Data leakage and feature-selection bias in biomedical machine learning</w:t>
      </w:r>
    </w:p>
    <w:p>
      <w:r>
        <w:t>Leakage is increasingly recognized as a general threat to scientific machine learning. Kapoor and Narayanan (2023) describe leakage as a reproducibility failure that can lead to 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r>
        <w:t>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the proposed manuscript. The naive pipeline intentionally reproduces global feature selection before cross-validation; the guarded pipeline nests the feature-selection process inside the training folds.</w:t>
      </w:r>
    </w:p>
    <w:p>
      <w:pPr>
        <w:pStyle w:val="Heading2"/>
      </w:pPr>
      <w:r>
        <w:t>Nested validation for high-dimensional omics</w:t>
      </w:r>
    </w:p>
    <w:p>
      <w:r>
        <w:t>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r>
        <w:t>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high-dimensional data through the nestedcv R package, which implements nested cross-validation with embedded feature selection and shows that applying feature filters globally can produce information leakage. The proposed manuscript builds on this literature but focuses more narrowly on SMO/SVM leakage behavior, feature-stability auditing, class-imbalance sensitivity, and external validation.</w:t>
      </w:r>
    </w:p>
    <w:p>
      <w:pPr>
        <w:pStyle w:val="Heading2"/>
      </w:pPr>
      <w:r>
        <w:t>SVM/SMO and feature selection in transcriptomic classification</w:t>
      </w:r>
    </w:p>
    <w:p>
      <w:r>
        <w:t>The SVM literature supports the choice of a margin-based classifier for high-dimensional gene-expression data. Cortes and Vapnik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r>
        <w:t>This manuscript should avoid overstating algorithmic novelty. SMO/SVM is not new. The novelty is the audit architecture around it. The literature review supports positioning SMO/SVM as a sensitive and historically important classifier through which to quantify the impact of leakage-aware validation, not as a newly invented method.</w:t>
      </w:r>
    </w:p>
    <w:p>
      <w:pPr>
        <w:pStyle w:val="Heading2"/>
      </w:pPr>
      <w:r>
        <w:t>Feature stability and biomarker reproducibility</w:t>
      </w:r>
    </w:p>
    <w:p>
      <w:r>
        <w:t>Molecular-signature studies require more than discrimination metrics. Haury et al. (2011) showed that feature-selection methods influence not only accuracy but also stability and interpretability of molecular signatures. This is a crucial lesson for the proposed paper because transcriptomic biomarker claims are only persuasive when selected features are reproducible under resampling and, ideally, across cohorts.</w:t>
      </w:r>
    </w:p>
    <w:p>
      <w:r>
        <w:t>Nogueira et al. (2018) provide the most important stability source for the planned audit. Their feature-selection stability framework emphasizes mathematical properties such as correction for chance and behavior under varying selected-set sizes. The proposed manuscript will therefore report Nogueira stability indices and feature-selection frequency distributions, rather than relying only on pairwise overlap or a final gene list.</w:t>
      </w:r>
    </w:p>
    <w:p>
      <w:pPr>
        <w:pStyle w:val="Heading2"/>
      </w:pPr>
      <w:r>
        <w:t>Imbalanced biomedical classification and evaluation metrics</w:t>
      </w:r>
    </w:p>
    <w:p>
      <w:r>
        <w:t>The pCR/RD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Blagus and Lusa (2013) specifically warn that SMOTE behaves differently in high-dimensional settings and may require careful feature selection and validation sequencing.</w:t>
      </w:r>
    </w:p>
    <w:p>
      <w:r>
        <w:t>Evaluation metrics must also reflect imbalance. AUROC alone can be misleading when the minority class is clinically important. Chicco and Jurman (2020, 2023) argue for the Matthews correlation coefficient as a more informative binary-classification measure because it incorporates all four cells of the confusion matrix. Accordingly, the proposed framework will report PR-AUC, MCC, balanced accuracy, sensitivity, and specificity alongside AUROC.</w:t>
      </w:r>
    </w:p>
    <w:p>
      <w:pPr>
        <w:pStyle w:val="Heading2"/>
      </w:pPr>
      <w:r>
        <w:t>Breast cancer pCR/RD prediction as a biological stress test</w:t>
      </w:r>
    </w:p>
    <w:p>
      <w:r>
        <w:t>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pCR/RD prediction studies. The proposed manuscript will treat these datasets as methodological test beds rather than as evidence of a new biological signature.</w:t>
      </w:r>
    </w:p>
    <w:p>
      <w:r>
        <w:t>The most important dataset-design issue is independence. The planned analysis must avoid using a parent or superseries as discovery data and then treating a component subseries as external validation. External validation must be truly held out from feature selection, hyperparameter tuning, threshold choice, and any cross-cohort preprocessing decisions.</w:t>
      </w:r>
    </w:p>
    <w:p>
      <w:pPr>
        <w:pStyle w:val="Heading2"/>
      </w:pPr>
      <w:r>
        <w:t>Reporting standards and trustworthy biomedical AI</w:t>
      </w:r>
    </w:p>
    <w:p>
      <w:r>
        <w:t>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the proposed manuscript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pPr>
        <w:pStyle w:val="Heading2"/>
      </w:pPr>
      <w:r>
        <w:t>Remaining methodological gap</w:t>
      </w:r>
    </w:p>
    <w:p>
      <w:r>
        <w:t>The literature establishes all individual components of this project: feature-selection leakage, nested cross-validation, SMO/SVM, feature stability, imbalanced classification metrics, and prediction-model reporting standards. The gap is that these elements have not been presented as a focused leakage-aware SMO/SVM audit for public transcriptomic biomarker classification. Existing nested-CV tools demonstrate how to avoid leakage, but they do not center an SMO/SVM leakage audit with feature-stability and external-validation reporting. Existing pCR/RD biomarker papers often focus on signatures rather than on systematically quantifying leakage inflation. The proposed manuscript addresses this gap by jointly evaluating performance inflation, feature-selection stability, hyperparameter volatility, class-imbalance sensitivity, and external transportability within one reproducible framework.</w:t>
      </w:r>
    </w:p>
    <w:p>
      <w:pPr>
        <w:pStyle w:val="NoIndent"/>
      </w:pPr>
      <w:r>
        <w:t>Table 1</w:t>
      </w:r>
    </w:p>
    <w:p>
      <w:pPr>
        <w:pStyle w:val="NoIndent"/>
      </w:pPr>
      <w:r>
        <w:t>Literature Matrix for the Updated Manuscript</w:t>
      </w:r>
    </w:p>
    <w:tbl>
      <w:tblPr>
        <w:tblStyle w:val="TableGrid"/>
        <w:tblW w:type="auto" w:w="0"/>
        <w:jc w:val="center"/>
        <w:tblLook w:firstColumn="1" w:firstRow="1" w:lastColumn="0" w:lastRow="0" w:noHBand="0" w:noVBand="1" w:val="04A0"/>
      </w:tblPr>
      <w:tblGrid>
        <w:gridCol w:w="3120"/>
        <w:gridCol w:w="3120"/>
        <w:gridCol w:w="3120"/>
      </w:tblGrid>
      <w:tr>
        <w:tc>
          <w:tcPr>
            <w:tcW w:type="dxa" w:w="2448"/>
            <w:vAlign w:val="top"/>
          </w:tcPr>
          <w:p>
            <w:pPr>
              <w:pStyle w:val="TableText"/>
            </w:pPr>
            <w:r/>
            <w:r>
              <w:rPr>
                <w:rFonts w:ascii="Times New Roman" w:hAnsi="Times New Roman" w:eastAsia="Times New Roman"/>
                <w:b/>
                <w:sz w:val="18"/>
              </w:rPr>
              <w:t>Theme</w:t>
            </w:r>
          </w:p>
        </w:tc>
        <w:tc>
          <w:tcPr>
            <w:tcW w:type="dxa" w:w="3456"/>
            <w:vAlign w:val="top"/>
          </w:tcPr>
          <w:p>
            <w:pPr>
              <w:pStyle w:val="TableText"/>
            </w:pPr>
            <w:r/>
            <w:r>
              <w:rPr>
                <w:rFonts w:ascii="Times New Roman" w:hAnsi="Times New Roman" w:eastAsia="Times New Roman"/>
                <w:b/>
                <w:sz w:val="18"/>
              </w:rPr>
              <w:t>Core sources</w:t>
            </w:r>
          </w:p>
        </w:tc>
        <w:tc>
          <w:tcPr>
            <w:tcW w:type="dxa" w:w="4320"/>
            <w:vAlign w:val="top"/>
          </w:tcPr>
          <w:p>
            <w:pPr>
              <w:pStyle w:val="TableText"/>
            </w:pPr>
            <w:r/>
            <w:r>
              <w:rPr>
                <w:rFonts w:ascii="Times New Roman" w:hAnsi="Times New Roman" w:eastAsia="Times New Roman"/>
                <w:b/>
                <w:sz w:val="18"/>
              </w:rPr>
              <w:t>How it shapes this manuscript</w:t>
            </w:r>
          </w:p>
        </w:tc>
      </w:tr>
      <w:tr>
        <w:tc>
          <w:tcPr>
            <w:tcW w:type="dxa" w:w="2448"/>
            <w:vAlign w:val="top"/>
          </w:tcPr>
          <w:p>
            <w:pPr>
              <w:pStyle w:val="TableText"/>
            </w:pPr>
            <w:r/>
            <w:r>
              <w:rPr>
                <w:rFonts w:ascii="Times New Roman" w:hAnsi="Times New Roman" w:eastAsia="Times New Roman"/>
                <w:sz w:val="18"/>
              </w:rPr>
              <w:t>Leakage and feature-selection bias</w:t>
            </w:r>
          </w:p>
        </w:tc>
        <w:tc>
          <w:tcPr>
            <w:tcW w:type="dxa" w:w="3456"/>
            <w:vAlign w:val="top"/>
          </w:tcPr>
          <w:p>
            <w:pPr>
              <w:pStyle w:val="TableText"/>
            </w:pPr>
            <w:r/>
            <w:r>
              <w:rPr>
                <w:rFonts w:ascii="Times New Roman" w:hAnsi="Times New Roman" w:eastAsia="Times New Roman"/>
                <w:sz w:val="18"/>
              </w:rPr>
              <w:t>Ambroise &amp; McLachlan (2002); Kapoor &amp; Narayanan (2023)</w:t>
            </w:r>
          </w:p>
        </w:tc>
        <w:tc>
          <w:tcPr>
            <w:tcW w:type="dxa" w:w="4320"/>
            <w:vAlign w:val="top"/>
          </w:tcPr>
          <w:p>
            <w:pPr>
              <w:pStyle w:val="TableText"/>
            </w:pPr>
            <w:r/>
            <w:r>
              <w:rPr>
                <w:rFonts w:ascii="Times New Roman" w:hAnsi="Times New Roman" w:eastAsia="Times New Roman"/>
                <w:sz w:val="18"/>
              </w:rPr>
              <w:t>Motivates direct comparison of leaky global feature selection versus guarded nested selection.</w:t>
            </w:r>
          </w:p>
        </w:tc>
      </w:tr>
      <w:tr>
        <w:tc>
          <w:tcPr>
            <w:tcW w:type="dxa" w:w="2448"/>
            <w:vAlign w:val="top"/>
          </w:tcPr>
          <w:p>
            <w:pPr>
              <w:pStyle w:val="TableText"/>
            </w:pPr>
            <w:r/>
            <w:r>
              <w:rPr>
                <w:rFonts w:ascii="Times New Roman" w:hAnsi="Times New Roman" w:eastAsia="Times New Roman"/>
                <w:sz w:val="18"/>
              </w:rPr>
              <w:t>Nested validation</w:t>
            </w:r>
          </w:p>
        </w:tc>
        <w:tc>
          <w:tcPr>
            <w:tcW w:type="dxa" w:w="3456"/>
            <w:vAlign w:val="top"/>
          </w:tcPr>
          <w:p>
            <w:pPr>
              <w:pStyle w:val="TableText"/>
            </w:pPr>
            <w:r/>
            <w:r>
              <w:rPr>
                <w:rFonts w:ascii="Times New Roman" w:hAnsi="Times New Roman" w:eastAsia="Times New Roman"/>
                <w:sz w:val="18"/>
              </w:rPr>
              <w:t>Varma &amp; Simon (2006); Cawley &amp; Talbot (2010); Vabalas et al. (2019); Lewis et al. (2023)</w:t>
            </w:r>
          </w:p>
        </w:tc>
        <w:tc>
          <w:tcPr>
            <w:tcW w:type="dxa" w:w="4320"/>
            <w:vAlign w:val="top"/>
          </w:tcPr>
          <w:p>
            <w:pPr>
              <w:pStyle w:val="TableText"/>
            </w:pPr>
            <w:r/>
            <w:r>
              <w:rPr>
                <w:rFonts w:ascii="Times New Roman" w:hAnsi="Times New Roman" w:eastAsia="Times New Roman"/>
                <w:sz w:val="18"/>
              </w:rPr>
              <w:t>Requires inner-loop model selection and outer-loop performance estimation.</w:t>
            </w:r>
          </w:p>
        </w:tc>
      </w:tr>
      <w:tr>
        <w:tc>
          <w:tcPr>
            <w:tcW w:type="dxa" w:w="2448"/>
            <w:vAlign w:val="top"/>
          </w:tcPr>
          <w:p>
            <w:pPr>
              <w:pStyle w:val="TableText"/>
            </w:pPr>
            <w:r/>
            <w:r>
              <w:rPr>
                <w:rFonts w:ascii="Times New Roman" w:hAnsi="Times New Roman" w:eastAsia="Times New Roman"/>
                <w:sz w:val="18"/>
              </w:rPr>
              <w:t>SVM/SMO and feature selection</w:t>
            </w:r>
          </w:p>
        </w:tc>
        <w:tc>
          <w:tcPr>
            <w:tcW w:type="dxa" w:w="3456"/>
            <w:vAlign w:val="top"/>
          </w:tcPr>
          <w:p>
            <w:pPr>
              <w:pStyle w:val="TableText"/>
            </w:pPr>
            <w:r/>
            <w:r>
              <w:rPr>
                <w:rFonts w:ascii="Times New Roman" w:hAnsi="Times New Roman" w:eastAsia="Times New Roman"/>
                <w:sz w:val="18"/>
              </w:rPr>
              <w:t>Cortes &amp; Vapnik (1995); Platt (1999); Guyon et al. (2002)</w:t>
            </w:r>
          </w:p>
        </w:tc>
        <w:tc>
          <w:tcPr>
            <w:tcW w:type="dxa" w:w="4320"/>
            <w:vAlign w:val="top"/>
          </w:tcPr>
          <w:p>
            <w:pPr>
              <w:pStyle w:val="TableText"/>
            </w:pPr>
            <w:r/>
            <w:r>
              <w:rPr>
                <w:rFonts w:ascii="Times New Roman" w:hAnsi="Times New Roman" w:eastAsia="Times New Roman"/>
                <w:sz w:val="18"/>
              </w:rPr>
              <w:t>Justifies SMO/SVM as a historically important, high-dimensional classification engine.</w:t>
            </w:r>
          </w:p>
        </w:tc>
      </w:tr>
      <w:tr>
        <w:tc>
          <w:tcPr>
            <w:tcW w:type="dxa" w:w="2448"/>
            <w:vAlign w:val="top"/>
          </w:tcPr>
          <w:p>
            <w:pPr>
              <w:pStyle w:val="TableText"/>
            </w:pPr>
            <w:r/>
            <w:r>
              <w:rPr>
                <w:rFonts w:ascii="Times New Roman" w:hAnsi="Times New Roman" w:eastAsia="Times New Roman"/>
                <w:sz w:val="18"/>
              </w:rPr>
              <w:t>Feature stability</w:t>
            </w:r>
          </w:p>
        </w:tc>
        <w:tc>
          <w:tcPr>
            <w:tcW w:type="dxa" w:w="3456"/>
            <w:vAlign w:val="top"/>
          </w:tcPr>
          <w:p>
            <w:pPr>
              <w:pStyle w:val="TableText"/>
            </w:pPr>
            <w:r/>
            <w:r>
              <w:rPr>
                <w:rFonts w:ascii="Times New Roman" w:hAnsi="Times New Roman" w:eastAsia="Times New Roman"/>
                <w:sz w:val="18"/>
              </w:rPr>
              <w:t>Haury et al. (2011); Nogueira et al. (2018)</w:t>
            </w:r>
          </w:p>
        </w:tc>
        <w:tc>
          <w:tcPr>
            <w:tcW w:type="dxa" w:w="4320"/>
            <w:vAlign w:val="top"/>
          </w:tcPr>
          <w:p>
            <w:pPr>
              <w:pStyle w:val="TableText"/>
            </w:pPr>
            <w:r/>
            <w:r>
              <w:rPr>
                <w:rFonts w:ascii="Times New Roman" w:hAnsi="Times New Roman" w:eastAsia="Times New Roman"/>
                <w:sz w:val="18"/>
              </w:rPr>
              <w:t>Makes stability a main audit dimension rather than a supplement.</w:t>
            </w:r>
          </w:p>
        </w:tc>
      </w:tr>
      <w:tr>
        <w:tc>
          <w:tcPr>
            <w:tcW w:type="dxa" w:w="2448"/>
            <w:vAlign w:val="top"/>
          </w:tcPr>
          <w:p>
            <w:pPr>
              <w:pStyle w:val="TableText"/>
            </w:pPr>
            <w:r/>
            <w:r>
              <w:rPr>
                <w:rFonts w:ascii="Times New Roman" w:hAnsi="Times New Roman" w:eastAsia="Times New Roman"/>
                <w:sz w:val="18"/>
              </w:rPr>
              <w:t>Class imbalance and metrics</w:t>
            </w:r>
          </w:p>
        </w:tc>
        <w:tc>
          <w:tcPr>
            <w:tcW w:type="dxa" w:w="3456"/>
            <w:vAlign w:val="top"/>
          </w:tcPr>
          <w:p>
            <w:pPr>
              <w:pStyle w:val="TableText"/>
            </w:pPr>
            <w:r/>
            <w:r>
              <w:rPr>
                <w:rFonts w:ascii="Times New Roman" w:hAnsi="Times New Roman" w:eastAsia="Times New Roman"/>
                <w:sz w:val="18"/>
              </w:rPr>
              <w:t>Chawla et al. (2002); Blagus &amp; Lusa (2013); Chicco &amp; Jurman (2020, 2023)</w:t>
            </w:r>
          </w:p>
        </w:tc>
        <w:tc>
          <w:tcPr>
            <w:tcW w:type="dxa" w:w="4320"/>
            <w:vAlign w:val="top"/>
          </w:tcPr>
          <w:p>
            <w:pPr>
              <w:pStyle w:val="TableText"/>
            </w:pPr>
            <w:r/>
            <w:r>
              <w:rPr>
                <w:rFonts w:ascii="Times New Roman" w:hAnsi="Times New Roman" w:eastAsia="Times New Roman"/>
                <w:sz w:val="18"/>
              </w:rPr>
              <w:t>Supports PR-AUC, MCC, balanced accuracy, and fold-contained resampling.</w:t>
            </w:r>
          </w:p>
        </w:tc>
      </w:tr>
      <w:tr>
        <w:tc>
          <w:tcPr>
            <w:tcW w:type="dxa" w:w="2448"/>
            <w:vAlign w:val="top"/>
          </w:tcPr>
          <w:p>
            <w:pPr>
              <w:pStyle w:val="TableText"/>
            </w:pPr>
            <w:r/>
            <w:r>
              <w:rPr>
                <w:rFonts w:ascii="Times New Roman" w:hAnsi="Times New Roman" w:eastAsia="Times New Roman"/>
                <w:sz w:val="18"/>
              </w:rPr>
              <w:t>pCR/RD stress test</w:t>
            </w:r>
          </w:p>
        </w:tc>
        <w:tc>
          <w:tcPr>
            <w:tcW w:type="dxa" w:w="3456"/>
            <w:vAlign w:val="top"/>
          </w:tcPr>
          <w:p>
            <w:pPr>
              <w:pStyle w:val="TableText"/>
            </w:pPr>
            <w:r/>
            <w:r>
              <w:rPr>
                <w:rFonts w:ascii="Times New Roman" w:hAnsi="Times New Roman" w:eastAsia="Times New Roman"/>
                <w:sz w:val="18"/>
              </w:rPr>
              <w:t>Hatzis et al. (2011)</w:t>
            </w:r>
          </w:p>
        </w:tc>
        <w:tc>
          <w:tcPr>
            <w:tcW w:type="dxa" w:w="4320"/>
            <w:vAlign w:val="top"/>
          </w:tcPr>
          <w:p>
            <w:pPr>
              <w:pStyle w:val="TableText"/>
            </w:pPr>
            <w:r/>
            <w:r>
              <w:rPr>
                <w:rFonts w:ascii="Times New Roman" w:hAnsi="Times New Roman" w:eastAsia="Times New Roman"/>
                <w:sz w:val="18"/>
              </w:rPr>
              <w:t>Supports breast cancer neoadjuvant response as a public transcriptomic use case.</w:t>
            </w:r>
          </w:p>
        </w:tc>
      </w:tr>
      <w:tr>
        <w:tc>
          <w:tcPr>
            <w:tcW w:type="dxa" w:w="2448"/>
            <w:vAlign w:val="top"/>
          </w:tcPr>
          <w:p>
            <w:pPr>
              <w:pStyle w:val="TableText"/>
            </w:pPr>
            <w:r/>
            <w:r>
              <w:rPr>
                <w:rFonts w:ascii="Times New Roman" w:hAnsi="Times New Roman" w:eastAsia="Times New Roman"/>
                <w:sz w:val="18"/>
              </w:rPr>
              <w:t>Trustworthy AI reporting</w:t>
            </w:r>
          </w:p>
        </w:tc>
        <w:tc>
          <w:tcPr>
            <w:tcW w:type="dxa" w:w="3456"/>
            <w:vAlign w:val="top"/>
          </w:tcPr>
          <w:p>
            <w:pPr>
              <w:pStyle w:val="TableText"/>
            </w:pPr>
            <w:r/>
            <w:r>
              <w:rPr>
                <w:rFonts w:ascii="Times New Roman" w:hAnsi="Times New Roman" w:eastAsia="Times New Roman"/>
                <w:sz w:val="18"/>
              </w:rPr>
              <w:t>Collins et al. (2024)</w:t>
            </w:r>
          </w:p>
        </w:tc>
        <w:tc>
          <w:tcPr>
            <w:tcW w:type="dxa" w:w="4320"/>
            <w:vAlign w:val="top"/>
          </w:tcPr>
          <w:p>
            <w:pPr>
              <w:pStyle w:val="TableText"/>
            </w:pPr>
            <w:r/>
            <w:r>
              <w:rPr>
                <w:rFonts w:ascii="Times New Roman" w:hAnsi="Times New Roman" w:eastAsia="Times New Roman"/>
                <w:sz w:val="18"/>
              </w:rPr>
              <w:t>Supports the Reproducible Omics Evidence Audit as transparent reporting infrastructure.</w:t>
            </w:r>
          </w:p>
        </w:tc>
      </w:tr>
    </w:tbl>
    <w:p>
      <w:pPr>
        <w:pStyle w:val="TableNote"/>
      </w:pPr>
      <w:r>
        <w:rPr>
          <w:i/>
        </w:rPr>
        <w:t xml:space="preserve">Note. </w:t>
      </w:r>
      <w:r>
        <w:t>This table is a manuscript-facing synthesis of the literature-review report. It excludes sources that were not clearly peer-reviewed or that did not directly support the methodology.</w:t>
      </w:r>
    </w:p>
    <w:p>
      <w:pPr>
        <w:pStyle w:val="NoIndent"/>
      </w:pPr>
      <w:r>
        <w:t>Table 2</w:t>
      </w:r>
    </w:p>
    <w:p>
      <w:pPr>
        <w:pStyle w:val="NoIndent"/>
      </w:pPr>
      <w:r>
        <w:t>Direct Competitor Positioning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vAlign w:val="top"/>
          </w:tcPr>
          <w:p>
            <w:pPr>
              <w:pStyle w:val="TableText"/>
            </w:pPr>
            <w:r/>
            <w:r>
              <w:rPr>
                <w:rFonts w:ascii="Times New Roman" w:hAnsi="Times New Roman" w:eastAsia="Times New Roman"/>
                <w:b/>
                <w:sz w:val="18"/>
              </w:rPr>
              <w:t>Closest literature</w:t>
            </w:r>
          </w:p>
        </w:tc>
        <w:tc>
          <w:tcPr>
            <w:tcW w:type="dxa" w:w="2448"/>
            <w:vAlign w:val="top"/>
          </w:tcPr>
          <w:p>
            <w:pPr>
              <w:pStyle w:val="TableText"/>
            </w:pPr>
            <w:r/>
            <w:r>
              <w:rPr>
                <w:rFonts w:ascii="Times New Roman" w:hAnsi="Times New Roman" w:eastAsia="Times New Roman"/>
                <w:b/>
                <w:sz w:val="18"/>
              </w:rPr>
              <w:t>What it contributes</w:t>
            </w:r>
          </w:p>
        </w:tc>
        <w:tc>
          <w:tcPr>
            <w:tcW w:type="dxa" w:w="2880"/>
            <w:vAlign w:val="top"/>
          </w:tcPr>
          <w:p>
            <w:pPr>
              <w:pStyle w:val="TableText"/>
            </w:pPr>
            <w:r/>
            <w:r>
              <w:rPr>
                <w:rFonts w:ascii="Times New Roman" w:hAnsi="Times New Roman" w:eastAsia="Times New Roman"/>
                <w:b/>
                <w:sz w:val="18"/>
              </w:rPr>
              <w:t>What remains missing</w:t>
            </w:r>
          </w:p>
        </w:tc>
        <w:tc>
          <w:tcPr>
            <w:tcW w:type="dxa" w:w="3024"/>
            <w:vAlign w:val="top"/>
          </w:tcPr>
          <w:p>
            <w:pPr>
              <w:pStyle w:val="TableText"/>
            </w:pPr>
            <w:r/>
            <w:r>
              <w:rPr>
                <w:rFonts w:ascii="Times New Roman" w:hAnsi="Times New Roman" w:eastAsia="Times New Roman"/>
                <w:b/>
                <w:sz w:val="18"/>
              </w:rPr>
              <w:t>How this manuscript differs</w:t>
            </w:r>
          </w:p>
        </w:tc>
      </w:tr>
      <w:tr>
        <w:tc>
          <w:tcPr>
            <w:tcW w:type="dxa" w:w="2160"/>
            <w:vAlign w:val="top"/>
          </w:tcPr>
          <w:p>
            <w:pPr>
              <w:pStyle w:val="TableText"/>
            </w:pPr>
            <w:r/>
            <w:r>
              <w:rPr>
                <w:rFonts w:ascii="Times New Roman" w:hAnsi="Times New Roman" w:eastAsia="Times New Roman"/>
                <w:sz w:val="18"/>
              </w:rPr>
              <w:t>Lewis et al. (2023), nestedcv</w:t>
            </w:r>
          </w:p>
        </w:tc>
        <w:tc>
          <w:tcPr>
            <w:tcW w:type="dxa" w:w="2448"/>
            <w:vAlign w:val="top"/>
          </w:tcPr>
          <w:p>
            <w:pPr>
              <w:pStyle w:val="TableText"/>
            </w:pPr>
            <w:r/>
            <w:r>
              <w:rPr>
                <w:rFonts w:ascii="Times New Roman" w:hAnsi="Times New Roman" w:eastAsia="Times New Roman"/>
                <w:sz w:val="18"/>
              </w:rPr>
              <w:t>Implements nested CV with embedded feature selection for transcriptomic/high-dimensional data.</w:t>
            </w:r>
          </w:p>
        </w:tc>
        <w:tc>
          <w:tcPr>
            <w:tcW w:type="dxa" w:w="2880"/>
            <w:vAlign w:val="top"/>
          </w:tcPr>
          <w:p>
            <w:pPr>
              <w:pStyle w:val="TableText"/>
            </w:pPr>
            <w:r/>
            <w:r>
              <w:rPr>
                <w:rFonts w:ascii="Times New Roman" w:hAnsi="Times New Roman" w:eastAsia="Times New Roman"/>
                <w:sz w:val="18"/>
              </w:rPr>
              <w:t>Does not center a leakage-inflation audit of SMO/SVM with feature-stability and pCR/RD external validation.</w:t>
            </w:r>
          </w:p>
        </w:tc>
        <w:tc>
          <w:tcPr>
            <w:tcW w:type="dxa" w:w="3024"/>
            <w:vAlign w:val="top"/>
          </w:tcPr>
          <w:p>
            <w:pPr>
              <w:pStyle w:val="TableText"/>
            </w:pPr>
            <w:r/>
            <w:r>
              <w:rPr>
                <w:rFonts w:ascii="Times New Roman" w:hAnsi="Times New Roman" w:eastAsia="Times New Roman"/>
                <w:sz w:val="18"/>
              </w:rPr>
              <w:t>Uses nested-CV principles to quantify SMO/SVM leakage inflation and feature stability.</w:t>
            </w:r>
          </w:p>
        </w:tc>
      </w:tr>
      <w:tr>
        <w:tc>
          <w:tcPr>
            <w:tcW w:type="dxa" w:w="2160"/>
            <w:vAlign w:val="top"/>
          </w:tcPr>
          <w:p>
            <w:pPr>
              <w:pStyle w:val="TableText"/>
            </w:pPr>
            <w:r/>
            <w:r>
              <w:rPr>
                <w:rFonts w:ascii="Times New Roman" w:hAnsi="Times New Roman" w:eastAsia="Times New Roman"/>
                <w:sz w:val="18"/>
              </w:rPr>
              <w:t>Kapoor &amp; Narayanan (2023), leakage taxonomy</w:t>
            </w:r>
          </w:p>
        </w:tc>
        <w:tc>
          <w:tcPr>
            <w:tcW w:type="dxa" w:w="2448"/>
            <w:vAlign w:val="top"/>
          </w:tcPr>
          <w:p>
            <w:pPr>
              <w:pStyle w:val="TableText"/>
            </w:pPr>
            <w:r/>
            <w:r>
              <w:rPr>
                <w:rFonts w:ascii="Times New Roman" w:hAnsi="Times New Roman" w:eastAsia="Times New Roman"/>
                <w:sz w:val="18"/>
              </w:rPr>
              <w:t>Frames leakage as a broader reproducibility failure in ML-based science.</w:t>
            </w:r>
          </w:p>
        </w:tc>
        <w:tc>
          <w:tcPr>
            <w:tcW w:type="dxa" w:w="2880"/>
            <w:vAlign w:val="top"/>
          </w:tcPr>
          <w:p>
            <w:pPr>
              <w:pStyle w:val="TableText"/>
            </w:pPr>
            <w:r/>
            <w:r>
              <w:rPr>
                <w:rFonts w:ascii="Times New Roman" w:hAnsi="Times New Roman" w:eastAsia="Times New Roman"/>
                <w:sz w:val="18"/>
              </w:rPr>
              <w:t>Not an omics-specific computational benchmark.</w:t>
            </w:r>
          </w:p>
        </w:tc>
        <w:tc>
          <w:tcPr>
            <w:tcW w:type="dxa" w:w="3024"/>
            <w:vAlign w:val="top"/>
          </w:tcPr>
          <w:p>
            <w:pPr>
              <w:pStyle w:val="TableText"/>
            </w:pPr>
            <w:r/>
            <w:r>
              <w:rPr>
                <w:rFonts w:ascii="Times New Roman" w:hAnsi="Times New Roman" w:eastAsia="Times New Roman"/>
                <w:sz w:val="18"/>
              </w:rPr>
              <w:t>Operationalizes leakage auditing in public transcriptomic classification.</w:t>
            </w:r>
          </w:p>
        </w:tc>
      </w:tr>
      <w:tr>
        <w:tc>
          <w:tcPr>
            <w:tcW w:type="dxa" w:w="2160"/>
            <w:vAlign w:val="top"/>
          </w:tcPr>
          <w:p>
            <w:pPr>
              <w:pStyle w:val="TableText"/>
            </w:pPr>
            <w:r/>
            <w:r>
              <w:rPr>
                <w:rFonts w:ascii="Times New Roman" w:hAnsi="Times New Roman" w:eastAsia="Times New Roman"/>
                <w:sz w:val="18"/>
              </w:rPr>
              <w:t>Vabalas et al. (2019), limited-sample validation</w:t>
            </w:r>
          </w:p>
        </w:tc>
        <w:tc>
          <w:tcPr>
            <w:tcW w:type="dxa" w:w="2448"/>
            <w:vAlign w:val="top"/>
          </w:tcPr>
          <w:p>
            <w:pPr>
              <w:pStyle w:val="TableText"/>
            </w:pPr>
            <w:r/>
            <w:r>
              <w:rPr>
                <w:rFonts w:ascii="Times New Roman" w:hAnsi="Times New Roman" w:eastAsia="Times New Roman"/>
                <w:sz w:val="18"/>
              </w:rPr>
              <w:t>Shows bias in validation under limited samples and high dimensions.</w:t>
            </w:r>
          </w:p>
        </w:tc>
        <w:tc>
          <w:tcPr>
            <w:tcW w:type="dxa" w:w="2880"/>
            <w:vAlign w:val="top"/>
          </w:tcPr>
          <w:p>
            <w:pPr>
              <w:pStyle w:val="TableText"/>
            </w:pPr>
            <w:r/>
            <w:r>
              <w:rPr>
                <w:rFonts w:ascii="Times New Roman" w:hAnsi="Times New Roman" w:eastAsia="Times New Roman"/>
                <w:sz w:val="18"/>
              </w:rPr>
              <w:t>Does not focus on transcriptomic SMO/SVM biomarker stability or pCR/RD cohorts.</w:t>
            </w:r>
          </w:p>
        </w:tc>
        <w:tc>
          <w:tcPr>
            <w:tcW w:type="dxa" w:w="3024"/>
            <w:vAlign w:val="top"/>
          </w:tcPr>
          <w:p>
            <w:pPr>
              <w:pStyle w:val="TableText"/>
            </w:pPr>
            <w:r/>
            <w:r>
              <w:rPr>
                <w:rFonts w:ascii="Times New Roman" w:hAnsi="Times New Roman" w:eastAsia="Times New Roman"/>
                <w:sz w:val="18"/>
              </w:rPr>
              <w:t>Extends validation concern to omics feature selection, class imbalance, and external validation.</w:t>
            </w:r>
          </w:p>
        </w:tc>
      </w:tr>
      <w:tr>
        <w:tc>
          <w:tcPr>
            <w:tcW w:type="dxa" w:w="2160"/>
            <w:vAlign w:val="top"/>
          </w:tcPr>
          <w:p>
            <w:pPr>
              <w:pStyle w:val="TableText"/>
            </w:pPr>
            <w:r/>
            <w:r>
              <w:rPr>
                <w:rFonts w:ascii="Times New Roman" w:hAnsi="Times New Roman" w:eastAsia="Times New Roman"/>
                <w:sz w:val="18"/>
              </w:rPr>
              <w:t>Breast cancer pCR signature studies</w:t>
            </w:r>
          </w:p>
        </w:tc>
        <w:tc>
          <w:tcPr>
            <w:tcW w:type="dxa" w:w="2448"/>
            <w:vAlign w:val="top"/>
          </w:tcPr>
          <w:p>
            <w:pPr>
              <w:pStyle w:val="TableText"/>
            </w:pPr>
            <w:r/>
            <w:r>
              <w:rPr>
                <w:rFonts w:ascii="Times New Roman" w:hAnsi="Times New Roman" w:eastAsia="Times New Roman"/>
                <w:sz w:val="18"/>
              </w:rPr>
              <w:t>Provide public datasets and biological endpoint context.</w:t>
            </w:r>
          </w:p>
        </w:tc>
        <w:tc>
          <w:tcPr>
            <w:tcW w:type="dxa" w:w="2880"/>
            <w:vAlign w:val="top"/>
          </w:tcPr>
          <w:p>
            <w:pPr>
              <w:pStyle w:val="TableText"/>
            </w:pPr>
            <w:r/>
            <w:r>
              <w:rPr>
                <w:rFonts w:ascii="Times New Roman" w:hAnsi="Times New Roman" w:eastAsia="Times New Roman"/>
                <w:sz w:val="18"/>
              </w:rPr>
              <w:t>Often focus on predictive signatures rather than auditing leakage, stability, and validation architecture.</w:t>
            </w:r>
          </w:p>
        </w:tc>
        <w:tc>
          <w:tcPr>
            <w:tcW w:type="dxa" w:w="3024"/>
            <w:vAlign w:val="top"/>
          </w:tcPr>
          <w:p>
            <w:pPr>
              <w:pStyle w:val="TableText"/>
            </w:pPr>
            <w:r/>
            <w:r>
              <w:rPr>
                <w:rFonts w:ascii="Times New Roman" w:hAnsi="Times New Roman" w:eastAsia="Times New Roman"/>
                <w:sz w:val="18"/>
              </w:rPr>
              <w:t>Uses pCR/RD as a stress test for methodology, not as a new biomarker claim.</w:t>
            </w:r>
          </w:p>
        </w:tc>
      </w:tr>
    </w:tbl>
    <w:p>
      <w:pPr>
        <w:pStyle w:val="TableNote"/>
      </w:pPr>
      <w:r>
        <w:rPr>
          <w:i/>
        </w:rPr>
        <w:t xml:space="preserve">Note. </w:t>
      </w:r>
      <w:r>
        <w:t>This table states the novelty position to preserve in the introduction, cover letter, and response to reviewers.</w:t>
      </w:r>
    </w:p>
    <w:p>
      <w:pPr>
        <w:pStyle w:val="Heading1"/>
      </w:pPr>
      <w:r>
        <w:t>Methods</w:t>
      </w:r>
    </w:p>
    <w:p>
      <w:pPr>
        <w:pStyle w:val="Heading2"/>
      </w:pPr>
      <w:r>
        <w:t>Study design overview</w:t>
      </w:r>
    </w:p>
    <w:p>
      <w:r>
        <w:t>This will be a public-data computational methodology study. The analysis will compare two SMO/SVM pipeline families: a naive pipeline that intentionally allows global feature-selection leakage and a guarded nested pipeline that prevents feature-selection, preprocessing, tuning, and class-balancing leakage. The biological use case will be breast cancer neoadjuvant chemotherapy response, using pCR versus residual disease as the binary endpoint.</w:t>
      </w:r>
    </w:p>
    <w:p>
      <w:pPr>
        <w:pStyle w:val="Heading2"/>
      </w:pPr>
      <w:r>
        <w:t>Public datasets and cohort eligibility</w:t>
      </w:r>
    </w:p>
    <w:p>
      <w:r>
        <w:t>Eligible datasets must contain pretreatment bulk transcriptomic expression profiles, interpretable pCR/RD labels, adequate sample metadata, and public access through GEO or a comparable repository. Cohorts will be excluded if response labels are ambiguous, samples overlap with another validation cohort, the treatment time point is incompatible with pretreatment prediction, or platform mapping is insufficient for external projection.</w:t>
      </w:r>
    </w:p>
    <w:p>
      <w:pPr>
        <w:pStyle w:val="NoIndent"/>
        <w:ind w:left="720" w:hanging="360"/>
      </w:pPr>
      <w:r>
        <w:rPr>
          <w:b w:val="0"/>
        </w:rPr>
        <w:t>•</w:t>
        <w:tab/>
      </w:r>
      <w:r>
        <w:t>Discovery/nested-CV cohort: GSE25055 or GSE25065, selected after confirming sample independence and endpoint harmonization.</w:t>
      </w:r>
    </w:p>
    <w:p>
      <w:pPr>
        <w:pStyle w:val="NoIndent"/>
        <w:ind w:left="720" w:hanging="360"/>
      </w:pPr>
      <w:r>
        <w:rPr>
          <w:b w:val="0"/>
        </w:rPr>
        <w:t>•</w:t>
        <w:tab/>
      </w:r>
      <w:r>
        <w:t>External validation cohort 1: the non-overlapping Hatzis subseries not used for discovery.</w:t>
      </w:r>
    </w:p>
    <w:p>
      <w:pPr>
        <w:pStyle w:val="NoIndent"/>
        <w:ind w:left="720" w:hanging="360"/>
      </w:pPr>
      <w:r>
        <w:rPr>
          <w:b w:val="0"/>
        </w:rPr>
        <w:t>•</w:t>
        <w:tab/>
      </w:r>
      <w:r>
        <w:t>External validation cohort 2: GSE20194 or another independent cohort with compatible pCR/RD labels.</w:t>
      </w:r>
    </w:p>
    <w:p>
      <w:pPr>
        <w:pStyle w:val="NoIndent"/>
        <w:ind w:left="720" w:hanging="360"/>
      </w:pPr>
      <w:r>
        <w:rPr>
          <w:b w:val="0"/>
        </w:rPr>
        <w:t>•</w:t>
        <w:tab/>
      </w:r>
      <w:r>
        <w:t>Sensitivity cohort: GSE41998 or GSE20271, contingent on metadata quality and platform compatibility.</w:t>
      </w:r>
    </w:p>
    <w:p>
      <w:pPr>
        <w:pStyle w:val="Heading2"/>
      </w:pPr>
      <w:r>
        <w:t>Outcome definition</w:t>
      </w:r>
    </w:p>
    <w:p>
      <w:r>
        <w:t>The primary endpoint will be pathological complete response versus residual invasive disease. Samples with missing, ambiguous, post-treatment-only, or non-comparable outcome labels will be excluded before modeling. Any endpoint harmonization decisions will be recorded in a sample-level metadata file and summarized in the first Results table.</w:t>
      </w:r>
    </w:p>
    <w:p>
      <w:pPr>
        <w:pStyle w:val="Heading2"/>
      </w:pPr>
      <w:r>
        <w:t>Data preprocessing and leakage-control rules</w:t>
      </w:r>
    </w:p>
    <w:p>
      <w:r>
        <w:t>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will not be used for feature selection, threshold adjustment, hyperparameter choice, or cross-cohort batch correction unless a fully training-derived transformation can be specified in advance.</w:t>
      </w:r>
    </w:p>
    <w:p>
      <w:pPr>
        <w:pStyle w:val="Heading2"/>
      </w:pPr>
      <w:r>
        <w:t>Pipeline A: naive/leaky baseline</w:t>
      </w:r>
    </w:p>
    <w:p>
      <w:r>
        <w:t>The naive pipeline intentionally represents the flawed workflow this paper audits. It will use the full discovery cohort to perform feature selection before cross-validation. The top K features will then be passed to SMO/SVM cross-validation. This pipeline is not intended for valid inference; it is included to quantify the inflation that a leaky analysis can produce.</w:t>
      </w:r>
    </w:p>
    <w:p>
      <w:pPr>
        <w:pStyle w:val="Heading2"/>
      </w:pPr>
      <w:r>
        <w:t>Pipeline B: guarded nested SMO/SVM framework</w:t>
      </w:r>
    </w:p>
    <w:p>
      <w:r>
        <w:t>The guarded pipeline will use an outer loop for performance estimation and an inner loop for model selection. Within each outer split, the outer test fold will remain untouched until final evaluation. Within the outer training set, inner folds will perform feature selection, class-imbalance handling, scaling, and SMO/SVM hyperparameter tuning. After choosing the best inner-loop configuration, the model will be refit on the full outer training set and evaluated once on the held-out outer test fold.</w:t>
      </w:r>
    </w:p>
    <w:p>
      <w:pPr>
        <w:pStyle w:val="NoIndent"/>
      </w:pPr>
      <w:r>
        <w:t>Planned pseudocode:</w:t>
      </w:r>
    </w:p>
    <w:p>
      <w:pPr>
        <w:pStyle w:val="NoIndent"/>
        <w:spacing w:line="240" w:lineRule="auto"/>
        <w:ind w:left="432"/>
      </w:pPr>
      <w:r>
        <w:t>For each outer split:</w:t>
        <w:br/>
        <w:t xml:space="preserve">    hold out the outer test fold</w:t>
        <w:br/>
        <w:t xml:space="preserve">    within outer training data:</w:t>
        <w:br/>
        <w:t xml:space="preserve">        fit preprocessing and feature selection only inside inner training folds</w:t>
        <w:br/>
        <w:t xml:space="preserve">        tune SMO/SVM hyperparameters using inner validation folds</w:t>
        <w:br/>
        <w:t xml:space="preserve">        apply any class balancing only inside training folds</w:t>
        <w:br/>
        <w:t xml:space="preserve">    refit the selected pipeline on the full outer training data</w:t>
        <w:br/>
        <w:t xml:space="preserve">    evaluate once on the outer test fold</w:t>
        <w:br/>
        <w:t xml:space="preserve">    store predictions, selected features, hyperparameters, and fold metadata</w:t>
      </w:r>
    </w:p>
    <w:p>
      <w:pPr>
        <w:pStyle w:val="Heading2"/>
      </w:pPr>
      <w:r>
        <w:t>SMO/SVM model specification</w:t>
      </w:r>
    </w:p>
    <w:p>
      <w:r>
        <w:t>The primary classifier will be a linear SMO-trained SVM because linear models are more interpretable in high-dimensional transcriptomic settings and reduce unnecessary kernel complexity. An RBF kernel may be included as a sensitivity analysis if sample size and computational budget permit. The C penalty parameter will be tuned inside the inner loop, and class weighting will be the primary imbalance-handling strategy. SMOTE, if evaluated, will be restricted to inner training folds only and treated as a sensitivity analysis rather than the primary strategy.</w:t>
      </w:r>
    </w:p>
    <w:p>
      <w:pPr>
        <w:pStyle w:val="Heading2"/>
      </w:pPr>
      <w:r>
        <w:t>Feature-selection methods</w:t>
      </w:r>
    </w:p>
    <w:p>
      <w:r>
        <w:t>The primary feature-selection methods will include a univariate t-test or ANOVA filter, Information Gain or Gain Ratio, and SVM recursive feature elimination. This selection balances common practice, Prof. Wong’s feature-selection expertise, and an SVM-specific comparator. Optional supplementary selectors include mRMR, CFS, and elastic-net embedded selection.</w:t>
      </w:r>
    </w:p>
    <w:p>
      <w:pPr>
        <w:pStyle w:val="Heading2"/>
      </w:pPr>
      <w:r>
        <w:t>Performance, leakage, and stability metrics</w:t>
      </w:r>
    </w:p>
    <w:p>
      <w:r>
        <w:t>Classification performance will be reported using AUROC, PR-AUC, balanced accuracy, sensitivity, specificity, and MCC. Leakage inflation will be defined as the difference between the naive/leaky and guarded nested pipelines for each metric, with particular emphasis on ΔAUROC, ΔPR-AUC, and ΔMCC. Feature stability will be measured using the Nogueira stability index, feature-selection frequencies, and Jaccard overlap as an intuitive secondary metric.</w:t>
      </w:r>
    </w:p>
    <w:p>
      <w:pPr>
        <w:pStyle w:val="Heading2"/>
      </w:pPr>
      <w:r>
        <w:t>External validation protocol</w:t>
      </w:r>
    </w:p>
    <w:p>
      <w:r>
        <w:t>After the discovery analysis, the final model design will be frozen. Feature-selection rules, selected features, preprocessing transformations, hyperparameters, probability-calibration method, and classification threshold will be fixed before projection to external cohorts. External labels will be used only for final evaluation.</w:t>
      </w:r>
    </w:p>
    <w:p>
      <w:pPr>
        <w:pStyle w:val="Heading2"/>
      </w:pPr>
      <w:r>
        <w:t>Reproducibility and software availability</w:t>
      </w:r>
    </w:p>
    <w:p>
      <w:r>
        <w:t>The final manuscript should include a public repository containing data-download scripts, preprocessing scripts, analysis code, random seeds, fold assignments, selected-feature lists, environment files, and final audit tables. A frozen repository release should be archived with a DOI, for example through Zenodo.</w:t>
      </w:r>
    </w:p>
    <w:p>
      <w:pPr>
        <w:pStyle w:val="NoIndent"/>
      </w:pPr>
      <w:r>
        <w:t>Table 3</w:t>
      </w:r>
    </w:p>
    <w:p>
      <w:pPr>
        <w:pStyle w:val="NoIndent"/>
      </w:pPr>
      <w:r>
        <w:t>Naive Versus Guarded Pipeline Design</w:t>
      </w:r>
    </w:p>
    <w:tbl>
      <w:tblPr>
        <w:tblStyle w:val="TableGrid"/>
        <w:tblW w:type="auto" w:w="0"/>
        <w:jc w:val="center"/>
        <w:tblLook w:firstColumn="1" w:firstRow="1" w:lastColumn="0" w:lastRow="0" w:noHBand="0" w:noVBand="1" w:val="04A0"/>
      </w:tblPr>
      <w:tblGrid>
        <w:gridCol w:w="3120"/>
        <w:gridCol w:w="3120"/>
        <w:gridCol w:w="3120"/>
      </w:tblGrid>
      <w:tr>
        <w:tc>
          <w:tcPr>
            <w:tcW w:type="dxa" w:w="2448"/>
            <w:vAlign w:val="top"/>
          </w:tcPr>
          <w:p>
            <w:pPr>
              <w:pStyle w:val="TableText"/>
            </w:pPr>
            <w:r/>
            <w:r>
              <w:rPr>
                <w:rFonts w:ascii="Times New Roman" w:hAnsi="Times New Roman" w:eastAsia="Times New Roman"/>
                <w:b/>
                <w:sz w:val="18"/>
              </w:rPr>
              <w:t>Component</w:t>
            </w:r>
          </w:p>
        </w:tc>
        <w:tc>
          <w:tcPr>
            <w:tcW w:type="dxa" w:w="3600"/>
            <w:vAlign w:val="top"/>
          </w:tcPr>
          <w:p>
            <w:pPr>
              <w:pStyle w:val="TableText"/>
            </w:pPr>
            <w:r/>
            <w:r>
              <w:rPr>
                <w:rFonts w:ascii="Times New Roman" w:hAnsi="Times New Roman" w:eastAsia="Times New Roman"/>
                <w:b/>
                <w:sz w:val="18"/>
              </w:rPr>
              <w:t>Naive/leaky pipeline</w:t>
            </w:r>
          </w:p>
        </w:tc>
        <w:tc>
          <w:tcPr>
            <w:tcW w:type="dxa" w:w="4320"/>
            <w:vAlign w:val="top"/>
          </w:tcPr>
          <w:p>
            <w:pPr>
              <w:pStyle w:val="TableText"/>
            </w:pPr>
            <w:r/>
            <w:r>
              <w:rPr>
                <w:rFonts w:ascii="Times New Roman" w:hAnsi="Times New Roman" w:eastAsia="Times New Roman"/>
                <w:b/>
                <w:sz w:val="18"/>
              </w:rPr>
              <w:t>Guarded nested pipeline</w:t>
            </w:r>
          </w:p>
        </w:tc>
      </w:tr>
      <w:tr>
        <w:tc>
          <w:tcPr>
            <w:tcW w:type="dxa" w:w="2448"/>
            <w:vAlign w:val="top"/>
          </w:tcPr>
          <w:p>
            <w:pPr>
              <w:pStyle w:val="TableText"/>
            </w:pPr>
            <w:r/>
            <w:r>
              <w:rPr>
                <w:rFonts w:ascii="Times New Roman" w:hAnsi="Times New Roman" w:eastAsia="Times New Roman"/>
                <w:sz w:val="18"/>
              </w:rPr>
              <w:t>Feature selection</w:t>
            </w:r>
          </w:p>
        </w:tc>
        <w:tc>
          <w:tcPr>
            <w:tcW w:type="dxa" w:w="3600"/>
            <w:vAlign w:val="top"/>
          </w:tcPr>
          <w:p>
            <w:pPr>
              <w:pStyle w:val="TableText"/>
            </w:pPr>
            <w:r/>
            <w:r>
              <w:rPr>
                <w:rFonts w:ascii="Times New Roman" w:hAnsi="Times New Roman" w:eastAsia="Times New Roman"/>
                <w:sz w:val="18"/>
              </w:rPr>
              <w:t>Performed globally before cross-validation.</w:t>
            </w:r>
          </w:p>
        </w:tc>
        <w:tc>
          <w:tcPr>
            <w:tcW w:type="dxa" w:w="4320"/>
            <w:vAlign w:val="top"/>
          </w:tcPr>
          <w:p>
            <w:pPr>
              <w:pStyle w:val="TableText"/>
            </w:pPr>
            <w:r/>
            <w:r>
              <w:rPr>
                <w:rFonts w:ascii="Times New Roman" w:hAnsi="Times New Roman" w:eastAsia="Times New Roman"/>
                <w:sz w:val="18"/>
              </w:rPr>
              <w:t>Performed only inside inner training folds.</w:t>
            </w:r>
          </w:p>
        </w:tc>
      </w:tr>
      <w:tr>
        <w:tc>
          <w:tcPr>
            <w:tcW w:type="dxa" w:w="2448"/>
            <w:vAlign w:val="top"/>
          </w:tcPr>
          <w:p>
            <w:pPr>
              <w:pStyle w:val="TableText"/>
            </w:pPr>
            <w:r/>
            <w:r>
              <w:rPr>
                <w:rFonts w:ascii="Times New Roman" w:hAnsi="Times New Roman" w:eastAsia="Times New Roman"/>
                <w:sz w:val="18"/>
              </w:rPr>
              <w:t>Scaling/preprocessing</w:t>
            </w:r>
          </w:p>
        </w:tc>
        <w:tc>
          <w:tcPr>
            <w:tcW w:type="dxa" w:w="3600"/>
            <w:vAlign w:val="top"/>
          </w:tcPr>
          <w:p>
            <w:pPr>
              <w:pStyle w:val="TableText"/>
            </w:pPr>
            <w:r/>
            <w:r>
              <w:rPr>
                <w:rFonts w:ascii="Times New Roman" w:hAnsi="Times New Roman" w:eastAsia="Times New Roman"/>
                <w:sz w:val="18"/>
              </w:rPr>
              <w:t>May use full discovery matrix.</w:t>
            </w:r>
          </w:p>
        </w:tc>
        <w:tc>
          <w:tcPr>
            <w:tcW w:type="dxa" w:w="4320"/>
            <w:vAlign w:val="top"/>
          </w:tcPr>
          <w:p>
            <w:pPr>
              <w:pStyle w:val="TableText"/>
            </w:pPr>
            <w:r/>
            <w:r>
              <w:rPr>
                <w:rFonts w:ascii="Times New Roman" w:hAnsi="Times New Roman" w:eastAsia="Times New Roman"/>
                <w:sz w:val="18"/>
              </w:rPr>
              <w:t>Fit on training data only and applied to validation/test data.</w:t>
            </w:r>
          </w:p>
        </w:tc>
      </w:tr>
      <w:tr>
        <w:tc>
          <w:tcPr>
            <w:tcW w:type="dxa" w:w="2448"/>
            <w:vAlign w:val="top"/>
          </w:tcPr>
          <w:p>
            <w:pPr>
              <w:pStyle w:val="TableText"/>
            </w:pPr>
            <w:r/>
            <w:r>
              <w:rPr>
                <w:rFonts w:ascii="Times New Roman" w:hAnsi="Times New Roman" w:eastAsia="Times New Roman"/>
                <w:sz w:val="18"/>
              </w:rPr>
              <w:t>Class imbalance</w:t>
            </w:r>
          </w:p>
        </w:tc>
        <w:tc>
          <w:tcPr>
            <w:tcW w:type="dxa" w:w="3600"/>
            <w:vAlign w:val="top"/>
          </w:tcPr>
          <w:p>
            <w:pPr>
              <w:pStyle w:val="TableText"/>
            </w:pPr>
            <w:r/>
            <w:r>
              <w:rPr>
                <w:rFonts w:ascii="Times New Roman" w:hAnsi="Times New Roman" w:eastAsia="Times New Roman"/>
                <w:sz w:val="18"/>
              </w:rPr>
              <w:t>May apply SMOTE globally before splitting.</w:t>
            </w:r>
          </w:p>
        </w:tc>
        <w:tc>
          <w:tcPr>
            <w:tcW w:type="dxa" w:w="4320"/>
            <w:vAlign w:val="top"/>
          </w:tcPr>
          <w:p>
            <w:pPr>
              <w:pStyle w:val="TableText"/>
            </w:pPr>
            <w:r/>
            <w:r>
              <w:rPr>
                <w:rFonts w:ascii="Times New Roman" w:hAnsi="Times New Roman" w:eastAsia="Times New Roman"/>
                <w:sz w:val="18"/>
              </w:rPr>
              <w:t>Class weighting primary; SMOTE only inside inner training folds as sensitivity analysis.</w:t>
            </w:r>
          </w:p>
        </w:tc>
      </w:tr>
      <w:tr>
        <w:tc>
          <w:tcPr>
            <w:tcW w:type="dxa" w:w="2448"/>
            <w:vAlign w:val="top"/>
          </w:tcPr>
          <w:p>
            <w:pPr>
              <w:pStyle w:val="TableText"/>
            </w:pPr>
            <w:r/>
            <w:r>
              <w:rPr>
                <w:rFonts w:ascii="Times New Roman" w:hAnsi="Times New Roman" w:eastAsia="Times New Roman"/>
                <w:sz w:val="18"/>
              </w:rPr>
              <w:t>Hyperparameter tuning</w:t>
            </w:r>
          </w:p>
        </w:tc>
        <w:tc>
          <w:tcPr>
            <w:tcW w:type="dxa" w:w="3600"/>
            <w:vAlign w:val="top"/>
          </w:tcPr>
          <w:p>
            <w:pPr>
              <w:pStyle w:val="TableText"/>
            </w:pPr>
            <w:r/>
            <w:r>
              <w:rPr>
                <w:rFonts w:ascii="Times New Roman" w:hAnsi="Times New Roman" w:eastAsia="Times New Roman"/>
                <w:sz w:val="18"/>
              </w:rPr>
              <w:t>Flat CV after global feature selection.</w:t>
            </w:r>
          </w:p>
        </w:tc>
        <w:tc>
          <w:tcPr>
            <w:tcW w:type="dxa" w:w="4320"/>
            <w:vAlign w:val="top"/>
          </w:tcPr>
          <w:p>
            <w:pPr>
              <w:pStyle w:val="TableText"/>
            </w:pPr>
            <w:r/>
            <w:r>
              <w:rPr>
                <w:rFonts w:ascii="Times New Roman" w:hAnsi="Times New Roman" w:eastAsia="Times New Roman"/>
                <w:sz w:val="18"/>
              </w:rPr>
              <w:t>Inner-loop tuning; outer-loop performance estimation.</w:t>
            </w:r>
          </w:p>
        </w:tc>
      </w:tr>
      <w:tr>
        <w:tc>
          <w:tcPr>
            <w:tcW w:type="dxa" w:w="2448"/>
            <w:vAlign w:val="top"/>
          </w:tcPr>
          <w:p>
            <w:pPr>
              <w:pStyle w:val="TableText"/>
            </w:pPr>
            <w:r/>
            <w:r>
              <w:rPr>
                <w:rFonts w:ascii="Times New Roman" w:hAnsi="Times New Roman" w:eastAsia="Times New Roman"/>
                <w:sz w:val="18"/>
              </w:rPr>
              <w:t>External validation</w:t>
            </w:r>
          </w:p>
        </w:tc>
        <w:tc>
          <w:tcPr>
            <w:tcW w:type="dxa" w:w="3600"/>
            <w:vAlign w:val="top"/>
          </w:tcPr>
          <w:p>
            <w:pPr>
              <w:pStyle w:val="TableText"/>
            </w:pPr>
            <w:r/>
            <w:r>
              <w:rPr>
                <w:rFonts w:ascii="Times New Roman" w:hAnsi="Times New Roman" w:eastAsia="Times New Roman"/>
                <w:sz w:val="18"/>
              </w:rPr>
              <w:t>Often treated as a second optimization opportunity.</w:t>
            </w:r>
          </w:p>
        </w:tc>
        <w:tc>
          <w:tcPr>
            <w:tcW w:type="dxa" w:w="4320"/>
            <w:vAlign w:val="top"/>
          </w:tcPr>
          <w:p>
            <w:pPr>
              <w:pStyle w:val="TableText"/>
            </w:pPr>
            <w:r/>
            <w:r>
              <w:rPr>
                <w:rFonts w:ascii="Times New Roman" w:hAnsi="Times New Roman" w:eastAsia="Times New Roman"/>
                <w:sz w:val="18"/>
              </w:rPr>
              <w:t>Frozen pipeline projected once; no retuning.</w:t>
            </w:r>
          </w:p>
        </w:tc>
      </w:tr>
    </w:tbl>
    <w:p>
      <w:pPr>
        <w:pStyle w:val="TableNote"/>
      </w:pPr>
      <w:r>
        <w:rPr>
          <w:i/>
        </w:rPr>
        <w:t xml:space="preserve">Note. </w:t>
      </w:r>
      <w:r>
        <w:t>This table is the methodological contrast that should drive Figure 1 and the Results section.</w:t>
      </w:r>
    </w:p>
    <w:p>
      <w:pPr>
        <w:pStyle w:val="Heading1"/>
      </w:pPr>
      <w:r>
        <w:t>Results</w:t>
      </w:r>
    </w:p>
    <w:p>
      <w:r>
        <w:t>Quantitative results have not yet been generated. This section defines the planned result architecture so the analysis can be executed directly into manuscript-ready tables and figures.</w:t>
      </w:r>
    </w:p>
    <w:p>
      <w:pPr>
        <w:pStyle w:val="Heading2"/>
      </w:pPr>
      <w:r>
        <w:t>Dataset selection and cohort construction</w:t>
      </w:r>
    </w:p>
    <w:p>
      <w:r>
        <w:t>Report the final discovery and validation cohorts, sample counts, pCR/RD balance, platform, endpoint definition, inclusion/exclusion rules, and independence checks. This result should appear before model performance to reassure reviewers that no dataset-level leakage was introduced.</w:t>
      </w:r>
    </w:p>
    <w:p>
      <w:pPr>
        <w:pStyle w:val="Heading2"/>
      </w:pPr>
      <w:r>
        <w:t>Performance inflation under global feature selection</w:t>
      </w:r>
    </w:p>
    <w:p>
      <w:r>
        <w:t>Compare the naive global feature-selection pipeline with the guarded nested pipeline. The primary figure should show paired performance values and leakage inflation gaps for AUROC, PR-AUC, balanced accuracy, and MCC.</w:t>
      </w:r>
    </w:p>
    <w:p>
      <w:pPr>
        <w:pStyle w:val="Heading2"/>
      </w:pPr>
      <w:r>
        <w:t>Feature-selection method differences</w:t>
      </w:r>
    </w:p>
    <w:p>
      <w:r>
        <w:t>Report whether t-test/ANOVA, Information Gain/Gain Ratio, and SVM-RFE differ in leakage inflation, nested performance, selected feature count, and stability.</w:t>
      </w:r>
    </w:p>
    <w:p>
      <w:pPr>
        <w:pStyle w:val="Heading2"/>
      </w:pPr>
      <w:r>
        <w:t>Feature-stability audit</w:t>
      </w:r>
    </w:p>
    <w:p>
      <w:r>
        <w:t>Report Nogueira stability indices, feature-selection frequencies, and fold-level overlap. Top recurrent features should be presented as stability-ranked candidates, not as validated biomarkers.</w:t>
      </w:r>
    </w:p>
    <w:p>
      <w:pPr>
        <w:pStyle w:val="Heading2"/>
      </w:pPr>
      <w:r>
        <w:t>Class-imbalance sensitivity</w:t>
      </w:r>
    </w:p>
    <w:p>
      <w:r>
        <w:t>Compare class-weighted SVM, SMOTE inside training folds, and no balancing. The interpretation should emphasize PR-AUC, MCC, sensitivity, and specificity rather than raw accuracy alone.</w:t>
      </w:r>
    </w:p>
    <w:p>
      <w:pPr>
        <w:pStyle w:val="Heading2"/>
      </w:pPr>
      <w:r>
        <w:t>External validation performance</w:t>
      </w:r>
    </w:p>
    <w:p>
      <w:r>
        <w:t>Report the frozen model’s performance on each external cohort. Any decline from internal nested CV to external validation should be interpreted as an estimate of transportability, not simply as failure.</w:t>
      </w:r>
    </w:p>
    <w:p>
      <w:pPr>
        <w:pStyle w:val="Heading2"/>
      </w:pPr>
      <w:r>
        <w:t>Reproducible Omics Evidence Audit</w:t>
      </w:r>
    </w:p>
    <w:p>
      <w:r>
        <w:t>Present the final audit table summarizing leakage sensitivity, performance, feature stability, hyperparameter volatility, class-imbalance sensitivity, external validation, and reproducibility artifacts.</w:t>
      </w:r>
    </w:p>
    <w:p>
      <w:pPr>
        <w:pStyle w:val="Heading1"/>
      </w:pPr>
      <w:r>
        <w:t>Discussion</w:t>
      </w:r>
    </w:p>
    <w:p>
      <w:pPr>
        <w:pStyle w:val="Heading2"/>
      </w:pPr>
      <w:r>
        <w:t>Expected principal findings</w:t>
      </w:r>
    </w:p>
    <w:p>
      <w:r>
        <w:t>The manuscript is expected to show that naive feature selection can produce inflated SMO/SVM performance and that nested validation provides a more conservative but scientifically credible estimate. The discussion should avoid framing lower nested performance as failure. Instead, it should emphasize that realistic generalization estimates are more valuable than inflated internal accuracy.</w:t>
      </w:r>
    </w:p>
    <w:p>
      <w:pPr>
        <w:pStyle w:val="Heading2"/>
      </w:pPr>
      <w:r>
        <w:t>Why leakage-aware validation changes biomarker interpretation</w:t>
      </w:r>
    </w:p>
    <w:p>
      <w:r>
        <w:t>The main interpretation should connect leakage inflation to biomarker credibility. A model that performs well only under global feature selection is not a reliable biomarker classifier. A model that retains moderate performance under nested validation and external projection is more credible, even if the headline AUROC is lower.</w:t>
      </w:r>
    </w:p>
    <w:p>
      <w:pPr>
        <w:pStyle w:val="Heading2"/>
      </w:pPr>
      <w:r>
        <w:t>Feature stability versus predictive performance</w:t>
      </w:r>
    </w:p>
    <w:p>
      <w:r>
        <w:t>The discussion should emphasize that performance and stability answer different questions. Performance asks whether the model discriminates pCR from RD. Stability asks whether the feature-selection process repeatedly identifies similar genes or probes. Both are required for a defensible transcriptomic biomarker claim.</w:t>
      </w:r>
    </w:p>
    <w:p>
      <w:pPr>
        <w:pStyle w:val="Heading2"/>
      </w:pPr>
      <w:r>
        <w:t>Relation to existing tools and literature</w:t>
      </w:r>
    </w:p>
    <w:p>
      <w:r>
        <w:t>The manuscript should explicitly state that it does not replace nestedcv, stabm, or other existing tools. Its contribution is a focused SMO/SVM audit that combines leakage inflation, feature stability, class-imbalance sensitivity, hyperparameter volatility, and external validation in one reproducible workflow.</w:t>
      </w:r>
    </w:p>
    <w:p>
      <w:pPr>
        <w:pStyle w:val="Heading2"/>
      </w:pPr>
      <w:r>
        <w:t>Practical recommendations</w:t>
      </w:r>
    </w:p>
    <w:p>
      <w:pPr>
        <w:pStyle w:val="NoIndent"/>
        <w:ind w:left="720" w:hanging="360"/>
      </w:pPr>
      <w:r>
        <w:t>1.</w:t>
        <w:tab/>
      </w:r>
      <w:r>
        <w:t>Never perform supervised feature selection before splitting.</w:t>
      </w:r>
    </w:p>
    <w:p>
      <w:pPr>
        <w:pStyle w:val="NoIndent"/>
        <w:ind w:left="720" w:hanging="360"/>
      </w:pPr>
      <w:r>
        <w:t>2.</w:t>
        <w:tab/>
      </w:r>
      <w:r>
        <w:t>Fit scaling and preprocessing parameters on training data only.</w:t>
      </w:r>
    </w:p>
    <w:p>
      <w:pPr>
        <w:pStyle w:val="NoIndent"/>
        <w:ind w:left="720" w:hanging="360"/>
      </w:pPr>
      <w:r>
        <w:t>3.</w:t>
        <w:tab/>
      </w:r>
      <w:r>
        <w:t>Perform feature selection and hyperparameter tuning inside nested cross-validation.</w:t>
      </w:r>
    </w:p>
    <w:p>
      <w:pPr>
        <w:pStyle w:val="NoIndent"/>
        <w:ind w:left="720" w:hanging="360"/>
      </w:pPr>
      <w:r>
        <w:t>4.</w:t>
        <w:tab/>
      </w:r>
      <w:r>
        <w:t>Apply SMOTE or other resampling only inside training folds if used at all.</w:t>
      </w:r>
    </w:p>
    <w:p>
      <w:pPr>
        <w:pStyle w:val="NoIndent"/>
        <w:ind w:left="720" w:hanging="360"/>
      </w:pPr>
      <w:r>
        <w:t>5.</w:t>
        <w:tab/>
      </w:r>
      <w:r>
        <w:t>Report PR-AUC, MCC, balanced accuracy, sensitivity, and specificity for imbalanced endpoints.</w:t>
      </w:r>
    </w:p>
    <w:p>
      <w:pPr>
        <w:pStyle w:val="NoIndent"/>
        <w:ind w:left="720" w:hanging="360"/>
      </w:pPr>
      <w:r>
        <w:t>6.</w:t>
        <w:tab/>
      </w:r>
      <w:r>
        <w:t>Report feature stability and feature-selection frequencies in biomarker studies.</w:t>
      </w:r>
    </w:p>
    <w:p>
      <w:pPr>
        <w:pStyle w:val="NoIndent"/>
        <w:ind w:left="720" w:hanging="360"/>
      </w:pPr>
      <w:r>
        <w:t>7.</w:t>
        <w:tab/>
      </w:r>
      <w:r>
        <w:t>Freeze features, thresholds, and hyperparameters before external validation.</w:t>
      </w:r>
    </w:p>
    <w:p>
      <w:pPr>
        <w:pStyle w:val="NoIndent"/>
        <w:ind w:left="720" w:hanging="360"/>
      </w:pPr>
      <w:r>
        <w:t>8.</w:t>
        <w:tab/>
      </w:r>
      <w:r>
        <w:t>Release code, data-accession lists, random seeds, fold assignments, and selected-feature outputs.</w:t>
      </w:r>
    </w:p>
    <w:p>
      <w:pPr>
        <w:pStyle w:val="Heading2"/>
      </w:pPr>
      <w:r>
        <w:t>Limitations</w:t>
      </w:r>
    </w:p>
    <w:p>
      <w:r>
        <w:t>Planned limitations include retrospective public datasets, variable endpoint definitions across cohorts, microarray platform constraints, possible residual batch effects, limited sample sizes, potential low feature stability even under valid analysis, and lack of prospective clinical or wet-lab validation. The manuscript should present recurrent genes as candidates for future biological review, not clinically validated biomarkers.</w:t>
      </w:r>
    </w:p>
    <w:p>
      <w:pPr>
        <w:pStyle w:val="Heading2"/>
      </w:pPr>
      <w:r>
        <w:t>Future work</w:t>
      </w:r>
    </w:p>
    <w:p>
      <w:r>
        <w:t>Future work may extend the framework to RNA-seq, multi-omics integration, survival endpoints, other cancer types, and automated evidence-dossier systems for biomarker and therapeutic-target claims. Any BioTrust-related language should remain in the Discussion or future-work framing and should not dominate the title or abstract.</w:t>
      </w:r>
    </w:p>
    <w:p>
      <w:pPr>
        <w:pStyle w:val="Heading1"/>
      </w:pPr>
      <w:r>
        <w:t>Conclusions</w:t>
      </w:r>
    </w:p>
    <w:p>
      <w:r>
        <w:t>In public transcriptomic biomarker discovery, classification performance can be substantially distorted when feature selection, preprocessing, or class balancing are performed before validation. This manuscript will quantify that distortion by comparing naive and leakage-aware SMO/SVM pipelines in breast cancer pCR/RD prediction. By combining nested validation, feature-stability analysis, class-imbalance-aware metrics, external validation, and reproducible reporting artifacts, the proposed framework aims to help researchers evaluate whether omics machine-learning models are predictive, stable, transparent, and transportable.</w:t>
      </w:r>
    </w:p>
    <w:p>
      <w:pPr>
        <w:pStyle w:val="Heading1"/>
      </w:pPr>
      <w:r>
        <w:t>List of Abbreviations</w:t>
      </w:r>
    </w:p>
    <w:tbl>
      <w:tblPr>
        <w:tblStyle w:val="TableGrid"/>
        <w:tblW w:type="auto" w:w="0"/>
        <w:jc w:val="center"/>
        <w:tblLook w:firstColumn="1" w:firstRow="1" w:lastColumn="0" w:lastRow="0" w:noHBand="0" w:noVBand="1" w:val="04A0"/>
      </w:tblPr>
      <w:tblGrid>
        <w:gridCol w:w="4680"/>
        <w:gridCol w:w="4680"/>
      </w:tblGrid>
      <w:tr>
        <w:tc>
          <w:tcPr>
            <w:tcW w:type="dxa" w:w="2160"/>
            <w:vAlign w:val="top"/>
          </w:tcPr>
          <w:p>
            <w:pPr>
              <w:pStyle w:val="TableText"/>
            </w:pPr>
            <w:r/>
            <w:r>
              <w:rPr>
                <w:rFonts w:ascii="Times New Roman" w:hAnsi="Times New Roman" w:eastAsia="Times New Roman"/>
                <w:b/>
                <w:sz w:val="18"/>
              </w:rPr>
              <w:t>Abbreviation</w:t>
            </w:r>
          </w:p>
        </w:tc>
        <w:tc>
          <w:tcPr>
            <w:tcW w:type="dxa" w:w="7488"/>
            <w:vAlign w:val="top"/>
          </w:tcPr>
          <w:p>
            <w:pPr>
              <w:pStyle w:val="TableText"/>
            </w:pPr>
            <w:r/>
            <w:r>
              <w:rPr>
                <w:rFonts w:ascii="Times New Roman" w:hAnsi="Times New Roman" w:eastAsia="Times New Roman"/>
                <w:b/>
                <w:sz w:val="18"/>
              </w:rPr>
              <w:t>Meaning</w:t>
            </w:r>
          </w:p>
        </w:tc>
      </w:tr>
      <w:tr>
        <w:tc>
          <w:tcPr>
            <w:tcW w:type="dxa" w:w="2160"/>
            <w:vAlign w:val="top"/>
          </w:tcPr>
          <w:p>
            <w:pPr>
              <w:pStyle w:val="TableText"/>
            </w:pPr>
            <w:r/>
            <w:r>
              <w:rPr>
                <w:rFonts w:ascii="Times New Roman" w:hAnsi="Times New Roman" w:eastAsia="Times New Roman"/>
                <w:sz w:val="18"/>
              </w:rPr>
              <w:t>APA</w:t>
            </w:r>
          </w:p>
        </w:tc>
        <w:tc>
          <w:tcPr>
            <w:tcW w:type="dxa" w:w="7488"/>
            <w:vAlign w:val="top"/>
          </w:tcPr>
          <w:p>
            <w:pPr>
              <w:pStyle w:val="TableText"/>
            </w:pPr>
            <w:r/>
            <w:r>
              <w:rPr>
                <w:rFonts w:ascii="Times New Roman" w:hAnsi="Times New Roman" w:eastAsia="Times New Roman"/>
                <w:sz w:val="18"/>
              </w:rPr>
              <w:t>American Psychological Association</w:t>
            </w:r>
          </w:p>
        </w:tc>
      </w:tr>
      <w:tr>
        <w:tc>
          <w:tcPr>
            <w:tcW w:type="dxa" w:w="2160"/>
            <w:vAlign w:val="top"/>
          </w:tcPr>
          <w:p>
            <w:pPr>
              <w:pStyle w:val="TableText"/>
            </w:pPr>
            <w:r/>
            <w:r>
              <w:rPr>
                <w:rFonts w:ascii="Times New Roman" w:hAnsi="Times New Roman" w:eastAsia="Times New Roman"/>
                <w:sz w:val="18"/>
              </w:rPr>
              <w:t>AUROC</w:t>
            </w:r>
          </w:p>
        </w:tc>
        <w:tc>
          <w:tcPr>
            <w:tcW w:type="dxa" w:w="7488"/>
            <w:vAlign w:val="top"/>
          </w:tcPr>
          <w:p>
            <w:pPr>
              <w:pStyle w:val="TableText"/>
            </w:pPr>
            <w:r/>
            <w:r>
              <w:rPr>
                <w:rFonts w:ascii="Times New Roman" w:hAnsi="Times New Roman" w:eastAsia="Times New Roman"/>
                <w:sz w:val="18"/>
              </w:rPr>
              <w:t>Area under the receiver operating characteristic curve</w:t>
            </w:r>
          </w:p>
        </w:tc>
      </w:tr>
      <w:tr>
        <w:tc>
          <w:tcPr>
            <w:tcW w:type="dxa" w:w="2160"/>
            <w:vAlign w:val="top"/>
          </w:tcPr>
          <w:p>
            <w:pPr>
              <w:pStyle w:val="TableText"/>
            </w:pPr>
            <w:r/>
            <w:r>
              <w:rPr>
                <w:rFonts w:ascii="Times New Roman" w:hAnsi="Times New Roman" w:eastAsia="Times New Roman"/>
                <w:sz w:val="18"/>
              </w:rPr>
              <w:t>GEO</w:t>
            </w:r>
          </w:p>
        </w:tc>
        <w:tc>
          <w:tcPr>
            <w:tcW w:type="dxa" w:w="7488"/>
            <w:vAlign w:val="top"/>
          </w:tcPr>
          <w:p>
            <w:pPr>
              <w:pStyle w:val="TableText"/>
            </w:pPr>
            <w:r/>
            <w:r>
              <w:rPr>
                <w:rFonts w:ascii="Times New Roman" w:hAnsi="Times New Roman" w:eastAsia="Times New Roman"/>
                <w:sz w:val="18"/>
              </w:rPr>
              <w:t>Gene Expression Omnibus</w:t>
            </w:r>
          </w:p>
        </w:tc>
      </w:tr>
      <w:tr>
        <w:tc>
          <w:tcPr>
            <w:tcW w:type="dxa" w:w="2160"/>
            <w:vAlign w:val="top"/>
          </w:tcPr>
          <w:p>
            <w:pPr>
              <w:pStyle w:val="TableText"/>
            </w:pPr>
            <w:r/>
            <w:r>
              <w:rPr>
                <w:rFonts w:ascii="Times New Roman" w:hAnsi="Times New Roman" w:eastAsia="Times New Roman"/>
                <w:sz w:val="18"/>
              </w:rPr>
              <w:t>MCC</w:t>
            </w:r>
          </w:p>
        </w:tc>
        <w:tc>
          <w:tcPr>
            <w:tcW w:type="dxa" w:w="7488"/>
            <w:vAlign w:val="top"/>
          </w:tcPr>
          <w:p>
            <w:pPr>
              <w:pStyle w:val="TableText"/>
            </w:pPr>
            <w:r/>
            <w:r>
              <w:rPr>
                <w:rFonts w:ascii="Times New Roman" w:hAnsi="Times New Roman" w:eastAsia="Times New Roman"/>
                <w:sz w:val="18"/>
              </w:rPr>
              <w:t>Matthews correlation coefficient</w:t>
            </w:r>
          </w:p>
        </w:tc>
      </w:tr>
      <w:tr>
        <w:tc>
          <w:tcPr>
            <w:tcW w:type="dxa" w:w="2160"/>
            <w:vAlign w:val="top"/>
          </w:tcPr>
          <w:p>
            <w:pPr>
              <w:pStyle w:val="TableText"/>
            </w:pPr>
            <w:r/>
            <w:r>
              <w:rPr>
                <w:rFonts w:ascii="Times New Roman" w:hAnsi="Times New Roman" w:eastAsia="Times New Roman"/>
                <w:sz w:val="18"/>
              </w:rPr>
              <w:t>NCV</w:t>
            </w:r>
          </w:p>
        </w:tc>
        <w:tc>
          <w:tcPr>
            <w:tcW w:type="dxa" w:w="7488"/>
            <w:vAlign w:val="top"/>
          </w:tcPr>
          <w:p>
            <w:pPr>
              <w:pStyle w:val="TableText"/>
            </w:pPr>
            <w:r/>
            <w:r>
              <w:rPr>
                <w:rFonts w:ascii="Times New Roman" w:hAnsi="Times New Roman" w:eastAsia="Times New Roman"/>
                <w:sz w:val="18"/>
              </w:rPr>
              <w:t>Nested cross-validation</w:t>
            </w:r>
          </w:p>
        </w:tc>
      </w:tr>
      <w:tr>
        <w:tc>
          <w:tcPr>
            <w:tcW w:type="dxa" w:w="2160"/>
            <w:vAlign w:val="top"/>
          </w:tcPr>
          <w:p>
            <w:pPr>
              <w:pStyle w:val="TableText"/>
            </w:pPr>
            <w:r/>
            <w:r>
              <w:rPr>
                <w:rFonts w:ascii="Times New Roman" w:hAnsi="Times New Roman" w:eastAsia="Times New Roman"/>
                <w:sz w:val="18"/>
              </w:rPr>
              <w:t>pCR</w:t>
            </w:r>
          </w:p>
        </w:tc>
        <w:tc>
          <w:tcPr>
            <w:tcW w:type="dxa" w:w="7488"/>
            <w:vAlign w:val="top"/>
          </w:tcPr>
          <w:p>
            <w:pPr>
              <w:pStyle w:val="TableText"/>
            </w:pPr>
            <w:r/>
            <w:r>
              <w:rPr>
                <w:rFonts w:ascii="Times New Roman" w:hAnsi="Times New Roman" w:eastAsia="Times New Roman"/>
                <w:sz w:val="18"/>
              </w:rPr>
              <w:t>Pathological complete response</w:t>
            </w:r>
          </w:p>
        </w:tc>
      </w:tr>
      <w:tr>
        <w:tc>
          <w:tcPr>
            <w:tcW w:type="dxa" w:w="2160"/>
            <w:vAlign w:val="top"/>
          </w:tcPr>
          <w:p>
            <w:pPr>
              <w:pStyle w:val="TableText"/>
            </w:pPr>
            <w:r/>
            <w:r>
              <w:rPr>
                <w:rFonts w:ascii="Times New Roman" w:hAnsi="Times New Roman" w:eastAsia="Times New Roman"/>
                <w:sz w:val="18"/>
              </w:rPr>
              <w:t>PR-AUC</w:t>
            </w:r>
          </w:p>
        </w:tc>
        <w:tc>
          <w:tcPr>
            <w:tcW w:type="dxa" w:w="7488"/>
            <w:vAlign w:val="top"/>
          </w:tcPr>
          <w:p>
            <w:pPr>
              <w:pStyle w:val="TableText"/>
            </w:pPr>
            <w:r/>
            <w:r>
              <w:rPr>
                <w:rFonts w:ascii="Times New Roman" w:hAnsi="Times New Roman" w:eastAsia="Times New Roman"/>
                <w:sz w:val="18"/>
              </w:rPr>
              <w:t>Area under the precision-recall curve</w:t>
            </w:r>
          </w:p>
        </w:tc>
      </w:tr>
      <w:tr>
        <w:tc>
          <w:tcPr>
            <w:tcW w:type="dxa" w:w="2160"/>
            <w:vAlign w:val="top"/>
          </w:tcPr>
          <w:p>
            <w:pPr>
              <w:pStyle w:val="TableText"/>
            </w:pPr>
            <w:r/>
            <w:r>
              <w:rPr>
                <w:rFonts w:ascii="Times New Roman" w:hAnsi="Times New Roman" w:eastAsia="Times New Roman"/>
                <w:sz w:val="18"/>
              </w:rPr>
              <w:t>RD</w:t>
            </w:r>
          </w:p>
        </w:tc>
        <w:tc>
          <w:tcPr>
            <w:tcW w:type="dxa" w:w="7488"/>
            <w:vAlign w:val="top"/>
          </w:tcPr>
          <w:p>
            <w:pPr>
              <w:pStyle w:val="TableText"/>
            </w:pPr>
            <w:r/>
            <w:r>
              <w:rPr>
                <w:rFonts w:ascii="Times New Roman" w:hAnsi="Times New Roman" w:eastAsia="Times New Roman"/>
                <w:sz w:val="18"/>
              </w:rPr>
              <w:t>Residual disease</w:t>
            </w:r>
          </w:p>
        </w:tc>
      </w:tr>
      <w:tr>
        <w:tc>
          <w:tcPr>
            <w:tcW w:type="dxa" w:w="2160"/>
            <w:vAlign w:val="top"/>
          </w:tcPr>
          <w:p>
            <w:pPr>
              <w:pStyle w:val="TableText"/>
            </w:pPr>
            <w:r/>
            <w:r>
              <w:rPr>
                <w:rFonts w:ascii="Times New Roman" w:hAnsi="Times New Roman" w:eastAsia="Times New Roman"/>
                <w:sz w:val="18"/>
              </w:rPr>
              <w:t>RFE</w:t>
            </w:r>
          </w:p>
        </w:tc>
        <w:tc>
          <w:tcPr>
            <w:tcW w:type="dxa" w:w="7488"/>
            <w:vAlign w:val="top"/>
          </w:tcPr>
          <w:p>
            <w:pPr>
              <w:pStyle w:val="TableText"/>
            </w:pPr>
            <w:r/>
            <w:r>
              <w:rPr>
                <w:rFonts w:ascii="Times New Roman" w:hAnsi="Times New Roman" w:eastAsia="Times New Roman"/>
                <w:sz w:val="18"/>
              </w:rPr>
              <w:t>Recursive feature elimination</w:t>
            </w:r>
          </w:p>
        </w:tc>
      </w:tr>
      <w:tr>
        <w:tc>
          <w:tcPr>
            <w:tcW w:type="dxa" w:w="2160"/>
            <w:vAlign w:val="top"/>
          </w:tcPr>
          <w:p>
            <w:pPr>
              <w:pStyle w:val="TableText"/>
            </w:pPr>
            <w:r/>
            <w:r>
              <w:rPr>
                <w:rFonts w:ascii="Times New Roman" w:hAnsi="Times New Roman" w:eastAsia="Times New Roman"/>
                <w:sz w:val="18"/>
              </w:rPr>
              <w:t>SMO</w:t>
            </w:r>
          </w:p>
        </w:tc>
        <w:tc>
          <w:tcPr>
            <w:tcW w:type="dxa" w:w="7488"/>
            <w:vAlign w:val="top"/>
          </w:tcPr>
          <w:p>
            <w:pPr>
              <w:pStyle w:val="TableText"/>
            </w:pPr>
            <w:r/>
            <w:r>
              <w:rPr>
                <w:rFonts w:ascii="Times New Roman" w:hAnsi="Times New Roman" w:eastAsia="Times New Roman"/>
                <w:sz w:val="18"/>
              </w:rPr>
              <w:t>Sequential Minimal Optimization</w:t>
            </w:r>
          </w:p>
        </w:tc>
      </w:tr>
      <w:tr>
        <w:tc>
          <w:tcPr>
            <w:tcW w:type="dxa" w:w="2160"/>
            <w:vAlign w:val="top"/>
          </w:tcPr>
          <w:p>
            <w:pPr>
              <w:pStyle w:val="TableText"/>
            </w:pPr>
            <w:r/>
            <w:r>
              <w:rPr>
                <w:rFonts w:ascii="Times New Roman" w:hAnsi="Times New Roman" w:eastAsia="Times New Roman"/>
                <w:sz w:val="18"/>
              </w:rPr>
              <w:t>SMOTE</w:t>
            </w:r>
          </w:p>
        </w:tc>
        <w:tc>
          <w:tcPr>
            <w:tcW w:type="dxa" w:w="7488"/>
            <w:vAlign w:val="top"/>
          </w:tcPr>
          <w:p>
            <w:pPr>
              <w:pStyle w:val="TableText"/>
            </w:pPr>
            <w:r/>
            <w:r>
              <w:rPr>
                <w:rFonts w:ascii="Times New Roman" w:hAnsi="Times New Roman" w:eastAsia="Times New Roman"/>
                <w:sz w:val="18"/>
              </w:rPr>
              <w:t>Synthetic Minority Over-sampling Technique</w:t>
            </w:r>
          </w:p>
        </w:tc>
      </w:tr>
      <w:tr>
        <w:tc>
          <w:tcPr>
            <w:tcW w:type="dxa" w:w="2160"/>
            <w:vAlign w:val="top"/>
          </w:tcPr>
          <w:p>
            <w:pPr>
              <w:pStyle w:val="TableText"/>
            </w:pPr>
            <w:r/>
            <w:r>
              <w:rPr>
                <w:rFonts w:ascii="Times New Roman" w:hAnsi="Times New Roman" w:eastAsia="Times New Roman"/>
                <w:sz w:val="18"/>
              </w:rPr>
              <w:t>SVM</w:t>
            </w:r>
          </w:p>
        </w:tc>
        <w:tc>
          <w:tcPr>
            <w:tcW w:type="dxa" w:w="7488"/>
            <w:vAlign w:val="top"/>
          </w:tcPr>
          <w:p>
            <w:pPr>
              <w:pStyle w:val="TableText"/>
            </w:pPr>
            <w:r/>
            <w:r>
              <w:rPr>
                <w:rFonts w:ascii="Times New Roman" w:hAnsi="Times New Roman" w:eastAsia="Times New Roman"/>
                <w:sz w:val="18"/>
              </w:rPr>
              <w:t>Support vector machine</w:t>
            </w:r>
          </w:p>
        </w:tc>
      </w:tr>
    </w:tbl>
    <w:p>
      <w:pPr>
        <w:pStyle w:val="Heading1"/>
      </w:pPr>
      <w:r>
        <w:t>Declarations</w:t>
      </w:r>
    </w:p>
    <w:p>
      <w:pPr>
        <w:pStyle w:val="Heading2"/>
      </w:pPr>
      <w:r>
        <w:t>Ethics approval and consent to participate</w:t>
      </w:r>
    </w:p>
    <w:p>
      <w:r>
        <w:t>This study will use publicly available, de-identified transcriptomic datasets. No new human participants will be recruited. Final ethics language should be reviewed according to institutional policy before submission.</w:t>
      </w:r>
    </w:p>
    <w:p>
      <w:pPr>
        <w:pStyle w:val="Heading2"/>
      </w:pPr>
      <w:r>
        <w:t>Consent for publication</w:t>
      </w:r>
    </w:p>
    <w:p>
      <w:r>
        <w:t>Not applicable.</w:t>
      </w:r>
    </w:p>
    <w:p>
      <w:pPr>
        <w:pStyle w:val="Heading2"/>
      </w:pPr>
      <w:r>
        <w:t>Availability of data and materials</w:t>
      </w:r>
    </w:p>
    <w:p>
      <w:r>
        <w:t>All public datasets will be cited by accession number. The final manuscript should include a GitHub repository and an archived Zenodo DOI containing code, fold assignments, random seeds, selected-feature lists, and analysis outputs.</w:t>
      </w:r>
    </w:p>
    <w:p>
      <w:pPr>
        <w:pStyle w:val="Heading2"/>
      </w:pPr>
      <w:r>
        <w:t>Competing interests</w:t>
      </w:r>
    </w:p>
    <w:p>
      <w:r>
        <w:t>To be finalized. If BioTrust or LA BioStart is mentioned, competing-interest language should be reviewed carefully.</w:t>
      </w:r>
    </w:p>
    <w:p>
      <w:pPr>
        <w:pStyle w:val="Heading2"/>
      </w:pPr>
      <w:r>
        <w:t>Funding</w:t>
      </w:r>
    </w:p>
    <w:p>
      <w:r>
        <w:t>To be finalized.</w:t>
      </w:r>
    </w:p>
    <w:p>
      <w:pPr>
        <w:pStyle w:val="Heading2"/>
      </w:pPr>
      <w:r>
        <w:t>Authors’ contributions</w:t>
      </w:r>
    </w:p>
    <w:p>
      <w:r>
        <w:t>To be finalized. Planned roles: Iris will lead study design, leakage-audit framing, analysis, and manuscript drafting; Prof. Wong will contribute SMO/SVM modeling, feature-selection design, and validation rigor; Paul will contribute evidence-audit framing and translational relevance; any UCLA biomedical collaborator will contribute disease and transcriptomic interpretation.</w:t>
      </w:r>
    </w:p>
    <w:p>
      <w:pPr>
        <w:pStyle w:val="Heading2"/>
      </w:pPr>
      <w:r>
        <w:t>Acknowledgements</w:t>
      </w:r>
    </w:p>
    <w:p>
      <w:r>
        <w:t>To be finalized.</w:t>
      </w:r>
    </w:p>
    <w:p>
      <w:pPr>
        <w:pStyle w:val="Heading1"/>
      </w:pPr>
      <w:r>
        <w:t>Planned Figures and Tables</w:t>
      </w:r>
    </w:p>
    <w:tbl>
      <w:tblPr>
        <w:tblStyle w:val="TableGrid"/>
        <w:tblW w:type="auto" w:w="0"/>
        <w:jc w:val="center"/>
        <w:tblLook w:firstColumn="1" w:firstRow="1" w:lastColumn="0" w:lastRow="0" w:noHBand="0" w:noVBand="1" w:val="04A0"/>
      </w:tblPr>
      <w:tblGrid>
        <w:gridCol w:w="3120"/>
        <w:gridCol w:w="3120"/>
        <w:gridCol w:w="3120"/>
      </w:tblGrid>
      <w:tr>
        <w:tc>
          <w:tcPr>
            <w:tcW w:type="dxa" w:w="1440"/>
            <w:vAlign w:val="top"/>
          </w:tcPr>
          <w:p>
            <w:pPr>
              <w:pStyle w:val="TableText"/>
            </w:pPr>
            <w:r/>
            <w:r>
              <w:rPr>
                <w:rFonts w:ascii="Times New Roman" w:hAnsi="Times New Roman" w:eastAsia="Times New Roman"/>
                <w:b/>
                <w:sz w:val="18"/>
              </w:rPr>
              <w:t>Item</w:t>
            </w:r>
          </w:p>
        </w:tc>
        <w:tc>
          <w:tcPr>
            <w:tcW w:type="dxa" w:w="3456"/>
            <w:vAlign w:val="top"/>
          </w:tcPr>
          <w:p>
            <w:pPr>
              <w:pStyle w:val="TableText"/>
            </w:pPr>
            <w:r/>
            <w:r>
              <w:rPr>
                <w:rFonts w:ascii="Times New Roman" w:hAnsi="Times New Roman" w:eastAsia="Times New Roman"/>
                <w:b/>
                <w:sz w:val="18"/>
              </w:rPr>
              <w:t>Working title</w:t>
            </w:r>
          </w:p>
        </w:tc>
        <w:tc>
          <w:tcPr>
            <w:tcW w:type="dxa" w:w="5184"/>
            <w:vAlign w:val="top"/>
          </w:tcPr>
          <w:p>
            <w:pPr>
              <w:pStyle w:val="TableText"/>
            </w:pPr>
            <w:r/>
            <w:r>
              <w:rPr>
                <w:rFonts w:ascii="Times New Roman" w:hAnsi="Times New Roman" w:eastAsia="Times New Roman"/>
                <w:b/>
                <w:sz w:val="18"/>
              </w:rPr>
              <w:t>Purpose</w:t>
            </w:r>
          </w:p>
        </w:tc>
      </w:tr>
      <w:tr>
        <w:tc>
          <w:tcPr>
            <w:tcW w:type="dxa" w:w="1440"/>
            <w:vAlign w:val="top"/>
          </w:tcPr>
          <w:p>
            <w:pPr>
              <w:pStyle w:val="TableText"/>
            </w:pPr>
            <w:r/>
            <w:r>
              <w:rPr>
                <w:rFonts w:ascii="Times New Roman" w:hAnsi="Times New Roman" w:eastAsia="Times New Roman"/>
                <w:sz w:val="18"/>
              </w:rPr>
              <w:t>Figure 1</w:t>
            </w:r>
          </w:p>
        </w:tc>
        <w:tc>
          <w:tcPr>
            <w:tcW w:type="dxa" w:w="3456"/>
            <w:vAlign w:val="top"/>
          </w:tcPr>
          <w:p>
            <w:pPr>
              <w:pStyle w:val="TableText"/>
            </w:pPr>
            <w:r/>
            <w:r>
              <w:rPr>
                <w:rFonts w:ascii="Times New Roman" w:hAnsi="Times New Roman" w:eastAsia="Times New Roman"/>
                <w:sz w:val="18"/>
              </w:rPr>
              <w:t>Naive versus leakage-aware SMO/SVM workflow</w:t>
            </w:r>
          </w:p>
        </w:tc>
        <w:tc>
          <w:tcPr>
            <w:tcW w:type="dxa" w:w="5184"/>
            <w:vAlign w:val="top"/>
          </w:tcPr>
          <w:p>
            <w:pPr>
              <w:pStyle w:val="TableText"/>
            </w:pPr>
            <w:r/>
            <w:r>
              <w:rPr>
                <w:rFonts w:ascii="Times New Roman" w:hAnsi="Times New Roman" w:eastAsia="Times New Roman"/>
                <w:sz w:val="18"/>
              </w:rPr>
              <w:t>Show where leakage enters and how nested validation prevents it.</w:t>
            </w:r>
          </w:p>
        </w:tc>
      </w:tr>
      <w:tr>
        <w:tc>
          <w:tcPr>
            <w:tcW w:type="dxa" w:w="1440"/>
            <w:vAlign w:val="top"/>
          </w:tcPr>
          <w:p>
            <w:pPr>
              <w:pStyle w:val="TableText"/>
            </w:pPr>
            <w:r/>
            <w:r>
              <w:rPr>
                <w:rFonts w:ascii="Times New Roman" w:hAnsi="Times New Roman" w:eastAsia="Times New Roman"/>
                <w:sz w:val="18"/>
              </w:rPr>
              <w:t>Figure 2</w:t>
            </w:r>
          </w:p>
        </w:tc>
        <w:tc>
          <w:tcPr>
            <w:tcW w:type="dxa" w:w="3456"/>
            <w:vAlign w:val="top"/>
          </w:tcPr>
          <w:p>
            <w:pPr>
              <w:pStyle w:val="TableText"/>
            </w:pPr>
            <w:r/>
            <w:r>
              <w:rPr>
                <w:rFonts w:ascii="Times New Roman" w:hAnsi="Times New Roman" w:eastAsia="Times New Roman"/>
                <w:sz w:val="18"/>
              </w:rPr>
              <w:t>Dataset construction and independence map</w:t>
            </w:r>
          </w:p>
        </w:tc>
        <w:tc>
          <w:tcPr>
            <w:tcW w:type="dxa" w:w="5184"/>
            <w:vAlign w:val="top"/>
          </w:tcPr>
          <w:p>
            <w:pPr>
              <w:pStyle w:val="TableText"/>
            </w:pPr>
            <w:r/>
            <w:r>
              <w:rPr>
                <w:rFonts w:ascii="Times New Roman" w:hAnsi="Times New Roman" w:eastAsia="Times New Roman"/>
                <w:sz w:val="18"/>
              </w:rPr>
              <w:t>Document discovery/external cohort separation.</w:t>
            </w:r>
          </w:p>
        </w:tc>
      </w:tr>
      <w:tr>
        <w:tc>
          <w:tcPr>
            <w:tcW w:type="dxa" w:w="1440"/>
            <w:vAlign w:val="top"/>
          </w:tcPr>
          <w:p>
            <w:pPr>
              <w:pStyle w:val="TableText"/>
            </w:pPr>
            <w:r/>
            <w:r>
              <w:rPr>
                <w:rFonts w:ascii="Times New Roman" w:hAnsi="Times New Roman" w:eastAsia="Times New Roman"/>
                <w:sz w:val="18"/>
              </w:rPr>
              <w:t>Figure 3</w:t>
            </w:r>
          </w:p>
        </w:tc>
        <w:tc>
          <w:tcPr>
            <w:tcW w:type="dxa" w:w="3456"/>
            <w:vAlign w:val="top"/>
          </w:tcPr>
          <w:p>
            <w:pPr>
              <w:pStyle w:val="TableText"/>
            </w:pPr>
            <w:r/>
            <w:r>
              <w:rPr>
                <w:rFonts w:ascii="Times New Roman" w:hAnsi="Times New Roman" w:eastAsia="Times New Roman"/>
                <w:sz w:val="18"/>
              </w:rPr>
              <w:t>Leakage inflation under global feature selection</w:t>
            </w:r>
          </w:p>
        </w:tc>
        <w:tc>
          <w:tcPr>
            <w:tcW w:type="dxa" w:w="5184"/>
            <w:vAlign w:val="top"/>
          </w:tcPr>
          <w:p>
            <w:pPr>
              <w:pStyle w:val="TableText"/>
            </w:pPr>
            <w:r/>
            <w:r>
              <w:rPr>
                <w:rFonts w:ascii="Times New Roman" w:hAnsi="Times New Roman" w:eastAsia="Times New Roman"/>
                <w:sz w:val="18"/>
              </w:rPr>
              <w:t>Main performance contrast.</w:t>
            </w:r>
          </w:p>
        </w:tc>
      </w:tr>
      <w:tr>
        <w:tc>
          <w:tcPr>
            <w:tcW w:type="dxa" w:w="1440"/>
            <w:vAlign w:val="top"/>
          </w:tcPr>
          <w:p>
            <w:pPr>
              <w:pStyle w:val="TableText"/>
            </w:pPr>
            <w:r/>
            <w:r>
              <w:rPr>
                <w:rFonts w:ascii="Times New Roman" w:hAnsi="Times New Roman" w:eastAsia="Times New Roman"/>
                <w:sz w:val="18"/>
              </w:rPr>
              <w:t>Figure 4</w:t>
            </w:r>
          </w:p>
        </w:tc>
        <w:tc>
          <w:tcPr>
            <w:tcW w:type="dxa" w:w="3456"/>
            <w:vAlign w:val="top"/>
          </w:tcPr>
          <w:p>
            <w:pPr>
              <w:pStyle w:val="TableText"/>
            </w:pPr>
            <w:r/>
            <w:r>
              <w:rPr>
                <w:rFonts w:ascii="Times New Roman" w:hAnsi="Times New Roman" w:eastAsia="Times New Roman"/>
                <w:sz w:val="18"/>
              </w:rPr>
              <w:t>Feature-stability audit</w:t>
            </w:r>
          </w:p>
        </w:tc>
        <w:tc>
          <w:tcPr>
            <w:tcW w:type="dxa" w:w="5184"/>
            <w:vAlign w:val="top"/>
          </w:tcPr>
          <w:p>
            <w:pPr>
              <w:pStyle w:val="TableText"/>
            </w:pPr>
            <w:r/>
            <w:r>
              <w:rPr>
                <w:rFonts w:ascii="Times New Roman" w:hAnsi="Times New Roman" w:eastAsia="Times New Roman"/>
                <w:sz w:val="18"/>
              </w:rPr>
              <w:t>Nogueira stability, selection frequency, and fold overlap.</w:t>
            </w:r>
          </w:p>
        </w:tc>
      </w:tr>
      <w:tr>
        <w:tc>
          <w:tcPr>
            <w:tcW w:type="dxa" w:w="1440"/>
            <w:vAlign w:val="top"/>
          </w:tcPr>
          <w:p>
            <w:pPr>
              <w:pStyle w:val="TableText"/>
            </w:pPr>
            <w:r/>
            <w:r>
              <w:rPr>
                <w:rFonts w:ascii="Times New Roman" w:hAnsi="Times New Roman" w:eastAsia="Times New Roman"/>
                <w:sz w:val="18"/>
              </w:rPr>
              <w:t>Figure 5</w:t>
            </w:r>
          </w:p>
        </w:tc>
        <w:tc>
          <w:tcPr>
            <w:tcW w:type="dxa" w:w="3456"/>
            <w:vAlign w:val="top"/>
          </w:tcPr>
          <w:p>
            <w:pPr>
              <w:pStyle w:val="TableText"/>
            </w:pPr>
            <w:r/>
            <w:r>
              <w:rPr>
                <w:rFonts w:ascii="Times New Roman" w:hAnsi="Times New Roman" w:eastAsia="Times New Roman"/>
                <w:sz w:val="18"/>
              </w:rPr>
              <w:t>External validation performance</w:t>
            </w:r>
          </w:p>
        </w:tc>
        <w:tc>
          <w:tcPr>
            <w:tcW w:type="dxa" w:w="5184"/>
            <w:vAlign w:val="top"/>
          </w:tcPr>
          <w:p>
            <w:pPr>
              <w:pStyle w:val="TableText"/>
            </w:pPr>
            <w:r/>
            <w:r>
              <w:rPr>
                <w:rFonts w:ascii="Times New Roman" w:hAnsi="Times New Roman" w:eastAsia="Times New Roman"/>
                <w:sz w:val="18"/>
              </w:rPr>
              <w:t>Internal nested CV versus external cohorts.</w:t>
            </w:r>
          </w:p>
        </w:tc>
      </w:tr>
      <w:tr>
        <w:tc>
          <w:tcPr>
            <w:tcW w:type="dxa" w:w="1440"/>
            <w:vAlign w:val="top"/>
          </w:tcPr>
          <w:p>
            <w:pPr>
              <w:pStyle w:val="TableText"/>
            </w:pPr>
            <w:r/>
            <w:r>
              <w:rPr>
                <w:rFonts w:ascii="Times New Roman" w:hAnsi="Times New Roman" w:eastAsia="Times New Roman"/>
                <w:sz w:val="18"/>
              </w:rPr>
              <w:t>Table 1</w:t>
            </w:r>
          </w:p>
        </w:tc>
        <w:tc>
          <w:tcPr>
            <w:tcW w:type="dxa" w:w="3456"/>
            <w:vAlign w:val="top"/>
          </w:tcPr>
          <w:p>
            <w:pPr>
              <w:pStyle w:val="TableText"/>
            </w:pPr>
            <w:r/>
            <w:r>
              <w:rPr>
                <w:rFonts w:ascii="Times New Roman" w:hAnsi="Times New Roman" w:eastAsia="Times New Roman"/>
                <w:sz w:val="18"/>
              </w:rPr>
              <w:t>Public transcriptomic cohorts and endpoint harmonization</w:t>
            </w:r>
          </w:p>
        </w:tc>
        <w:tc>
          <w:tcPr>
            <w:tcW w:type="dxa" w:w="5184"/>
            <w:vAlign w:val="top"/>
          </w:tcPr>
          <w:p>
            <w:pPr>
              <w:pStyle w:val="TableText"/>
            </w:pPr>
            <w:r/>
            <w:r>
              <w:rPr>
                <w:rFonts w:ascii="Times New Roman" w:hAnsi="Times New Roman" w:eastAsia="Times New Roman"/>
                <w:sz w:val="18"/>
              </w:rPr>
              <w:t>Dataset overview and pCR/RD labels.</w:t>
            </w:r>
          </w:p>
        </w:tc>
      </w:tr>
      <w:tr>
        <w:tc>
          <w:tcPr>
            <w:tcW w:type="dxa" w:w="1440"/>
            <w:vAlign w:val="top"/>
          </w:tcPr>
          <w:p>
            <w:pPr>
              <w:pStyle w:val="TableText"/>
            </w:pPr>
            <w:r/>
            <w:r>
              <w:rPr>
                <w:rFonts w:ascii="Times New Roman" w:hAnsi="Times New Roman" w:eastAsia="Times New Roman"/>
                <w:sz w:val="18"/>
              </w:rPr>
              <w:t>Table 2</w:t>
            </w:r>
          </w:p>
        </w:tc>
        <w:tc>
          <w:tcPr>
            <w:tcW w:type="dxa" w:w="3456"/>
            <w:vAlign w:val="top"/>
          </w:tcPr>
          <w:p>
            <w:pPr>
              <w:pStyle w:val="TableText"/>
            </w:pPr>
            <w:r/>
            <w:r>
              <w:rPr>
                <w:rFonts w:ascii="Times New Roman" w:hAnsi="Times New Roman" w:eastAsia="Times New Roman"/>
                <w:sz w:val="18"/>
              </w:rPr>
              <w:t>Pipeline comparison</w:t>
            </w:r>
          </w:p>
        </w:tc>
        <w:tc>
          <w:tcPr>
            <w:tcW w:type="dxa" w:w="5184"/>
            <w:vAlign w:val="top"/>
          </w:tcPr>
          <w:p>
            <w:pPr>
              <w:pStyle w:val="TableText"/>
            </w:pPr>
            <w:r/>
            <w:r>
              <w:rPr>
                <w:rFonts w:ascii="Times New Roman" w:hAnsi="Times New Roman" w:eastAsia="Times New Roman"/>
                <w:sz w:val="18"/>
              </w:rPr>
              <w:t>Naive versus guarded implementation.</w:t>
            </w:r>
          </w:p>
        </w:tc>
      </w:tr>
      <w:tr>
        <w:tc>
          <w:tcPr>
            <w:tcW w:type="dxa" w:w="1440"/>
            <w:vAlign w:val="top"/>
          </w:tcPr>
          <w:p>
            <w:pPr>
              <w:pStyle w:val="TableText"/>
            </w:pPr>
            <w:r/>
            <w:r>
              <w:rPr>
                <w:rFonts w:ascii="Times New Roman" w:hAnsi="Times New Roman" w:eastAsia="Times New Roman"/>
                <w:sz w:val="18"/>
              </w:rPr>
              <w:t>Table 3</w:t>
            </w:r>
          </w:p>
        </w:tc>
        <w:tc>
          <w:tcPr>
            <w:tcW w:type="dxa" w:w="3456"/>
            <w:vAlign w:val="top"/>
          </w:tcPr>
          <w:p>
            <w:pPr>
              <w:pStyle w:val="TableText"/>
            </w:pPr>
            <w:r/>
            <w:r>
              <w:rPr>
                <w:rFonts w:ascii="Times New Roman" w:hAnsi="Times New Roman" w:eastAsia="Times New Roman"/>
                <w:sz w:val="18"/>
              </w:rPr>
              <w:t>Feature-selection methods and tuning grid</w:t>
            </w:r>
          </w:p>
        </w:tc>
        <w:tc>
          <w:tcPr>
            <w:tcW w:type="dxa" w:w="5184"/>
            <w:vAlign w:val="top"/>
          </w:tcPr>
          <w:p>
            <w:pPr>
              <w:pStyle w:val="TableText"/>
            </w:pPr>
            <w:r/>
            <w:r>
              <w:rPr>
                <w:rFonts w:ascii="Times New Roman" w:hAnsi="Times New Roman" w:eastAsia="Times New Roman"/>
                <w:sz w:val="18"/>
              </w:rPr>
              <w:t>Modeling details and parameter spaces.</w:t>
            </w:r>
          </w:p>
        </w:tc>
      </w:tr>
      <w:tr>
        <w:tc>
          <w:tcPr>
            <w:tcW w:type="dxa" w:w="1440"/>
            <w:vAlign w:val="top"/>
          </w:tcPr>
          <w:p>
            <w:pPr>
              <w:pStyle w:val="TableText"/>
            </w:pPr>
            <w:r/>
            <w:r>
              <w:rPr>
                <w:rFonts w:ascii="Times New Roman" w:hAnsi="Times New Roman" w:eastAsia="Times New Roman"/>
                <w:sz w:val="18"/>
              </w:rPr>
              <w:t>Table 4</w:t>
            </w:r>
          </w:p>
        </w:tc>
        <w:tc>
          <w:tcPr>
            <w:tcW w:type="dxa" w:w="3456"/>
            <w:vAlign w:val="top"/>
          </w:tcPr>
          <w:p>
            <w:pPr>
              <w:pStyle w:val="TableText"/>
            </w:pPr>
            <w:r/>
            <w:r>
              <w:rPr>
                <w:rFonts w:ascii="Times New Roman" w:hAnsi="Times New Roman" w:eastAsia="Times New Roman"/>
                <w:sz w:val="18"/>
              </w:rPr>
              <w:t>Performance comparison</w:t>
            </w:r>
          </w:p>
        </w:tc>
        <w:tc>
          <w:tcPr>
            <w:tcW w:type="dxa" w:w="5184"/>
            <w:vAlign w:val="top"/>
          </w:tcPr>
          <w:p>
            <w:pPr>
              <w:pStyle w:val="TableText"/>
            </w:pPr>
            <w:r/>
            <w:r>
              <w:rPr>
                <w:rFonts w:ascii="Times New Roman" w:hAnsi="Times New Roman" w:eastAsia="Times New Roman"/>
                <w:sz w:val="18"/>
              </w:rPr>
              <w:t>AUROC, PR-AUC, balanced accuracy, MCC, sensitivity, specificity.</w:t>
            </w:r>
          </w:p>
        </w:tc>
      </w:tr>
      <w:tr>
        <w:tc>
          <w:tcPr>
            <w:tcW w:type="dxa" w:w="1440"/>
            <w:vAlign w:val="top"/>
          </w:tcPr>
          <w:p>
            <w:pPr>
              <w:pStyle w:val="TableText"/>
            </w:pPr>
            <w:r/>
            <w:r>
              <w:rPr>
                <w:rFonts w:ascii="Times New Roman" w:hAnsi="Times New Roman" w:eastAsia="Times New Roman"/>
                <w:sz w:val="18"/>
              </w:rPr>
              <w:t>Table 5</w:t>
            </w:r>
          </w:p>
        </w:tc>
        <w:tc>
          <w:tcPr>
            <w:tcW w:type="dxa" w:w="3456"/>
            <w:vAlign w:val="top"/>
          </w:tcPr>
          <w:p>
            <w:pPr>
              <w:pStyle w:val="TableText"/>
            </w:pPr>
            <w:r/>
            <w:r>
              <w:rPr>
                <w:rFonts w:ascii="Times New Roman" w:hAnsi="Times New Roman" w:eastAsia="Times New Roman"/>
                <w:sz w:val="18"/>
              </w:rPr>
              <w:t>Reproducible Omics Evidence Audit</w:t>
            </w:r>
          </w:p>
        </w:tc>
        <w:tc>
          <w:tcPr>
            <w:tcW w:type="dxa" w:w="5184"/>
            <w:vAlign w:val="top"/>
          </w:tcPr>
          <w:p>
            <w:pPr>
              <w:pStyle w:val="TableText"/>
            </w:pPr>
            <w:r/>
            <w:r>
              <w:rPr>
                <w:rFonts w:ascii="Times New Roman" w:hAnsi="Times New Roman" w:eastAsia="Times New Roman"/>
                <w:sz w:val="18"/>
              </w:rPr>
              <w:t>Integrated reporting output.</w:t>
            </w:r>
          </w:p>
        </w:tc>
      </w:tr>
    </w:tbl>
    <w:p>
      <w:r>
        <w:br w:type="page"/>
      </w:r>
    </w:p>
    <w:p>
      <w:pPr>
        <w:pStyle w:val="Heading1"/>
      </w:pPr>
      <w:r>
        <w:t>References</w:t>
      </w:r>
    </w:p>
    <w:p>
      <w:pPr>
        <w:pStyle w:val="APAReference"/>
      </w:pPr>
      <w:r>
        <w:t xml:space="preserve">Ambroise, C., &amp; McLachlan, G. J. (2002). Selection bias in gene extraction on the basis of microarray gene-expression data. </w:t>
      </w:r>
      <w:r>
        <w:rPr>
          <w:i/>
        </w:rPr>
        <w:t>Proceedings of the National Academy of Sciences</w:t>
      </w:r>
      <w:r>
        <w:t xml:space="preserve">, </w:t>
      </w:r>
      <w:r>
        <w:rPr>
          <w:i/>
        </w:rPr>
        <w:t>99</w:t>
      </w:r>
      <w:r>
        <w:t>(10)</w:t>
      </w:r>
      <w:r>
        <w:t>, 6562–6566</w:t>
      </w:r>
      <w:r>
        <w:t xml:space="preserve">. </w:t>
      </w:r>
      <w:r>
        <w:t>https://doi.org/10.1073/pnas.102102699</w:t>
      </w:r>
    </w:p>
    <w:p>
      <w:pPr>
        <w:pStyle w:val="APAReference"/>
      </w:pPr>
      <w:r>
        <w:t xml:space="preserve">Berrar, D., &amp; Flach, P. (2012). Caveats and pitfalls of ROC analysis in clinical microarray research (and how to avoid them). </w:t>
      </w:r>
      <w:r>
        <w:rPr>
          <w:i/>
        </w:rPr>
        <w:t>Briefings in Bioinformatics</w:t>
      </w:r>
      <w:r>
        <w:t xml:space="preserve">, </w:t>
      </w:r>
      <w:r>
        <w:rPr>
          <w:i/>
        </w:rPr>
        <w:t>13</w:t>
      </w:r>
      <w:r>
        <w:t>(1)</w:t>
      </w:r>
      <w:r>
        <w:t>, 83–97</w:t>
      </w:r>
      <w:r>
        <w:t xml:space="preserve">. </w:t>
      </w:r>
      <w:r>
        <w:t>https://doi.org/10.1093/bib/bbr008</w:t>
      </w:r>
    </w:p>
    <w:p>
      <w:pPr>
        <w:pStyle w:val="APAReference"/>
      </w:pPr>
      <w:r>
        <w:t xml:space="preserve">Blagus, R., &amp; Lusa, L. (2013). SMOTE for high-dimensional class-imbalanced data. </w:t>
      </w:r>
      <w:r>
        <w:rPr>
          <w:i/>
        </w:rPr>
        <w:t>BMC Bioinformatics</w:t>
      </w:r>
      <w:r>
        <w:t xml:space="preserve">, </w:t>
      </w:r>
      <w:r>
        <w:rPr>
          <w:i/>
        </w:rPr>
        <w:t>14</w:t>
      </w:r>
      <w:r>
        <w:t xml:space="preserve">. </w:t>
      </w:r>
      <w:r>
        <w:t xml:space="preserve">Article 106. </w:t>
      </w:r>
      <w:r>
        <w:t>https://doi.org/10.1186/1471-2105-14-106</w:t>
      </w:r>
    </w:p>
    <w:p>
      <w:pPr>
        <w:pStyle w:val="APAReference"/>
      </w:pPr>
      <w:r>
        <w:t xml:space="preserve">Cawley, G. C., &amp; Talbot, N. L. C. (2010). On over-fitting in model selection and subsequent selection bias in performance evaluation. </w:t>
      </w:r>
      <w:r>
        <w:rPr>
          <w:i/>
        </w:rPr>
        <w:t>Journal of Machine Learning Research</w:t>
      </w:r>
      <w:r>
        <w:t xml:space="preserve">, </w:t>
      </w:r>
      <w:r>
        <w:rPr>
          <w:i/>
        </w:rPr>
        <w:t>11</w:t>
      </w:r>
      <w:r>
        <w:t>, 2079–2107</w:t>
      </w:r>
      <w:r>
        <w:t xml:space="preserve">. </w:t>
      </w:r>
      <w:r>
        <w:t xml:space="preserve">https://jmlr.org/papers/v11/cawley10a.html </w:t>
      </w:r>
    </w:p>
    <w:p>
      <w:pPr>
        <w:pStyle w:val="APAReference"/>
      </w:pPr>
      <w:r>
        <w:t xml:space="preserve">Chawla, N. V., Bowyer, K. W., Hall, L. O., &amp; Kegelmeyer, W. P. (2002). SMOTE: Synthetic minority over-sampling technique. </w:t>
      </w:r>
      <w:r>
        <w:rPr>
          <w:i/>
        </w:rPr>
        <w:t>Journal of Artificial Intelligence Research</w:t>
      </w:r>
      <w:r>
        <w:t xml:space="preserve">, </w:t>
      </w:r>
      <w:r>
        <w:rPr>
          <w:i/>
        </w:rPr>
        <w:t>16</w:t>
      </w:r>
      <w:r>
        <w:t>, 321–357</w:t>
      </w:r>
      <w:r>
        <w:t xml:space="preserve">. </w:t>
      </w:r>
      <w:r>
        <w:t>https://doi.org/10.1613/jair.953</w:t>
      </w:r>
    </w:p>
    <w:p>
      <w:pPr>
        <w:pStyle w:val="APAReference"/>
      </w:pPr>
      <w:r>
        <w:t xml:space="preserve">Chicco, D., &amp; Jurman, G. (2020). The advantages of the Matthews correlation coefficient (MCC) over F1 score and accuracy in binary classification evaluation. </w:t>
      </w:r>
      <w:r>
        <w:rPr>
          <w:i/>
        </w:rPr>
        <w:t>BMC Genomics</w:t>
      </w:r>
      <w:r>
        <w:t xml:space="preserve">, </w:t>
      </w:r>
      <w:r>
        <w:rPr>
          <w:i/>
        </w:rPr>
        <w:t>21</w:t>
      </w:r>
      <w:r>
        <w:t xml:space="preserve">. </w:t>
      </w:r>
      <w:r>
        <w:t xml:space="preserve">Article 6. </w:t>
      </w:r>
      <w:r>
        <w:t>https://doi.org/10.1186/s12864-019-6413-7</w:t>
      </w:r>
    </w:p>
    <w:p>
      <w:pPr>
        <w:pStyle w:val="APAReference"/>
      </w:pPr>
      <w:r>
        <w:t xml:space="preserve">Chicco, D., &amp; Jurman, G. (2023). The Matthews correlation coefficient (MCC) should replace the ROC AUC as the standard metric for assessing binary classification. </w:t>
      </w:r>
      <w:r>
        <w:rPr>
          <w:i/>
        </w:rPr>
        <w:t>BioData Mining</w:t>
      </w:r>
      <w:r>
        <w:t xml:space="preserve">, </w:t>
      </w:r>
      <w:r>
        <w:rPr>
          <w:i/>
        </w:rPr>
        <w:t>16</w:t>
      </w:r>
      <w:r>
        <w:t xml:space="preserve">. </w:t>
      </w:r>
      <w:r>
        <w:t xml:space="preserve">Article 4. </w:t>
      </w:r>
      <w:r>
        <w:t>https://doi.org/10.1186/s13040-023-00322-4</w:t>
      </w:r>
    </w:p>
    <w:p>
      <w:pPr>
        <w:pStyle w:val="APAReference"/>
      </w:pPr>
      <w:r>
        <w:t xml:space="preserve">Collins, G. S., Moons, K. G. M., Dhiman, P., Riley, R. D., Beam, A. L., Van Calster, B., Ghassemi, M., Liu, X., Reitsma, J. B., van Smeden, M., Boulesteix, A.-L., Camaradou, J., Celi, L. A., Denaxas, S., Denniston, A. K., Glocker, B., Golub, R. M., Harvey, H., Heinze, G., &amp; members of the TRIPOD+AI initiative (2024). TRIPOD+AI statement: Updated guidance for reporting clinical prediction models that use regression or machine learning methods. </w:t>
      </w:r>
      <w:r>
        <w:rPr>
          <w:i/>
        </w:rPr>
        <w:t>BMJ</w:t>
      </w:r>
      <w:r>
        <w:t xml:space="preserve">, </w:t>
      </w:r>
      <w:r>
        <w:rPr>
          <w:i/>
        </w:rPr>
        <w:t>385</w:t>
      </w:r>
      <w:r>
        <w:t xml:space="preserve">. </w:t>
      </w:r>
      <w:r>
        <w:t xml:space="preserve">Article e078378. </w:t>
      </w:r>
      <w:r>
        <w:t>https://doi.org/10.1136/bmj-2023-078378</w:t>
      </w:r>
    </w:p>
    <w:p>
      <w:pPr>
        <w:pStyle w:val="APAReference"/>
      </w:pPr>
      <w:r>
        <w:t xml:space="preserve">Cortes, C., &amp; Vapnik, V. (1995). Support-vector networks. </w:t>
      </w:r>
      <w:r>
        <w:rPr>
          <w:i/>
        </w:rPr>
        <w:t>Machine Learning</w:t>
      </w:r>
      <w:r>
        <w:t xml:space="preserve">, </w:t>
      </w:r>
      <w:r>
        <w:rPr>
          <w:i/>
        </w:rPr>
        <w:t>20</w:t>
      </w:r>
      <w:r>
        <w:t>, 273–297</w:t>
      </w:r>
      <w:r>
        <w:t xml:space="preserve">. </w:t>
      </w:r>
      <w:r>
        <w:t>https://doi.org/10.1007/BF00994018</w:t>
      </w:r>
    </w:p>
    <w:p>
      <w:pPr>
        <w:pStyle w:val="APAReference"/>
      </w:pPr>
      <w:r>
        <w:t xml:space="preserve">Guyon, I., Weston, J., Barnhill, S., &amp; Vapnik, V. (2002). Gene selection for cancer classification using support vector machines. </w:t>
      </w:r>
      <w:r>
        <w:rPr>
          <w:i/>
        </w:rPr>
        <w:t>Machine Learning</w:t>
      </w:r>
      <w:r>
        <w:t xml:space="preserve">, </w:t>
      </w:r>
      <w:r>
        <w:rPr>
          <w:i/>
        </w:rPr>
        <w:t>46</w:t>
      </w:r>
      <w:r>
        <w:t>, 389–422</w:t>
      </w:r>
      <w:r>
        <w:t xml:space="preserve">. </w:t>
      </w:r>
      <w:r>
        <w:t>https://doi.org/10.1023/A:1012487302797</w:t>
      </w:r>
    </w:p>
    <w:p>
      <w:pPr>
        <w:pStyle w:val="APAReference"/>
      </w:pPr>
      <w:r>
        <w:t xml:space="preserve">Hatzis, C., Pusztai, L., Valero, V., Booser, D. J., Esserman, L., Lluch, A., Vidaurre, T., Holmes, F., Souchon, E., Wang, H., Martin, M., Cotrina, J., Gomez, H., Hubbard, R., Chacón, J. I., Ferrer-Lozano, J., Dyer, R., Buxton, M., Gong, Y., &amp; Symmans, W. F. (2011). A genomic predictor of response and survival following taxane-anthracycline chemotherapy for invasive breast cancer. </w:t>
      </w:r>
      <w:r>
        <w:rPr>
          <w:i/>
        </w:rPr>
        <w:t>JAMA</w:t>
      </w:r>
      <w:r>
        <w:t xml:space="preserve">, </w:t>
      </w:r>
      <w:r>
        <w:rPr>
          <w:i/>
        </w:rPr>
        <w:t>305</w:t>
      </w:r>
      <w:r>
        <w:t>(18)</w:t>
      </w:r>
      <w:r>
        <w:t>, 1873–1881</w:t>
      </w:r>
      <w:r>
        <w:t xml:space="preserve">. </w:t>
      </w:r>
      <w:r>
        <w:t>https://doi.org/10.1001/jama.2011.593</w:t>
      </w:r>
    </w:p>
    <w:p>
      <w:pPr>
        <w:pStyle w:val="APAReference"/>
      </w:pPr>
      <w:r>
        <w:t xml:space="preserve">Haury, A.-C., Gestraud, P., &amp; Vert, J.-P. (2011). The influence of feature selection methods on accuracy, stability and interpretability of molecular signatures. </w:t>
      </w:r>
      <w:r>
        <w:rPr>
          <w:i/>
        </w:rPr>
        <w:t>PLOS ONE</w:t>
      </w:r>
      <w:r>
        <w:t xml:space="preserve">, </w:t>
      </w:r>
      <w:r>
        <w:rPr>
          <w:i/>
        </w:rPr>
        <w:t>6</w:t>
      </w:r>
      <w:r>
        <w:t>(12)</w:t>
      </w:r>
      <w:r>
        <w:t xml:space="preserve">. </w:t>
      </w:r>
      <w:r>
        <w:t xml:space="preserve">Article e28210. </w:t>
      </w:r>
      <w:r>
        <w:t>https://doi.org/10.1371/journal.pone.0028210</w:t>
      </w:r>
    </w:p>
    <w:p>
      <w:pPr>
        <w:pStyle w:val="APAReference"/>
      </w:pPr>
      <w:r>
        <w:t xml:space="preserve">Kapoor, S., &amp; Narayanan, A. (2023). Leakage and the reproducibility crisis in machine-learning-based science. </w:t>
      </w:r>
      <w:r>
        <w:rPr>
          <w:i/>
        </w:rPr>
        <w:t>Patterns</w:t>
      </w:r>
      <w:r>
        <w:t xml:space="preserve">, </w:t>
      </w:r>
      <w:r>
        <w:rPr>
          <w:i/>
        </w:rPr>
        <w:t>4</w:t>
      </w:r>
      <w:r>
        <w:t>(9)</w:t>
      </w:r>
      <w:r>
        <w:t xml:space="preserve">. </w:t>
      </w:r>
      <w:r>
        <w:t xml:space="preserve">Article 100804. </w:t>
      </w:r>
      <w:r>
        <w:t>https://doi.org/10.1016/j.patter.2023.100804</w:t>
      </w:r>
    </w:p>
    <w:p>
      <w:pPr>
        <w:pStyle w:val="APAReference"/>
      </w:pPr>
      <w:r>
        <w:t xml:space="preserve">Lewis, M. J., Spiliopoulou, A., Goldmann, K., Pitzalis, C., McKeigue, P., &amp; Barnes, M. R. (2023). nestedcv: An R package for fast implementation of nested cross-validation with embedded feature selection designed for transcriptomics and high-dimensional data. </w:t>
      </w:r>
      <w:r>
        <w:rPr>
          <w:i/>
        </w:rPr>
        <w:t>Bioinformatics Advances</w:t>
      </w:r>
      <w:r>
        <w:t xml:space="preserve">, </w:t>
      </w:r>
      <w:r>
        <w:rPr>
          <w:i/>
        </w:rPr>
        <w:t>3</w:t>
      </w:r>
      <w:r>
        <w:t>(1)</w:t>
      </w:r>
      <w:r>
        <w:t xml:space="preserve">. </w:t>
      </w:r>
      <w:r>
        <w:t xml:space="preserve">Article vbad048. </w:t>
      </w:r>
      <w:r>
        <w:t>https://doi.org/10.1093/bioadv/vbad048</w:t>
      </w:r>
    </w:p>
    <w:p>
      <w:pPr>
        <w:pStyle w:val="APAReference"/>
      </w:pPr>
      <w:r>
        <w:t xml:space="preserve">Nogueira, S., Sechidis, K., &amp; Brown, G. (2018). On the stability of feature selection algorithms. </w:t>
      </w:r>
      <w:r>
        <w:rPr>
          <w:i/>
        </w:rPr>
        <w:t>Journal of Machine Learning Research</w:t>
      </w:r>
      <w:r>
        <w:t xml:space="preserve">, </w:t>
      </w:r>
      <w:r>
        <w:rPr>
          <w:i/>
        </w:rPr>
        <w:t>18</w:t>
      </w:r>
      <w:r>
        <w:t>(174)</w:t>
      </w:r>
      <w:r>
        <w:t>, 1–54</w:t>
      </w:r>
      <w:r>
        <w:t xml:space="preserve">. </w:t>
      </w:r>
    </w:p>
    <w:p>
      <w:pPr>
        <w:pStyle w:val="APAReference"/>
      </w:pPr>
      <w:r>
        <w:t xml:space="preserve">Platt, J. C. (1999). Fast training of support vector machines using sequential minimal optimization. </w:t>
      </w:r>
      <w:r>
        <w:t xml:space="preserve">In B. Schölkopf, C. J. C. Burges, &amp; A. J. Smola (Eds.), Advances in kernel methods: Support vector learning (pp. 185–208). MIT Press. </w:t>
      </w:r>
    </w:p>
    <w:p>
      <w:pPr>
        <w:pStyle w:val="APAReference"/>
      </w:pPr>
      <w:r>
        <w:t xml:space="preserve">Vabalas, A., Gowen, E., Poliakoff, E., &amp; Casson, A. J. (2019). Machine learning algorithm validation with a limited sample size. </w:t>
      </w:r>
      <w:r>
        <w:rPr>
          <w:i/>
        </w:rPr>
        <w:t>PLOS ONE</w:t>
      </w:r>
      <w:r>
        <w:t xml:space="preserve">, </w:t>
      </w:r>
      <w:r>
        <w:rPr>
          <w:i/>
        </w:rPr>
        <w:t>14</w:t>
      </w:r>
      <w:r>
        <w:t>(11)</w:t>
      </w:r>
      <w:r>
        <w:t xml:space="preserve">. </w:t>
      </w:r>
      <w:r>
        <w:t xml:space="preserve">Article e0224365. </w:t>
      </w:r>
      <w:r>
        <w:t>https://doi.org/10.1371/journal.pone.0224365</w:t>
      </w:r>
    </w:p>
    <w:p>
      <w:pPr>
        <w:pStyle w:val="APAReference"/>
      </w:pPr>
      <w:r>
        <w:t xml:space="preserve">Varma, S., &amp; Simon, R. (2006). Bias in error estimation when using cross-validation for model selection. </w:t>
      </w:r>
      <w:r>
        <w:rPr>
          <w:i/>
        </w:rPr>
        <w:t>BMC Bioinformatics</w:t>
      </w:r>
      <w:r>
        <w:t xml:space="preserve">, </w:t>
      </w:r>
      <w:r>
        <w:rPr>
          <w:i/>
        </w:rPr>
        <w:t>7</w:t>
      </w:r>
      <w:r>
        <w:t xml:space="preserve">. </w:t>
      </w:r>
      <w:r>
        <w:t xml:space="preserve">Article 91. </w:t>
      </w:r>
      <w:r>
        <w:t>https://doi.org/10.1186/1471-2105-7-91</w:t>
      </w:r>
    </w:p>
    <w:p>
      <w:r>
        <w:br w:type="page"/>
      </w:r>
    </w:p>
    <w:p>
      <w:pPr>
        <w:pStyle w:val="Heading1"/>
      </w:pPr>
      <w:r>
        <w:t>Appendix A: Literature Review Search Strategy Imported From Report</w:t>
      </w:r>
    </w:p>
    <w:p>
      <w:r>
        <w:t>Databases searched: PubMed/MEDLINE, Web of Science Core Collection, Scopus, and IEEE Xplore. Date range: primarily 2018–2026, with older foundational sources retained only when they introduced core concepts such as feature-selection bias, nested validation bias, SMOTE, SVM/SMO, or feature-stability metrics.</w:t>
      </w:r>
    </w:p>
    <w:p>
      <w:pPr>
        <w:pStyle w:val="NoIndent"/>
      </w:pPr>
      <w:r>
        <w:t>Search strings used in the literature-review report:</w:t>
      </w:r>
    </w:p>
    <w:p>
      <w:pPr>
        <w:pStyle w:val="NoIndent"/>
        <w:ind w:left="720" w:hanging="360"/>
      </w:pPr>
      <w:r>
        <w:rPr>
          <w:b w:val="0"/>
        </w:rPr>
        <w:t>•</w:t>
        <w:tab/>
      </w:r>
      <w:r>
        <w:t>("data leakage" OR "feature-selection bias" OR "preprocessing leakage" OR "optimism") AND ("nested cross-validation" OR "resampling" OR "model selection") AND ("transcriptomic*" OR "omics" OR "microarray" OR "high-dimensional")</w:t>
      </w:r>
    </w:p>
    <w:p>
      <w:pPr>
        <w:pStyle w:val="NoIndent"/>
        <w:ind w:left="720" w:hanging="360"/>
      </w:pPr>
      <w:r>
        <w:rPr>
          <w:b w:val="0"/>
        </w:rPr>
        <w:t>•</w:t>
        <w:tab/>
      </w:r>
      <w:r>
        <w:t>("Support Vector Machine" OR "SVM" OR "Sequential Minimal Optimization" OR "SMO") AND ("classification" OR "biomarker" OR "gene expression")</w:t>
      </w:r>
    </w:p>
    <w:p>
      <w:pPr>
        <w:pStyle w:val="NoIndent"/>
        <w:ind w:left="720" w:hanging="360"/>
      </w:pPr>
      <w:r>
        <w:rPr>
          <w:b w:val="0"/>
        </w:rPr>
        <w:t>•</w:t>
        <w:tab/>
      </w:r>
      <w:r>
        <w:t>("feature stability" OR "Nogueira" OR "biomarker reproducibility" OR "robustness") AND ("machine learning" OR "feature selection")</w:t>
      </w:r>
    </w:p>
    <w:p>
      <w:pPr>
        <w:pStyle w:val="NoIndent"/>
        <w:ind w:left="720" w:hanging="360"/>
      </w:pPr>
      <w:r>
        <w:rPr>
          <w:b w:val="0"/>
        </w:rPr>
        <w:t>•</w:t>
        <w:tab/>
      </w:r>
      <w:r>
        <w:t>("SMOTE" OR "class imbalance" OR "Matthews correlation coefficient" OR "MCC") AND ("high-dimensional" OR "omics" OR "transcriptomics")</w:t>
      </w:r>
    </w:p>
    <w:p>
      <w:pPr>
        <w:pStyle w:val="NoIndent"/>
        <w:ind w:left="720" w:hanging="360"/>
      </w:pPr>
      <w:r>
        <w:rPr>
          <w:b w:val="0"/>
        </w:rPr>
        <w:t>•</w:t>
        <w:tab/>
      </w:r>
      <w:r>
        <w:t>("breast cancer" AND "neoadjuvant" AND ("pCR" OR "pathological complete response")) AND ("GSE25055" OR "GSE25065" OR "GSE20194" OR "GEO")</w:t>
      </w:r>
    </w:p>
    <w:p>
      <w:pPr>
        <w:pStyle w:val="NoIndent"/>
        <w:ind w:left="720" w:hanging="360"/>
      </w:pPr>
      <w:r>
        <w:rPr>
          <w:b w:val="0"/>
        </w:rPr>
        <w:t>•</w:t>
        <w:tab/>
      </w:r>
      <w:r>
        <w:t>("TRIPOD-AI" OR "TRIPOD+AI" OR "PROBAST-AI" OR "reporting guidelines")</w:t>
      </w:r>
    </w:p>
    <w:p>
      <w:r>
        <w:t>Inclusion criteria: peer-reviewed journal articles or rigorously reviewed foundational works that directly inform data leakage, nested validation, feature selection, class imbalance, SVM/SMO, feature stability, pCR/RD transcriptomic prediction, or reporting standards. Exclusion criteria: preprints, blogs, ResearchGate-only materials, non-peer-reviewed web pages, weakly relevant routine ML applications, and sources with citation details that could not be verified at this stage.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oIndent"/>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ind w:firstLine="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ind w:firstLine="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ind w:firstLine="0"/>
      <w:outlineLvl w:val="2"/>
    </w:pPr>
    <w:rPr>
      <w:rFonts w:asciiTheme="majorHAnsi" w:eastAsiaTheme="majorEastAsia" w:hAnsiTheme="majorHAnsi" w:cstheme="majorBidi" w:ascii="Times New Roman" w:hAnsi="Times New Roman" w:eastAsia="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contextualSpacing/>
      <w:jc w:val="center"/>
    </w:pPr>
    <w:rPr>
      <w:rFonts w:asciiTheme="majorHAnsi" w:eastAsiaTheme="majorEastAsia" w:hAnsiTheme="majorHAnsi" w:cstheme="majorBidi" w:ascii="Times New Roman" w:hAnsi="Times New Roman" w:eastAsia="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Reference">
    <w:name w:val="APA Reference"/>
    <w:pPr>
      <w:spacing w:line="480" w:lineRule="auto" w:after="0"/>
      <w:ind w:hanging="720" w:left="720"/>
    </w:pPr>
    <w:rPr>
      <w:rFonts w:ascii="Times New Roman" w:hAnsi="Times New Roman" w:eastAsia="Times New Roman"/>
      <w:sz w:val="24"/>
    </w:rPr>
  </w:style>
  <w:style w:type="paragraph" w:customStyle="1" w:styleId="TableText">
    <w:name w:val="Table Text"/>
    <w:pPr>
      <w:spacing w:line="240" w:lineRule="auto" w:after="0"/>
      <w:ind w:firstLine="0"/>
    </w:pPr>
    <w:rPr>
      <w:rFonts w:ascii="Times New Roman" w:hAnsi="Times New Roman" w:eastAsia="Times New Roman"/>
      <w:sz w:val="18"/>
    </w:rPr>
  </w:style>
  <w:style w:type="paragraph" w:customStyle="1" w:styleId="TableNote">
    <w:name w:val="Table Note"/>
    <w:pPr>
      <w:spacing w:line="480" w:lineRule="auto" w:after="0"/>
      <w:ind w:firstLine="0"/>
    </w:pPr>
    <w:rPr>
      <w:rFonts w:ascii="Times New Roman" w:hAnsi="Times New Roman" w:eastAsia="Times New Roman"/>
      <w:sz w:val="20"/>
    </w:rPr>
  </w:style>
  <w:style w:type="paragraph" w:customStyle="1" w:styleId="NoIndent">
    <w:name w:val="No Indent"/>
    <w:pPr>
      <w:spacing w:line="480" w:lineRule="auto" w:after="0"/>
      <w:ind w:firstLine="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