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An Audit of Data Leakage and Feature Stability in Transcriptomic Biomarker Classification Using Nested SMO/SVM and External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line="480" w:lineRule="auto"/>
        <w:ind w:firstLine="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In this setting, reported classification performance can reflect contamination of the test fold rather than generalizable biological signal. We use an SMO-trained support vector machine (SMO/SVM) as a transparent, high-dimensional workhorse model to audit the impact of leakage, feature-selection stability, and external cohort transportability. In the GSE25055 discovery cohort, 306 samples with interpretable pCR/RD labels were analyzed (57 pCR, 249 RD). A naive pipeline using global supervised feature selection before cross-validation achieved AUROC 0.7705 and PR-AUC 0.4020, whereas the guarded nested SMO/SVM audit pipeline achieved AUROC 0.7265 and PR-AUC 0.3656. The leaky pipeline inflated threshold-independent discrimination metrics, whereas operating-point metrics varied under class imbalance and should be interpreted cautiously (balanced accuracy 0.5792 vs. 0.5546, MCC 0.2250 vs. 0.2063, and pCR sensitivity 0.2105 vs. 0.1333). Feature-stability analysis across five outer folds showed moderate stability: 222 unique probes were selected, 28 probes appeared in all folds, 102 appeared in only one fold, mean Jaccard overlap was 0.3734, and the Nogueira stability index was 0.5409. External validation on GSE25065 (42 pCR, 140 RD) yielded AUROC 0.6078 and PR-AUC 0.3060. The results support the value of leakage-aware transcriptomic model auditing. Rather than claiming a new algorithm, this study demonstrates that global feature selection inflated apparent discrimination, while nested validation changed interpretation of class-imbalance-sensitive performance. The SMO/SVM classifier, nested cross-validation, and feature-stability metrics are established methods; the contribution is their integration into a single reproducible audit that couples a leakage-gap comparison, fold-level feature-stability profiling, frozen external validation, and structured evidence reporting. The Reproducible Omics Evidence Audit provides a transparent structure for reporting these dimensions without claiming clinical biomarker discovery.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A">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B">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C">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D">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E">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0F">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0">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1">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2">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3">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4">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5">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6">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7">
      <w:pPr>
        <w:rPr/>
      </w:pPr>
      <w:r w:rsidDel="00000000" w:rsidR="00000000" w:rsidRPr="00000000">
        <w:rPr>
          <w:rtl w:val="0"/>
        </w:rPr>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8">
      <w:pPr>
        <w:pStyle w:val="Heading2"/>
        <w:rPr/>
      </w:pPr>
      <w:r w:rsidDel="00000000" w:rsidR="00000000" w:rsidRPr="00000000">
        <w:rPr>
          <w:rtl w:val="0"/>
        </w:rPr>
        <w:t xml:space="preserve">Study objective and contributions</w:t>
      </w:r>
    </w:p>
    <w:p w:rsidR="00000000" w:rsidDel="00000000" w:rsidP="00000000" w:rsidRDefault="00000000" w:rsidRPr="00000000" w14:paraId="00000019">
      <w:pPr>
        <w:rPr/>
      </w:pPr>
      <w:r w:rsidDel="00000000" w:rsidR="00000000" w:rsidRPr="00000000">
        <w:rPr>
          <w:rtl w:val="0"/>
        </w:rPr>
        <w:t>The objective of this manuscript is to apply an established SMO/SVM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 leakage-aware SMO/SVM workflow for public transcriptomic biomarker classification.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0">
      <w:pPr>
        <w:pStyle w:val="Heading1"/>
        <w:rPr/>
      </w:pPr>
      <w:r w:rsidDel="00000000" w:rsidR="00000000" w:rsidRPr="00000000">
        <w:rPr>
          <w:rtl w:val="0"/>
        </w:rPr>
        <w:t xml:space="preserve">Literature Review</w:t>
      </w:r>
    </w:p>
    <w:p w:rsidR="00000000" w:rsidDel="00000000" w:rsidP="00000000" w:rsidRDefault="00000000" w:rsidRPr="00000000" w14:paraId="00000021">
      <w:pPr>
        <w:pStyle w:val="Heading2"/>
        <w:rPr/>
      </w:pPr>
      <w:r w:rsidDel="00000000" w:rsidR="00000000" w:rsidRPr="00000000">
        <w:rPr>
          <w:rtl w:val="0"/>
        </w:rPr>
        <w:t xml:space="preserve">Search and evidence-screening basis</w:t>
      </w:r>
    </w:p>
    <w:p w:rsidR="00000000" w:rsidDel="00000000" w:rsidP="00000000" w:rsidRDefault="00000000" w:rsidRPr="00000000" w14:paraId="00000022">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3">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4">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5">
      <w:pPr>
        <w:rPr/>
      </w:pPr>
      <w:r w:rsidDel="00000000" w:rsidR="00000000" w:rsidRPr="00000000">
        <w:rPr>
          <w:rtl w:val="0"/>
        </w:rP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6">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7">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8">
      <w:pPr>
        <w:rPr/>
      </w:pPr>
      <w:r w:rsidDel="00000000" w:rsidR="00000000" w:rsidRPr="00000000">
        <w:rPr>
          <w:rtl w:val="0"/>
        </w:rPr>
        <w:t>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9">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A">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B">
      <w:pPr>
        <w:rPr/>
      </w:pPr>
      <w:r w:rsidDel="00000000" w:rsidR="00000000" w:rsidRPr="00000000">
        <w:rPr>
          <w:rtl w:val="0"/>
        </w:rPr>
        <w:t>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C">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D">
      <w:pPr>
        <w:rPr/>
      </w:pPr>
      <w:r w:rsidDel="00000000" w:rsidR="00000000" w:rsidRPr="00000000">
        <w:rPr>
          <w:rtl w:val="0"/>
        </w:rPr>
        <w:t>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E">
      <w:pPr>
        <w:rPr/>
      </w:pPr>
      <w:r w:rsidDel="00000000" w:rsidR="00000000" w:rsidRPr="00000000">
        <w:rPr>
          <w:rtl w:val="0"/>
        </w:rP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2F">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0">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1">
      <w:pPr>
        <w:rPr/>
      </w:pPr>
      <w:r w:rsidDel="00000000" w:rsidR="00000000" w:rsidRPr="00000000">
        <w:rPr>
          <w:rtl w:val="0"/>
        </w:rPr>
        <w:t>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2">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3">
      <w:pPr>
        <w:rPr/>
      </w:pPr>
      <w:r w:rsidDel="00000000" w:rsidR="00000000" w:rsidRPr="00000000">
        <w:rPr>
          <w:rtl w:val="0"/>
        </w:rPr>
        <w:t>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4">
      <w:pPr>
        <w:rPr/>
      </w:pPr>
      <w:r w:rsidDel="00000000" w:rsidR="00000000" w:rsidRPr="00000000">
        <w:rPr>
          <w:rtl w:val="0"/>
        </w:rP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5">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6">
      <w:pPr>
        <w:rPr/>
      </w:pPr>
      <w:r w:rsidDel="00000000" w:rsidR="00000000" w:rsidRPr="00000000">
        <w:rPr>
          <w:rtl w:val="0"/>
        </w:rP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7">
      <w:pPr>
        <w:pStyle w:val="Heading2"/>
        <w:rPr/>
      </w:pPr>
      <w:r w:rsidDel="00000000" w:rsidR="00000000" w:rsidRPr="00000000">
        <w:rPr>
          <w:rtl w:val="0"/>
        </w:rPr>
        <w:t xml:space="preserve">Remaining methodological gap</w:t>
      </w:r>
    </w:p>
    <w:p w:rsidR="00000000" w:rsidDel="00000000" w:rsidP="00000000" w:rsidRDefault="00000000" w:rsidRPr="00000000" w14:paraId="00000038">
      <w:pPr>
        <w:rPr/>
      </w:pPr>
      <w:r w:rsidDel="00000000" w:rsidR="00000000" w:rsidRPr="00000000">
        <w:rPr>
          <w:rtl w:val="0"/>
        </w:rPr>
        <w:t>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Literature Matrix</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Core sources</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 and feature-selection bias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Ambroise &amp; McLachlan (2002); Kapoor &amp; Narayanan (2023)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validation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Varma &amp; Simon (2006); Cawley &amp; Talbot (2010); Vabalas et al. (2019); Lewis et al. (2023)</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SVM/SMO and feature selection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Cortes &amp; Vapnik (1995); Platt (1999); Guyon et al. (2002)</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stability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Haury et al. (2011); Nogueira et al. (2018)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 and metrics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Chawla et al. (2002); Blagus &amp; Lusa (2013); Chicco &amp; Jurman (2020, 2023)</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pCR/RD stress test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Hatzis et al. (2011)</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Trustworthy AI reporting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Collins et al. (2024)</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the Reproducible Omics Evidence Audit as transparent reporting infrastructure.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peer-reviewed and foundational sources that directly support the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et al. (2023), nestedcv</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Implements nested CV with embedded feature selection for transcriptomic/high-dimensional data.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Kapoor &amp; Narayanan (2023), leakage taxonomy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Frames leakage as a broader reproducibility failure in ML-based science.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an omics-specific computational benchmark.</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Vabalas et al. (2019), limited-sample validation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bias in validation under limited samples and high dimensions.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focus on transcriptomic SMO/SVM biomarker stability or pCR/RD cohorts.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Breast cancer pCR signature studies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public datasets and biological endpoint context.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pCR/RD as a stress test for methodology, not as a new biomarker claim.</w:t>
            </w:r>
          </w:p>
        </w:tc>
      </w:tr>
      <w:tr>
        <w:tc>
          <w:tcPr>
            <w:tcW w:type="dxa" w:w="1951"/>
          </w:tcPr>
          <w:p>
            <w:pPr>
              <w:spacing w:line="240" w:lineRule="auto" w:after="0" w:before="0"/>
              <w:ind w:firstLine="0" w:left="0"/>
              <w:jc w:val="left"/>
            </w:pPr>
            <w:r>
              <w:rPr>
                <w:rFonts w:ascii="Times New Roman" w:hAnsi="Times New Roman"/>
                <w:b w:val="0"/>
                <w:i w:val="0"/>
                <w:sz w:val="18"/>
              </w:rPr>
              <w:t>OmicSelector (automated omics feature-selection and deep-learning environment)</w:t>
            </w:r>
          </w:p>
        </w:tc>
        <w:tc>
          <w:tcPr>
            <w:tcW w:type="dxa" w:w="2312"/>
          </w:tcPr>
          <w:p>
            <w:pPr>
              <w:spacing w:line="240" w:lineRule="auto" w:after="0" w:before="0"/>
              <w:ind w:firstLine="0" w:left="0"/>
              <w:jc w:val="left"/>
            </w:pPr>
            <w:r>
              <w:rPr>
                <w:rFonts w:ascii="Times New Roman" w:hAnsi="Times New Roman"/>
                <w:b w:val="0"/>
                <w:i w:val="0"/>
                <w:sz w:val="18"/>
              </w:rPr>
              <w:t>Provides leakage-resistant feature selection and modeling with nested cross-validation and stability metrics.</w:t>
            </w:r>
          </w:p>
        </w:tc>
        <w:tc>
          <w:tcPr>
            <w:tcW w:type="dxa" w:w="2589"/>
          </w:tcPr>
          <w:p>
            <w:pPr>
              <w:spacing w:line="240" w:lineRule="auto" w:after="0" w:before="0"/>
              <w:ind w:firstLine="0" w:left="0"/>
              <w:jc w:val="left"/>
            </w:pPr>
            <w:r>
              <w:rPr>
                <w:rFonts w:ascii="Times New Roman" w:hAnsi="Times New Roman"/>
                <w:b w:val="0"/>
                <w:i w:val="0"/>
                <w:sz w:val="18"/>
              </w:rPr>
              <w:t>A general selection/modeling environment rather than a focused leakage-gap audit with external-transportability reporting for one workhorse classifier.</w:t>
            </w:r>
          </w:p>
        </w:tc>
        <w:tc>
          <w:tcPr>
            <w:tcW w:type="dxa" w:w="2724"/>
          </w:tcPr>
          <w:p>
            <w:pPr>
              <w:spacing w:line="240" w:lineRule="auto" w:after="0" w:before="0"/>
              <w:ind w:firstLine="0" w:left="0"/>
              <w:jc w:val="left"/>
            </w:pPr>
            <w:r>
              <w:rPr>
                <w:rFonts w:ascii="Times New Roman" w:hAnsi="Times New Roman"/>
                <w:b w:val="0"/>
                <w:i w:val="0"/>
                <w:sz w:val="18"/>
              </w:rPr>
              <w:t>Uses an established SMO/SVM workhorse to produce an integrated empirical audit (leakage gap + feature stability + external validation + evidence-audit table), complementary to such tools.</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how this study is positioned relative to existing tools.</w:t>
      </w:r>
    </w:p>
    <w:p w:rsidR="00000000" w:rsidDel="00000000" w:rsidP="00000000" w:rsidRDefault="00000000" w:rsidRPr="00000000" w14:paraId="0000006B">
      <w:pPr>
        <w:pStyle w:val="Heading1"/>
        <w:rPr/>
      </w:pPr>
      <w:r w:rsidDel="00000000" w:rsidR="00000000" w:rsidRPr="00000000">
        <w:rPr>
          <w:rtl w:val="0"/>
        </w:rPr>
        <w:t xml:space="preserve">Methods</w:t>
      </w:r>
    </w:p>
    <w:p w:rsidR="00000000" w:rsidDel="00000000" w:rsidP="00000000" w:rsidRDefault="00000000" w:rsidRPr="00000000" w14:paraId="0000006C">
      <w:pPr>
        <w:pStyle w:val="Heading2"/>
        <w:rPr/>
      </w:pPr>
      <w:r w:rsidDel="00000000" w:rsidR="00000000" w:rsidRPr="00000000">
        <w:rPr>
          <w:rtl w:val="0"/>
        </w:rPr>
        <w:t xml:space="preserve">Study design overview</w:t>
      </w:r>
    </w:p>
    <w:p w:rsidR="00000000" w:rsidDel="00000000" w:rsidP="00000000" w:rsidRDefault="00000000" w:rsidRPr="00000000" w14:paraId="0000006D">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w:t>
      </w:r>
    </w:p>
    <w:p w:rsidR="00000000" w:rsidDel="00000000" w:rsidP="00000000" w:rsidRDefault="00000000" w:rsidRPr="00000000" w14:paraId="0000006E">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6F">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4">
      <w:pPr>
        <w:pStyle w:val="Heading2"/>
        <w:rPr/>
      </w:pPr>
      <w:r w:rsidDel="00000000" w:rsidR="00000000" w:rsidRPr="00000000">
        <w:rPr>
          <w:rtl w:val="0"/>
        </w:rPr>
        <w:t xml:space="preserve">Outcome definition</w:t>
      </w:r>
    </w:p>
    <w:p w:rsidR="00000000" w:rsidDel="00000000" w:rsidP="00000000" w:rsidRDefault="00000000" w:rsidRPr="00000000" w14:paraId="00000075">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6">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7">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8">
      <w:pPr>
        <w:pStyle w:val="Heading2"/>
        <w:rPr/>
      </w:pPr>
      <w:r w:rsidDel="00000000" w:rsidR="00000000" w:rsidRPr="00000000">
        <w:rPr>
          <w:rtl w:val="0"/>
        </w:rPr>
        <w:t xml:space="preserve">Pipeline A: naive/leaky baseline</w:t>
      </w:r>
    </w:p>
    <w:p w:rsidR="00000000" w:rsidDel="00000000" w:rsidP="00000000" w:rsidRDefault="00000000" w:rsidRPr="00000000" w14:paraId="00000079">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7A">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7B">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7C">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7D">
      <w:pPr>
        <w:pStyle w:val="Heading2"/>
        <w:rPr/>
      </w:pPr>
      <w:r w:rsidDel="00000000" w:rsidR="00000000" w:rsidRPr="00000000">
        <w:rPr>
          <w:rtl w:val="0"/>
        </w:rPr>
        <w:t xml:space="preserve">SMO/SVM model specification</w:t>
      </w:r>
    </w:p>
    <w:p w:rsidR="00000000" w:rsidDel="00000000" w:rsidP="00000000" w:rsidRDefault="00000000" w:rsidRPr="00000000" w14:paraId="0000007E">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p>
    <w:p w:rsidR="00000000" w:rsidDel="00000000" w:rsidP="00000000" w:rsidRDefault="00000000" w:rsidRPr="00000000" w14:paraId="0000007F">
      <w:pPr>
        <w:pStyle w:val="Heading2"/>
        <w:rPr/>
      </w:pPr>
      <w:r w:rsidDel="00000000" w:rsidR="00000000" w:rsidRPr="00000000">
        <w:rPr>
          <w:rtl w:val="0"/>
        </w:rPr>
        <w:t xml:space="preserve">Feature-selection methods</w:t>
      </w:r>
    </w:p>
    <w:p w:rsidR="00000000" w:rsidDel="00000000" w:rsidP="00000000" w:rsidRDefault="00000000" w:rsidRPr="00000000" w14:paraId="00000080">
      <w:pPr>
        <w:rPr/>
      </w:pPr>
      <w:r w:rsidDel="00000000" w:rsidR="00000000" w:rsidRPr="00000000">
        <w:rPr>
          <w:rtl w:val="0"/>
        </w:rPr>
        <w:t>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1">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2">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rsidR="00000000" w:rsidDel="00000000" w:rsidP="00000000" w:rsidRDefault="00000000" w:rsidRPr="00000000" w14:paraId="00000083">
      <w:pPr>
        <w:pStyle w:val="Heading2"/>
        <w:rPr/>
      </w:pPr>
      <w:r w:rsidDel="00000000" w:rsidR="00000000" w:rsidRPr="00000000">
        <w:rPr>
          <w:rtl w:val="0"/>
        </w:rPr>
        <w:t xml:space="preserve">External validation protocol</w:t>
      </w:r>
    </w:p>
    <w:p w:rsidR="00000000" w:rsidDel="00000000" w:rsidP="00000000" w:rsidRDefault="00000000" w:rsidRPr="00000000" w14:paraId="00000084">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85">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86">
      <w:pPr>
        <w:rPr/>
      </w:pPr>
      <w:r w:rsidDel="00000000" w:rsidR="00000000" w:rsidRPr="00000000">
        <w:rPr>
          <w:rtl w:val="0"/>
        </w:rPr>
        <w:t>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9C">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Results section reports only completed analyses already integrated into the project repository. No new modeling was performed in preparing this manuscript update. 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9E">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analysis used two same-platform breast cancer cohorts profiled on the Affymetrix HG-U133A array (GPL96). GSE25055 served as the discovery cohort and GSE25065 as the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0">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1">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A4">
            <w:pPr>
              <w:spacing w:line="240" w:lineRule="auto"/>
              <w:ind w:firstLine="0"/>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A5">
            <w:pPr>
              <w:spacing w:line="240" w:lineRule="auto"/>
              <w:ind w:firstLine="0"/>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A6">
            <w:pPr>
              <w:spacing w:line="240" w:lineRule="auto"/>
              <w:ind w:firstLine="0"/>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A7">
            <w:pPr>
              <w:spacing w:line="240" w:lineRule="auto"/>
              <w:ind w:firstLine="0"/>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ind w:firstLine="0"/>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A9">
            <w:pPr>
              <w:spacing w:line="240" w:lineRule="auto"/>
              <w:ind w:firstLine="0"/>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AA">
            <w:pPr>
              <w:spacing w:line="240" w:lineRule="auto"/>
              <w:ind w:firstLine="0"/>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AB">
            <w:pPr>
              <w:spacing w:line="240" w:lineRule="auto"/>
              <w:ind w:firstLine="0"/>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AC">
            <w:pPr>
              <w:spacing w:line="240" w:lineRule="auto"/>
              <w:ind w:firstLine="0"/>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AD">
            <w:pPr>
              <w:spacing w:line="240" w:lineRule="auto"/>
              <w:ind w:firstLine="0"/>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AE">
            <w:pPr>
              <w:spacing w:line="240" w:lineRule="auto"/>
              <w:ind w:firstLine="0"/>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AF">
            <w:pPr>
              <w:spacing w:line="240" w:lineRule="auto"/>
              <w:ind w:firstLine="0"/>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0">
            <w:pPr>
              <w:spacing w:line="240" w:lineRule="auto"/>
              <w:ind w:firstLine="0"/>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1">
            <w:pPr>
              <w:spacing w:line="240" w:lineRule="auto"/>
              <w:ind w:firstLine="0"/>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B2">
            <w:pPr>
              <w:spacing w:line="240" w:lineRule="auto"/>
              <w:ind w:firstLine="0"/>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B3">
            <w:pPr>
              <w:spacing w:line="240" w:lineRule="auto"/>
              <w:ind w:firstLine="0"/>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B4">
            <w:pPr>
              <w:spacing w:line="240" w:lineRule="auto"/>
              <w:ind w:firstLine="0"/>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B5">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6">
            <w:pPr>
              <w:spacing w:line="240" w:lineRule="auto"/>
              <w:ind w:firstLine="0"/>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B7">
            <w:pPr>
              <w:spacing w:line="240" w:lineRule="auto"/>
              <w:ind w:firstLine="0"/>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B8">
            <w:pPr>
              <w:spacing w:line="240" w:lineRule="auto"/>
              <w:ind w:firstLine="0"/>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B9">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A">
            <w:pPr>
              <w:spacing w:line="240" w:lineRule="auto"/>
              <w:ind w:firstLine="0"/>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BB">
            <w:pPr>
              <w:spacing w:line="240" w:lineRule="auto"/>
              <w:ind w:firstLine="0"/>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BD">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BF">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0">
      <w:pPr>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C3">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C4">
            <w:pPr>
              <w:rPr/>
            </w:pPr>
            <w:r w:rsidDel="00000000" w:rsidR="00000000" w:rsidRPr="00000000">
              <w:rPr>
                <w:b w:val="1"/>
                <w:bCs w:val="1"/>
                <w:sz w:val="15"/>
                <w:szCs w:val="15"/>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C5">
            <w:pPr>
              <w:rPr/>
            </w:pPr>
            <w:r w:rsidDel="00000000" w:rsidR="00000000" w:rsidRPr="00000000">
              <w:rPr>
                <w:b w:val="1"/>
                <w:bCs w:val="1"/>
                <w:sz w:val="15"/>
                <w:szCs w:val="15"/>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C6">
            <w:pPr>
              <w:rPr/>
            </w:pPr>
            <w:r w:rsidDel="00000000" w:rsidR="00000000" w:rsidRPr="00000000">
              <w:rPr>
                <w:b w:val="1"/>
                <w:bCs w:val="1"/>
                <w:sz w:val="15"/>
                <w:szCs w:val="15"/>
                <w:rtl w:val="0"/>
              </w:rPr>
              <w:t xml:space="preserve">Leaky - guarded gap</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5"/>
                <w:szCs w:val="15"/>
                <w:rtl w:val="0"/>
              </w:rPr>
              <w:t xml:space="preserve">0.7705</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5"/>
                <w:szCs w:val="15"/>
                <w:rtl w:val="0"/>
              </w:rPr>
              <w:t xml:space="preserve">+0.0440</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5"/>
                <w:szCs w:val="15"/>
                <w:rtl w:val="0"/>
              </w:rPr>
              <w:t xml:space="preserve">0.4020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5"/>
                <w:szCs w:val="15"/>
                <w:rtl w:val="0"/>
              </w:rPr>
              <w:t xml:space="preserve">+0.0363</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5"/>
                <w:szCs w:val="15"/>
                <w:rtl w:val="0"/>
              </w:rPr>
              <w:t xml:space="preserve">0.5546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5"/>
                <w:szCs w:val="15"/>
                <w:rtl w:val="0"/>
              </w:rPr>
              <w:t xml:space="preserve">-0.0246</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5"/>
                <w:szCs w:val="15"/>
                <w:rtl w:val="0"/>
              </w:rPr>
              <w:t xml:space="preserve">0.2063</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5"/>
                <w:szCs w:val="15"/>
                <w:rtl w:val="0"/>
              </w:rPr>
              <w:t xml:space="preserve">-0.0187</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5"/>
                <w:szCs w:val="15"/>
                <w:rtl w:val="0"/>
              </w:rPr>
              <w:t xml:space="preserve">0.1333</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5"/>
                <w:szCs w:val="15"/>
                <w:rtl w:val="0"/>
              </w:rPr>
              <w:t xml:space="preserve">-0.0772</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5"/>
                <w:szCs w:val="15"/>
                <w:rtl w:val="0"/>
              </w:rPr>
              <w:t xml:space="preserve">0.9759</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5"/>
                <w:szCs w:val="15"/>
                <w:rtl w:val="0"/>
              </w:rPr>
              <w:t xml:space="preserve">+0.0281</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Positive leakage gaps for AUROC and PR-AUC indicate higher apparent discrimination under the intentionally leaky global feature-selection workflow. MCC = Matthews correlation coefficient.</w:t>
      </w:r>
    </w:p>
    <w:p w:rsidR="00000000" w:rsidDel="00000000" w:rsidP="00000000" w:rsidRDefault="00000000" w:rsidRPr="00000000" w14:paraId="000000E0">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0E2">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0E5">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E6">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0E7">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5"/>
                <w:szCs w:val="15"/>
                <w:rtl w:val="0"/>
              </w:rPr>
              <w:t xml:space="preserve">Outer folds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5"/>
                <w:szCs w:val="15"/>
                <w:rtl w:val="0"/>
              </w:rPr>
              <w:t xml:space="preserve">Pilot-scale stability estimate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5"/>
                <w:szCs w:val="15"/>
                <w:rtl w:val="0"/>
              </w:rPr>
              <w:t xml:space="preserve">Features selected per fold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5"/>
                <w:szCs w:val="15"/>
                <w:rtl w:val="0"/>
              </w:rPr>
              <w:t xml:space="preserve">100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5"/>
                <w:szCs w:val="15"/>
                <w:rtl w:val="0"/>
              </w:rPr>
              <w:t xml:space="preserve">Fixed top-K feature-selection setting</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5"/>
                <w:szCs w:val="15"/>
                <w:rtl w:val="0"/>
              </w:rPr>
              <w:t xml:space="preserve">Feature universe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5"/>
                <w:szCs w:val="15"/>
                <w:rtl w:val="0"/>
              </w:rPr>
              <w:t xml:space="preserve">22,283</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5"/>
                <w:szCs w:val="15"/>
                <w:rtl w:val="0"/>
              </w:rPr>
              <w:t xml:space="preserve">Probe-level GPL96 feature space</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5"/>
                <w:szCs w:val="15"/>
                <w:rtl w:val="0"/>
              </w:rPr>
              <w:t xml:space="preserve">Total unique selected features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5"/>
                <w:szCs w:val="15"/>
                <w:rtl w:val="0"/>
              </w:rPr>
              <w:t xml:space="preserve">222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5"/>
                <w:szCs w:val="15"/>
                <w:rtl w:val="0"/>
              </w:rPr>
              <w:t xml:space="preserve">More features selected across folds than in any single model</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15"/>
                <w:szCs w:val="15"/>
                <w:rtl w:val="0"/>
              </w:rPr>
              <w:t xml:space="preserve">Selected in all 5 folds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5"/>
                <w:szCs w:val="15"/>
                <w:rtl w:val="0"/>
              </w:rPr>
              <w:t xml:space="preserve">28</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5"/>
                <w:szCs w:val="15"/>
                <w:rtl w:val="0"/>
              </w:rPr>
              <w:t xml:space="preserve">Stable feature core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5"/>
                <w:szCs w:val="15"/>
                <w:rtl w:val="0"/>
              </w:rPr>
              <w:t xml:space="preserve">Selected in only 1 fold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5"/>
                <w:szCs w:val="15"/>
                <w:rtl w:val="0"/>
              </w:rPr>
              <w:t xml:space="preserve">102</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5"/>
                <w:szCs w:val="15"/>
                <w:rtl w:val="0"/>
              </w:rPr>
              <w:t xml:space="preserve">Large unstable tail</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15"/>
                <w:szCs w:val="15"/>
                <w:rtl w:val="0"/>
              </w:rPr>
              <w:t xml:space="preserve">Mean Jaccard overlap</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5"/>
                <w:szCs w:val="15"/>
                <w:rtl w:val="0"/>
              </w:rPr>
              <w:t xml:space="preserve">0.3734</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5"/>
                <w:szCs w:val="15"/>
                <w:rtl w:val="0"/>
              </w:rPr>
              <w:t xml:space="preserve">Median Jaccard overlap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5"/>
                <w:szCs w:val="15"/>
                <w:rtl w:val="0"/>
              </w:rPr>
              <w:t xml:space="preserve">0.3699</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5"/>
                <w:szCs w:val="15"/>
                <w:rtl w:val="0"/>
              </w:rPr>
              <w:t xml:space="preserve">Nogueira stability index</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5"/>
                <w:szCs w:val="15"/>
                <w:rtl w:val="0"/>
              </w:rPr>
              <w:t xml:space="preserve">Moderate stability</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04">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06">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09">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0B">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26">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28">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2B">
            <w:pPr>
              <w:rPr/>
            </w:pPr>
            <w:r w:rsidDel="00000000" w:rsidR="00000000" w:rsidRPr="00000000">
              <w:rPr>
                <w:b w:val="1"/>
                <w:bCs w:val="1"/>
                <w:sz w:val="15"/>
                <w:szCs w:val="15"/>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2C">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2D">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12E">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5"/>
                <w:szCs w:val="15"/>
                <w:rtl w:val="0"/>
              </w:rPr>
              <w:t xml:space="preserve">Discovery usable samples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5"/>
                <w:szCs w:val="15"/>
                <w:rtl w:val="0"/>
              </w:rPr>
              <w:t xml:space="preserve">306 (57 pCR, 249 RD)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5"/>
                <w:szCs w:val="15"/>
                <w:rtl w:val="0"/>
              </w:rPr>
              <w:t xml:space="preserve">Discovery cohort is labeled and same-platform.</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5"/>
                <w:szCs w:val="15"/>
                <w:rtl w:val="0"/>
              </w:rPr>
              <w:t xml:space="preserve">External usable samples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5"/>
                <w:szCs w:val="15"/>
                <w:rtl w:val="0"/>
              </w:rPr>
              <w:t xml:space="preserve">182 (42 pCR, 140 RD)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5"/>
                <w:szCs w:val="15"/>
                <w:rtl w:val="0"/>
              </w:rPr>
              <w:t xml:space="preserve">External validation is same-platform and non-overlapping.</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5"/>
                <w:szCs w:val="15"/>
                <w:rtl w:val="0"/>
              </w:rPr>
              <w:t xml:space="preserve">AUROC gap (leaky - guarded)</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5"/>
                <w:szCs w:val="15"/>
                <w:rtl w:val="0"/>
              </w:rPr>
              <w:t xml:space="preserve">+0.0440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5"/>
                <w:szCs w:val="15"/>
                <w:rtl w:val="0"/>
              </w:rPr>
              <w:t xml:space="preserve">Global feature selection inflates apparent discrimination.</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5"/>
                <w:szCs w:val="15"/>
                <w:rtl w:val="0"/>
              </w:rPr>
              <w:t xml:space="preserve">PR-AUC gap (leaky - guarded)</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5"/>
                <w:szCs w:val="15"/>
                <w:rtl w:val="0"/>
              </w:rPr>
              <w:t xml:space="preserve">+0.0363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5"/>
                <w:szCs w:val="15"/>
                <w:rtl w:val="0"/>
              </w:rPr>
              <w:t xml:space="preserve">Leakage also inflates minority-class ranking performance.</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5"/>
                <w:szCs w:val="15"/>
                <w:rtl w:val="0"/>
              </w:rPr>
              <w:t xml:space="preserve">Guarded nested performance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5"/>
                <w:szCs w:val="15"/>
                <w:rtl w:val="0"/>
              </w:rPr>
              <w:t xml:space="preserve">Balanced accuracy / MCC</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5"/>
                <w:szCs w:val="15"/>
                <w:rtl w:val="0"/>
              </w:rPr>
              <w:t xml:space="preserve">0.5792 / 0.2250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5"/>
                <w:szCs w:val="15"/>
                <w:rtl w:val="0"/>
              </w:rPr>
              <w:t xml:space="preserve">Nested validation improves imbalance-aware operating metrics.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5"/>
                <w:szCs w:val="15"/>
                <w:rtl w:val="0"/>
              </w:rPr>
              <w:t xml:space="preserve">Feature stability</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5"/>
                <w:szCs w:val="15"/>
                <w:rtl w:val="0"/>
              </w:rPr>
              <w:t xml:space="preserve">Nogueira index</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5"/>
                <w:szCs w:val="15"/>
                <w:rtl w:val="0"/>
              </w:rPr>
              <w:t xml:space="preserve">Moderate stability with stable core and unstable tail.</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5"/>
                <w:szCs w:val="15"/>
                <w:rtl w:val="0"/>
              </w:rPr>
              <w:t xml:space="preserve">External validation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5"/>
                <w:szCs w:val="15"/>
                <w:rtl w:val="0"/>
              </w:rPr>
              <w:t xml:space="preserve">GSE25065 AUROC / PR-AUC</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5"/>
                <w:szCs w:val="15"/>
                <w:rtl w:val="0"/>
              </w:rPr>
              <w:t xml:space="preserve">0.6078 / 0.3060</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5"/>
                <w:szCs w:val="15"/>
                <w:rtl w:val="0"/>
              </w:rPr>
              <w:t xml:space="preserve">External validation shows transportability limits.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5"/>
                <w:szCs w:val="15"/>
                <w:rtl w:val="0"/>
              </w:rPr>
              <w:t xml:space="preserve">Class-imbalance behavior</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5"/>
                <w:szCs w:val="15"/>
                <w:rtl w:val="0"/>
              </w:rPr>
              <w:t xml:space="preserve">External sensitivity / specificity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5"/>
                <w:szCs w:val="15"/>
                <w:rtl w:val="0"/>
              </w:rPr>
              <w:t xml:space="preserve">0.1190 / 0.9571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5"/>
                <w:szCs w:val="15"/>
                <w:rtl w:val="0"/>
              </w:rPr>
              <w:t xml:space="preserve">High specificity but low pCR sensitivity.</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5"/>
                <w:szCs w:val="15"/>
                <w:rtl w:val="0"/>
              </w:rPr>
              <w:t xml:space="preserve">Reproducibility status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5"/>
                <w:szCs w:val="15"/>
                <w:rtl w:val="0"/>
              </w:rPr>
              <w:t xml:space="preserve">Code/results artifacts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5"/>
                <w:szCs w:val="15"/>
                <w:rtl w:val="0"/>
              </w:rPr>
              <w:t xml:space="preserve">Committed outputs and audit table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5"/>
                <w:szCs w:val="15"/>
                <w:rtl w:val="0"/>
              </w:rPr>
              <w:t xml:space="preserve">Pipeline is reproducible from repository artifacts.</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5"/>
                <w:szCs w:val="15"/>
                <w:rtl w:val="0"/>
              </w:rPr>
              <w:t xml:space="preserve">Limitations/unresolved risks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5"/>
                <w:szCs w:val="15"/>
                <w:rtl w:val="0"/>
              </w:rPr>
              <w:t xml:space="preserve">Unvalidated biomarker status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5"/>
                <w:szCs w:val="15"/>
                <w:rtl w:val="0"/>
              </w:rPr>
              <w:t xml:space="preserve">No clinical biomarker claim</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5"/>
                <w:szCs w:val="15"/>
                <w:rtl w:val="0"/>
              </w:rPr>
              <w:t xml:space="preserve">Findings are methodological and require further validation.</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Note. The evidence audit summarizes the current results.</w:t>
      </w:r>
    </w:p>
    <w:p w:rsidR="00000000" w:rsidDel="00000000" w:rsidP="00000000" w:rsidRDefault="00000000" w:rsidRPr="00000000" w14:paraId="00000158">
      <w:pPr>
        <w:pStyle w:val="Heading1"/>
        <w:rPr/>
      </w:pPr>
      <w:r w:rsidDel="00000000" w:rsidR="00000000" w:rsidRPr="00000000">
        <w:rPr>
          <w:rtl w:val="0"/>
        </w:rPr>
        <w:t xml:space="preserve">Discussion</w:t>
      </w:r>
    </w:p>
    <w:p w:rsidR="00000000" w:rsidDel="00000000" w:rsidP="00000000" w:rsidRDefault="00000000" w:rsidRPr="00000000" w14:paraId="00000159">
      <w:pPr>
        <w:pStyle w:val="Heading2"/>
        <w:rPr/>
      </w:pPr>
      <w:r w:rsidDel="00000000" w:rsidR="00000000" w:rsidRPr="00000000">
        <w:rPr>
          <w:rtl w:val="0"/>
        </w:rPr>
        <w:t xml:space="preserve">Principal findings</w:t>
      </w:r>
    </w:p>
    <w:p w:rsidR="00000000" w:rsidDel="00000000" w:rsidP="00000000" w:rsidRDefault="00000000" w:rsidRPr="00000000" w14:paraId="0000015A">
      <w:pPr>
        <w:rPr/>
      </w:pPr>
      <w:r w:rsidDel="00000000" w:rsidR="00000000" w:rsidRPr="00000000">
        <w:rPr>
          <w:rtl w:val="0"/>
        </w:rPr>
        <w:t xml:space="preserve">The results show that naive global feature selection can inflate apparent SMO/SVM discrimination, producing a measurable internal leakage gap. In GSE25055, the leaky pipeline inflated threshold-independent discrimination metrics (AUROC and PR-AUC), whereas operating-point metrics such as balanced accuracy, MCC, and pCR sensitivity varied under class imbalance and should be interpreted cautiously. Separately, external validation on GSE25065 revealed a transportability drop—a decline in discrimination and sensitivity when moving to an independent cohort. This external performance decrease is a limit of model generalization across heterogeneous datasets, distinct from the optimistic bias induced by internal leakage. These findings underscore that even leakage-aware internal validation must be paired with independent cohort evaluation to assess true transportability before any translational claim is made.</w:t>
      </w:r>
    </w:p>
    <w:p w:rsidR="00000000" w:rsidDel="00000000" w:rsidP="00000000" w:rsidRDefault="00000000" w:rsidRPr="00000000" w14:paraId="0000015B">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5C">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p>
    <w:p w:rsidR="00000000" w:rsidDel="00000000" w:rsidP="00000000" w:rsidRDefault="00000000" w:rsidRPr="00000000" w14:paraId="0000015D">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5E">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p>
    <w:p w:rsidR="00000000" w:rsidDel="00000000" w:rsidP="00000000" w:rsidRDefault="00000000" w:rsidRPr="00000000" w14:paraId="0000015F">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60">
      <w:pPr>
        <w:rPr/>
      </w:pPr>
      <w:r w:rsidDel="00000000" w:rsidR="00000000" w:rsidRPr="00000000">
        <w:rPr>
          <w:rtl w:val="0"/>
        </w:rPr>
        <w:t>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61">
      <w:pPr>
        <w:pStyle w:val="Heading2"/>
        <w:rPr/>
      </w:pPr>
      <w:r w:rsidDel="00000000" w:rsidR="00000000" w:rsidRPr="00000000">
        <w:rPr>
          <w:rtl w:val="0"/>
        </w:rPr>
        <w:t xml:space="preserve">Practical recommendations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6A">
      <w:pPr>
        <w:pStyle w:val="Heading2"/>
        <w:rPr/>
      </w:pPr>
      <w:r w:rsidDel="00000000" w:rsidR="00000000" w:rsidRPr="00000000">
        <w:rPr>
          <w:rtl w:val="0"/>
        </w:rPr>
        <w:t xml:space="preserve">Limitations</w:t>
      </w:r>
    </w:p>
    <w:p w:rsidR="00000000" w:rsidDel="00000000" w:rsidP="00000000" w:rsidRDefault="00000000" w:rsidRPr="00000000" w14:paraId="0000016B">
      <w:pPr>
        <w:rPr/>
      </w:pPr>
      <w:r w:rsidDel="00000000" w:rsidR="00000000" w:rsidRPr="00000000">
        <w:rPr>
          <w:rtl w:val="0"/>
        </w:rPr>
        <w:t xml:space="preserve">The analysis has several limitations. It uses retrospective public datasets and a same-platform external validation cohort from the Hatzis study lineage. Although GSE25055 and GSE25065 are non-overlapping by design, broader cross-cohort generalization remains untested. GSE41998 was not used because its labels and platform require additional safeguards, while GSE20194 and GSE20271 were held because of patient-overlap risk. The analysis used a single primary feature selector and linear SMO/SVM configuration, and pCR sensitivity remained low. No prospective clinical, mechanistic, or wet-lab validation was performed; recurrent probes should be interpreted as stability-ranked candidates for future review, not as clinically validated biomarkers.</w:t>
      </w:r>
    </w:p>
    <w:p w:rsidR="00000000" w:rsidDel="00000000" w:rsidP="00000000" w:rsidRDefault="00000000" w:rsidRPr="00000000" w14:paraId="0000016C">
      <w:pPr>
        <w:pStyle w:val="Heading2"/>
        <w:rPr/>
      </w:pPr>
      <w:r w:rsidDel="00000000" w:rsidR="00000000" w:rsidRPr="00000000">
        <w:rPr>
          <w:rtl w:val="0"/>
        </w:rPr>
        <w:t xml:space="preserve">Future work</w:t>
      </w:r>
    </w:p>
    <w:p w:rsidR="00000000" w:rsidDel="00000000" w:rsidP="00000000" w:rsidRDefault="00000000" w:rsidRPr="00000000" w14:paraId="0000016D">
      <w:pPr>
        <w:rPr/>
      </w:pPr>
      <w:r w:rsidDel="00000000" w:rsidR="00000000" w:rsidRPr="00000000">
        <w:rPr>
          <w:rtl w:val="0"/>
        </w:rPr>
        <w:t>Future work may extend the framework to RNA-seq, multi-omics integration, survival endpoints, other cancer types, and automated evidence-dossier systems for biomarker and therapeutic-target claims.</w:t>
      </w:r>
    </w:p>
    <w:p w:rsidR="00000000" w:rsidDel="00000000" w:rsidP="00000000" w:rsidRDefault="00000000" w:rsidRPr="00000000" w14:paraId="0000016E">
      <w:pPr>
        <w:pStyle w:val="Heading1"/>
        <w:rPr/>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rPr>
          <w:rtl w:val="0"/>
        </w:rPr>
        <w:t>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70">
      <w:pPr>
        <w:pStyle w:val="Heading1"/>
        <w:rPr/>
      </w:pPr>
      <w:r w:rsidDel="00000000" w:rsidR="00000000" w:rsidRPr="00000000">
        <w:rPr>
          <w:rtl w:val="0"/>
        </w:rPr>
        <w:t xml:space="preserve">List of Abbreviations</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Abbreviation</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Psychological Association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AUROC</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 Expression Omnibus</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MCC</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Matthews correlation coefficient</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NCV</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cross-validation</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Pathological complete response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PR-AUC</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precision-recall curve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Residual disease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RFE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Recursive feature elimination</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Sequential Minimal Optimization</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SMOTE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machine</w:t>
            </w:r>
          </w:p>
        </w:tc>
      </w:tr>
    </w:tbl>
    <w:p w:rsidR="00000000" w:rsidDel="00000000" w:rsidP="00000000" w:rsidRDefault="00000000" w:rsidRPr="00000000" w14:paraId="0000018B">
      <w:pPr>
        <w:pStyle w:val="Heading1"/>
        <w:rPr/>
      </w:pPr>
      <w:r w:rsidDel="00000000" w:rsidR="00000000" w:rsidRPr="00000000">
        <w:rPr>
          <w:rtl w:val="0"/>
        </w:rPr>
        <w:t xml:space="preserve">Declarations</w:t>
      </w:r>
    </w:p>
    <w:p w:rsidR="00000000" w:rsidDel="00000000" w:rsidP="00000000" w:rsidRDefault="00000000" w:rsidRPr="00000000" w14:paraId="0000018C">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8D">
      <w:pPr>
        <w:rPr/>
      </w:pPr>
      <w:r w:rsidDel="00000000" w:rsidR="00000000" w:rsidRPr="00000000">
        <w:rPr>
          <w:rtl w:val="0"/>
        </w:rPr>
        <w:t>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18E">
      <w:pPr>
        <w:pStyle w:val="Heading2"/>
        <w:rPr/>
      </w:pPr>
      <w:r w:rsidDel="00000000" w:rsidR="00000000" w:rsidRPr="00000000">
        <w:rPr>
          <w:rtl w:val="0"/>
        </w:rPr>
        <w:t xml:space="preserve">Consent for publication</w:t>
      </w:r>
    </w:p>
    <w:p w:rsidR="00000000" w:rsidDel="00000000" w:rsidP="00000000" w:rsidRDefault="00000000" w:rsidRPr="00000000" w14:paraId="0000018F">
      <w:pPr>
        <w:rPr/>
      </w:pPr>
      <w:r w:rsidDel="00000000" w:rsidR="00000000" w:rsidRPr="00000000">
        <w:rPr>
          <w:rtl w:val="0"/>
        </w:rPr>
        <w:t xml:space="preserve">Not applicable.</w:t>
      </w:r>
    </w:p>
    <w:p w:rsidR="00000000" w:rsidDel="00000000" w:rsidP="00000000" w:rsidRDefault="00000000" w:rsidRPr="00000000" w14:paraId="00000190">
      <w:pPr>
        <w:pStyle w:val="Heading2"/>
        <w:rPr/>
      </w:pPr>
      <w:r w:rsidDel="00000000" w:rsidR="00000000" w:rsidRPr="00000000">
        <w:rPr>
          <w:rtl w:val="0"/>
        </w:rPr>
        <w:t xml:space="preserve">Availability of data and materials</w:t>
      </w:r>
    </w:p>
    <w:p w:rsidR="00000000" w:rsidDel="00000000" w:rsidP="00000000" w:rsidRDefault="00000000" w:rsidRPr="00000000" w14:paraId="00000191">
      <w:pPr>
        <w:rPr/>
      </w:pPr>
      <w:r w:rsidDel="00000000" w:rsidR="00000000" w:rsidRPr="00000000">
        <w:rPr>
          <w:rtl w:val="0"/>
        </w:rPr>
        <w:t>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192">
      <w:pPr>
        <w:pStyle w:val="Heading2"/>
        <w:rPr/>
      </w:pPr>
      <w:r w:rsidDel="00000000" w:rsidR="00000000" w:rsidRPr="00000000">
        <w:rPr>
          <w:rtl w:val="0"/>
        </w:rPr>
        <w:t xml:space="preserve">Competing interests</w:t>
      </w:r>
    </w:p>
    <w:p w:rsidR="00000000" w:rsidDel="00000000" w:rsidP="00000000" w:rsidRDefault="00000000" w:rsidRPr="00000000" w14:paraId="00000193">
      <w:pPr>
        <w:rPr/>
      </w:pPr>
      <w:r w:rsidDel="00000000" w:rsidR="00000000" w:rsidRPr="00000000">
        <w:rPr>
          <w:rtl w:val="0"/>
        </w:rPr>
        <w:t>Competing interests will be declared by all authors prior to submission.</w:t>
      </w:r>
    </w:p>
    <w:p w:rsidR="00000000" w:rsidDel="00000000" w:rsidP="00000000" w:rsidRDefault="00000000" w:rsidRPr="00000000" w14:paraId="00000194">
      <w:pPr>
        <w:pStyle w:val="Heading2"/>
        <w:rPr/>
      </w:pPr>
      <w:r w:rsidDel="00000000" w:rsidR="00000000" w:rsidRPr="00000000">
        <w:rPr>
          <w:rtl w:val="0"/>
        </w:rPr>
        <w:t xml:space="preserve">Funding</w:t>
      </w:r>
    </w:p>
    <w:p w:rsidR="00000000" w:rsidDel="00000000" w:rsidP="00000000" w:rsidRDefault="00000000" w:rsidRPr="00000000" w14:paraId="00000195">
      <w:pPr>
        <w:rPr/>
      </w:pPr>
      <w:r w:rsidDel="00000000" w:rsidR="00000000" w:rsidRPr="00000000">
        <w:rPr>
          <w:rtl w:val="0"/>
        </w:rPr>
        <w:t>Funding sources will be declared prior to submission.</w:t>
      </w:r>
    </w:p>
    <w:p w:rsidR="00000000" w:rsidDel="00000000" w:rsidP="00000000" w:rsidRDefault="00000000" w:rsidRPr="00000000" w14:paraId="00000196">
      <w:pPr>
        <w:pStyle w:val="Heading2"/>
        <w:rPr/>
      </w:pPr>
      <w:r w:rsidDel="00000000" w:rsidR="00000000" w:rsidRPr="00000000">
        <w:rPr>
          <w:rtl w:val="0"/>
        </w:rPr>
        <w:t xml:space="preserve">Authors’ contributions</w:t>
      </w:r>
    </w:p>
    <w:p w:rsidR="00000000" w:rsidDel="00000000" w:rsidP="00000000" w:rsidRDefault="00000000" w:rsidRPr="00000000" w14:paraId="00000197">
      <w:pPr>
        <w:rPr/>
      </w:pPr>
      <w:r w:rsidDel="00000000" w:rsidR="00000000" w:rsidRPr="00000000">
        <w:rPr>
          <w:rtl w:val="0"/>
        </w:rPr>
        <w:t>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198">
      <w:pPr>
        <w:pStyle w:val="Heading2"/>
        <w:rPr/>
      </w:pPr>
      <w:r w:rsidDel="00000000" w:rsidR="00000000" w:rsidRPr="00000000">
        <w:rPr>
          <w:rtl w:val="0"/>
        </w:rPr>
        <w:t xml:space="preserve">Acknowledgements</w:t>
      </w:r>
    </w:p>
    <w:p w:rsidR="00000000" w:rsidDel="00000000" w:rsidP="00000000" w:rsidRDefault="00000000" w:rsidRPr="00000000" w14:paraId="00000199">
      <w:pPr>
        <w:rPr/>
      </w:pPr>
      <w:r w:rsidDel="00000000" w:rsidR="00000000" w:rsidRPr="00000000">
        <w:rPr>
          <w:rtl w:val="0"/>
        </w:rPr>
        <w:t>Acknowledgements will be added prior to submission.</w:t>
      </w:r>
    </w:p>
    <w:p w:rsidR="00000000" w:rsidDel="00000000" w:rsidP="00000000" w:rsidRDefault="00000000" w:rsidRPr="00000000" w14:paraId="0000019A">
      <w:pPr>
        <w:pStyle w:val="Heading1"/>
        <w:rPr/>
      </w:pPr>
      <w:r w:rsidDel="00000000" w:rsidR="00000000" w:rsidRPr="00000000">
        <w:rPr>
          <w:rtl w:val="0"/>
        </w:rPr>
        <w:t xml:space="preserve">References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8xked31O2AgDtLFYbA4QtyWMg==">CgMxLjA4AHIhMXNWSnRiUnR2VWdnQWs3eFFTT25lYXVxZzVqQ1lfd280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