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0"/>
        <w:jc w:val="center"/>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vertAlign w:val="baseline"/>
          <w:rtl w:val="0"/>
        </w:rPr>
        <w:t xml:space="preserve">An Audit of Data Leakage and Feature Stability in Transcriptomic Biomarker Classification Using Nested SMO/SVM and External Validation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Abstract</w:t>
      </w:r>
    </w:p>
    <w:p w:rsidR="00000000" w:rsidDel="00000000" w:rsidP="00000000" w:rsidRDefault="00000000" w:rsidRPr="00000000" w14:paraId="00000005">
      <w:pPr>
        <w:spacing w:line="480" w:lineRule="auto"/>
        <w:ind w:firstLine="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High-dimensional transcriptomic biomarker studies are vulnerable to data leakage when feature selection, preprocessing, imputation, scaling, or class balancing is performed before validation splitting. This risk is acute when the number of measured genes greatly exceeds the number of patient samples. In this setting, reported classification performance can reflect contamination of the test fold rather than generalizable biological signal. We use an SMO-trained support vector machine (SMO/SVM) as a transparent, high-dimensional workhorse model to audit the impact of leakage, feature-selection stability, and external cohort transportability. In the GSE25055 discovery cohort, 306 samples with interpretable pCR/RD labels were analyzed (57 pCR, 249 RD). A naive pipeline using global supervised feature selection before cross-validation achieved AUROC 0.7705 and PR-AUC 0.4020, whereas the guarded nested SMO/SVM audit pipeline achieved AUROC 0.7265 and PR-AUC 0.3656. The leaky pipeline inflated threshold-independent discrimination metrics, whereas operating-point metrics varied under class imbalance and should be interpreted cautiously (balanced accuracy 0.5792 vs. 0.5546, MCC 0.2250 vs. 0.2063, and pCR sensitivity 0.2105 vs. 0.1333). Feature-stability analysis across five outer folds showed moderate stability: 222 unique probes were selected, 28 probes appeared in all folds, 102 appeared in only one fold, mean Jaccard overlap was 0.3734, and the Nogueira stability index was 0.5409. External validation on GSE25065 (42 pCR, 140 RD) yielded AUROC 0.6078 and PR-AUC 0.3060. The results support the value of leakage-aware transcriptomic model auditing. Rather than claiming a new algorithm, this study demonstrates that global feature selection inflated apparent discrimination, while nested validation changed interpretation of class-imbalance-sensitive performance. The Reproducible Omics Evidence Audit provides a transparent structure for reporting these dimensions without claiming clinical biomarker discovery.</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leakage; transcriptomics; biomarker discovery; support vector machine; sequential minimal optimization; nested cross-validation; feature selection; feature stability; pathological complete response; BioData Mining</w:t>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Introduction</w:t>
      </w:r>
    </w:p>
    <w:p w:rsidR="00000000" w:rsidDel="00000000" w:rsidP="00000000" w:rsidRDefault="00000000" w:rsidRPr="00000000" w14:paraId="00000009">
      <w:pPr>
        <w:pStyle w:val="Heading2"/>
        <w:rPr/>
      </w:pPr>
      <w:r w:rsidDel="00000000" w:rsidR="00000000" w:rsidRPr="00000000">
        <w:rPr>
          <w:rtl w:val="0"/>
        </w:rPr>
        <w:t xml:space="preserve">Public transcriptomic biomarker discovery and the reproducibility problem</w:t>
      </w:r>
    </w:p>
    <w:p w:rsidR="00000000" w:rsidDel="00000000" w:rsidP="00000000" w:rsidRDefault="00000000" w:rsidRPr="00000000" w14:paraId="0000000A">
      <w:pPr>
        <w:rPr/>
      </w:pPr>
      <w:r w:rsidDel="00000000" w:rsidR="00000000" w:rsidRPr="00000000">
        <w:rPr>
          <w:rtl w:val="0"/>
        </w:rPr>
        <w:t xml:space="preserve">Public transcriptomic datasets have enabled many machine-learning studies of cancer diagnosis, prognosis, treatment response, and biomarker discovery. These studies are attractive because large repositories such as the Gene Expression Omnibus make historical expression data accessible for new computational analyses. However, transcriptomic prediction usually occurs in a small-sample, high-dimensional setting: thousands to tens of thousands of genes or probes are modeled using tens to hundreds of patient samples. This imbalance between predictors and observations makes overfitting and unstable feature selection central methodological risks rather than minor implementation concerns (Ambroise &amp; McLachlan, 2002; Vabalas et al., 2019).</w:t>
      </w:r>
    </w:p>
    <w:p w:rsidR="00000000" w:rsidDel="00000000" w:rsidP="00000000" w:rsidRDefault="00000000" w:rsidRPr="00000000" w14:paraId="0000000B">
      <w:pPr>
        <w:rPr/>
      </w:pPr>
      <w:r w:rsidDel="00000000" w:rsidR="00000000" w:rsidRPr="00000000">
        <w:rPr>
          <w:rtl w:val="0"/>
        </w:rPr>
        <w:t xml:space="preserve">The problem is particularly serious when a study reports a gene signature as a candidate biomarker. A classifier may show strong internal cross-validation performance while selecting a different gene set each time the training data are perturbed. In that case, the result may be useful as a prediction exercise but weak as a biomarker claim. Prior molecular-signature research has shown that feature-selection method choice can influence not only predictive performance but also stability and interpretability (Haury et al., 2011).</w:t>
      </w:r>
    </w:p>
    <w:p w:rsidR="00000000" w:rsidDel="00000000" w:rsidP="00000000" w:rsidRDefault="00000000" w:rsidRPr="00000000" w14:paraId="0000000C">
      <w:pPr>
        <w:pStyle w:val="Heading2"/>
        <w:rPr/>
      </w:pPr>
      <w:r w:rsidDel="00000000" w:rsidR="00000000" w:rsidRPr="00000000">
        <w:rPr>
          <w:rtl w:val="0"/>
        </w:rPr>
        <w:t xml:space="preserve">Data leakage as a methodological failure in omics machine learning</w:t>
      </w:r>
    </w:p>
    <w:p w:rsidR="00000000" w:rsidDel="00000000" w:rsidP="00000000" w:rsidRDefault="00000000" w:rsidRPr="00000000" w14:paraId="0000000D">
      <w:pPr>
        <w:rPr/>
      </w:pPr>
      <w:r w:rsidDel="00000000" w:rsidR="00000000" w:rsidRPr="00000000">
        <w:rPr>
          <w:rtl w:val="0"/>
        </w:rPr>
        <w:t xml:space="preserve">Data leakage occurs when information that should be unavailable during model training influences the training process. In scientific machine learning, leakage can produce overoptimistic results and can contribute to reproducibility failures (Kapoor &amp; Narayanan, 2023). In transcriptomics, the most important leakage mechanism for this paper is feature-selection leakage: genes are selected using the full dataset before cross-validation, so the eventual test fold has already helped determine the feature space. Ambroise and McLachlan (2002) demonstrated this issue in microarray classification and showed that selection bias can drive cross-validated error estimates toward misleadingly low values.</w:t>
      </w:r>
    </w:p>
    <w:p w:rsidR="00000000" w:rsidDel="00000000" w:rsidP="00000000" w:rsidRDefault="00000000" w:rsidRPr="00000000" w14:paraId="0000000E">
      <w:pPr>
        <w:rPr/>
      </w:pPr>
      <w:r w:rsidDel="00000000" w:rsidR="00000000" w:rsidRPr="00000000">
        <w:rPr>
          <w:rtl w:val="0"/>
        </w:rPr>
        <w:t xml:space="preserve">Feature-selection leakage is not the only risk. Scaling, imputation, unsupervised transformations, batch handling, and class balancing can also contaminate validation if their parameters are estimated from the full dataset before splitting. The practical implication is simple: any operation that learns from the data distribution or outcome labels must be fit inside the appropriate training fold and then applied to the validation fold without recalculation.</w:t>
      </w:r>
    </w:p>
    <w:p w:rsidR="00000000" w:rsidDel="00000000" w:rsidP="00000000" w:rsidRDefault="00000000" w:rsidRPr="00000000" w14:paraId="0000000F">
      <w:pPr>
        <w:pStyle w:val="Heading2"/>
        <w:rPr/>
      </w:pPr>
      <w:r w:rsidDel="00000000" w:rsidR="00000000" w:rsidRPr="00000000">
        <w:rPr>
          <w:rtl w:val="0"/>
        </w:rPr>
        <w:t xml:space="preserve">Why SMO/SVM remains a useful test case</w:t>
      </w:r>
    </w:p>
    <w:p w:rsidR="00000000" w:rsidDel="00000000" w:rsidP="00000000" w:rsidRDefault="00000000" w:rsidRPr="00000000" w14:paraId="00000010">
      <w:pPr>
        <w:rPr/>
      </w:pPr>
      <w:r w:rsidDel="00000000" w:rsidR="00000000" w:rsidRPr="00000000">
        <w:rPr>
          <w:rtl w:val="0"/>
        </w:rPr>
        <w:t xml:space="preserve">Support vector machines remain relevant for high-dimensional transcriptomic classification because their margin-based formulation can work well when the predictor dimension exceeds the sample size. SVM-based gene selection has a long history in cancer classification, including recursive feature elimination for gene-expression data (Guyon et al., 2002). The Sequential Minimal Optimization algorithm makes SVM training computationally feasible by decomposing the quadratic optimization problem into small analytic subproblems (Platt, 1999).</w:t>
      </w:r>
    </w:p>
    <w:p w:rsidR="00000000" w:rsidDel="00000000" w:rsidP="00000000" w:rsidRDefault="00000000" w:rsidRPr="00000000" w14:paraId="00000011">
      <w:pPr>
        <w:rPr/>
      </w:pPr>
      <w:r w:rsidDel="00000000" w:rsidR="00000000" w:rsidRPr="00000000">
        <w:rPr>
          <w:rtl w:val="0"/>
        </w:rPr>
        <w:t xml:space="preserve">SMO/SVM is not treated here as a new algorithm. Instead, it is the central classifier used to audit how validation architecture influences transcriptomic biomarker conclusions. Because SVMs are sensitive to feature scaling, feature filtering, class imbalance, and hyperparameter choices, they are a strong model family for demonstrating how leaky preprocessing can inflate apparent performance.</w:t>
      </w:r>
    </w:p>
    <w:p w:rsidR="00000000" w:rsidDel="00000000" w:rsidP="00000000" w:rsidRDefault="00000000" w:rsidRPr="00000000" w14:paraId="00000012">
      <w:pPr>
        <w:pStyle w:val="Heading2"/>
        <w:rPr/>
      </w:pPr>
      <w:r w:rsidDel="00000000" w:rsidR="00000000" w:rsidRPr="00000000">
        <w:rPr>
          <w:rtl w:val="0"/>
        </w:rPr>
        <w:t xml:space="preserve">Nested cross-validation as the leakage-control architecture</w:t>
      </w:r>
    </w:p>
    <w:p w:rsidR="00000000" w:rsidDel="00000000" w:rsidP="00000000" w:rsidRDefault="00000000" w:rsidRPr="00000000" w14:paraId="00000013">
      <w:pPr>
        <w:rPr/>
      </w:pPr>
      <w:r w:rsidDel="00000000" w:rsidR="00000000" w:rsidRPr="00000000">
        <w:rPr>
          <w:rtl w:val="0"/>
        </w:rPr>
        <w:t xml:space="preserve">When a model includes feature selection or hyperparameter tuning, standard cross-validation is insufficient for unbiased performance estimation. Model-selection procedures can overfit the validation folds used for tuning, which produces optimistic performance estimates (Cawley &amp; Talbot, 2010; Varma &amp; Simon, 2006). Nested cross-validation addresses this by separating model selection from model evaluation. The inner loop performs feature selection and tuning, while the outer loop estimates performance on data never used during model construction.</w:t>
      </w:r>
    </w:p>
    <w:p w:rsidR="00000000" w:rsidDel="00000000" w:rsidP="00000000" w:rsidRDefault="00000000" w:rsidRPr="00000000" w14:paraId="00000014">
      <w:pPr>
        <w:rPr/>
      </w:pPr>
      <w:r w:rsidDel="00000000" w:rsidR="00000000" w:rsidRPr="00000000">
        <w:rPr>
          <w:rtl w:val="0"/>
        </w:rPr>
        <w:t xml:space="preserve">This design is especially important for high-dimensional biomedical data. Vabalas et al. (2019) showed that conventional k-fold validation can produce biased performance estimates under limited sample sizes and high-dimensional settings, and that nested validation or properly separated train/test validation is needed to reduce bias. The nestedcv package provides a practical example of this principle for transcriptomic and high-dimensional biomedical datasets, including embedded feature selection and filtering inside cross-validation loops to avoid information leakage (Lewis et al., 2023).</w:t>
      </w:r>
    </w:p>
    <w:p w:rsidR="00000000" w:rsidDel="00000000" w:rsidP="00000000" w:rsidRDefault="00000000" w:rsidRPr="00000000" w14:paraId="00000015">
      <w:pPr>
        <w:pStyle w:val="Heading2"/>
        <w:rPr/>
      </w:pPr>
      <w:r w:rsidDel="00000000" w:rsidR="00000000" w:rsidRPr="00000000">
        <w:rPr>
          <w:rtl w:val="0"/>
        </w:rPr>
        <w:t xml:space="preserve">Feature stability as a missing layer in biomarker evaluation</w:t>
      </w:r>
    </w:p>
    <w:p w:rsidR="00000000" w:rsidDel="00000000" w:rsidP="00000000" w:rsidRDefault="00000000" w:rsidRPr="00000000" w14:paraId="00000016">
      <w:pPr>
        <w:rPr/>
      </w:pPr>
      <w:r w:rsidDel="00000000" w:rsidR="00000000" w:rsidRPr="00000000">
        <w:rPr>
          <w:rtl w:val="0"/>
        </w:rPr>
        <w:t xml:space="preserve">Predictive performance and biomarker reproducibility are related but distinct. A classifier may achieve an acceptable AUROC or PR-AUC while selecting features that vary substantially across folds, resampling runs, or cohorts. Such instability weakens the biological interpretation of any proposed gene signature. Nogueira et al. (2018) provide a rigorous framework for measuring feature-selection stability and argue that an adequate stability measure should satisfy mathematical properties such as correction for chance and suitability for varying feature-set sizes.</w:t>
      </w:r>
    </w:p>
    <w:p w:rsidR="00000000" w:rsidDel="00000000" w:rsidP="00000000" w:rsidRDefault="00000000" w:rsidRPr="00000000" w14:paraId="00000017">
      <w:pPr>
        <w:rPr/>
      </w:pPr>
      <w:r w:rsidDel="00000000" w:rsidR="00000000" w:rsidRPr="00000000">
        <w:rPr>
          <w:rtl w:val="0"/>
        </w:rPr>
        <w:t>This study treats feature stability as a primary audit dimension, not a secondary supplement. The framework reports Nogueira stability, feature-selection frequencies, and overlap metrics alongside prediction metrics. This design helps distinguish a predictive classifier from a reproducible biomarker signature.</w:t>
      </w:r>
    </w:p>
    <w:p w:rsidR="00000000" w:rsidDel="00000000" w:rsidP="00000000" w:rsidRDefault="00000000" w:rsidRPr="00000000" w14:paraId="00000018">
      <w:pPr>
        <w:pStyle w:val="Heading2"/>
        <w:rPr/>
      </w:pPr>
      <w:r w:rsidDel="00000000" w:rsidR="00000000" w:rsidRPr="00000000">
        <w:rPr>
          <w:rtl w:val="0"/>
        </w:rPr>
        <w:t xml:space="preserve">Study objective and contributions</w:t>
      </w:r>
    </w:p>
    <w:p w:rsidR="00000000" w:rsidDel="00000000" w:rsidP="00000000" w:rsidRDefault="00000000" w:rsidRPr="00000000" w14:paraId="00000019">
      <w:pPr>
        <w:rPr/>
      </w:pPr>
      <w:r w:rsidDel="00000000" w:rsidR="00000000" w:rsidRPr="00000000">
        <w:rPr>
          <w:rtl w:val="0"/>
        </w:rPr>
        <w:t xml:space="preserve">The objective of this manuscript is to apply an established SMO/SVM approach as a transparent tool for auditing leakage and feature-stability in public transcriptomic biomarker classification. The study is not positioned as a new biomarker discovery paper or a new algorithm development. Its contribution is an audit-not-algorithm architecture: quantifying how much naive feature selection inflates SMO/SVM performance and determining whether leakage-aware nested validation changes the interpretation of predictive signal and feature reproducibility.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A leakage-aware SMO/SVM workflow for public transcriptomic biomarker classification.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An empirical comparison between naive global feature selection and guarded nested validation.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A feature-stability audit using fold-level selected-feature sets and the Nogueira stability framework.</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A class-imbalance-sensitive evaluation strategy using PR-AUC, balanced accuracy, and MCC.</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An external-validation protocol that freezes preprocessing, feature selection, thresholds, and model configuration before projection onto independent cohorts.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A Reproducible Omics Evidence Audit table that reports leakage sensitivity, predictive signal, stability, transportability, and reproducibility artifacts together.</w:t>
      </w:r>
    </w:p>
    <w:p w:rsidR="00000000" w:rsidDel="00000000" w:rsidP="00000000" w:rsidRDefault="00000000" w:rsidRPr="00000000" w14:paraId="00000020">
      <w:pPr>
        <w:pStyle w:val="Heading1"/>
        <w:rPr/>
      </w:pPr>
      <w:r w:rsidDel="00000000" w:rsidR="00000000" w:rsidRPr="00000000">
        <w:rPr>
          <w:rtl w:val="0"/>
        </w:rPr>
        <w:t xml:space="preserve">Literature Review</w:t>
      </w:r>
    </w:p>
    <w:p w:rsidR="00000000" w:rsidDel="00000000" w:rsidP="00000000" w:rsidRDefault="00000000" w:rsidRPr="00000000" w14:paraId="00000021">
      <w:pPr>
        <w:pStyle w:val="Heading2"/>
        <w:rPr/>
      </w:pPr>
      <w:r w:rsidDel="00000000" w:rsidR="00000000" w:rsidRPr="00000000">
        <w:rPr>
          <w:rtl w:val="0"/>
        </w:rPr>
        <w:t xml:space="preserve">Search and evidence-screening basis</w:t>
      </w:r>
    </w:p>
    <w:p w:rsidR="00000000" w:rsidDel="00000000" w:rsidP="00000000" w:rsidRDefault="00000000" w:rsidRPr="00000000" w14:paraId="00000022">
      <w:pPr>
        <w:rPr/>
      </w:pPr>
      <w:r w:rsidDel="00000000" w:rsidR="00000000" w:rsidRPr="00000000">
        <w:rPr>
          <w:rtl w:val="0"/>
        </w:rPr>
        <w:t xml:space="preserve">The literature review searched PubMed/MEDLINE, Web of Science, Scopus, and IEEE Xplore for evidence related to data leakage, nested validation, SVM/SMO, feature stability, imbalanced classification, public breast cancer pCR/RD datasets, and trustworthy AI reporting. This manuscript version retains peer-reviewed and foundational sources that directly support the methods. Preprints, blogs, ResearchGate links, publisher marketing pages, and routine one-dataset applied ML papers without methodological contribution were excluded from the reference list.</w:t>
      </w:r>
    </w:p>
    <w:p w:rsidR="00000000" w:rsidDel="00000000" w:rsidP="00000000" w:rsidRDefault="00000000" w:rsidRPr="00000000" w14:paraId="00000023">
      <w:pPr>
        <w:pStyle w:val="Heading2"/>
        <w:rPr/>
      </w:pPr>
      <w:r w:rsidDel="00000000" w:rsidR="00000000" w:rsidRPr="00000000">
        <w:rPr>
          <w:rtl w:val="0"/>
        </w:rPr>
        <w:t xml:space="preserve">Data leakage and feature-selection bias in biomedical machine learning</w:t>
      </w:r>
    </w:p>
    <w:p w:rsidR="00000000" w:rsidDel="00000000" w:rsidP="00000000" w:rsidRDefault="00000000" w:rsidRPr="00000000" w14:paraId="00000024">
      <w:pPr>
        <w:rPr/>
      </w:pPr>
      <w:r w:rsidDel="00000000" w:rsidR="00000000" w:rsidRPr="00000000">
        <w:rPr>
          <w:rtl w:val="0"/>
        </w:rPr>
        <w:t xml:space="preserve">Leakage is increasingly recognized as a general threat to scientific machine learning. Kapoor and Narayanan (2023) describe leakage as a reproducibility failure that can lead to overoptimistic conclusions across multiple scientific domains. Their taxonomy is useful for broad framing, but transcriptomic biomarker studies have a particularly concrete leakage pathway: the feature-selection step can accidentally use all samples before validation, thereby allowing the test set to shape the gene list.</w:t>
      </w:r>
    </w:p>
    <w:p w:rsidR="00000000" w:rsidDel="00000000" w:rsidP="00000000" w:rsidRDefault="00000000" w:rsidRPr="00000000" w14:paraId="00000025">
      <w:pPr>
        <w:rPr/>
      </w:pPr>
      <w:r w:rsidDel="00000000" w:rsidR="00000000" w:rsidRPr="00000000">
        <w:rPr>
          <w:rtl w:val="0"/>
        </w:rPr>
        <w:t>Ambroise and McLachlan (2002) remain the foundational source for this problem in microarray gene-expression classification. Their work demonstrated that selecting genes on the entire dataset before cross-validation creates selection bias, because the test samples have already influenced the candidate predictors. This directly motivates the naive-versus-guarded comparison in this study. The naive pipeline intentionally reproduces global feature selection before cross-validation; the guarded pipeline nests the feature-selection process inside the training folds.</w:t>
      </w:r>
    </w:p>
    <w:p w:rsidR="00000000" w:rsidDel="00000000" w:rsidP="00000000" w:rsidRDefault="00000000" w:rsidRPr="00000000" w14:paraId="00000026">
      <w:pPr>
        <w:pStyle w:val="Heading2"/>
        <w:rPr/>
      </w:pPr>
      <w:r w:rsidDel="00000000" w:rsidR="00000000" w:rsidRPr="00000000">
        <w:rPr>
          <w:rtl w:val="0"/>
        </w:rPr>
        <w:t xml:space="preserve">Nested validation for high-dimensional omics</w:t>
      </w:r>
    </w:p>
    <w:p w:rsidR="00000000" w:rsidDel="00000000" w:rsidP="00000000" w:rsidRDefault="00000000" w:rsidRPr="00000000" w14:paraId="00000027">
      <w:pPr>
        <w:rPr/>
      </w:pPr>
      <w:r w:rsidDel="00000000" w:rsidR="00000000" w:rsidRPr="00000000">
        <w:rPr>
          <w:rtl w:val="0"/>
        </w:rPr>
        <w:t xml:space="preserve">Nested cross-validation is the key design principle for separating model construction from model evaluation. Varma and Simon (2006) showed that cross-validation can yield biased error estimates when used for model selection. Cawley and Talbot (2010) generalized this concern by showing that model-selection procedures can overfit validation criteria and induce optimistic bias in later performance reporting. These findings are directly relevant to transcriptomic classification, where feature selection, hyperparameter tuning, class weighting, and threshold selection may all be adjusted to maximize validation performance.</w:t>
      </w:r>
    </w:p>
    <w:p w:rsidR="00000000" w:rsidDel="00000000" w:rsidP="00000000" w:rsidRDefault="00000000" w:rsidRPr="00000000" w14:paraId="00000028">
      <w:pPr>
        <w:rPr/>
      </w:pPr>
      <w:r w:rsidDel="00000000" w:rsidR="00000000" w:rsidRPr="00000000">
        <w:rPr>
          <w:rtl w:val="0"/>
        </w:rPr>
        <w:t>Vabalas et al. (2019) are particularly relevant because they focus on limited-sample biomedical machine-learning validation. They report that k-fold cross-validation can produce biased estimates in small-sample settings and that nested validation or a properly isolated test set can reduce this bias. Lewis et al. (2023) operationalized these principles for transcriptomic and high-dimensional data through the nestedcv R package, which implements nested cross-validation with embedded feature selection and shows that applying feature filters globally can produce information leakage. This study builds on this literature but focuses more narrowly on SMO/SVM leakage behavior, feature-stability auditing, class-imbalance sensitivity, and external validation.</w:t>
      </w:r>
    </w:p>
    <w:p w:rsidR="00000000" w:rsidDel="00000000" w:rsidP="00000000" w:rsidRDefault="00000000" w:rsidRPr="00000000" w14:paraId="00000029">
      <w:pPr>
        <w:pStyle w:val="Heading2"/>
        <w:rPr/>
      </w:pPr>
      <w:r w:rsidDel="00000000" w:rsidR="00000000" w:rsidRPr="00000000">
        <w:rPr>
          <w:rtl w:val="0"/>
        </w:rPr>
        <w:t xml:space="preserve">SVM/SMO and feature selection in transcriptomic classification</w:t>
      </w:r>
    </w:p>
    <w:p w:rsidR="00000000" w:rsidDel="00000000" w:rsidP="00000000" w:rsidRDefault="00000000" w:rsidRPr="00000000" w14:paraId="0000002A">
      <w:pPr>
        <w:rPr/>
      </w:pPr>
      <w:r w:rsidDel="00000000" w:rsidR="00000000" w:rsidRPr="00000000">
        <w:rPr>
          <w:rtl w:val="0"/>
        </w:rPr>
        <w:t xml:space="preserve">The SVM literature supports the choice of a margin-based classifier for high-dimensional gene-expression data. Cortes and Vapnik (1995) introduced support-vector networks as a foundational supervised-learning method. Platt (1999) introduced Sequential Minimal Optimization as an efficient procedure for training SVMs by solving small analytic subproblems rather than a large monolithic quadratic program. In cancer gene-expression classification, Guyon et al. (2002) demonstrated SVM recursive feature elimination as a gene-selection strategy, reinforcing the historical connection between SVM methods and transcriptomic biomarker discovery.</w:t>
      </w:r>
    </w:p>
    <w:p w:rsidR="00000000" w:rsidDel="00000000" w:rsidP="00000000" w:rsidRDefault="00000000" w:rsidRPr="00000000" w14:paraId="0000002B">
      <w:pPr>
        <w:rPr/>
      </w:pPr>
      <w:r w:rsidDel="00000000" w:rsidR="00000000" w:rsidRPr="00000000">
        <w:rPr>
          <w:rtl w:val="0"/>
        </w:rPr>
        <w:t>This study does not overstate algorithmic novelty. SMO/SVM is not new; the novelty is the audit architecture around it. The literature supports positioning SMO/SVM as a sensitive and historically important classifier through which to quantify the impact of leakage-aware validation, rather than as a newly invented method.</w:t>
      </w:r>
    </w:p>
    <w:p w:rsidR="00000000" w:rsidDel="00000000" w:rsidP="00000000" w:rsidRDefault="00000000" w:rsidRPr="00000000" w14:paraId="0000002C">
      <w:pPr>
        <w:pStyle w:val="Heading2"/>
        <w:rPr/>
      </w:pPr>
      <w:r w:rsidDel="00000000" w:rsidR="00000000" w:rsidRPr="00000000">
        <w:rPr>
          <w:rtl w:val="0"/>
        </w:rPr>
        <w:t xml:space="preserve">Feature stability and biomarker reproducibility</w:t>
      </w:r>
    </w:p>
    <w:p w:rsidR="00000000" w:rsidDel="00000000" w:rsidP="00000000" w:rsidRDefault="00000000" w:rsidRPr="00000000" w14:paraId="0000002D">
      <w:pPr>
        <w:rPr/>
      </w:pPr>
      <w:r w:rsidDel="00000000" w:rsidR="00000000" w:rsidRPr="00000000">
        <w:rPr>
          <w:rtl w:val="0"/>
        </w:rPr>
        <w:t>Molecular-signature studies require more than discrimination metrics. Haury et al. (2011) showed that feature-selection methods influence not only accuracy but also stability and interpretability of molecular signatures. This is a crucial lesson for this study because transcriptomic biomarker claims are only persuasive when selected features are reproducible under resampling and, ideally, across cohorts.</w:t>
      </w:r>
    </w:p>
    <w:p w:rsidR="00000000" w:rsidDel="00000000" w:rsidP="00000000" w:rsidRDefault="00000000" w:rsidRPr="00000000" w14:paraId="0000002E">
      <w:pPr>
        <w:rPr/>
      </w:pPr>
      <w:r w:rsidDel="00000000" w:rsidR="00000000" w:rsidRPr="00000000">
        <w:rPr>
          <w:rtl w:val="0"/>
        </w:rPr>
        <w:t>Nogueira et al. (2018) provide the most important stability source for this audit. Their feature-selection stability framework emphasizes mathematical properties such as correction for chance and behavior under varying selected-set sizes. This study therefore reports Nogueira stability indices and feature-selection frequency distributions, rather than relying only on pairwise overlap or a final gene list.</w:t>
      </w:r>
    </w:p>
    <w:p w:rsidR="00000000" w:rsidDel="00000000" w:rsidP="00000000" w:rsidRDefault="00000000" w:rsidRPr="00000000" w14:paraId="0000002F">
      <w:pPr>
        <w:pStyle w:val="Heading2"/>
        <w:rPr/>
      </w:pPr>
      <w:r w:rsidDel="00000000" w:rsidR="00000000" w:rsidRPr="00000000">
        <w:rPr>
          <w:rtl w:val="0"/>
        </w:rPr>
        <w:t xml:space="preserve">Imbalanced biomedical classification and evaluation metrics</w:t>
      </w:r>
    </w:p>
    <w:p w:rsidR="00000000" w:rsidDel="00000000" w:rsidP="00000000" w:rsidRDefault="00000000" w:rsidRPr="00000000" w14:paraId="00000030">
      <w:pPr>
        <w:rPr/>
      </w:pPr>
      <w:r w:rsidDel="00000000" w:rsidR="00000000" w:rsidRPr="00000000">
        <w:rPr>
          <w:rtl w:val="0"/>
        </w:rPr>
        <w:t xml:space="preserve">The pCR/RD endpoint is commonly imbalanced, with fewer patients achieving pathological complete response than residual disease in many cohorts and treatment contexts. Class imbalance can distort both model fitting and model evaluation. SMOTE is frequently used to generate synthetic minority-class samples, but Chawla et al. (2002) introduced it as a resampling method, not as a license to oversample before validation. Blagus and Lusa (2013) specifically warn that SMOTE behaves differently in high-dimensional settings and may require careful feature selection and validation sequencing.</w:t>
      </w:r>
    </w:p>
    <w:p w:rsidR="00000000" w:rsidDel="00000000" w:rsidP="00000000" w:rsidRDefault="00000000" w:rsidRPr="00000000" w14:paraId="00000031">
      <w:pPr>
        <w:rPr/>
      </w:pPr>
      <w:r w:rsidDel="00000000" w:rsidR="00000000" w:rsidRPr="00000000">
        <w:rPr>
          <w:rtl w:val="0"/>
        </w:rPr>
        <w:t>Evaluation metrics must also reflect imbalance. AUROC alone can be misleading when the minority class is clinically important (Berrar &amp; Flach, 2012). Chicco and Jurman (2020, 2023) argue for the Matthews correlation coefficient as a more informative binary-classification measure because it incorporates all four cells of the confusion matrix. Accordingly, this framework reports PR-AUC, MCC, balanced accuracy, sensitivity, and specificity alongside AUROC.</w:t>
      </w:r>
    </w:p>
    <w:p w:rsidR="00000000" w:rsidDel="00000000" w:rsidP="00000000" w:rsidRDefault="00000000" w:rsidRPr="00000000" w14:paraId="00000032">
      <w:pPr>
        <w:pStyle w:val="Heading2"/>
        <w:rPr/>
      </w:pPr>
      <w:r w:rsidDel="00000000" w:rsidR="00000000" w:rsidRPr="00000000">
        <w:rPr>
          <w:rtl w:val="0"/>
        </w:rPr>
        <w:t xml:space="preserve">Breast cancer pCR/RD prediction as a biological stress test</w:t>
      </w:r>
    </w:p>
    <w:p w:rsidR="00000000" w:rsidDel="00000000" w:rsidP="00000000" w:rsidRDefault="00000000" w:rsidRPr="00000000" w14:paraId="00000033">
      <w:pPr>
        <w:rPr/>
      </w:pPr>
      <w:r w:rsidDel="00000000" w:rsidR="00000000" w:rsidRPr="00000000">
        <w:rPr>
          <w:rtl w:val="0"/>
        </w:rPr>
        <w:t>Breast cancer neoadjuvant chemotherapy response is an appropriate stress test for leakage-aware transcriptomic modeling because it combines clinical relevance, class imbalance, high-dimensional gene-expression data, public cohorts, and substantial cohort heterogeneity. Hatzis et al. (2011) provide an important genomic-predictor study in taxane-anthracycline chemotherapy response and survival, and the associated public GEO series are frequently reused in subsequent pCR/RD prediction studies. This study treats these datasets as methodological test beds rather than as evidence of a new biological signature.</w:t>
      </w:r>
    </w:p>
    <w:p w:rsidR="00000000" w:rsidDel="00000000" w:rsidP="00000000" w:rsidRDefault="00000000" w:rsidRPr="00000000" w14:paraId="00000034">
      <w:pPr>
        <w:rPr/>
      </w:pPr>
      <w:r w:rsidDel="00000000" w:rsidR="00000000" w:rsidRPr="00000000">
        <w:rPr>
          <w:rtl w:val="0"/>
        </w:rPr>
        <w:t>The most important dataset-design issue is independence. The analysis avoided using a parent or superseries as discovery data and then treating a component subseries as external validation. External validation was held out from feature selection, hyperparameter tuning, threshold choice, and any cross-cohort preprocessing decisions.</w:t>
      </w:r>
    </w:p>
    <w:p w:rsidR="00000000" w:rsidDel="00000000" w:rsidP="00000000" w:rsidRDefault="00000000" w:rsidRPr="00000000" w14:paraId="00000035">
      <w:pPr>
        <w:pStyle w:val="Heading2"/>
        <w:rPr/>
      </w:pPr>
      <w:r w:rsidDel="00000000" w:rsidR="00000000" w:rsidRPr="00000000">
        <w:rPr>
          <w:rtl w:val="0"/>
        </w:rPr>
        <w:t xml:space="preserve">Reporting standards and trustworthy biomedical AI</w:t>
      </w:r>
    </w:p>
    <w:p w:rsidR="00000000" w:rsidDel="00000000" w:rsidP="00000000" w:rsidRDefault="00000000" w:rsidRPr="00000000" w14:paraId="00000036">
      <w:pPr>
        <w:rPr/>
      </w:pPr>
      <w:r w:rsidDel="00000000" w:rsidR="00000000" w:rsidRPr="00000000">
        <w:rPr>
          <w:rtl w:val="0"/>
        </w:rPr>
        <w:t>Prediction-model reporting standards increasingly require transparency around data handling, validation, model development, performance metrics, and limitations. TRIPOD+AI provides updated reporting guidance for clinical prediction models that use regression or machine-learning methods (Collins et al., 2024). Although this study is a methodology paper rather than a clinical deployment study, its Reproducible Omics Evidence Audit is aligned with the spirit of these standards because it requires explicit reporting of leakage sensitivity, feature stability, class-imbalance handling, external validation, and code availability.</w:t>
      </w:r>
    </w:p>
    <w:p w:rsidR="00000000" w:rsidDel="00000000" w:rsidP="00000000" w:rsidRDefault="00000000" w:rsidRPr="00000000" w14:paraId="00000037">
      <w:pPr>
        <w:pStyle w:val="Heading2"/>
        <w:rPr/>
      </w:pPr>
      <w:r w:rsidDel="00000000" w:rsidR="00000000" w:rsidRPr="00000000">
        <w:rPr>
          <w:rtl w:val="0"/>
        </w:rPr>
        <w:t xml:space="preserve">Remaining methodological gap</w:t>
      </w:r>
    </w:p>
    <w:p w:rsidR="00000000" w:rsidDel="00000000" w:rsidP="00000000" w:rsidRDefault="00000000" w:rsidRPr="00000000" w14:paraId="00000038">
      <w:pPr>
        <w:rPr/>
      </w:pPr>
      <w:r w:rsidDel="00000000" w:rsidR="00000000" w:rsidRPr="00000000">
        <w:rPr>
          <w:rtl w:val="0"/>
        </w:rPr>
        <w:t>The literature establishes all individual components of this project: feature-selection leakage, nested cross-validation, SMO/SVM, feature stability, imbalanced classification metrics, and prediction-model reporting standards. The gap is that these elements have not been presented as a focused leakage-aware SMO/SVM audit for public transcriptomic biomarker classification. Existing nested-CV tools demonstrate how to avoid leakage, but they do not center an SMO/SVM leakage audit with feature-stability and external-validation reporting. Existing pCR/RD biomarker papers often focus on signatures rather than on systematically quantifying leakage inflation. This study addresses this gap by jointly evaluating performance inflation, feature-selection stability, hyperparameter volatility, class-imbalance sensitivity, and external transportability within one reproducible framework.</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Literature Matrix</w:t>
      </w:r>
    </w:p>
    <w:tbl>
      <w:tblPr>
        <w:tblStyle w:val="Table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1"/>
        <w:gridCol w:w="3226"/>
        <w:gridCol w:w="4029"/>
        <w:tblGridChange w:id="0">
          <w:tblGrid>
            <w:gridCol w:w="2321"/>
            <w:gridCol w:w="3226"/>
            <w:gridCol w:w="4029"/>
          </w:tblGrid>
        </w:tblGridChange>
      </w:tblGrid>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Theme</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Core sources</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How it shapes this manuscript</w:t>
            </w:r>
            <w:r w:rsidDel="00000000" w:rsidR="00000000" w:rsidRPr="00000000">
              <w:rPr>
                <w:rtl w:val="0"/>
              </w:rPr>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Leakage and feature-selection bias</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Ambroise &amp; McLachlan (2002); Kapoor &amp; Narayanan (2023)</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Motivates direct comparison of leaky global feature selection versus guarded nested selection.</w:t>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Nested validation</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Varma &amp; Simon (2006); Cawley &amp; Talbot (2010); Vabalas et al. (2019); Lewis et al. (2023)</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Requires inner-loop model selection and outer-loop performance estimation.</w:t>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SVM/SMO and feature selection</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Cortes &amp; Vapnik (1995); Platt (1999); Guyon et al. (2002)</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Justifies SMO/SVM as a historically important, high-dimensional classification engine.</w:t>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Feature stability</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Haury et al. (2011); Nogueira et al. (2018)</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Makes stability a main audit dimension rather than a supplement.</w:t>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imbalance and metrics</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Chawla et al. (2002); Blagus &amp; Lusa (2013); Chicco &amp; Jurman (2020, 2023)</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Supports PR-AUC, MCC, balanced accuracy, and fold-contained resampling.</w:t>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pCR/RD stress test</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Hatzis et al. (2011)</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Supports breast cancer neoadjuvant response as a public transcriptomic use case.</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Trustworthy AI reporting</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Collins et al. (2024)</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Supports the Reproducible Omics Evidence Audit as transparent reporting infrastructure.</w:t>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The table summarizes peer-reviewed and foundational sources that directly support the methodology.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Competitor Positioning</w:t>
      </w:r>
    </w:p>
    <w:tbl>
      <w:tblPr>
        <w:tblStyle w:val="Table2"/>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2312"/>
        <w:gridCol w:w="2589"/>
        <w:gridCol w:w="2724"/>
        <w:tblGridChange w:id="0">
          <w:tblGrid>
            <w:gridCol w:w="1951"/>
            <w:gridCol w:w="2312"/>
            <w:gridCol w:w="2589"/>
            <w:gridCol w:w="2724"/>
          </w:tblGrid>
        </w:tblGridChange>
      </w:tblGrid>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Closest literature</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What it contributes</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What remains missing</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How this manuscript differs</w:t>
            </w:r>
            <w:r w:rsidDel="00000000" w:rsidR="00000000" w:rsidRPr="00000000">
              <w:rPr>
                <w:rtl w:val="0"/>
              </w:rPr>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Lewis et al. (2023), nestedcv</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Implements nested CV with embedded feature selection for transcriptomic/high-dimensional data.</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Does not center a leakage-inflation audit of SMO/SVM with feature-stability and pCR/RD external validation.</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Uses nested-CV principles to quantify SMO/SVM leakage inflation and feature stability.</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Kapoor &amp; Narayanan (2023), leakage taxonomy</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Frames leakage as a broader reproducibility failure in ML-based science.</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Not an omics-specific computational benchmark.</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Operationalizes leakage auditing in public transcriptomic classification.</w:t>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Vabalas et al. (2019), limited-sample validation</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Shows bias in validation under limited samples and high dimensions.</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Does not focus on transcriptomic SMO/SVM biomarker stability or pCR/RD cohorts.</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Extends validation concern to omics feature selection, class imbalance, and external validation.</w:t>
            </w:r>
          </w:p>
        </w:tc>
      </w:tr>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Breast cancer pCR signature studies</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Provide public datasets and biological endpoint context.</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Often focus on predictive signatures rather than auditing leakage, stability, and validation architecture.</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Uses pCR/RD as a stress test for methodology, not as a new biomarker claim.</w:t>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The table summarizes how this study is positioned relative to existing tools.</w:t>
      </w:r>
    </w:p>
    <w:p w:rsidR="00000000" w:rsidDel="00000000" w:rsidP="00000000" w:rsidRDefault="00000000" w:rsidRPr="00000000" w14:paraId="0000006B">
      <w:pPr>
        <w:pStyle w:val="Heading1"/>
        <w:rPr/>
      </w:pPr>
      <w:r w:rsidDel="00000000" w:rsidR="00000000" w:rsidRPr="00000000">
        <w:rPr>
          <w:rtl w:val="0"/>
        </w:rPr>
        <w:t xml:space="preserve">Methods</w:t>
      </w:r>
    </w:p>
    <w:p w:rsidR="00000000" w:rsidDel="00000000" w:rsidP="00000000" w:rsidRDefault="00000000" w:rsidRPr="00000000" w14:paraId="0000006C">
      <w:pPr>
        <w:pStyle w:val="Heading2"/>
        <w:rPr/>
      </w:pPr>
      <w:r w:rsidDel="00000000" w:rsidR="00000000" w:rsidRPr="00000000">
        <w:rPr>
          <w:rtl w:val="0"/>
        </w:rPr>
        <w:t xml:space="preserve">Study design overview</w:t>
      </w:r>
    </w:p>
    <w:p w:rsidR="00000000" w:rsidDel="00000000" w:rsidP="00000000" w:rsidRDefault="00000000" w:rsidRPr="00000000" w14:paraId="0000006D">
      <w:pPr>
        <w:rPr/>
      </w:pPr>
      <w:r w:rsidDel="00000000" w:rsidR="00000000" w:rsidRPr="00000000">
        <w:rPr>
          <w:rtl w:val="0"/>
        </w:rPr>
        <w:t xml:space="preserve">This is a public-data computational methodology study comparing two SMO/SVM pipeline families: a naive pipeline that intentionally allows global feature-selection leakage and a guarded nested pipeline that prevents feature-selection, preprocessing, tuning, and class-balancing leakage. The biological use case is breast cancer neoadjuvant chemotherapy response, using pCR versus residual disease as the binary endpoint. The present analysis uses GSE25055 for discovery/internal validation and GSE25065 for external validation.</w:t>
      </w:r>
    </w:p>
    <w:p w:rsidR="00000000" w:rsidDel="00000000" w:rsidP="00000000" w:rsidRDefault="00000000" w:rsidRPr="00000000" w14:paraId="0000006E">
      <w:pPr>
        <w:pStyle w:val="Heading2"/>
        <w:rPr/>
      </w:pPr>
      <w:r w:rsidDel="00000000" w:rsidR="00000000" w:rsidRPr="00000000">
        <w:rPr>
          <w:rtl w:val="0"/>
        </w:rPr>
        <w:t xml:space="preserve">Public datasets and cohort eligibility</w:t>
      </w:r>
    </w:p>
    <w:p w:rsidR="00000000" w:rsidDel="00000000" w:rsidP="00000000" w:rsidRDefault="00000000" w:rsidRPr="00000000" w14:paraId="0000006F">
      <w:pPr>
        <w:rPr/>
      </w:pPr>
      <w:r w:rsidDel="00000000" w:rsidR="00000000" w:rsidRPr="00000000">
        <w:rPr>
          <w:rtl w:val="0"/>
        </w:rPr>
        <w:t xml:space="preserve">Eligible datasets must contain pretreatment bulk transcriptomic expression profiles, interpretable pCR/RD labels, adequate sample metadata, and public access through GEO or a comparable repository. Cohorts were excluded when response labels were ambiguous, samples overlapped with another validation cohort, the treatment time point was incompatible with pretreatment prediction, or platform mapping was insufficient for external projection.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Discovery/nested-CV cohort: GSE25055, with 306 usable labeled samples after excluding 4 samples with missing response labels.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External validation cohort 1: GSE25065, the non-overlapping Hatzis validation subseries, with 182 usable labeled samples after excluding 16 samples with missing response labels.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External validation cohort 2 candidate: GSE41998, partially label-resolved but not used in the present analysis because it requires additional label and cross-platform harmonization safeguards.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Sensitivity cohorts: GSE20194 and GSE20271 are held for possible later sensitivity analyses only after sample-level de-duplication because of MDACC lineage overlap risk.</w:t>
      </w:r>
    </w:p>
    <w:p w:rsidR="00000000" w:rsidDel="00000000" w:rsidP="00000000" w:rsidRDefault="00000000" w:rsidRPr="00000000" w14:paraId="00000074">
      <w:pPr>
        <w:pStyle w:val="Heading2"/>
        <w:rPr/>
      </w:pPr>
      <w:r w:rsidDel="00000000" w:rsidR="00000000" w:rsidRPr="00000000">
        <w:rPr>
          <w:rtl w:val="0"/>
        </w:rPr>
        <w:t xml:space="preserve">Outcome definition</w:t>
      </w:r>
    </w:p>
    <w:p w:rsidR="00000000" w:rsidDel="00000000" w:rsidP="00000000" w:rsidRDefault="00000000" w:rsidRPr="00000000" w14:paraId="00000075">
      <w:pPr>
        <w:rPr/>
      </w:pPr>
      <w:r w:rsidDel="00000000" w:rsidR="00000000" w:rsidRPr="00000000">
        <w:rPr>
          <w:rtl w:val="0"/>
        </w:rPr>
        <w:t xml:space="preserve">The primary endpoint is pathological complete response versus residual invasive disease. Samples with missing, ambiguous, post-treatment-only, or non-comparable outcome labels were excluded before modeling. Endpoint harmonization decisions are recorded in the dataset audit outputs and summarized in the Results section.</w:t>
      </w:r>
    </w:p>
    <w:p w:rsidR="00000000" w:rsidDel="00000000" w:rsidP="00000000" w:rsidRDefault="00000000" w:rsidRPr="00000000" w14:paraId="00000076">
      <w:pPr>
        <w:pStyle w:val="Heading2"/>
        <w:rPr/>
      </w:pPr>
      <w:r w:rsidDel="00000000" w:rsidR="00000000" w:rsidRPr="00000000">
        <w:rPr>
          <w:rtl w:val="0"/>
        </w:rPr>
        <w:t xml:space="preserve">Data preprocessing and leakage-control rules</w:t>
      </w:r>
    </w:p>
    <w:p w:rsidR="00000000" w:rsidDel="00000000" w:rsidP="00000000" w:rsidRDefault="00000000" w:rsidRPr="00000000" w14:paraId="00000077">
      <w:pPr>
        <w:rPr/>
      </w:pPr>
      <w:r w:rsidDel="00000000" w:rsidR="00000000" w:rsidRPr="00000000">
        <w:rPr>
          <w:rtl w:val="0"/>
        </w:rPr>
        <w:t xml:space="preserve">The central rule is that any parameter estimated from the data must be estimated on training data only and then applied to validation data without recalculation. This applies to scaling, filtering, imputation, class balancing, feature selection, hyperparameter tuning, threshold selection, and probability calibration. External cohorts were not used for feature selection, threshold adjustment, hyperparameter choice, or cross-cohort batch correction unless a fully training-derived transformation was specified in advance.</w:t>
      </w:r>
    </w:p>
    <w:p w:rsidR="00000000" w:rsidDel="00000000" w:rsidP="00000000" w:rsidRDefault="00000000" w:rsidRPr="00000000" w14:paraId="00000078">
      <w:pPr>
        <w:pStyle w:val="Heading2"/>
        <w:rPr/>
      </w:pPr>
      <w:r w:rsidDel="00000000" w:rsidR="00000000" w:rsidRPr="00000000">
        <w:rPr>
          <w:rtl w:val="0"/>
        </w:rPr>
        <w:t xml:space="preserve">Pipeline A: naive/leaky baseline</w:t>
      </w:r>
    </w:p>
    <w:p w:rsidR="00000000" w:rsidDel="00000000" w:rsidP="00000000" w:rsidRDefault="00000000" w:rsidRPr="00000000" w14:paraId="00000079">
      <w:pPr>
        <w:rPr/>
      </w:pPr>
      <w:r w:rsidDel="00000000" w:rsidR="00000000" w:rsidRPr="00000000">
        <w:rPr>
          <w:rtl w:val="0"/>
        </w:rPr>
        <w:t xml:space="preserve">The naive pipeline intentionally represents the flawed workflow this paper audits. It used the full discovery cohort to perform feature selection before cross-validation. The top K features were then passed to SMO/SVM cross-validation. This pipeline is not intended for valid inference; it is included to quantify the inflation that a leaky analysis can produce.</w:t>
      </w:r>
    </w:p>
    <w:p w:rsidR="00000000" w:rsidDel="00000000" w:rsidP="00000000" w:rsidRDefault="00000000" w:rsidRPr="00000000" w14:paraId="0000007A">
      <w:pPr>
        <w:pStyle w:val="Heading2"/>
        <w:rPr/>
      </w:pPr>
      <w:r w:rsidDel="00000000" w:rsidR="00000000" w:rsidRPr="00000000">
        <w:rPr>
          <w:rtl w:val="0"/>
        </w:rPr>
        <w:t xml:space="preserve">Pipeline B: guarded nested SMO/SVM framework</w:t>
      </w:r>
    </w:p>
    <w:p w:rsidR="00000000" w:rsidDel="00000000" w:rsidP="00000000" w:rsidRDefault="00000000" w:rsidRPr="00000000" w14:paraId="0000007B">
      <w:pPr>
        <w:rPr/>
      </w:pPr>
      <w:r w:rsidDel="00000000" w:rsidR="00000000" w:rsidRPr="00000000">
        <w:rPr>
          <w:rtl w:val="0"/>
        </w:rPr>
        <w:t xml:space="preserve">The guarded pipeline used an outer loop for performance estimation and an inner loop for model selection. Within each outer split, the outer test fold remained untouched until final evaluation. Within the outer training set, inner folds performed feature selection, class-imbalance handling, scaling, and SMO/SVM hyperparameter tuning. After choosing the best inner-loop configuration, the model was refit on the full outer training set and evaluated once on the held-out outer test fold.</w:t>
      </w:r>
    </w:p>
    <w:p w:rsidR="00000000" w:rsidDel="00000000" w:rsidP="00000000" w:rsidRDefault="00000000" w:rsidRPr="00000000" w14:paraId="0000007C">
      <w:pPr>
        <w:rPr/>
      </w:pPr>
      <w:r w:rsidDel="00000000" w:rsidR="00000000" w:rsidRPr="00000000">
        <w:rPr>
          <w:rtl w:val="0"/>
        </w:rPr>
        <w:t xml:space="preserve">For each outer split, the outer test fold was first withheld from all model-development procedures. All preprocessing, feature selection, class-imbalance handling, and SMO/SVM hyperparameter tuning were then performed exclusively within the corresponding outer training data by means of the inner validation loop. Candidate configurations were evaluated only on inner validation folds, thereby ensuring that no information from the outer test fold influenced feature selection, scaling, class weighting, or model selection. After the optimal inner-loop configuration had been identified, the selected pipeline was refit on the complete outer training set and evaluated once on the held-out outer test fold. For each outer iteration, predictions, selected-feature sets, hyperparameters, and fold-level metadata were stored for subsequent performance estimation and feature-stability auditing.</w:t>
      </w:r>
    </w:p>
    <w:p w:rsidR="00000000" w:rsidDel="00000000" w:rsidP="00000000" w:rsidRDefault="00000000" w:rsidRPr="00000000" w14:paraId="0000007D">
      <w:pPr>
        <w:pStyle w:val="Heading2"/>
        <w:rPr/>
      </w:pPr>
      <w:r w:rsidDel="00000000" w:rsidR="00000000" w:rsidRPr="00000000">
        <w:rPr>
          <w:rtl w:val="0"/>
        </w:rPr>
        <w:t xml:space="preserve">SMO/SVM model specification</w:t>
      </w:r>
    </w:p>
    <w:p w:rsidR="00000000" w:rsidDel="00000000" w:rsidP="00000000" w:rsidRDefault="00000000" w:rsidRPr="00000000" w14:paraId="0000007E">
      <w:pPr>
        <w:rPr/>
      </w:pPr>
      <w:r w:rsidDel="00000000" w:rsidR="00000000" w:rsidRPr="00000000">
        <w:rPr>
          <w:rtl w:val="0"/>
        </w:rPr>
        <w:t xml:space="preserve">The primary classifier was a linear SMO-trained SVM because linear models are more interpretable in high-dimensional transcriptomic settings and reduce unnecessary kernel complexity. The C penalty parameter was tuned inside the inner loop, and class weighting was the primary imbalance-handling strategy. SMOTE was not used in the current pilot analysis; if evaluated in future sensitivity analyses, it should remain restricted to inner training folds only.</w:t>
      </w:r>
    </w:p>
    <w:p w:rsidR="00000000" w:rsidDel="00000000" w:rsidP="00000000" w:rsidRDefault="00000000" w:rsidRPr="00000000" w14:paraId="0000007F">
      <w:pPr>
        <w:pStyle w:val="Heading2"/>
        <w:rPr/>
      </w:pPr>
      <w:r w:rsidDel="00000000" w:rsidR="00000000" w:rsidRPr="00000000">
        <w:rPr>
          <w:rtl w:val="0"/>
        </w:rPr>
        <w:t xml:space="preserve">Feature-selection methods</w:t>
      </w:r>
    </w:p>
    <w:p w:rsidR="00000000" w:rsidDel="00000000" w:rsidP="00000000" w:rsidRDefault="00000000" w:rsidRPr="00000000" w14:paraId="00000080">
      <w:pPr>
        <w:rPr/>
      </w:pPr>
      <w:r w:rsidDel="00000000" w:rsidR="00000000" w:rsidRPr="00000000">
        <w:rPr>
          <w:rtl w:val="0"/>
        </w:rPr>
        <w:t>The present empirical analysis used a univariate t-test top-K feature-selection strategy. Information Gain or Gain Ratio, SVM recursive feature elimination, mRMR, CFS, and elastic-net embedded selection remain candidate supplementary analyses. This framing preserves the methodological focus while avoiding overclaiming beyond the completed pilot.</w:t>
      </w:r>
    </w:p>
    <w:p w:rsidR="00000000" w:rsidDel="00000000" w:rsidP="00000000" w:rsidRDefault="00000000" w:rsidRPr="00000000" w14:paraId="00000081">
      <w:pPr>
        <w:pStyle w:val="Heading2"/>
        <w:rPr/>
      </w:pPr>
      <w:r w:rsidDel="00000000" w:rsidR="00000000" w:rsidRPr="00000000">
        <w:rPr>
          <w:rtl w:val="0"/>
        </w:rPr>
        <w:t xml:space="preserve">Performance, leakage, and stability metrics</w:t>
      </w:r>
    </w:p>
    <w:p w:rsidR="00000000" w:rsidDel="00000000" w:rsidP="00000000" w:rsidRDefault="00000000" w:rsidRPr="00000000" w14:paraId="00000082">
      <w:pPr>
        <w:rPr/>
      </w:pPr>
      <w:r w:rsidDel="00000000" w:rsidR="00000000" w:rsidRPr="00000000">
        <w:rPr>
          <w:rtl w:val="0"/>
        </w:rPr>
        <w:t xml:space="preserve">Classification performance was reported using AUROC, PR-AUC, balanced accuracy, sensitivity, specificity, and MCC. Leakage inflation was defined as the difference between the naive/leaky and guarded nested pipelines for each metric, with particular emphasis on ΔAUROC and ΔPR-AUC. Feature stability was measured using the Nogueira stability index, feature-selection frequencies, and Jaccard overlap as an intuitive secondary metric.</w:t>
      </w:r>
    </w:p>
    <w:p w:rsidR="00000000" w:rsidDel="00000000" w:rsidP="00000000" w:rsidRDefault="00000000" w:rsidRPr="00000000" w14:paraId="00000083">
      <w:pPr>
        <w:pStyle w:val="Heading2"/>
        <w:rPr/>
      </w:pPr>
      <w:r w:rsidDel="00000000" w:rsidR="00000000" w:rsidRPr="00000000">
        <w:rPr>
          <w:rtl w:val="0"/>
        </w:rPr>
        <w:t xml:space="preserve">External validation protocol</w:t>
      </w:r>
    </w:p>
    <w:p w:rsidR="00000000" w:rsidDel="00000000" w:rsidP="00000000" w:rsidRDefault="00000000" w:rsidRPr="00000000" w14:paraId="00000084">
      <w:pPr>
        <w:rPr/>
      </w:pPr>
      <w:r w:rsidDel="00000000" w:rsidR="00000000" w:rsidRPr="00000000">
        <w:rPr>
          <w:rtl w:val="0"/>
        </w:rPr>
        <w:t xml:space="preserve">After the discovery analysis, the final model design was frozen. Feature-selection rules, selected features, preprocessing transformations, hyperparameters, and classification threshold were fixed before projection to GSE25065. External labels were used only for final evaluation.</w:t>
      </w:r>
    </w:p>
    <w:p w:rsidR="00000000" w:rsidDel="00000000" w:rsidP="00000000" w:rsidRDefault="00000000" w:rsidRPr="00000000" w14:paraId="00000085">
      <w:pPr>
        <w:pStyle w:val="Heading2"/>
        <w:rPr/>
      </w:pPr>
      <w:r w:rsidDel="00000000" w:rsidR="00000000" w:rsidRPr="00000000">
        <w:rPr>
          <w:rtl w:val="0"/>
        </w:rPr>
        <w:t xml:space="preserve">Reproducibility and software availability</w:t>
      </w:r>
    </w:p>
    <w:p w:rsidR="00000000" w:rsidDel="00000000" w:rsidP="00000000" w:rsidRDefault="00000000" w:rsidRPr="00000000" w14:paraId="00000086">
      <w:pPr>
        <w:rPr/>
      </w:pPr>
      <w:r w:rsidDel="00000000" w:rsidR="00000000" w:rsidRPr="00000000">
        <w:rPr>
          <w:rtl w:val="0"/>
        </w:rPr>
        <w:t>The project repository contains data-download scripts, preprocessing scripts, analysis code, random seeds, fold assignments, selected-feature lists, environment information, and final audit tables. A frozen repository release will be archived with a DOI (for example, through Zenodo) at submission.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Naive Versus Guarded Pipeline Design</w:t>
      </w:r>
    </w:p>
    <w:tbl>
      <w:tblPr>
        <w:tblStyle w:val="Table3"/>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6"/>
        <w:gridCol w:w="3284"/>
        <w:gridCol w:w="3926"/>
        <w:tblGridChange w:id="0">
          <w:tblGrid>
            <w:gridCol w:w="2366"/>
            <w:gridCol w:w="3284"/>
            <w:gridCol w:w="3926"/>
          </w:tblGrid>
        </w:tblGridChange>
      </w:tblGrid>
      <w:tr>
        <w:trPr>
          <w:cantSplit w:val="0"/>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Component</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Naive/leaky pipeline</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Guarded nested pipeline</w:t>
            </w:r>
            <w:r w:rsidDel="00000000" w:rsidR="00000000" w:rsidRPr="00000000">
              <w:rPr>
                <w:rtl w:val="0"/>
              </w:rPr>
            </w:r>
          </w:p>
        </w:tc>
      </w:tr>
      <w:tr>
        <w:trPr>
          <w:cantSplit w:val="0"/>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Feature selection</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Performed globally before cross-validation.</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Performed only inside inner training folds.</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Scaling/preprocessing</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May use full discovery matrix.</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Fit on training data only and applied to validation/test data.</w:t>
            </w:r>
          </w:p>
        </w:tc>
      </w:tr>
      <w:tr>
        <w:trPr>
          <w:cantSplit w:val="0"/>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imbalance</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May apply SMOTE globally before splitting.</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weighting primary; SMOTE only inside inner training folds as sensitivity analysis.</w:t>
            </w:r>
          </w:p>
        </w:tc>
      </w:tr>
      <w:tr>
        <w:trPr>
          <w:cantSplit w:val="0"/>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Hyperparameter tuning</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Flat CV after global feature selection.</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Inner-loop tuning; outer-loop performance estimation.</w:t>
            </w:r>
          </w:p>
        </w:tc>
      </w:tr>
      <w:tr>
        <w:trPr>
          <w:cantSplit w:val="0"/>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External validation</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Often treated as a second optimization opportunity.</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Frozen pipeline projected once; no retuning.</w:t>
            </w:r>
          </w:p>
        </w:tc>
      </w:tr>
    </w:tbl>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This table summarizes the methodological contrast underlying the Results section.</w:t>
      </w:r>
    </w:p>
    <w:p w:rsidR="00000000" w:rsidDel="00000000" w:rsidP="00000000" w:rsidRDefault="00000000" w:rsidRPr="00000000" w14:paraId="0000009C">
      <w:pPr>
        <w:pStyle w:val="Heading1"/>
        <w:rPr/>
      </w:pPr>
      <w:r w:rsidDel="00000000" w:rsidR="00000000" w:rsidRPr="00000000">
        <w:rPr>
          <w:b w:val="0"/>
          <w:bCs w:val="0"/>
          <w:rtl w:val="0"/>
        </w:rPr>
        <w:t xml:space="preserve">Results</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This Results section reports only completed analyses already integrated into the project repository. No new modeling was performed in preparing this manuscript update. The contribution described here is methodological and audit-oriented: the analysis characterizes leakage sensitivity, feature reproducibility, class-imbalance behavior, and external-validation transportability for a leakage-aware SMO/SVM workflow. It does not claim clinical biomarker discovery.</w:t>
      </w:r>
    </w:p>
    <w:p w:rsidR="00000000" w:rsidDel="00000000" w:rsidP="00000000" w:rsidRDefault="00000000" w:rsidRPr="00000000" w14:paraId="0000009E">
      <w:pPr>
        <w:pStyle w:val="Heading2"/>
        <w:rPr/>
      </w:pPr>
      <w:r w:rsidDel="00000000" w:rsidR="00000000" w:rsidRPr="00000000">
        <w:rPr>
          <w:b w:val="0"/>
          <w:bCs w:val="0"/>
          <w:rtl w:val="0"/>
        </w:rPr>
        <w:t xml:space="preserve">Cohort construction and endpoint harmonization</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analysis used two same-platform breast cancer cohorts profiled on the Affymetrix HG-U133A array (GPL96). GSE25055 served as the discovery cohort and GSE25065 as the external-validation cohort. Both are non-overlapping subseries of the GSE25066 SuperSeries and were drawn from patients receiving neoadjuvant taxane-anthracycline therapy, with endocrine therapy for ER-positive disease, in the HER2-negative setting. The shared endpoint was pathological complete response (pCR) versus residual disease (RD).</w:t>
      </w:r>
    </w:p>
    <w:p w:rsidR="00000000" w:rsidDel="00000000" w:rsidP="00000000" w:rsidRDefault="00000000" w:rsidRPr="00000000" w14:paraId="000000A0">
      <w:pPr>
        <w:rPr/>
      </w:pPr>
      <w:r w:rsidDel="00000000" w:rsidR="00000000" w:rsidRPr="00000000">
        <w:rPr>
          <w:rtl w:val="0"/>
        </w:rPr>
        <w:t xml:space="preserve">In GSE25055, 310 samples were available; after excluding 4 samples without interpretable response labels, 306 usable samples remained (57 pCR, 249 RD), corresponding to a pCR prevalence of 18.6%. In GSE25065, 198 samples were available; after excluding 16 unlabeled samples, 182 usable samples remained (42 pCR, 140 RD), corresponding to a pCR prevalence of 23.1%. Because both cohorts were generated on GPL96, probe-level features could be transferred directly from discovery to validation without cross-platform remapping; in the external-validation step, all 100 selected probes aligned with no missing features.</w:t>
      </w:r>
    </w:p>
    <w:p w:rsidR="00000000" w:rsidDel="00000000" w:rsidP="00000000" w:rsidRDefault="00000000" w:rsidRPr="00000000" w14:paraId="000000A1">
      <w:pPr>
        <w:rPr/>
      </w:pPr>
      <w:r w:rsidDel="00000000" w:rsidR="00000000" w:rsidRPr="00000000">
        <w:rPr>
          <w:rtl w:val="0"/>
        </w:rPr>
        <w:t xml:space="preserve">Additional candidate cohorts were deliberately held out of the present analysis. GSE41998 was profiled on a different platform (GPL571) and requires cross-platform harmonization. GSE20194 and GSE20271 carry high risk of patient-level overlap with the discovery lineage and require sample-level de-duplication before use. These cohorts are therefore not included in the results reported below.</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Cohort Construction and Endpoint Harmonization</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0A4">
            <w:pPr>
              <w:spacing w:line="240" w:lineRule="auto"/>
              <w:ind w:firstLine="0"/>
              <w:rPr>
                <w:sz w:val="18"/>
                <w:szCs w:val="18"/>
              </w:rPr>
            </w:pPr>
            <w:r w:rsidDel="00000000" w:rsidR="00000000" w:rsidRPr="00000000">
              <w:rPr>
                <w:b w:val="1"/>
                <w:bCs w:val="1"/>
                <w:sz w:val="18"/>
                <w:szCs w:val="18"/>
                <w:rtl w:val="0"/>
              </w:rPr>
              <w:t xml:space="preserve">Cohort</w:t>
            </w:r>
            <w:r w:rsidDel="00000000" w:rsidR="00000000" w:rsidRPr="00000000">
              <w:rPr>
                <w:rtl w:val="0"/>
              </w:rPr>
            </w:r>
          </w:p>
        </w:tc>
        <w:tc>
          <w:tcPr>
            <w:shd w:fill="d9eaf7" w:val="clear"/>
          </w:tcPr>
          <w:p w:rsidR="00000000" w:rsidDel="00000000" w:rsidP="00000000" w:rsidRDefault="00000000" w:rsidRPr="00000000" w14:paraId="000000A5">
            <w:pPr>
              <w:spacing w:line="240" w:lineRule="auto"/>
              <w:ind w:firstLine="0"/>
              <w:rPr>
                <w:sz w:val="18"/>
                <w:szCs w:val="18"/>
              </w:rPr>
            </w:pPr>
            <w:r w:rsidDel="00000000" w:rsidR="00000000" w:rsidRPr="00000000">
              <w:rPr>
                <w:b w:val="1"/>
                <w:bCs w:val="1"/>
                <w:sz w:val="18"/>
                <w:szCs w:val="18"/>
                <w:rtl w:val="0"/>
              </w:rPr>
              <w:t xml:space="preserve">Role/use</w:t>
            </w:r>
            <w:r w:rsidDel="00000000" w:rsidR="00000000" w:rsidRPr="00000000">
              <w:rPr>
                <w:rtl w:val="0"/>
              </w:rPr>
            </w:r>
          </w:p>
        </w:tc>
        <w:tc>
          <w:tcPr>
            <w:shd w:fill="d9eaf7" w:val="clear"/>
          </w:tcPr>
          <w:p w:rsidR="00000000" w:rsidDel="00000000" w:rsidP="00000000" w:rsidRDefault="00000000" w:rsidRPr="00000000" w14:paraId="000000A6">
            <w:pPr>
              <w:spacing w:line="240" w:lineRule="auto"/>
              <w:ind w:firstLine="0"/>
              <w:rPr>
                <w:sz w:val="18"/>
                <w:szCs w:val="18"/>
              </w:rPr>
            </w:pPr>
            <w:r w:rsidDel="00000000" w:rsidR="00000000" w:rsidRPr="00000000">
              <w:rPr>
                <w:b w:val="1"/>
                <w:bCs w:val="1"/>
                <w:sz w:val="18"/>
                <w:szCs w:val="18"/>
                <w:rtl w:val="0"/>
              </w:rPr>
              <w:t xml:space="preserve">Usable labels</w:t>
            </w:r>
            <w:r w:rsidDel="00000000" w:rsidR="00000000" w:rsidRPr="00000000">
              <w:rPr>
                <w:rtl w:val="0"/>
              </w:rPr>
            </w:r>
          </w:p>
        </w:tc>
        <w:tc>
          <w:tcPr>
            <w:shd w:fill="d9eaf7" w:val="clear"/>
          </w:tcPr>
          <w:p w:rsidR="00000000" w:rsidDel="00000000" w:rsidP="00000000" w:rsidRDefault="00000000" w:rsidRPr="00000000" w14:paraId="000000A7">
            <w:pPr>
              <w:spacing w:line="240" w:lineRule="auto"/>
              <w:ind w:firstLine="0"/>
              <w:rPr>
                <w:sz w:val="18"/>
                <w:szCs w:val="18"/>
              </w:rPr>
            </w:pPr>
            <w:r w:rsidDel="00000000" w:rsidR="00000000" w:rsidRPr="00000000">
              <w:rPr>
                <w:b w:val="1"/>
                <w:bCs w:val="1"/>
                <w:sz w:val="18"/>
                <w:szCs w:val="18"/>
                <w:rtl w:val="0"/>
              </w:rPr>
              <w:t xml:space="preserve">Audit note</w:t>
            </w:r>
            <w:r w:rsidDel="00000000" w:rsidR="00000000" w:rsidRPr="00000000">
              <w:rPr>
                <w:rtl w:val="0"/>
              </w:rPr>
            </w:r>
          </w:p>
        </w:tc>
      </w:tr>
      <w:tr>
        <w:trPr>
          <w:cantSplit w:val="0"/>
          <w:tblHeader w:val="0"/>
        </w:trPr>
        <w:tc>
          <w:tcPr/>
          <w:p w:rsidR="00000000" w:rsidDel="00000000" w:rsidP="00000000" w:rsidRDefault="00000000" w:rsidRPr="00000000" w14:paraId="000000A8">
            <w:pPr>
              <w:spacing w:line="240" w:lineRule="auto"/>
              <w:ind w:firstLine="0"/>
              <w:rPr>
                <w:sz w:val="18"/>
                <w:szCs w:val="18"/>
              </w:rPr>
            </w:pPr>
            <w:r w:rsidDel="00000000" w:rsidR="00000000" w:rsidRPr="00000000">
              <w:rPr>
                <w:sz w:val="18"/>
                <w:szCs w:val="18"/>
                <w:rtl w:val="0"/>
              </w:rPr>
              <w:t xml:space="preserve">GSE25055</w:t>
            </w:r>
          </w:p>
        </w:tc>
        <w:tc>
          <w:tcPr/>
          <w:p w:rsidR="00000000" w:rsidDel="00000000" w:rsidP="00000000" w:rsidRDefault="00000000" w:rsidRPr="00000000" w14:paraId="000000A9">
            <w:pPr>
              <w:spacing w:line="240" w:lineRule="auto"/>
              <w:ind w:firstLine="0"/>
              <w:rPr>
                <w:sz w:val="18"/>
                <w:szCs w:val="18"/>
              </w:rPr>
            </w:pPr>
            <w:r w:rsidDel="00000000" w:rsidR="00000000" w:rsidRPr="00000000">
              <w:rPr>
                <w:sz w:val="18"/>
                <w:szCs w:val="18"/>
                <w:rtl w:val="0"/>
              </w:rPr>
              <w:t xml:space="preserve">Discovery/internal validation</w:t>
            </w:r>
          </w:p>
        </w:tc>
        <w:tc>
          <w:tcPr/>
          <w:p w:rsidR="00000000" w:rsidDel="00000000" w:rsidP="00000000" w:rsidRDefault="00000000" w:rsidRPr="00000000" w14:paraId="000000AA">
            <w:pPr>
              <w:spacing w:line="240" w:lineRule="auto"/>
              <w:ind w:firstLine="0"/>
              <w:rPr>
                <w:sz w:val="18"/>
                <w:szCs w:val="18"/>
              </w:rPr>
            </w:pPr>
            <w:r w:rsidDel="00000000" w:rsidR="00000000" w:rsidRPr="00000000">
              <w:rPr>
                <w:sz w:val="18"/>
                <w:szCs w:val="18"/>
                <w:rtl w:val="0"/>
              </w:rPr>
              <w:t xml:space="preserve">306 (57 pCR, 249 RD)</w:t>
            </w:r>
          </w:p>
        </w:tc>
        <w:tc>
          <w:tcPr/>
          <w:p w:rsidR="00000000" w:rsidDel="00000000" w:rsidP="00000000" w:rsidRDefault="00000000" w:rsidRPr="00000000" w14:paraId="000000AB">
            <w:pPr>
              <w:spacing w:line="240" w:lineRule="auto"/>
              <w:ind w:firstLine="0"/>
              <w:rPr>
                <w:sz w:val="18"/>
                <w:szCs w:val="18"/>
              </w:rPr>
            </w:pPr>
            <w:r w:rsidDel="00000000" w:rsidR="00000000" w:rsidRPr="00000000">
              <w:rPr>
                <w:sz w:val="18"/>
                <w:szCs w:val="18"/>
                <w:rtl w:val="0"/>
              </w:rPr>
              <w:t xml:space="preserve">GPL96; used in v1; 4 missing labels excluded.</w:t>
            </w:r>
          </w:p>
        </w:tc>
      </w:tr>
      <w:tr>
        <w:trPr>
          <w:cantSplit w:val="0"/>
          <w:tblHeader w:val="0"/>
        </w:trPr>
        <w:tc>
          <w:tcPr/>
          <w:p w:rsidR="00000000" w:rsidDel="00000000" w:rsidP="00000000" w:rsidRDefault="00000000" w:rsidRPr="00000000" w14:paraId="000000AC">
            <w:pPr>
              <w:spacing w:line="240" w:lineRule="auto"/>
              <w:ind w:firstLine="0"/>
              <w:rPr>
                <w:sz w:val="18"/>
                <w:szCs w:val="18"/>
              </w:rPr>
            </w:pPr>
            <w:r w:rsidDel="00000000" w:rsidR="00000000" w:rsidRPr="00000000">
              <w:rPr>
                <w:sz w:val="18"/>
                <w:szCs w:val="18"/>
                <w:rtl w:val="0"/>
              </w:rPr>
              <w:t xml:space="preserve">GSE25065</w:t>
            </w:r>
          </w:p>
        </w:tc>
        <w:tc>
          <w:tcPr/>
          <w:p w:rsidR="00000000" w:rsidDel="00000000" w:rsidP="00000000" w:rsidRDefault="00000000" w:rsidRPr="00000000" w14:paraId="000000AD">
            <w:pPr>
              <w:spacing w:line="240" w:lineRule="auto"/>
              <w:ind w:firstLine="0"/>
              <w:rPr>
                <w:sz w:val="18"/>
                <w:szCs w:val="18"/>
              </w:rPr>
            </w:pPr>
            <w:r w:rsidDel="00000000" w:rsidR="00000000" w:rsidRPr="00000000">
              <w:rPr>
                <w:sz w:val="18"/>
                <w:szCs w:val="18"/>
                <w:rtl w:val="0"/>
              </w:rPr>
              <w:t xml:space="preserve">External validation</w:t>
            </w:r>
          </w:p>
        </w:tc>
        <w:tc>
          <w:tcPr/>
          <w:p w:rsidR="00000000" w:rsidDel="00000000" w:rsidP="00000000" w:rsidRDefault="00000000" w:rsidRPr="00000000" w14:paraId="000000AE">
            <w:pPr>
              <w:spacing w:line="240" w:lineRule="auto"/>
              <w:ind w:firstLine="0"/>
              <w:rPr>
                <w:sz w:val="18"/>
                <w:szCs w:val="18"/>
              </w:rPr>
            </w:pPr>
            <w:r w:rsidDel="00000000" w:rsidR="00000000" w:rsidRPr="00000000">
              <w:rPr>
                <w:sz w:val="18"/>
                <w:szCs w:val="18"/>
                <w:rtl w:val="0"/>
              </w:rPr>
              <w:t xml:space="preserve">182 (42 pCR, 140 RD)</w:t>
            </w:r>
          </w:p>
        </w:tc>
        <w:tc>
          <w:tcPr/>
          <w:p w:rsidR="00000000" w:rsidDel="00000000" w:rsidP="00000000" w:rsidRDefault="00000000" w:rsidRPr="00000000" w14:paraId="000000AF">
            <w:pPr>
              <w:spacing w:line="240" w:lineRule="auto"/>
              <w:ind w:firstLine="0"/>
              <w:rPr>
                <w:sz w:val="18"/>
                <w:szCs w:val="18"/>
              </w:rPr>
            </w:pPr>
            <w:r w:rsidDel="00000000" w:rsidR="00000000" w:rsidRPr="00000000">
              <w:rPr>
                <w:sz w:val="18"/>
                <w:szCs w:val="18"/>
                <w:rtl w:val="0"/>
              </w:rPr>
              <w:t xml:space="preserve">GPL96; used in v1; 16 missing labels excluded; non-overlapping with GSE25055.</w:t>
            </w:r>
          </w:p>
        </w:tc>
      </w:tr>
      <w:tr>
        <w:trPr>
          <w:cantSplit w:val="0"/>
          <w:tblHeader w:val="0"/>
        </w:trPr>
        <w:tc>
          <w:tcPr/>
          <w:p w:rsidR="00000000" w:rsidDel="00000000" w:rsidP="00000000" w:rsidRDefault="00000000" w:rsidRPr="00000000" w14:paraId="000000B0">
            <w:pPr>
              <w:spacing w:line="240" w:lineRule="auto"/>
              <w:ind w:firstLine="0"/>
              <w:rPr>
                <w:sz w:val="18"/>
                <w:szCs w:val="18"/>
              </w:rPr>
            </w:pPr>
            <w:r w:rsidDel="00000000" w:rsidR="00000000" w:rsidRPr="00000000">
              <w:rPr>
                <w:sz w:val="18"/>
                <w:szCs w:val="18"/>
                <w:rtl w:val="0"/>
              </w:rPr>
              <w:t xml:space="preserve">GSE41998</w:t>
            </w:r>
          </w:p>
        </w:tc>
        <w:tc>
          <w:tcPr/>
          <w:p w:rsidR="00000000" w:rsidDel="00000000" w:rsidP="00000000" w:rsidRDefault="00000000" w:rsidRPr="00000000" w14:paraId="000000B1">
            <w:pPr>
              <w:spacing w:line="240" w:lineRule="auto"/>
              <w:ind w:firstLine="0"/>
              <w:rPr>
                <w:sz w:val="18"/>
                <w:szCs w:val="18"/>
              </w:rPr>
            </w:pPr>
            <w:r w:rsidDel="00000000" w:rsidR="00000000" w:rsidRPr="00000000">
              <w:rPr>
                <w:sz w:val="18"/>
                <w:szCs w:val="18"/>
                <w:rtl w:val="0"/>
              </w:rPr>
              <w:t xml:space="preserve">External validation candidate</w:t>
            </w:r>
          </w:p>
        </w:tc>
        <w:tc>
          <w:tcPr/>
          <w:p w:rsidR="00000000" w:rsidDel="00000000" w:rsidP="00000000" w:rsidRDefault="00000000" w:rsidRPr="00000000" w14:paraId="000000B2">
            <w:pPr>
              <w:spacing w:line="240" w:lineRule="auto"/>
              <w:ind w:firstLine="0"/>
              <w:rPr>
                <w:sz w:val="18"/>
                <w:szCs w:val="18"/>
              </w:rPr>
            </w:pPr>
            <w:r w:rsidDel="00000000" w:rsidR="00000000" w:rsidRPr="00000000">
              <w:rPr>
                <w:sz w:val="18"/>
                <w:szCs w:val="18"/>
                <w:rtl w:val="0"/>
              </w:rPr>
              <w:t xml:space="preserve">253 evaluable (69 pCR, 184 RD)</w:t>
            </w:r>
          </w:p>
        </w:tc>
        <w:tc>
          <w:tcPr/>
          <w:p w:rsidR="00000000" w:rsidDel="00000000" w:rsidP="00000000" w:rsidRDefault="00000000" w:rsidRPr="00000000" w14:paraId="000000B3">
            <w:pPr>
              <w:spacing w:line="240" w:lineRule="auto"/>
              <w:ind w:firstLine="0"/>
              <w:rPr>
                <w:sz w:val="18"/>
                <w:szCs w:val="18"/>
              </w:rPr>
            </w:pPr>
            <w:r w:rsidDel="00000000" w:rsidR="00000000" w:rsidRPr="00000000">
              <w:rPr>
                <w:sz w:val="18"/>
                <w:szCs w:val="18"/>
                <w:rtl w:val="0"/>
              </w:rPr>
              <w:t xml:space="preserve">GPL571; held for future analysis because 26 labels are unresolved/missing and cross-platform harmonization is needed.</w:t>
            </w:r>
          </w:p>
        </w:tc>
      </w:tr>
      <w:tr>
        <w:trPr>
          <w:cantSplit w:val="0"/>
          <w:tblHeader w:val="0"/>
        </w:trPr>
        <w:tc>
          <w:tcPr/>
          <w:p w:rsidR="00000000" w:rsidDel="00000000" w:rsidP="00000000" w:rsidRDefault="00000000" w:rsidRPr="00000000" w14:paraId="000000B4">
            <w:pPr>
              <w:spacing w:line="240" w:lineRule="auto"/>
              <w:ind w:firstLine="0"/>
              <w:rPr>
                <w:sz w:val="18"/>
                <w:szCs w:val="18"/>
              </w:rPr>
            </w:pPr>
            <w:r w:rsidDel="00000000" w:rsidR="00000000" w:rsidRPr="00000000">
              <w:rPr>
                <w:sz w:val="18"/>
                <w:szCs w:val="18"/>
                <w:rtl w:val="0"/>
              </w:rPr>
              <w:t xml:space="preserve">GSE20194</w:t>
            </w:r>
          </w:p>
        </w:tc>
        <w:tc>
          <w:tcPr/>
          <w:p w:rsidR="00000000" w:rsidDel="00000000" w:rsidP="00000000" w:rsidRDefault="00000000" w:rsidRPr="00000000" w14:paraId="000000B5">
            <w:pPr>
              <w:spacing w:line="240" w:lineRule="auto"/>
              <w:ind w:firstLine="0"/>
              <w:rPr>
                <w:sz w:val="18"/>
                <w:szCs w:val="18"/>
              </w:rPr>
            </w:pPr>
            <w:r w:rsidDel="00000000" w:rsidR="00000000" w:rsidRPr="00000000">
              <w:rPr>
                <w:sz w:val="18"/>
                <w:szCs w:val="18"/>
                <w:rtl w:val="0"/>
              </w:rPr>
              <w:t xml:space="preserve">Sensitivity candidate</w:t>
            </w:r>
          </w:p>
        </w:tc>
        <w:tc>
          <w:tcPr/>
          <w:p w:rsidR="00000000" w:rsidDel="00000000" w:rsidP="00000000" w:rsidRDefault="00000000" w:rsidRPr="00000000" w14:paraId="000000B6">
            <w:pPr>
              <w:spacing w:line="240" w:lineRule="auto"/>
              <w:ind w:firstLine="0"/>
              <w:rPr>
                <w:sz w:val="18"/>
                <w:szCs w:val="18"/>
              </w:rPr>
            </w:pPr>
            <w:r w:rsidDel="00000000" w:rsidR="00000000" w:rsidRPr="00000000">
              <w:rPr>
                <w:sz w:val="18"/>
                <w:szCs w:val="18"/>
                <w:rtl w:val="0"/>
              </w:rPr>
              <w:t xml:space="preserve">278 (56 pCR, 222 RD)</w:t>
            </w:r>
          </w:p>
        </w:tc>
        <w:tc>
          <w:tcPr/>
          <w:p w:rsidR="00000000" w:rsidDel="00000000" w:rsidP="00000000" w:rsidRDefault="00000000" w:rsidRPr="00000000" w14:paraId="000000B7">
            <w:pPr>
              <w:spacing w:line="240" w:lineRule="auto"/>
              <w:ind w:firstLine="0"/>
              <w:rPr>
                <w:sz w:val="18"/>
                <w:szCs w:val="18"/>
              </w:rPr>
            </w:pPr>
            <w:r w:rsidDel="00000000" w:rsidR="00000000" w:rsidRPr="00000000">
              <w:rPr>
                <w:sz w:val="18"/>
                <w:szCs w:val="18"/>
                <w:rtl w:val="0"/>
              </w:rPr>
              <w:t xml:space="preserve">GPL96; held because of MDACC lineage overlap risk.</w:t>
            </w:r>
          </w:p>
        </w:tc>
      </w:tr>
      <w:tr>
        <w:trPr>
          <w:cantSplit w:val="0"/>
          <w:tblHeader w:val="0"/>
        </w:trPr>
        <w:tc>
          <w:tcPr/>
          <w:p w:rsidR="00000000" w:rsidDel="00000000" w:rsidP="00000000" w:rsidRDefault="00000000" w:rsidRPr="00000000" w14:paraId="000000B8">
            <w:pPr>
              <w:spacing w:line="240" w:lineRule="auto"/>
              <w:ind w:firstLine="0"/>
              <w:rPr>
                <w:sz w:val="18"/>
                <w:szCs w:val="18"/>
              </w:rPr>
            </w:pPr>
            <w:r w:rsidDel="00000000" w:rsidR="00000000" w:rsidRPr="00000000">
              <w:rPr>
                <w:sz w:val="18"/>
                <w:szCs w:val="18"/>
                <w:rtl w:val="0"/>
              </w:rPr>
              <w:t xml:space="preserve">GSE20271</w:t>
            </w:r>
          </w:p>
        </w:tc>
        <w:tc>
          <w:tcPr/>
          <w:p w:rsidR="00000000" w:rsidDel="00000000" w:rsidP="00000000" w:rsidRDefault="00000000" w:rsidRPr="00000000" w14:paraId="000000B9">
            <w:pPr>
              <w:spacing w:line="240" w:lineRule="auto"/>
              <w:ind w:firstLine="0"/>
              <w:rPr>
                <w:sz w:val="18"/>
                <w:szCs w:val="18"/>
              </w:rPr>
            </w:pPr>
            <w:r w:rsidDel="00000000" w:rsidR="00000000" w:rsidRPr="00000000">
              <w:rPr>
                <w:sz w:val="18"/>
                <w:szCs w:val="18"/>
                <w:rtl w:val="0"/>
              </w:rPr>
              <w:t xml:space="preserve">Sensitivity candidate</w:t>
            </w:r>
          </w:p>
        </w:tc>
        <w:tc>
          <w:tcPr/>
          <w:p w:rsidR="00000000" w:rsidDel="00000000" w:rsidP="00000000" w:rsidRDefault="00000000" w:rsidRPr="00000000" w14:paraId="000000BA">
            <w:pPr>
              <w:spacing w:line="240" w:lineRule="auto"/>
              <w:ind w:firstLine="0"/>
              <w:rPr>
                <w:sz w:val="18"/>
                <w:szCs w:val="18"/>
              </w:rPr>
            </w:pPr>
            <w:r w:rsidDel="00000000" w:rsidR="00000000" w:rsidRPr="00000000">
              <w:rPr>
                <w:sz w:val="18"/>
                <w:szCs w:val="18"/>
                <w:rtl w:val="0"/>
              </w:rPr>
              <w:t xml:space="preserve">178 (26 pCR, 152 RD)</w:t>
            </w:r>
          </w:p>
        </w:tc>
        <w:tc>
          <w:tcPr/>
          <w:p w:rsidR="00000000" w:rsidDel="00000000" w:rsidP="00000000" w:rsidRDefault="00000000" w:rsidRPr="00000000" w14:paraId="000000BB">
            <w:pPr>
              <w:spacing w:line="240" w:lineRule="auto"/>
              <w:ind w:firstLine="0"/>
              <w:rPr>
                <w:sz w:val="18"/>
                <w:szCs w:val="18"/>
              </w:rPr>
            </w:pPr>
            <w:r w:rsidDel="00000000" w:rsidR="00000000" w:rsidRPr="00000000">
              <w:rPr>
                <w:sz w:val="18"/>
                <w:szCs w:val="18"/>
                <w:rtl w:val="0"/>
              </w:rPr>
              <w:t xml:space="preserve">GPL96; held because of MDACC lineage overlap risk.</w:t>
            </w:r>
          </w:p>
        </w:tc>
      </w:tr>
    </w:tbl>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GSE41998, GSE20194, and GSE20271 are included here for audit transparency but were not used in the current modeling results. pCR = pathological complete response; RD = residual disease.</w:t>
      </w:r>
    </w:p>
    <w:p w:rsidR="00000000" w:rsidDel="00000000" w:rsidP="00000000" w:rsidRDefault="00000000" w:rsidRPr="00000000" w14:paraId="000000BD">
      <w:pPr>
        <w:pStyle w:val="Heading2"/>
        <w:rPr/>
      </w:pPr>
      <w:r w:rsidDel="00000000" w:rsidR="00000000" w:rsidRPr="00000000">
        <w:rPr>
          <w:b w:val="0"/>
          <w:bCs w:val="0"/>
          <w:rtl w:val="0"/>
        </w:rPr>
        <w:t xml:space="preserve">Leaky versus guarded nested SMO/SVM performance</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To quantify the impact of feature-selection leakage, two pipelines were compared on the GSE25055 discovery cohort: a leaky baseline in which feature selection was performed once on the full dataset before cross-validation, and a guarded nested pipeline in which feature selection was confined to training partitions within the validation structure.</w:t>
      </w:r>
    </w:p>
    <w:p w:rsidR="00000000" w:rsidDel="00000000" w:rsidP="00000000" w:rsidRDefault="00000000" w:rsidRPr="00000000" w14:paraId="000000BF">
      <w:pPr>
        <w:rPr/>
      </w:pPr>
      <w:r w:rsidDel="00000000" w:rsidR="00000000" w:rsidRPr="00000000">
        <w:rPr>
          <w:rtl w:val="0"/>
        </w:rPr>
        <w:t xml:space="preserve">The leaky baseline produced higher headline discrimination than the guarded nested pipeline. The leaky pipeline achieved AUROC 0.7705 and PR-AUC 0.4020, compared with AUROC 0.7265 and PR-AUC 0.3656 for the guarded nested pipeline. The resulting leakage gaps were +0.0440 in AUROC and +0.0363 in PR-AUC, consistent with optimistic inflation of ranking-based discrimination when feature selection is not isolated within validation folds.</w:t>
      </w:r>
    </w:p>
    <w:p w:rsidR="00000000" w:rsidDel="00000000" w:rsidP="00000000" w:rsidRDefault="00000000" w:rsidRPr="00000000" w14:paraId="000000C0">
      <w:pPr>
        <w:rPr/>
      </w:pPr>
      <w:r w:rsidDel="00000000" w:rsidR="00000000" w:rsidRPr="00000000">
        <w:rPr>
          <w:rtl w:val="0"/>
        </w:rPr>
        <w:t xml:space="preserve">The leaky pipeline inflated threshold-independent discrimination metrics, whereas operating-point metrics varied under class imbalance and should be interpreted cautiously. Relative to the leaky baseline, the guarded nested pipeline values for balanced accuracy (0.5546 to 0.5792), Matthews correlation coefficient (0.2063 to 0.2250), and sensitivity for the minority pCR class (0.1333 to 0.2105) shifted alongside a modest decrease in specificity (0.9759 to 0.9478). These results should be read as a methodological demonstration of leakage sensitivity rather than evidence of a clinically actionable classifier; minority-class sensitivity remained low in absolute terms under both pipelines.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Leaky Versus Guarded Nested SMO/SVM Performance on GSE25055</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0C3">
            <w:pPr>
              <w:rPr/>
            </w:pPr>
            <w:r w:rsidDel="00000000" w:rsidR="00000000" w:rsidRPr="00000000">
              <w:rPr>
                <w:b w:val="1"/>
                <w:bCs w:val="1"/>
                <w:sz w:val="15"/>
                <w:szCs w:val="15"/>
                <w:rtl w:val="0"/>
              </w:rPr>
              <w:t xml:space="preserve">Metric</w:t>
            </w:r>
            <w:r w:rsidDel="00000000" w:rsidR="00000000" w:rsidRPr="00000000">
              <w:rPr>
                <w:rtl w:val="0"/>
              </w:rPr>
            </w:r>
          </w:p>
        </w:tc>
        <w:tc>
          <w:tcPr>
            <w:shd w:fill="d9eaf7" w:val="clear"/>
          </w:tcPr>
          <w:p w:rsidR="00000000" w:rsidDel="00000000" w:rsidP="00000000" w:rsidRDefault="00000000" w:rsidRPr="00000000" w14:paraId="000000C4">
            <w:pPr>
              <w:rPr/>
            </w:pPr>
            <w:r w:rsidDel="00000000" w:rsidR="00000000" w:rsidRPr="00000000">
              <w:rPr>
                <w:b w:val="1"/>
                <w:bCs w:val="1"/>
                <w:sz w:val="15"/>
                <w:szCs w:val="15"/>
                <w:rtl w:val="0"/>
              </w:rPr>
              <w:t xml:space="preserve">Leaky baseline</w:t>
            </w:r>
            <w:r w:rsidDel="00000000" w:rsidR="00000000" w:rsidRPr="00000000">
              <w:rPr>
                <w:rtl w:val="0"/>
              </w:rPr>
            </w:r>
          </w:p>
        </w:tc>
        <w:tc>
          <w:tcPr>
            <w:shd w:fill="d9eaf7" w:val="clear"/>
          </w:tcPr>
          <w:p w:rsidR="00000000" w:rsidDel="00000000" w:rsidP="00000000" w:rsidRDefault="00000000" w:rsidRPr="00000000" w14:paraId="000000C5">
            <w:pPr>
              <w:rPr/>
            </w:pPr>
            <w:r w:rsidDel="00000000" w:rsidR="00000000" w:rsidRPr="00000000">
              <w:rPr>
                <w:b w:val="1"/>
                <w:bCs w:val="1"/>
                <w:sz w:val="15"/>
                <w:szCs w:val="15"/>
                <w:rtl w:val="0"/>
              </w:rPr>
              <w:t xml:space="preserve">Guarded nested SMO/SVM</w:t>
            </w:r>
            <w:r w:rsidDel="00000000" w:rsidR="00000000" w:rsidRPr="00000000">
              <w:rPr>
                <w:rtl w:val="0"/>
              </w:rPr>
            </w:r>
          </w:p>
        </w:tc>
        <w:tc>
          <w:tcPr>
            <w:shd w:fill="d9eaf7" w:val="clear"/>
          </w:tcPr>
          <w:p w:rsidR="00000000" w:rsidDel="00000000" w:rsidP="00000000" w:rsidRDefault="00000000" w:rsidRPr="00000000" w14:paraId="000000C6">
            <w:pPr>
              <w:rPr/>
            </w:pPr>
            <w:r w:rsidDel="00000000" w:rsidR="00000000" w:rsidRPr="00000000">
              <w:rPr>
                <w:b w:val="1"/>
                <w:bCs w:val="1"/>
                <w:sz w:val="15"/>
                <w:szCs w:val="15"/>
                <w:rtl w:val="0"/>
              </w:rPr>
              <w:t xml:space="preserve">Leaky - guarded gap</w:t>
            </w:r>
            <w:r w:rsidDel="00000000" w:rsidR="00000000" w:rsidRPr="00000000">
              <w:rPr>
                <w:rtl w:val="0"/>
              </w:rPr>
            </w:r>
          </w:p>
        </w:tc>
      </w:tr>
      <w:tr>
        <w:trPr>
          <w:cantSplit w:val="0"/>
          <w:tblHeader w:val="0"/>
        </w:trPr>
        <w:tc>
          <w:tcPr/>
          <w:p w:rsidR="00000000" w:rsidDel="00000000" w:rsidP="00000000" w:rsidRDefault="00000000" w:rsidRPr="00000000" w14:paraId="000000C7">
            <w:pPr>
              <w:rPr/>
            </w:pPr>
            <w:r w:rsidDel="00000000" w:rsidR="00000000" w:rsidRPr="00000000">
              <w:rPr>
                <w:sz w:val="15"/>
                <w:szCs w:val="15"/>
                <w:rtl w:val="0"/>
              </w:rPr>
              <w:t xml:space="preserve">AUROC</w:t>
            </w:r>
            <w:r w:rsidDel="00000000" w:rsidR="00000000" w:rsidRPr="00000000">
              <w:rPr>
                <w:rtl w:val="0"/>
              </w:rPr>
            </w:r>
          </w:p>
        </w:tc>
        <w:tc>
          <w:tcPr/>
          <w:p w:rsidR="00000000" w:rsidDel="00000000" w:rsidP="00000000" w:rsidRDefault="00000000" w:rsidRPr="00000000" w14:paraId="000000C8">
            <w:pPr>
              <w:rPr/>
            </w:pPr>
            <w:r w:rsidDel="00000000" w:rsidR="00000000" w:rsidRPr="00000000">
              <w:rPr>
                <w:sz w:val="15"/>
                <w:szCs w:val="15"/>
                <w:rtl w:val="0"/>
              </w:rPr>
              <w:t xml:space="preserve">0.7705</w:t>
            </w:r>
            <w:r w:rsidDel="00000000" w:rsidR="00000000" w:rsidRPr="00000000">
              <w:rPr>
                <w:rtl w:val="0"/>
              </w:rPr>
            </w:r>
          </w:p>
        </w:tc>
        <w:tc>
          <w:tcPr/>
          <w:p w:rsidR="00000000" w:rsidDel="00000000" w:rsidP="00000000" w:rsidRDefault="00000000" w:rsidRPr="00000000" w14:paraId="000000C9">
            <w:pPr>
              <w:rPr/>
            </w:pPr>
            <w:r w:rsidDel="00000000" w:rsidR="00000000" w:rsidRPr="00000000">
              <w:rPr>
                <w:sz w:val="15"/>
                <w:szCs w:val="15"/>
                <w:rtl w:val="0"/>
              </w:rPr>
              <w:t xml:space="preserve">0.7265</w:t>
            </w:r>
            <w:r w:rsidDel="00000000" w:rsidR="00000000" w:rsidRPr="00000000">
              <w:rPr>
                <w:rtl w:val="0"/>
              </w:rPr>
            </w:r>
          </w:p>
        </w:tc>
        <w:tc>
          <w:tcPr/>
          <w:p w:rsidR="00000000" w:rsidDel="00000000" w:rsidP="00000000" w:rsidRDefault="00000000" w:rsidRPr="00000000" w14:paraId="000000CA">
            <w:pPr>
              <w:rPr/>
            </w:pPr>
            <w:r w:rsidDel="00000000" w:rsidR="00000000" w:rsidRPr="00000000">
              <w:rPr>
                <w:sz w:val="15"/>
                <w:szCs w:val="15"/>
                <w:rtl w:val="0"/>
              </w:rPr>
              <w:t xml:space="preserve">+0.0440</w:t>
            </w:r>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sz w:val="15"/>
                <w:szCs w:val="15"/>
                <w:rtl w:val="0"/>
              </w:rPr>
              <w:t xml:space="preserve">PR-AUC</w:t>
            </w:r>
            <w:r w:rsidDel="00000000" w:rsidR="00000000" w:rsidRPr="00000000">
              <w:rPr>
                <w:rtl w:val="0"/>
              </w:rPr>
            </w:r>
          </w:p>
        </w:tc>
        <w:tc>
          <w:tcPr/>
          <w:p w:rsidR="00000000" w:rsidDel="00000000" w:rsidP="00000000" w:rsidRDefault="00000000" w:rsidRPr="00000000" w14:paraId="000000CC">
            <w:pPr>
              <w:rPr/>
            </w:pPr>
            <w:r w:rsidDel="00000000" w:rsidR="00000000" w:rsidRPr="00000000">
              <w:rPr>
                <w:sz w:val="15"/>
                <w:szCs w:val="15"/>
                <w:rtl w:val="0"/>
              </w:rPr>
              <w:t xml:space="preserve">0.4020</w:t>
            </w:r>
            <w:r w:rsidDel="00000000" w:rsidR="00000000" w:rsidRPr="00000000">
              <w:rPr>
                <w:rtl w:val="0"/>
              </w:rPr>
            </w:r>
          </w:p>
        </w:tc>
        <w:tc>
          <w:tcPr/>
          <w:p w:rsidR="00000000" w:rsidDel="00000000" w:rsidP="00000000" w:rsidRDefault="00000000" w:rsidRPr="00000000" w14:paraId="000000CD">
            <w:pPr>
              <w:rPr/>
            </w:pPr>
            <w:r w:rsidDel="00000000" w:rsidR="00000000" w:rsidRPr="00000000">
              <w:rPr>
                <w:sz w:val="15"/>
                <w:szCs w:val="15"/>
                <w:rtl w:val="0"/>
              </w:rPr>
              <w:t xml:space="preserve">0.3656</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15"/>
                <w:szCs w:val="15"/>
                <w:rtl w:val="0"/>
              </w:rPr>
              <w:t xml:space="preserve">+0.0363</w:t>
            </w: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sz w:val="15"/>
                <w:szCs w:val="15"/>
                <w:rtl w:val="0"/>
              </w:rPr>
              <w:t xml:space="preserve">Balanced accuracy</w:t>
            </w:r>
            <w:r w:rsidDel="00000000" w:rsidR="00000000" w:rsidRPr="00000000">
              <w:rPr>
                <w:rtl w:val="0"/>
              </w:rPr>
            </w:r>
          </w:p>
        </w:tc>
        <w:tc>
          <w:tcPr/>
          <w:p w:rsidR="00000000" w:rsidDel="00000000" w:rsidP="00000000" w:rsidRDefault="00000000" w:rsidRPr="00000000" w14:paraId="000000D0">
            <w:pPr>
              <w:rPr/>
            </w:pPr>
            <w:r w:rsidDel="00000000" w:rsidR="00000000" w:rsidRPr="00000000">
              <w:rPr>
                <w:sz w:val="15"/>
                <w:szCs w:val="15"/>
                <w:rtl w:val="0"/>
              </w:rPr>
              <w:t xml:space="preserve">0.5546</w:t>
            </w:r>
            <w:r w:rsidDel="00000000" w:rsidR="00000000" w:rsidRPr="00000000">
              <w:rPr>
                <w:rtl w:val="0"/>
              </w:rPr>
            </w:r>
          </w:p>
        </w:tc>
        <w:tc>
          <w:tcPr/>
          <w:p w:rsidR="00000000" w:rsidDel="00000000" w:rsidP="00000000" w:rsidRDefault="00000000" w:rsidRPr="00000000" w14:paraId="000000D1">
            <w:pPr>
              <w:rPr/>
            </w:pPr>
            <w:r w:rsidDel="00000000" w:rsidR="00000000" w:rsidRPr="00000000">
              <w:rPr>
                <w:sz w:val="15"/>
                <w:szCs w:val="15"/>
                <w:rtl w:val="0"/>
              </w:rPr>
              <w:t xml:space="preserve">0.5792</w:t>
            </w:r>
            <w:r w:rsidDel="00000000" w:rsidR="00000000" w:rsidRPr="00000000">
              <w:rPr>
                <w:rtl w:val="0"/>
              </w:rPr>
            </w:r>
          </w:p>
        </w:tc>
        <w:tc>
          <w:tcPr/>
          <w:p w:rsidR="00000000" w:rsidDel="00000000" w:rsidP="00000000" w:rsidRDefault="00000000" w:rsidRPr="00000000" w14:paraId="000000D2">
            <w:pPr>
              <w:rPr/>
            </w:pPr>
            <w:r w:rsidDel="00000000" w:rsidR="00000000" w:rsidRPr="00000000">
              <w:rPr>
                <w:sz w:val="15"/>
                <w:szCs w:val="15"/>
                <w:rtl w:val="0"/>
              </w:rPr>
              <w:t xml:space="preserve">-0.0246</w:t>
            </w:r>
            <w:r w:rsidDel="00000000" w:rsidR="00000000" w:rsidRPr="00000000">
              <w:rPr>
                <w:rtl w:val="0"/>
              </w:rPr>
            </w:r>
          </w:p>
        </w:tc>
      </w:tr>
      <w:tr>
        <w:trPr>
          <w:cantSplit w:val="0"/>
          <w:tblHeader w:val="0"/>
        </w:trPr>
        <w:tc>
          <w:tcPr/>
          <w:p w:rsidR="00000000" w:rsidDel="00000000" w:rsidP="00000000" w:rsidRDefault="00000000" w:rsidRPr="00000000" w14:paraId="000000D3">
            <w:pPr>
              <w:rPr/>
            </w:pPr>
            <w:r w:rsidDel="00000000" w:rsidR="00000000" w:rsidRPr="00000000">
              <w:rPr>
                <w:sz w:val="15"/>
                <w:szCs w:val="15"/>
                <w:rtl w:val="0"/>
              </w:rPr>
              <w:t xml:space="preserve">MCC</w:t>
            </w:r>
            <w:r w:rsidDel="00000000" w:rsidR="00000000" w:rsidRPr="00000000">
              <w:rPr>
                <w:rtl w:val="0"/>
              </w:rPr>
            </w:r>
          </w:p>
        </w:tc>
        <w:tc>
          <w:tcPr/>
          <w:p w:rsidR="00000000" w:rsidDel="00000000" w:rsidP="00000000" w:rsidRDefault="00000000" w:rsidRPr="00000000" w14:paraId="000000D4">
            <w:pPr>
              <w:rPr/>
            </w:pPr>
            <w:r w:rsidDel="00000000" w:rsidR="00000000" w:rsidRPr="00000000">
              <w:rPr>
                <w:sz w:val="15"/>
                <w:szCs w:val="15"/>
                <w:rtl w:val="0"/>
              </w:rPr>
              <w:t xml:space="preserve">0.2063</w:t>
            </w:r>
            <w:r w:rsidDel="00000000" w:rsidR="00000000" w:rsidRPr="00000000">
              <w:rPr>
                <w:rtl w:val="0"/>
              </w:rPr>
            </w:r>
          </w:p>
        </w:tc>
        <w:tc>
          <w:tcPr/>
          <w:p w:rsidR="00000000" w:rsidDel="00000000" w:rsidP="00000000" w:rsidRDefault="00000000" w:rsidRPr="00000000" w14:paraId="000000D5">
            <w:pPr>
              <w:rPr/>
            </w:pPr>
            <w:r w:rsidDel="00000000" w:rsidR="00000000" w:rsidRPr="00000000">
              <w:rPr>
                <w:sz w:val="15"/>
                <w:szCs w:val="15"/>
                <w:rtl w:val="0"/>
              </w:rPr>
              <w:t xml:space="preserve">0.2250</w:t>
            </w:r>
            <w:r w:rsidDel="00000000" w:rsidR="00000000" w:rsidRPr="00000000">
              <w:rPr>
                <w:rtl w:val="0"/>
              </w:rPr>
            </w:r>
          </w:p>
        </w:tc>
        <w:tc>
          <w:tcPr/>
          <w:p w:rsidR="00000000" w:rsidDel="00000000" w:rsidP="00000000" w:rsidRDefault="00000000" w:rsidRPr="00000000" w14:paraId="000000D6">
            <w:pPr>
              <w:rPr/>
            </w:pPr>
            <w:r w:rsidDel="00000000" w:rsidR="00000000" w:rsidRPr="00000000">
              <w:rPr>
                <w:sz w:val="15"/>
                <w:szCs w:val="15"/>
                <w:rtl w:val="0"/>
              </w:rPr>
              <w:t xml:space="preserve">-0.0187</w:t>
            </w:r>
            <w:r w:rsidDel="00000000" w:rsidR="00000000" w:rsidRPr="00000000">
              <w:rPr>
                <w:rtl w:val="0"/>
              </w:rPr>
            </w:r>
          </w:p>
        </w:tc>
      </w:tr>
      <w:tr>
        <w:trPr>
          <w:cantSplit w:val="0"/>
          <w:tblHeader w:val="0"/>
        </w:trPr>
        <w:tc>
          <w:tcPr/>
          <w:p w:rsidR="00000000" w:rsidDel="00000000" w:rsidP="00000000" w:rsidRDefault="00000000" w:rsidRPr="00000000" w14:paraId="000000D7">
            <w:pPr>
              <w:rPr/>
            </w:pPr>
            <w:r w:rsidDel="00000000" w:rsidR="00000000" w:rsidRPr="00000000">
              <w:rPr>
                <w:sz w:val="15"/>
                <w:szCs w:val="15"/>
                <w:rtl w:val="0"/>
              </w:rPr>
              <w:t xml:space="preserve">Sensitivity</w:t>
            </w:r>
            <w:r w:rsidDel="00000000" w:rsidR="00000000" w:rsidRPr="00000000">
              <w:rPr>
                <w:rtl w:val="0"/>
              </w:rPr>
            </w:r>
          </w:p>
        </w:tc>
        <w:tc>
          <w:tcPr/>
          <w:p w:rsidR="00000000" w:rsidDel="00000000" w:rsidP="00000000" w:rsidRDefault="00000000" w:rsidRPr="00000000" w14:paraId="000000D8">
            <w:pPr>
              <w:rPr/>
            </w:pPr>
            <w:r w:rsidDel="00000000" w:rsidR="00000000" w:rsidRPr="00000000">
              <w:rPr>
                <w:sz w:val="15"/>
                <w:szCs w:val="15"/>
                <w:rtl w:val="0"/>
              </w:rPr>
              <w:t xml:space="preserve">0.1333</w:t>
            </w:r>
            <w:r w:rsidDel="00000000" w:rsidR="00000000" w:rsidRPr="00000000">
              <w:rPr>
                <w:rtl w:val="0"/>
              </w:rPr>
            </w:r>
          </w:p>
        </w:tc>
        <w:tc>
          <w:tcPr/>
          <w:p w:rsidR="00000000" w:rsidDel="00000000" w:rsidP="00000000" w:rsidRDefault="00000000" w:rsidRPr="00000000" w14:paraId="000000D9">
            <w:pPr>
              <w:rPr/>
            </w:pPr>
            <w:r w:rsidDel="00000000" w:rsidR="00000000" w:rsidRPr="00000000">
              <w:rPr>
                <w:sz w:val="15"/>
                <w:szCs w:val="15"/>
                <w:rtl w:val="0"/>
              </w:rPr>
              <w:t xml:space="preserve">0.2105</w:t>
            </w:r>
            <w:r w:rsidDel="00000000" w:rsidR="00000000" w:rsidRPr="00000000">
              <w:rPr>
                <w:rtl w:val="0"/>
              </w:rPr>
            </w:r>
          </w:p>
        </w:tc>
        <w:tc>
          <w:tcPr/>
          <w:p w:rsidR="00000000" w:rsidDel="00000000" w:rsidP="00000000" w:rsidRDefault="00000000" w:rsidRPr="00000000" w14:paraId="000000DA">
            <w:pPr>
              <w:rPr/>
            </w:pPr>
            <w:r w:rsidDel="00000000" w:rsidR="00000000" w:rsidRPr="00000000">
              <w:rPr>
                <w:sz w:val="15"/>
                <w:szCs w:val="15"/>
                <w:rtl w:val="0"/>
              </w:rPr>
              <w:t xml:space="preserve">-0.0772</w:t>
            </w:r>
            <w:r w:rsidDel="00000000" w:rsidR="00000000" w:rsidRPr="00000000">
              <w:rPr>
                <w:rtl w:val="0"/>
              </w:rPr>
            </w:r>
          </w:p>
        </w:tc>
      </w:tr>
      <w:tr>
        <w:trPr>
          <w:cantSplit w:val="0"/>
          <w:tblHeader w:val="0"/>
        </w:trPr>
        <w:tc>
          <w:tcPr/>
          <w:p w:rsidR="00000000" w:rsidDel="00000000" w:rsidP="00000000" w:rsidRDefault="00000000" w:rsidRPr="00000000" w14:paraId="000000DB">
            <w:pPr>
              <w:rPr/>
            </w:pPr>
            <w:r w:rsidDel="00000000" w:rsidR="00000000" w:rsidRPr="00000000">
              <w:rPr>
                <w:sz w:val="15"/>
                <w:szCs w:val="15"/>
                <w:rtl w:val="0"/>
              </w:rPr>
              <w:t xml:space="preserve">Specificity</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15"/>
                <w:szCs w:val="15"/>
                <w:rtl w:val="0"/>
              </w:rPr>
              <w:t xml:space="preserve">0.9759</w:t>
            </w:r>
            <w:r w:rsidDel="00000000" w:rsidR="00000000" w:rsidRPr="00000000">
              <w:rPr>
                <w:rtl w:val="0"/>
              </w:rPr>
            </w:r>
          </w:p>
        </w:tc>
        <w:tc>
          <w:tcPr/>
          <w:p w:rsidR="00000000" w:rsidDel="00000000" w:rsidP="00000000" w:rsidRDefault="00000000" w:rsidRPr="00000000" w14:paraId="000000DD">
            <w:pPr>
              <w:rPr/>
            </w:pPr>
            <w:r w:rsidDel="00000000" w:rsidR="00000000" w:rsidRPr="00000000">
              <w:rPr>
                <w:sz w:val="15"/>
                <w:szCs w:val="15"/>
                <w:rtl w:val="0"/>
              </w:rPr>
              <w:t xml:space="preserve">0.9478</w:t>
            </w:r>
            <w:r w:rsidDel="00000000" w:rsidR="00000000" w:rsidRPr="00000000">
              <w:rPr>
                <w:rtl w:val="0"/>
              </w:rPr>
            </w:r>
          </w:p>
        </w:tc>
        <w:tc>
          <w:tcPr/>
          <w:p w:rsidR="00000000" w:rsidDel="00000000" w:rsidP="00000000" w:rsidRDefault="00000000" w:rsidRPr="00000000" w14:paraId="000000DE">
            <w:pPr>
              <w:rPr/>
            </w:pPr>
            <w:r w:rsidDel="00000000" w:rsidR="00000000" w:rsidRPr="00000000">
              <w:rPr>
                <w:sz w:val="15"/>
                <w:szCs w:val="15"/>
                <w:rtl w:val="0"/>
              </w:rPr>
              <w:t xml:space="preserve">+0.0281</w:t>
            </w:r>
            <w:r w:rsidDel="00000000" w:rsidR="00000000" w:rsidRPr="00000000">
              <w:rPr>
                <w:rtl w:val="0"/>
              </w:rPr>
            </w:r>
          </w:p>
        </w:tc>
      </w:tr>
    </w:tbl>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Positive leakage gaps for AUROC and PR-AUC indicate higher apparent discrimination under the intentionally leaky global feature-selection workflow. MCC = Matthews correlation coefficient.</w:t>
      </w:r>
    </w:p>
    <w:p w:rsidR="00000000" w:rsidDel="00000000" w:rsidP="00000000" w:rsidRDefault="00000000" w:rsidRPr="00000000" w14:paraId="000000E0">
      <w:pPr>
        <w:pStyle w:val="Heading2"/>
        <w:rPr/>
      </w:pPr>
      <w:r w:rsidDel="00000000" w:rsidR="00000000" w:rsidRPr="00000000">
        <w:rPr>
          <w:b w:val="0"/>
          <w:bCs w:val="0"/>
          <w:rtl w:val="0"/>
        </w:rPr>
        <w:t xml:space="preserve">Feature-stability audit</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Feature reproducibility was assessed across the five outer folds of the guarded nested pipeline, with the top 100 probes selected per fold from a feature universe of 22,283. Across folds, 222 unique probes were selected at least once. Of these, a stable core of 28 probes was selected in all five folds, while a large unstable tail of 102 probes was selected in only one fold. Pairwise overlap between fold-specific feature sets was moderate (mean Jaccard 0.3734, median Jaccard 0.3699), and the Nogueira stability index was 0.5409.</w:t>
      </w:r>
    </w:p>
    <w:p w:rsidR="00000000" w:rsidDel="00000000" w:rsidP="00000000" w:rsidRDefault="00000000" w:rsidRPr="00000000" w14:paraId="000000E2">
      <w:pPr>
        <w:rPr/>
      </w:pPr>
      <w:r w:rsidDel="00000000" w:rsidR="00000000" w:rsidRPr="00000000">
        <w:rPr>
          <w:rtl w:val="0"/>
        </w:rPr>
        <w:t xml:space="preserve">Taken together, these values indicate moderate feature stability: a small reproducible core of probes recurred across every fold, but a substantial fraction of selected features did not generalize across resampling. This audit characterizes reproducibility of the selection procedure rather than nominating specific probes as validated markers.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6</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Feature-Stability Summary for the Guarded Nested Pipeline</w:t>
      </w: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af7" w:val="clear"/>
          </w:tcPr>
          <w:p w:rsidR="00000000" w:rsidDel="00000000" w:rsidP="00000000" w:rsidRDefault="00000000" w:rsidRPr="00000000" w14:paraId="000000E5">
            <w:pPr>
              <w:rPr/>
            </w:pPr>
            <w:r w:rsidDel="00000000" w:rsidR="00000000" w:rsidRPr="00000000">
              <w:rPr>
                <w:b w:val="1"/>
                <w:bCs w:val="1"/>
                <w:sz w:val="15"/>
                <w:szCs w:val="15"/>
                <w:rtl w:val="0"/>
              </w:rPr>
              <w:t xml:space="preserve">Metric</w:t>
            </w:r>
            <w:r w:rsidDel="00000000" w:rsidR="00000000" w:rsidRPr="00000000">
              <w:rPr>
                <w:rtl w:val="0"/>
              </w:rPr>
            </w:r>
          </w:p>
        </w:tc>
        <w:tc>
          <w:tcPr>
            <w:shd w:fill="d9eaf7" w:val="clear"/>
          </w:tcPr>
          <w:p w:rsidR="00000000" w:rsidDel="00000000" w:rsidP="00000000" w:rsidRDefault="00000000" w:rsidRPr="00000000" w14:paraId="000000E6">
            <w:pPr>
              <w:rPr/>
            </w:pPr>
            <w:r w:rsidDel="00000000" w:rsidR="00000000" w:rsidRPr="00000000">
              <w:rPr>
                <w:b w:val="1"/>
                <w:bCs w:val="1"/>
                <w:sz w:val="15"/>
                <w:szCs w:val="15"/>
                <w:rtl w:val="0"/>
              </w:rPr>
              <w:t xml:space="preserve">Value</w:t>
            </w:r>
            <w:r w:rsidDel="00000000" w:rsidR="00000000" w:rsidRPr="00000000">
              <w:rPr>
                <w:rtl w:val="0"/>
              </w:rPr>
            </w:r>
          </w:p>
        </w:tc>
        <w:tc>
          <w:tcPr>
            <w:shd w:fill="d9eaf7" w:val="clear"/>
          </w:tcPr>
          <w:p w:rsidR="00000000" w:rsidDel="00000000" w:rsidP="00000000" w:rsidRDefault="00000000" w:rsidRPr="00000000" w14:paraId="000000E7">
            <w:pPr>
              <w:rPr/>
            </w:pPr>
            <w:r w:rsidDel="00000000" w:rsidR="00000000" w:rsidRPr="00000000">
              <w:rPr>
                <w:b w:val="1"/>
                <w:bCs w:val="1"/>
                <w:sz w:val="15"/>
                <w:szCs w:val="15"/>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0E8">
            <w:pPr>
              <w:rPr/>
            </w:pPr>
            <w:r w:rsidDel="00000000" w:rsidR="00000000" w:rsidRPr="00000000">
              <w:rPr>
                <w:sz w:val="15"/>
                <w:szCs w:val="15"/>
                <w:rtl w:val="0"/>
              </w:rPr>
              <w:t xml:space="preserve">Outer folds</w:t>
            </w:r>
            <w:r w:rsidDel="00000000" w:rsidR="00000000" w:rsidRPr="00000000">
              <w:rPr>
                <w:rtl w:val="0"/>
              </w:rPr>
            </w:r>
          </w:p>
        </w:tc>
        <w:tc>
          <w:tcPr/>
          <w:p w:rsidR="00000000" w:rsidDel="00000000" w:rsidP="00000000" w:rsidRDefault="00000000" w:rsidRPr="00000000" w14:paraId="000000E9">
            <w:pPr>
              <w:rPr/>
            </w:pPr>
            <w:r w:rsidDel="00000000" w:rsidR="00000000" w:rsidRPr="00000000">
              <w:rPr>
                <w:sz w:val="15"/>
                <w:szCs w:val="15"/>
                <w:rtl w:val="0"/>
              </w:rPr>
              <w:t xml:space="preserve">5</w:t>
            </w:r>
            <w:r w:rsidDel="00000000" w:rsidR="00000000" w:rsidRPr="00000000">
              <w:rPr>
                <w:rtl w:val="0"/>
              </w:rPr>
            </w:r>
          </w:p>
        </w:tc>
        <w:tc>
          <w:tcPr/>
          <w:p w:rsidR="00000000" w:rsidDel="00000000" w:rsidP="00000000" w:rsidRDefault="00000000" w:rsidRPr="00000000" w14:paraId="000000EA">
            <w:pPr>
              <w:rPr/>
            </w:pPr>
            <w:r w:rsidDel="00000000" w:rsidR="00000000" w:rsidRPr="00000000">
              <w:rPr>
                <w:sz w:val="15"/>
                <w:szCs w:val="15"/>
                <w:rtl w:val="0"/>
              </w:rPr>
              <w:t xml:space="preserve">Pilot-scale stability estimate</w:t>
            </w:r>
            <w:r w:rsidDel="00000000" w:rsidR="00000000" w:rsidRPr="00000000">
              <w:rPr>
                <w:rtl w:val="0"/>
              </w:rPr>
            </w:r>
          </w:p>
        </w:tc>
      </w:tr>
      <w:tr>
        <w:trPr>
          <w:cantSplit w:val="0"/>
          <w:tblHeader w:val="0"/>
        </w:trPr>
        <w:tc>
          <w:tcPr/>
          <w:p w:rsidR="00000000" w:rsidDel="00000000" w:rsidP="00000000" w:rsidRDefault="00000000" w:rsidRPr="00000000" w14:paraId="000000EB">
            <w:pPr>
              <w:rPr/>
            </w:pPr>
            <w:r w:rsidDel="00000000" w:rsidR="00000000" w:rsidRPr="00000000">
              <w:rPr>
                <w:sz w:val="15"/>
                <w:szCs w:val="15"/>
                <w:rtl w:val="0"/>
              </w:rPr>
              <w:t xml:space="preserve">Features selected per fold</w:t>
            </w:r>
            <w:r w:rsidDel="00000000" w:rsidR="00000000" w:rsidRPr="00000000">
              <w:rPr>
                <w:rtl w:val="0"/>
              </w:rPr>
            </w:r>
          </w:p>
        </w:tc>
        <w:tc>
          <w:tcPr/>
          <w:p w:rsidR="00000000" w:rsidDel="00000000" w:rsidP="00000000" w:rsidRDefault="00000000" w:rsidRPr="00000000" w14:paraId="000000EC">
            <w:pPr>
              <w:rPr/>
            </w:pPr>
            <w:r w:rsidDel="00000000" w:rsidR="00000000" w:rsidRPr="00000000">
              <w:rPr>
                <w:sz w:val="15"/>
                <w:szCs w:val="15"/>
                <w:rtl w:val="0"/>
              </w:rPr>
              <w:t xml:space="preserve">100</w:t>
            </w:r>
            <w:r w:rsidDel="00000000" w:rsidR="00000000" w:rsidRPr="00000000">
              <w:rPr>
                <w:rtl w:val="0"/>
              </w:rPr>
            </w:r>
          </w:p>
        </w:tc>
        <w:tc>
          <w:tcPr/>
          <w:p w:rsidR="00000000" w:rsidDel="00000000" w:rsidP="00000000" w:rsidRDefault="00000000" w:rsidRPr="00000000" w14:paraId="000000ED">
            <w:pPr>
              <w:rPr/>
            </w:pPr>
            <w:r w:rsidDel="00000000" w:rsidR="00000000" w:rsidRPr="00000000">
              <w:rPr>
                <w:sz w:val="15"/>
                <w:szCs w:val="15"/>
                <w:rtl w:val="0"/>
              </w:rPr>
              <w:t xml:space="preserve">Fixed top-K feature-selection setting</w:t>
            </w:r>
            <w:r w:rsidDel="00000000" w:rsidR="00000000" w:rsidRPr="00000000">
              <w:rPr>
                <w:rtl w:val="0"/>
              </w:rPr>
            </w:r>
          </w:p>
        </w:tc>
      </w:tr>
      <w:tr>
        <w:trPr>
          <w:cantSplit w:val="0"/>
          <w:tblHeader w:val="0"/>
        </w:trPr>
        <w:tc>
          <w:tcPr/>
          <w:p w:rsidR="00000000" w:rsidDel="00000000" w:rsidP="00000000" w:rsidRDefault="00000000" w:rsidRPr="00000000" w14:paraId="000000EE">
            <w:pPr>
              <w:rPr/>
            </w:pPr>
            <w:r w:rsidDel="00000000" w:rsidR="00000000" w:rsidRPr="00000000">
              <w:rPr>
                <w:sz w:val="15"/>
                <w:szCs w:val="15"/>
                <w:rtl w:val="0"/>
              </w:rPr>
              <w:t xml:space="preserve">Feature universe</w:t>
            </w:r>
            <w:r w:rsidDel="00000000" w:rsidR="00000000" w:rsidRPr="00000000">
              <w:rPr>
                <w:rtl w:val="0"/>
              </w:rPr>
            </w:r>
          </w:p>
        </w:tc>
        <w:tc>
          <w:tcPr/>
          <w:p w:rsidR="00000000" w:rsidDel="00000000" w:rsidP="00000000" w:rsidRDefault="00000000" w:rsidRPr="00000000" w14:paraId="000000EF">
            <w:pPr>
              <w:rPr/>
            </w:pPr>
            <w:r w:rsidDel="00000000" w:rsidR="00000000" w:rsidRPr="00000000">
              <w:rPr>
                <w:sz w:val="15"/>
                <w:szCs w:val="15"/>
                <w:rtl w:val="0"/>
              </w:rPr>
              <w:t xml:space="preserve">22,283</w:t>
            </w:r>
            <w:r w:rsidDel="00000000" w:rsidR="00000000" w:rsidRPr="00000000">
              <w:rPr>
                <w:rtl w:val="0"/>
              </w:rPr>
            </w:r>
          </w:p>
        </w:tc>
        <w:tc>
          <w:tcPr/>
          <w:p w:rsidR="00000000" w:rsidDel="00000000" w:rsidP="00000000" w:rsidRDefault="00000000" w:rsidRPr="00000000" w14:paraId="000000F0">
            <w:pPr>
              <w:rPr/>
            </w:pPr>
            <w:r w:rsidDel="00000000" w:rsidR="00000000" w:rsidRPr="00000000">
              <w:rPr>
                <w:sz w:val="15"/>
                <w:szCs w:val="15"/>
                <w:rtl w:val="0"/>
              </w:rPr>
              <w:t xml:space="preserve">Probe-level GPL96 feature space</w:t>
            </w:r>
            <w:r w:rsidDel="00000000" w:rsidR="00000000" w:rsidRPr="00000000">
              <w:rPr>
                <w:rtl w:val="0"/>
              </w:rPr>
            </w:r>
          </w:p>
        </w:tc>
      </w:tr>
      <w:tr>
        <w:trPr>
          <w:cantSplit w:val="0"/>
          <w:tblHeader w:val="0"/>
        </w:trPr>
        <w:tc>
          <w:tcPr/>
          <w:p w:rsidR="00000000" w:rsidDel="00000000" w:rsidP="00000000" w:rsidRDefault="00000000" w:rsidRPr="00000000" w14:paraId="000000F1">
            <w:pPr>
              <w:rPr/>
            </w:pPr>
            <w:r w:rsidDel="00000000" w:rsidR="00000000" w:rsidRPr="00000000">
              <w:rPr>
                <w:sz w:val="15"/>
                <w:szCs w:val="15"/>
                <w:rtl w:val="0"/>
              </w:rPr>
              <w:t xml:space="preserve">Total unique selected features</w:t>
            </w:r>
            <w:r w:rsidDel="00000000" w:rsidR="00000000" w:rsidRPr="00000000">
              <w:rPr>
                <w:rtl w:val="0"/>
              </w:rPr>
            </w:r>
          </w:p>
        </w:tc>
        <w:tc>
          <w:tcPr/>
          <w:p w:rsidR="00000000" w:rsidDel="00000000" w:rsidP="00000000" w:rsidRDefault="00000000" w:rsidRPr="00000000" w14:paraId="000000F2">
            <w:pPr>
              <w:rPr/>
            </w:pPr>
            <w:r w:rsidDel="00000000" w:rsidR="00000000" w:rsidRPr="00000000">
              <w:rPr>
                <w:sz w:val="15"/>
                <w:szCs w:val="15"/>
                <w:rtl w:val="0"/>
              </w:rPr>
              <w:t xml:space="preserve">222</w:t>
            </w:r>
            <w:r w:rsidDel="00000000" w:rsidR="00000000" w:rsidRPr="00000000">
              <w:rPr>
                <w:rtl w:val="0"/>
              </w:rPr>
            </w:r>
          </w:p>
        </w:tc>
        <w:tc>
          <w:tcPr/>
          <w:p w:rsidR="00000000" w:rsidDel="00000000" w:rsidP="00000000" w:rsidRDefault="00000000" w:rsidRPr="00000000" w14:paraId="000000F3">
            <w:pPr>
              <w:rPr/>
            </w:pPr>
            <w:r w:rsidDel="00000000" w:rsidR="00000000" w:rsidRPr="00000000">
              <w:rPr>
                <w:sz w:val="15"/>
                <w:szCs w:val="15"/>
                <w:rtl w:val="0"/>
              </w:rPr>
              <w:t xml:space="preserve">More features selected across folds than in any single model</w:t>
            </w:r>
            <w:r w:rsidDel="00000000" w:rsidR="00000000" w:rsidRPr="00000000">
              <w:rPr>
                <w:rtl w:val="0"/>
              </w:rPr>
            </w:r>
          </w:p>
        </w:tc>
      </w:tr>
      <w:tr>
        <w:trPr>
          <w:cantSplit w:val="0"/>
          <w:tblHeader w:val="0"/>
        </w:trPr>
        <w:tc>
          <w:tcPr/>
          <w:p w:rsidR="00000000" w:rsidDel="00000000" w:rsidP="00000000" w:rsidRDefault="00000000" w:rsidRPr="00000000" w14:paraId="000000F4">
            <w:pPr>
              <w:rPr/>
            </w:pPr>
            <w:r w:rsidDel="00000000" w:rsidR="00000000" w:rsidRPr="00000000">
              <w:rPr>
                <w:sz w:val="15"/>
                <w:szCs w:val="15"/>
                <w:rtl w:val="0"/>
              </w:rPr>
              <w:t xml:space="preserve">Selected in all 5 folds</w:t>
            </w:r>
            <w:r w:rsidDel="00000000" w:rsidR="00000000" w:rsidRPr="00000000">
              <w:rPr>
                <w:rtl w:val="0"/>
              </w:rPr>
            </w:r>
          </w:p>
        </w:tc>
        <w:tc>
          <w:tcPr/>
          <w:p w:rsidR="00000000" w:rsidDel="00000000" w:rsidP="00000000" w:rsidRDefault="00000000" w:rsidRPr="00000000" w14:paraId="000000F5">
            <w:pPr>
              <w:rPr/>
            </w:pPr>
            <w:r w:rsidDel="00000000" w:rsidR="00000000" w:rsidRPr="00000000">
              <w:rPr>
                <w:sz w:val="15"/>
                <w:szCs w:val="15"/>
                <w:rtl w:val="0"/>
              </w:rPr>
              <w:t xml:space="preserve">28</w:t>
            </w:r>
            <w:r w:rsidDel="00000000" w:rsidR="00000000" w:rsidRPr="00000000">
              <w:rPr>
                <w:rtl w:val="0"/>
              </w:rPr>
            </w:r>
          </w:p>
        </w:tc>
        <w:tc>
          <w:tcPr/>
          <w:p w:rsidR="00000000" w:rsidDel="00000000" w:rsidP="00000000" w:rsidRDefault="00000000" w:rsidRPr="00000000" w14:paraId="000000F6">
            <w:pPr>
              <w:rPr/>
            </w:pPr>
            <w:r w:rsidDel="00000000" w:rsidR="00000000" w:rsidRPr="00000000">
              <w:rPr>
                <w:sz w:val="15"/>
                <w:szCs w:val="15"/>
                <w:rtl w:val="0"/>
              </w:rPr>
              <w:t xml:space="preserve">Stable feature core</w:t>
            </w:r>
            <w:r w:rsidDel="00000000" w:rsidR="00000000" w:rsidRPr="00000000">
              <w:rPr>
                <w:rtl w:val="0"/>
              </w:rPr>
            </w:r>
          </w:p>
        </w:tc>
      </w:tr>
      <w:tr>
        <w:trPr>
          <w:cantSplit w:val="0"/>
          <w:tblHeader w:val="0"/>
        </w:trPr>
        <w:tc>
          <w:tcPr/>
          <w:p w:rsidR="00000000" w:rsidDel="00000000" w:rsidP="00000000" w:rsidRDefault="00000000" w:rsidRPr="00000000" w14:paraId="000000F7">
            <w:pPr>
              <w:rPr/>
            </w:pPr>
            <w:r w:rsidDel="00000000" w:rsidR="00000000" w:rsidRPr="00000000">
              <w:rPr>
                <w:sz w:val="15"/>
                <w:szCs w:val="15"/>
                <w:rtl w:val="0"/>
              </w:rPr>
              <w:t xml:space="preserve">Selected in only 1 fold</w:t>
            </w:r>
            <w:r w:rsidDel="00000000" w:rsidR="00000000" w:rsidRPr="00000000">
              <w:rPr>
                <w:rtl w:val="0"/>
              </w:rPr>
            </w:r>
          </w:p>
        </w:tc>
        <w:tc>
          <w:tcPr/>
          <w:p w:rsidR="00000000" w:rsidDel="00000000" w:rsidP="00000000" w:rsidRDefault="00000000" w:rsidRPr="00000000" w14:paraId="000000F8">
            <w:pPr>
              <w:rPr/>
            </w:pPr>
            <w:r w:rsidDel="00000000" w:rsidR="00000000" w:rsidRPr="00000000">
              <w:rPr>
                <w:sz w:val="15"/>
                <w:szCs w:val="15"/>
                <w:rtl w:val="0"/>
              </w:rPr>
              <w:t xml:space="preserve">102</w:t>
            </w:r>
            <w:r w:rsidDel="00000000" w:rsidR="00000000" w:rsidRPr="00000000">
              <w:rPr>
                <w:rtl w:val="0"/>
              </w:rPr>
            </w:r>
          </w:p>
        </w:tc>
        <w:tc>
          <w:tcPr/>
          <w:p w:rsidR="00000000" w:rsidDel="00000000" w:rsidP="00000000" w:rsidRDefault="00000000" w:rsidRPr="00000000" w14:paraId="000000F9">
            <w:pPr>
              <w:rPr/>
            </w:pPr>
            <w:r w:rsidDel="00000000" w:rsidR="00000000" w:rsidRPr="00000000">
              <w:rPr>
                <w:sz w:val="15"/>
                <w:szCs w:val="15"/>
                <w:rtl w:val="0"/>
              </w:rPr>
              <w:t xml:space="preserve">Large unstable tail</w:t>
            </w:r>
            <w:r w:rsidDel="00000000" w:rsidR="00000000" w:rsidRPr="00000000">
              <w:rPr>
                <w:rtl w:val="0"/>
              </w:rPr>
            </w:r>
          </w:p>
        </w:tc>
      </w:tr>
      <w:tr>
        <w:trPr>
          <w:cantSplit w:val="0"/>
          <w:tblHeader w:val="0"/>
        </w:trPr>
        <w:tc>
          <w:tcPr/>
          <w:p w:rsidR="00000000" w:rsidDel="00000000" w:rsidP="00000000" w:rsidRDefault="00000000" w:rsidRPr="00000000" w14:paraId="000000FA">
            <w:pPr>
              <w:rPr/>
            </w:pPr>
            <w:r w:rsidDel="00000000" w:rsidR="00000000" w:rsidRPr="00000000">
              <w:rPr>
                <w:sz w:val="15"/>
                <w:szCs w:val="15"/>
                <w:rtl w:val="0"/>
              </w:rPr>
              <w:t xml:space="preserve">Mean Jaccard overlap</w:t>
            </w:r>
            <w:r w:rsidDel="00000000" w:rsidR="00000000" w:rsidRPr="00000000">
              <w:rPr>
                <w:rtl w:val="0"/>
              </w:rPr>
            </w:r>
          </w:p>
        </w:tc>
        <w:tc>
          <w:tcPr/>
          <w:p w:rsidR="00000000" w:rsidDel="00000000" w:rsidP="00000000" w:rsidRDefault="00000000" w:rsidRPr="00000000" w14:paraId="000000FB">
            <w:pPr>
              <w:rPr/>
            </w:pPr>
            <w:r w:rsidDel="00000000" w:rsidR="00000000" w:rsidRPr="00000000">
              <w:rPr>
                <w:sz w:val="15"/>
                <w:szCs w:val="15"/>
                <w:rtl w:val="0"/>
              </w:rPr>
              <w:t xml:space="preserve">0.3734</w:t>
            </w:r>
            <w:r w:rsidDel="00000000" w:rsidR="00000000" w:rsidRPr="00000000">
              <w:rPr>
                <w:rtl w:val="0"/>
              </w:rPr>
            </w:r>
          </w:p>
        </w:tc>
        <w:tc>
          <w:tcPr/>
          <w:p w:rsidR="00000000" w:rsidDel="00000000" w:rsidP="00000000" w:rsidRDefault="00000000" w:rsidRPr="00000000" w14:paraId="000000FC">
            <w:pPr>
              <w:rPr/>
            </w:pPr>
            <w:r w:rsidDel="00000000" w:rsidR="00000000" w:rsidRPr="00000000">
              <w:rPr>
                <w:sz w:val="15"/>
                <w:szCs w:val="15"/>
                <w:rtl w:val="0"/>
              </w:rPr>
              <w:t xml:space="preserve">Moderate pairwise overlap</w:t>
            </w: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sz w:val="15"/>
                <w:szCs w:val="15"/>
                <w:rtl w:val="0"/>
              </w:rPr>
              <w:t xml:space="preserve">Median Jaccard overlap</w:t>
            </w:r>
            <w:r w:rsidDel="00000000" w:rsidR="00000000" w:rsidRPr="00000000">
              <w:rPr>
                <w:rtl w:val="0"/>
              </w:rPr>
            </w:r>
          </w:p>
        </w:tc>
        <w:tc>
          <w:tcPr/>
          <w:p w:rsidR="00000000" w:rsidDel="00000000" w:rsidP="00000000" w:rsidRDefault="00000000" w:rsidRPr="00000000" w14:paraId="000000FE">
            <w:pPr>
              <w:rPr/>
            </w:pPr>
            <w:r w:rsidDel="00000000" w:rsidR="00000000" w:rsidRPr="00000000">
              <w:rPr>
                <w:sz w:val="15"/>
                <w:szCs w:val="15"/>
                <w:rtl w:val="0"/>
              </w:rPr>
              <w:t xml:space="preserve">0.3699</w:t>
            </w:r>
            <w:r w:rsidDel="00000000" w:rsidR="00000000" w:rsidRPr="00000000">
              <w:rPr>
                <w:rtl w:val="0"/>
              </w:rPr>
            </w:r>
          </w:p>
        </w:tc>
        <w:tc>
          <w:tcPr/>
          <w:p w:rsidR="00000000" w:rsidDel="00000000" w:rsidP="00000000" w:rsidRDefault="00000000" w:rsidRPr="00000000" w14:paraId="000000FF">
            <w:pPr>
              <w:rPr/>
            </w:pPr>
            <w:r w:rsidDel="00000000" w:rsidR="00000000" w:rsidRPr="00000000">
              <w:rPr>
                <w:sz w:val="15"/>
                <w:szCs w:val="15"/>
                <w:rtl w:val="0"/>
              </w:rPr>
              <w:t xml:space="preserve">Moderate pairwise overlap</w:t>
            </w:r>
            <w:r w:rsidDel="00000000" w:rsidR="00000000" w:rsidRPr="00000000">
              <w:rPr>
                <w:rtl w:val="0"/>
              </w:rPr>
            </w:r>
          </w:p>
        </w:tc>
      </w:tr>
      <w:tr>
        <w:trPr>
          <w:cantSplit w:val="0"/>
          <w:tblHeader w:val="0"/>
        </w:trPr>
        <w:tc>
          <w:tcPr/>
          <w:p w:rsidR="00000000" w:rsidDel="00000000" w:rsidP="00000000" w:rsidRDefault="00000000" w:rsidRPr="00000000" w14:paraId="00000100">
            <w:pPr>
              <w:rPr/>
            </w:pPr>
            <w:r w:rsidDel="00000000" w:rsidR="00000000" w:rsidRPr="00000000">
              <w:rPr>
                <w:sz w:val="15"/>
                <w:szCs w:val="15"/>
                <w:rtl w:val="0"/>
              </w:rPr>
              <w:t xml:space="preserve">Nogueira stability index</w:t>
            </w:r>
            <w:r w:rsidDel="00000000" w:rsidR="00000000" w:rsidRPr="00000000">
              <w:rPr>
                <w:rtl w:val="0"/>
              </w:rPr>
            </w:r>
          </w:p>
        </w:tc>
        <w:tc>
          <w:tcPr/>
          <w:p w:rsidR="00000000" w:rsidDel="00000000" w:rsidP="00000000" w:rsidRDefault="00000000" w:rsidRPr="00000000" w14:paraId="00000101">
            <w:pPr>
              <w:rPr/>
            </w:pPr>
            <w:r w:rsidDel="00000000" w:rsidR="00000000" w:rsidRPr="00000000">
              <w:rPr>
                <w:sz w:val="15"/>
                <w:szCs w:val="15"/>
                <w:rtl w:val="0"/>
              </w:rPr>
              <w:t xml:space="preserve">0.5409</w:t>
            </w:r>
            <w:r w:rsidDel="00000000" w:rsidR="00000000" w:rsidRPr="00000000">
              <w:rPr>
                <w:rtl w:val="0"/>
              </w:rPr>
            </w:r>
          </w:p>
        </w:tc>
        <w:tc>
          <w:tcPr/>
          <w:p w:rsidR="00000000" w:rsidDel="00000000" w:rsidP="00000000" w:rsidRDefault="00000000" w:rsidRPr="00000000" w14:paraId="00000102">
            <w:pPr>
              <w:rPr/>
            </w:pPr>
            <w:r w:rsidDel="00000000" w:rsidR="00000000" w:rsidRPr="00000000">
              <w:rPr>
                <w:sz w:val="15"/>
                <w:szCs w:val="15"/>
                <w:rtl w:val="0"/>
              </w:rPr>
              <w:t xml:space="preserve">Moderate stability</w:t>
            </w:r>
            <w:r w:rsidDel="00000000" w:rsidR="00000000" w:rsidRPr="00000000">
              <w:rPr>
                <w:rtl w:val="0"/>
              </w:rPr>
            </w:r>
          </w:p>
        </w:tc>
      </w:tr>
    </w:tbl>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Feature-stability results are intended as an audit of reproducibility, not as a validated biological signature.</w:t>
      </w:r>
    </w:p>
    <w:p w:rsidR="00000000" w:rsidDel="00000000" w:rsidP="00000000" w:rsidRDefault="00000000" w:rsidRPr="00000000" w14:paraId="00000104">
      <w:pPr>
        <w:pStyle w:val="Heading2"/>
        <w:rPr/>
      </w:pPr>
      <w:r w:rsidDel="00000000" w:rsidR="00000000" w:rsidRPr="00000000">
        <w:rPr>
          <w:b w:val="0"/>
          <w:bCs w:val="0"/>
          <w:rtl w:val="0"/>
        </w:rPr>
        <w:t xml:space="preserve">External validation on GSE25065</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 guarded model design was frozen and applied to the independent GSE25065 cohort using a linear SVM with cost 0.25 and the 100 discovery-selected probes. All 100 selected probes aligned to the validation cohort. On external validation, the model achieved AUROC 0.6078, PR-AUC 0.3060, balanced accuracy 0.5381, MCC 0.1347, sensitivity 0.1190, and specificity 0.9571. The confusion matrix contained 5 true positives, 6 false positives, 134 true negatives, and 37 false negatives.</w:t>
      </w:r>
    </w:p>
    <w:p w:rsidR="00000000" w:rsidDel="00000000" w:rsidP="00000000" w:rsidRDefault="00000000" w:rsidRPr="00000000" w14:paraId="00000106">
      <w:pPr>
        <w:rPr/>
      </w:pPr>
      <w:r w:rsidDel="00000000" w:rsidR="00000000" w:rsidRPr="00000000">
        <w:rPr>
          <w:rtl w:val="0"/>
        </w:rPr>
        <w:t xml:space="preserve">Compared with the guarded nested cross-validated estimates on the discovery cohort, external performance showed a transportability drop across most metrics: AUROC fell by 0.1187, PR-AUC by 0.0596, balanced accuracy by 0.0411, MCC by 0.0903, and sensitivity by 0.0915, while specificity was essentially unchanged, increasing by 0.0094. This degradation, particularly in discrimination and minority-class recall, represents a limit of cohort transportability and model generalization rather than a leakage effect. While the internal leakage gap quantified the inflation caused by naive feature selection, this transportability drop reflects the biological and technical heterogeneity inherent in independent transcriptomic cohorts.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7</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External Validation on GSE25065</w:t>
      </w:r>
      <w:r w:rsidDel="00000000" w:rsidR="00000000" w:rsidRPr="00000000">
        <w:rPr>
          <w:rtl w:val="0"/>
        </w:rPr>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109">
            <w:pPr>
              <w:rPr/>
            </w:pPr>
            <w:r w:rsidDel="00000000" w:rsidR="00000000" w:rsidRPr="00000000">
              <w:rPr>
                <w:b w:val="1"/>
                <w:bCs w:val="1"/>
                <w:sz w:val="15"/>
                <w:szCs w:val="15"/>
                <w:rtl w:val="0"/>
              </w:rPr>
              <w:t xml:space="preserve">Metric</w:t>
            </w:r>
            <w:r w:rsidDel="00000000" w:rsidR="00000000" w:rsidRPr="00000000">
              <w:rPr>
                <w:rtl w:val="0"/>
              </w:rPr>
            </w:r>
          </w:p>
        </w:tc>
        <w:tc>
          <w:tcPr>
            <w:shd w:fill="d9eaf7" w:val="clear"/>
          </w:tcPr>
          <w:p w:rsidR="00000000" w:rsidDel="00000000" w:rsidP="00000000" w:rsidRDefault="00000000" w:rsidRPr="00000000" w14:paraId="0000010A">
            <w:pPr>
              <w:rPr/>
            </w:pPr>
            <w:r w:rsidDel="00000000" w:rsidR="00000000" w:rsidRPr="00000000">
              <w:rPr>
                <w:b w:val="1"/>
                <w:bCs w:val="1"/>
                <w:sz w:val="15"/>
                <w:szCs w:val="15"/>
                <w:rtl w:val="0"/>
              </w:rPr>
              <w:t xml:space="preserve">Guarded nested CV (GSE25055)</w:t>
            </w:r>
            <w:r w:rsidDel="00000000" w:rsidR="00000000" w:rsidRPr="00000000">
              <w:rPr>
                <w:rtl w:val="0"/>
              </w:rPr>
            </w:r>
          </w:p>
        </w:tc>
        <w:tc>
          <w:tcPr>
            <w:shd w:fill="d9eaf7" w:val="clear"/>
          </w:tcPr>
          <w:p w:rsidR="00000000" w:rsidDel="00000000" w:rsidP="00000000" w:rsidRDefault="00000000" w:rsidRPr="00000000" w14:paraId="0000010B">
            <w:pPr>
              <w:rPr/>
            </w:pPr>
            <w:r w:rsidDel="00000000" w:rsidR="00000000" w:rsidRPr="00000000">
              <w:rPr>
                <w:b w:val="1"/>
                <w:bCs w:val="1"/>
                <w:sz w:val="15"/>
                <w:szCs w:val="15"/>
                <w:rtl w:val="0"/>
              </w:rPr>
              <w:t xml:space="preserve">External validation (GSE25065)</w:t>
            </w:r>
            <w:r w:rsidDel="00000000" w:rsidR="00000000" w:rsidRPr="00000000">
              <w:rPr>
                <w:rtl w:val="0"/>
              </w:rPr>
            </w:r>
          </w:p>
        </w:tc>
        <w:tc>
          <w:tcPr>
            <w:shd w:fill="d9eaf7" w:val="clear"/>
          </w:tcPr>
          <w:p w:rsidR="00000000" w:rsidDel="00000000" w:rsidP="00000000" w:rsidRDefault="00000000" w:rsidRPr="00000000" w14:paraId="0000010C">
            <w:pPr>
              <w:rPr/>
            </w:pPr>
            <w:r w:rsidDel="00000000" w:rsidR="00000000" w:rsidRPr="00000000">
              <w:rPr>
                <w:b w:val="1"/>
                <w:bCs w:val="1"/>
                <w:sz w:val="15"/>
                <w:szCs w:val="15"/>
                <w:rtl w:val="0"/>
              </w:rPr>
              <w:t xml:space="preserve">External drop/change</w:t>
            </w:r>
            <w:r w:rsidDel="00000000" w:rsidR="00000000" w:rsidRPr="00000000">
              <w:rPr>
                <w:rtl w:val="0"/>
              </w:rPr>
            </w:r>
          </w:p>
        </w:tc>
      </w:tr>
      <w:tr>
        <w:trPr>
          <w:cantSplit w:val="0"/>
          <w:tblHeader w:val="0"/>
        </w:trPr>
        <w:tc>
          <w:tcPr/>
          <w:p w:rsidR="00000000" w:rsidDel="00000000" w:rsidP="00000000" w:rsidRDefault="00000000" w:rsidRPr="00000000" w14:paraId="0000010D">
            <w:pPr>
              <w:rPr/>
            </w:pPr>
            <w:r w:rsidDel="00000000" w:rsidR="00000000" w:rsidRPr="00000000">
              <w:rPr>
                <w:sz w:val="15"/>
                <w:szCs w:val="15"/>
                <w:rtl w:val="0"/>
              </w:rPr>
              <w:t xml:space="preserve">AUROC</w:t>
            </w:r>
            <w:r w:rsidDel="00000000" w:rsidR="00000000" w:rsidRPr="00000000">
              <w:rPr>
                <w:rtl w:val="0"/>
              </w:rPr>
            </w:r>
          </w:p>
        </w:tc>
        <w:tc>
          <w:tcPr/>
          <w:p w:rsidR="00000000" w:rsidDel="00000000" w:rsidP="00000000" w:rsidRDefault="00000000" w:rsidRPr="00000000" w14:paraId="0000010E">
            <w:pPr>
              <w:rPr/>
            </w:pPr>
            <w:r w:rsidDel="00000000" w:rsidR="00000000" w:rsidRPr="00000000">
              <w:rPr>
                <w:sz w:val="15"/>
                <w:szCs w:val="15"/>
                <w:rtl w:val="0"/>
              </w:rPr>
              <w:t xml:space="preserve">0.7265</w:t>
            </w:r>
            <w:r w:rsidDel="00000000" w:rsidR="00000000" w:rsidRPr="00000000">
              <w:rPr>
                <w:rtl w:val="0"/>
              </w:rPr>
            </w:r>
          </w:p>
        </w:tc>
        <w:tc>
          <w:tcPr/>
          <w:p w:rsidR="00000000" w:rsidDel="00000000" w:rsidP="00000000" w:rsidRDefault="00000000" w:rsidRPr="00000000" w14:paraId="0000010F">
            <w:pPr>
              <w:rPr/>
            </w:pPr>
            <w:r w:rsidDel="00000000" w:rsidR="00000000" w:rsidRPr="00000000">
              <w:rPr>
                <w:sz w:val="15"/>
                <w:szCs w:val="15"/>
                <w:rtl w:val="0"/>
              </w:rPr>
              <w:t xml:space="preserve">0.6078</w:t>
            </w:r>
            <w:r w:rsidDel="00000000" w:rsidR="00000000" w:rsidRPr="00000000">
              <w:rPr>
                <w:rtl w:val="0"/>
              </w:rPr>
            </w:r>
          </w:p>
        </w:tc>
        <w:tc>
          <w:tcPr/>
          <w:p w:rsidR="00000000" w:rsidDel="00000000" w:rsidP="00000000" w:rsidRDefault="00000000" w:rsidRPr="00000000" w14:paraId="00000110">
            <w:pPr>
              <w:rPr/>
            </w:pPr>
            <w:r w:rsidDel="00000000" w:rsidR="00000000" w:rsidRPr="00000000">
              <w:rPr>
                <w:sz w:val="15"/>
                <w:szCs w:val="15"/>
                <w:rtl w:val="0"/>
              </w:rPr>
              <w:t xml:space="preserve">-0.1187</w:t>
            </w:r>
            <w:r w:rsidDel="00000000" w:rsidR="00000000" w:rsidRPr="00000000">
              <w:rPr>
                <w:rtl w:val="0"/>
              </w:rPr>
            </w:r>
          </w:p>
        </w:tc>
      </w:tr>
      <w:tr>
        <w:trPr>
          <w:cantSplit w:val="0"/>
          <w:tblHeader w:val="0"/>
        </w:trPr>
        <w:tc>
          <w:tcPr/>
          <w:p w:rsidR="00000000" w:rsidDel="00000000" w:rsidP="00000000" w:rsidRDefault="00000000" w:rsidRPr="00000000" w14:paraId="00000111">
            <w:pPr>
              <w:rPr/>
            </w:pPr>
            <w:r w:rsidDel="00000000" w:rsidR="00000000" w:rsidRPr="00000000">
              <w:rPr>
                <w:sz w:val="15"/>
                <w:szCs w:val="15"/>
                <w:rtl w:val="0"/>
              </w:rPr>
              <w:t xml:space="preserve">PR-AUC</w:t>
            </w:r>
            <w:r w:rsidDel="00000000" w:rsidR="00000000" w:rsidRPr="00000000">
              <w:rPr>
                <w:rtl w:val="0"/>
              </w:rPr>
            </w:r>
          </w:p>
        </w:tc>
        <w:tc>
          <w:tcPr/>
          <w:p w:rsidR="00000000" w:rsidDel="00000000" w:rsidP="00000000" w:rsidRDefault="00000000" w:rsidRPr="00000000" w14:paraId="00000112">
            <w:pPr>
              <w:rPr/>
            </w:pPr>
            <w:r w:rsidDel="00000000" w:rsidR="00000000" w:rsidRPr="00000000">
              <w:rPr>
                <w:sz w:val="15"/>
                <w:szCs w:val="15"/>
                <w:rtl w:val="0"/>
              </w:rPr>
              <w:t xml:space="preserve">0.3656</w:t>
            </w:r>
            <w:r w:rsidDel="00000000" w:rsidR="00000000" w:rsidRPr="00000000">
              <w:rPr>
                <w:rtl w:val="0"/>
              </w:rPr>
            </w:r>
          </w:p>
        </w:tc>
        <w:tc>
          <w:tcPr/>
          <w:p w:rsidR="00000000" w:rsidDel="00000000" w:rsidP="00000000" w:rsidRDefault="00000000" w:rsidRPr="00000000" w14:paraId="00000113">
            <w:pPr>
              <w:rPr/>
            </w:pPr>
            <w:r w:rsidDel="00000000" w:rsidR="00000000" w:rsidRPr="00000000">
              <w:rPr>
                <w:sz w:val="15"/>
                <w:szCs w:val="15"/>
                <w:rtl w:val="0"/>
              </w:rPr>
              <w:t xml:space="preserve">0.3060</w:t>
            </w:r>
            <w:r w:rsidDel="00000000" w:rsidR="00000000" w:rsidRPr="00000000">
              <w:rPr>
                <w:rtl w:val="0"/>
              </w:rPr>
            </w:r>
          </w:p>
        </w:tc>
        <w:tc>
          <w:tcPr/>
          <w:p w:rsidR="00000000" w:rsidDel="00000000" w:rsidP="00000000" w:rsidRDefault="00000000" w:rsidRPr="00000000" w14:paraId="00000114">
            <w:pPr>
              <w:rPr/>
            </w:pPr>
            <w:r w:rsidDel="00000000" w:rsidR="00000000" w:rsidRPr="00000000">
              <w:rPr>
                <w:sz w:val="15"/>
                <w:szCs w:val="15"/>
                <w:rtl w:val="0"/>
              </w:rPr>
              <w:t xml:space="preserve">-0.0596</w:t>
            </w:r>
            <w:r w:rsidDel="00000000" w:rsidR="00000000" w:rsidRPr="00000000">
              <w:rPr>
                <w:rtl w:val="0"/>
              </w:rPr>
            </w:r>
          </w:p>
        </w:tc>
      </w:tr>
      <w:tr>
        <w:trPr>
          <w:cantSplit w:val="0"/>
          <w:tblHeader w:val="0"/>
        </w:trPr>
        <w:tc>
          <w:tcPr/>
          <w:p w:rsidR="00000000" w:rsidDel="00000000" w:rsidP="00000000" w:rsidRDefault="00000000" w:rsidRPr="00000000" w14:paraId="00000115">
            <w:pPr>
              <w:rPr/>
            </w:pPr>
            <w:r w:rsidDel="00000000" w:rsidR="00000000" w:rsidRPr="00000000">
              <w:rPr>
                <w:sz w:val="15"/>
                <w:szCs w:val="15"/>
                <w:rtl w:val="0"/>
              </w:rPr>
              <w:t xml:space="preserve">Balanced accuracy</w:t>
            </w:r>
            <w:r w:rsidDel="00000000" w:rsidR="00000000" w:rsidRPr="00000000">
              <w:rPr>
                <w:rtl w:val="0"/>
              </w:rPr>
            </w:r>
          </w:p>
        </w:tc>
        <w:tc>
          <w:tcPr/>
          <w:p w:rsidR="00000000" w:rsidDel="00000000" w:rsidP="00000000" w:rsidRDefault="00000000" w:rsidRPr="00000000" w14:paraId="00000116">
            <w:pPr>
              <w:rPr/>
            </w:pPr>
            <w:r w:rsidDel="00000000" w:rsidR="00000000" w:rsidRPr="00000000">
              <w:rPr>
                <w:sz w:val="15"/>
                <w:szCs w:val="15"/>
                <w:rtl w:val="0"/>
              </w:rPr>
              <w:t xml:space="preserve">0.5792</w:t>
            </w:r>
            <w:r w:rsidDel="00000000" w:rsidR="00000000" w:rsidRPr="00000000">
              <w:rPr>
                <w:rtl w:val="0"/>
              </w:rPr>
            </w:r>
          </w:p>
        </w:tc>
        <w:tc>
          <w:tcPr/>
          <w:p w:rsidR="00000000" w:rsidDel="00000000" w:rsidP="00000000" w:rsidRDefault="00000000" w:rsidRPr="00000000" w14:paraId="00000117">
            <w:pPr>
              <w:rPr/>
            </w:pPr>
            <w:r w:rsidDel="00000000" w:rsidR="00000000" w:rsidRPr="00000000">
              <w:rPr>
                <w:sz w:val="15"/>
                <w:szCs w:val="15"/>
                <w:rtl w:val="0"/>
              </w:rPr>
              <w:t xml:space="preserve">0.5381</w:t>
            </w:r>
            <w:r w:rsidDel="00000000" w:rsidR="00000000" w:rsidRPr="00000000">
              <w:rPr>
                <w:rtl w:val="0"/>
              </w:rPr>
            </w:r>
          </w:p>
        </w:tc>
        <w:tc>
          <w:tcPr/>
          <w:p w:rsidR="00000000" w:rsidDel="00000000" w:rsidP="00000000" w:rsidRDefault="00000000" w:rsidRPr="00000000" w14:paraId="00000118">
            <w:pPr>
              <w:rPr/>
            </w:pPr>
            <w:r w:rsidDel="00000000" w:rsidR="00000000" w:rsidRPr="00000000">
              <w:rPr>
                <w:sz w:val="15"/>
                <w:szCs w:val="15"/>
                <w:rtl w:val="0"/>
              </w:rPr>
              <w:t xml:space="preserve">-0.0411</w:t>
            </w:r>
            <w:r w:rsidDel="00000000" w:rsidR="00000000" w:rsidRPr="00000000">
              <w:rPr>
                <w:rtl w:val="0"/>
              </w:rPr>
            </w:r>
          </w:p>
        </w:tc>
      </w:tr>
      <w:tr>
        <w:trPr>
          <w:cantSplit w:val="0"/>
          <w:tblHeader w:val="0"/>
        </w:trPr>
        <w:tc>
          <w:tcPr/>
          <w:p w:rsidR="00000000" w:rsidDel="00000000" w:rsidP="00000000" w:rsidRDefault="00000000" w:rsidRPr="00000000" w14:paraId="00000119">
            <w:pPr>
              <w:rPr/>
            </w:pPr>
            <w:r w:rsidDel="00000000" w:rsidR="00000000" w:rsidRPr="00000000">
              <w:rPr>
                <w:sz w:val="15"/>
                <w:szCs w:val="15"/>
                <w:rtl w:val="0"/>
              </w:rPr>
              <w:t xml:space="preserve">MCC</w:t>
            </w:r>
            <w:r w:rsidDel="00000000" w:rsidR="00000000" w:rsidRPr="00000000">
              <w:rPr>
                <w:rtl w:val="0"/>
              </w:rPr>
            </w:r>
          </w:p>
        </w:tc>
        <w:tc>
          <w:tcPr/>
          <w:p w:rsidR="00000000" w:rsidDel="00000000" w:rsidP="00000000" w:rsidRDefault="00000000" w:rsidRPr="00000000" w14:paraId="0000011A">
            <w:pPr>
              <w:rPr/>
            </w:pPr>
            <w:r w:rsidDel="00000000" w:rsidR="00000000" w:rsidRPr="00000000">
              <w:rPr>
                <w:sz w:val="15"/>
                <w:szCs w:val="15"/>
                <w:rtl w:val="0"/>
              </w:rPr>
              <w:t xml:space="preserve">0.2250</w:t>
            </w:r>
            <w:r w:rsidDel="00000000" w:rsidR="00000000" w:rsidRPr="00000000">
              <w:rPr>
                <w:rtl w:val="0"/>
              </w:rPr>
            </w:r>
          </w:p>
        </w:tc>
        <w:tc>
          <w:tcPr/>
          <w:p w:rsidR="00000000" w:rsidDel="00000000" w:rsidP="00000000" w:rsidRDefault="00000000" w:rsidRPr="00000000" w14:paraId="0000011B">
            <w:pPr>
              <w:rPr/>
            </w:pPr>
            <w:r w:rsidDel="00000000" w:rsidR="00000000" w:rsidRPr="00000000">
              <w:rPr>
                <w:sz w:val="15"/>
                <w:szCs w:val="15"/>
                <w:rtl w:val="0"/>
              </w:rPr>
              <w:t xml:space="preserve">0.1347</w:t>
            </w:r>
            <w:r w:rsidDel="00000000" w:rsidR="00000000" w:rsidRPr="00000000">
              <w:rPr>
                <w:rtl w:val="0"/>
              </w:rPr>
            </w:r>
          </w:p>
        </w:tc>
        <w:tc>
          <w:tcPr/>
          <w:p w:rsidR="00000000" w:rsidDel="00000000" w:rsidP="00000000" w:rsidRDefault="00000000" w:rsidRPr="00000000" w14:paraId="0000011C">
            <w:pPr>
              <w:rPr/>
            </w:pPr>
            <w:r w:rsidDel="00000000" w:rsidR="00000000" w:rsidRPr="00000000">
              <w:rPr>
                <w:sz w:val="15"/>
                <w:szCs w:val="15"/>
                <w:rtl w:val="0"/>
              </w:rPr>
              <w:t xml:space="preserve">-0.0903</w:t>
            </w:r>
            <w:r w:rsidDel="00000000" w:rsidR="00000000" w:rsidRPr="00000000">
              <w:rPr>
                <w:rtl w:val="0"/>
              </w:rPr>
            </w:r>
          </w:p>
        </w:tc>
      </w:tr>
      <w:tr>
        <w:trPr>
          <w:cantSplit w:val="0"/>
          <w:tblHeader w:val="0"/>
        </w:trPr>
        <w:tc>
          <w:tcPr/>
          <w:p w:rsidR="00000000" w:rsidDel="00000000" w:rsidP="00000000" w:rsidRDefault="00000000" w:rsidRPr="00000000" w14:paraId="0000011D">
            <w:pPr>
              <w:rPr/>
            </w:pPr>
            <w:r w:rsidDel="00000000" w:rsidR="00000000" w:rsidRPr="00000000">
              <w:rPr>
                <w:sz w:val="15"/>
                <w:szCs w:val="15"/>
                <w:rtl w:val="0"/>
              </w:rPr>
              <w:t xml:space="preserve">Sensitivity</w:t>
            </w:r>
            <w:r w:rsidDel="00000000" w:rsidR="00000000" w:rsidRPr="00000000">
              <w:rPr>
                <w:rtl w:val="0"/>
              </w:rPr>
            </w:r>
          </w:p>
        </w:tc>
        <w:tc>
          <w:tcPr/>
          <w:p w:rsidR="00000000" w:rsidDel="00000000" w:rsidP="00000000" w:rsidRDefault="00000000" w:rsidRPr="00000000" w14:paraId="0000011E">
            <w:pPr>
              <w:rPr/>
            </w:pPr>
            <w:r w:rsidDel="00000000" w:rsidR="00000000" w:rsidRPr="00000000">
              <w:rPr>
                <w:sz w:val="15"/>
                <w:szCs w:val="15"/>
                <w:rtl w:val="0"/>
              </w:rPr>
              <w:t xml:space="preserve">0.2105</w:t>
            </w:r>
            <w:r w:rsidDel="00000000" w:rsidR="00000000" w:rsidRPr="00000000">
              <w:rPr>
                <w:rtl w:val="0"/>
              </w:rPr>
            </w:r>
          </w:p>
        </w:tc>
        <w:tc>
          <w:tcPr/>
          <w:p w:rsidR="00000000" w:rsidDel="00000000" w:rsidP="00000000" w:rsidRDefault="00000000" w:rsidRPr="00000000" w14:paraId="0000011F">
            <w:pPr>
              <w:rPr/>
            </w:pPr>
            <w:r w:rsidDel="00000000" w:rsidR="00000000" w:rsidRPr="00000000">
              <w:rPr>
                <w:sz w:val="15"/>
                <w:szCs w:val="15"/>
                <w:rtl w:val="0"/>
              </w:rPr>
              <w:t xml:space="preserve">0.1190</w:t>
            </w:r>
            <w:r w:rsidDel="00000000" w:rsidR="00000000" w:rsidRPr="00000000">
              <w:rPr>
                <w:rtl w:val="0"/>
              </w:rPr>
            </w:r>
          </w:p>
        </w:tc>
        <w:tc>
          <w:tcPr/>
          <w:p w:rsidR="00000000" w:rsidDel="00000000" w:rsidP="00000000" w:rsidRDefault="00000000" w:rsidRPr="00000000" w14:paraId="00000120">
            <w:pPr>
              <w:rPr/>
            </w:pPr>
            <w:r w:rsidDel="00000000" w:rsidR="00000000" w:rsidRPr="00000000">
              <w:rPr>
                <w:sz w:val="15"/>
                <w:szCs w:val="15"/>
                <w:rtl w:val="0"/>
              </w:rPr>
              <w:t xml:space="preserve">-0.0915</w:t>
            </w:r>
            <w:r w:rsidDel="00000000" w:rsidR="00000000" w:rsidRPr="00000000">
              <w:rPr>
                <w:rtl w:val="0"/>
              </w:rPr>
            </w:r>
          </w:p>
        </w:tc>
      </w:tr>
      <w:tr>
        <w:trPr>
          <w:cantSplit w:val="0"/>
          <w:tblHeader w:val="0"/>
        </w:trPr>
        <w:tc>
          <w:tcPr/>
          <w:p w:rsidR="00000000" w:rsidDel="00000000" w:rsidP="00000000" w:rsidRDefault="00000000" w:rsidRPr="00000000" w14:paraId="00000121">
            <w:pPr>
              <w:rPr/>
            </w:pPr>
            <w:r w:rsidDel="00000000" w:rsidR="00000000" w:rsidRPr="00000000">
              <w:rPr>
                <w:sz w:val="15"/>
                <w:szCs w:val="15"/>
                <w:rtl w:val="0"/>
              </w:rPr>
              <w:t xml:space="preserve">Specificity</w:t>
            </w:r>
            <w:r w:rsidDel="00000000" w:rsidR="00000000" w:rsidRPr="00000000">
              <w:rPr>
                <w:rtl w:val="0"/>
              </w:rPr>
            </w:r>
          </w:p>
        </w:tc>
        <w:tc>
          <w:tcPr/>
          <w:p w:rsidR="00000000" w:rsidDel="00000000" w:rsidP="00000000" w:rsidRDefault="00000000" w:rsidRPr="00000000" w14:paraId="00000122">
            <w:pPr>
              <w:rPr/>
            </w:pPr>
            <w:r w:rsidDel="00000000" w:rsidR="00000000" w:rsidRPr="00000000">
              <w:rPr>
                <w:sz w:val="15"/>
                <w:szCs w:val="15"/>
                <w:rtl w:val="0"/>
              </w:rPr>
              <w:t xml:space="preserve">0.9478</w:t>
            </w:r>
            <w:r w:rsidDel="00000000" w:rsidR="00000000" w:rsidRPr="00000000">
              <w:rPr>
                <w:rtl w:val="0"/>
              </w:rPr>
            </w:r>
          </w:p>
        </w:tc>
        <w:tc>
          <w:tcPr/>
          <w:p w:rsidR="00000000" w:rsidDel="00000000" w:rsidP="00000000" w:rsidRDefault="00000000" w:rsidRPr="00000000" w14:paraId="00000123">
            <w:pPr>
              <w:rPr/>
            </w:pPr>
            <w:r w:rsidDel="00000000" w:rsidR="00000000" w:rsidRPr="00000000">
              <w:rPr>
                <w:sz w:val="15"/>
                <w:szCs w:val="15"/>
                <w:rtl w:val="0"/>
              </w:rPr>
              <w:t xml:space="preserve">0.9571</w:t>
            </w:r>
            <w:r w:rsidDel="00000000" w:rsidR="00000000" w:rsidRPr="00000000">
              <w:rPr>
                <w:rtl w:val="0"/>
              </w:rPr>
            </w:r>
          </w:p>
        </w:tc>
        <w:tc>
          <w:tcPr/>
          <w:p w:rsidR="00000000" w:rsidDel="00000000" w:rsidP="00000000" w:rsidRDefault="00000000" w:rsidRPr="00000000" w14:paraId="00000124">
            <w:pPr>
              <w:rPr/>
            </w:pPr>
            <w:r w:rsidDel="00000000" w:rsidR="00000000" w:rsidRPr="00000000">
              <w:rPr>
                <w:sz w:val="15"/>
                <w:szCs w:val="15"/>
                <w:rtl w:val="0"/>
              </w:rPr>
              <w:t xml:space="preserve">+0.0094</w:t>
            </w:r>
            <w:r w:rsidDel="00000000" w:rsidR="00000000" w:rsidRPr="00000000">
              <w:rPr>
                <w:rtl w:val="0"/>
              </w:rPr>
            </w:r>
          </w:p>
        </w:tc>
      </w:tr>
    </w:tbl>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The external-validation model was trained and configured using GSE25055 only, then projected once onto GSE25065 without refitting, retuning, threshold adjustment, or feature re-selection.</w:t>
      </w:r>
    </w:p>
    <w:p w:rsidR="00000000" w:rsidDel="00000000" w:rsidP="00000000" w:rsidRDefault="00000000" w:rsidRPr="00000000" w14:paraId="00000126">
      <w:pPr>
        <w:pStyle w:val="Heading2"/>
        <w:rPr/>
      </w:pPr>
      <w:r w:rsidDel="00000000" w:rsidR="00000000" w:rsidRPr="00000000">
        <w:rPr>
          <w:b w:val="0"/>
          <w:bCs w:val="0"/>
          <w:rtl w:val="0"/>
        </w:rPr>
        <w:t xml:space="preserve">Integrated Reproducible Omics Evidence Audit</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The preceding analyses were consolidated into a Reproducible Omics Evidence Audit Table. Every value in the table is read from previously generated stage outputs and recombined deterministically; the table does not require rerunning any model. The audit organizes the evidence across eight domains: dataset integrity, leakage sensitivity, guarded nested performance, feature stability, external validation, class-imbalance behavior, reproducibility status, and limitations or unresolved risks.</w:t>
      </w:r>
    </w:p>
    <w:p w:rsidR="00000000" w:rsidDel="00000000" w:rsidP="00000000" w:rsidRDefault="00000000" w:rsidRPr="00000000" w14:paraId="00000128">
      <w:pPr>
        <w:rPr/>
      </w:pPr>
      <w:r w:rsidDel="00000000" w:rsidR="00000000" w:rsidRPr="00000000">
        <w:rPr>
          <w:rtl w:val="0"/>
        </w:rPr>
        <w:t xml:space="preserve">The audit table makes visible what a single AUROC value cannot: the leakage risk of the modeling pipeline, the reproducibility of selected features, the behavior of the classifier under class imbalance, and the decline from internal nested validation to external validation. Framed this way, the primary contribution is methodological: a transparent reporting template for public omics classification workflows. The low pCR sensitivity observed both internally and externally, the moderate feature stability, and the single same-platform external cohort are reported as limitations rather than minimized.</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8</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Reproducible Omics Evidence Audit Summary</w:t>
      </w: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12B">
            <w:pPr>
              <w:rPr/>
            </w:pPr>
            <w:r w:rsidDel="00000000" w:rsidR="00000000" w:rsidRPr="00000000">
              <w:rPr>
                <w:b w:val="1"/>
                <w:bCs w:val="1"/>
                <w:sz w:val="15"/>
                <w:szCs w:val="15"/>
                <w:rtl w:val="0"/>
              </w:rPr>
              <w:t xml:space="preserve">Audit domain</w:t>
            </w:r>
            <w:r w:rsidDel="00000000" w:rsidR="00000000" w:rsidRPr="00000000">
              <w:rPr>
                <w:rtl w:val="0"/>
              </w:rPr>
            </w:r>
          </w:p>
        </w:tc>
        <w:tc>
          <w:tcPr>
            <w:shd w:fill="d9eaf7" w:val="clear"/>
          </w:tcPr>
          <w:p w:rsidR="00000000" w:rsidDel="00000000" w:rsidP="00000000" w:rsidRDefault="00000000" w:rsidRPr="00000000" w14:paraId="0000012C">
            <w:pPr>
              <w:rPr/>
            </w:pPr>
            <w:r w:rsidDel="00000000" w:rsidR="00000000" w:rsidRPr="00000000">
              <w:rPr>
                <w:b w:val="1"/>
                <w:bCs w:val="1"/>
                <w:sz w:val="15"/>
                <w:szCs w:val="15"/>
                <w:rtl w:val="0"/>
              </w:rPr>
              <w:t xml:space="preserve">Metric</w:t>
            </w:r>
            <w:r w:rsidDel="00000000" w:rsidR="00000000" w:rsidRPr="00000000">
              <w:rPr>
                <w:rtl w:val="0"/>
              </w:rPr>
            </w:r>
          </w:p>
        </w:tc>
        <w:tc>
          <w:tcPr>
            <w:shd w:fill="d9eaf7" w:val="clear"/>
          </w:tcPr>
          <w:p w:rsidR="00000000" w:rsidDel="00000000" w:rsidP="00000000" w:rsidRDefault="00000000" w:rsidRPr="00000000" w14:paraId="0000012D">
            <w:pPr>
              <w:rPr/>
            </w:pPr>
            <w:r w:rsidDel="00000000" w:rsidR="00000000" w:rsidRPr="00000000">
              <w:rPr>
                <w:b w:val="1"/>
                <w:bCs w:val="1"/>
                <w:sz w:val="15"/>
                <w:szCs w:val="15"/>
                <w:rtl w:val="0"/>
              </w:rPr>
              <w:t xml:space="preserve">Value</w:t>
            </w:r>
            <w:r w:rsidDel="00000000" w:rsidR="00000000" w:rsidRPr="00000000">
              <w:rPr>
                <w:rtl w:val="0"/>
              </w:rPr>
            </w:r>
          </w:p>
        </w:tc>
        <w:tc>
          <w:tcPr>
            <w:shd w:fill="d9eaf7" w:val="clear"/>
          </w:tcPr>
          <w:p w:rsidR="00000000" w:rsidDel="00000000" w:rsidP="00000000" w:rsidRDefault="00000000" w:rsidRPr="00000000" w14:paraId="0000012E">
            <w:pPr>
              <w:rPr/>
            </w:pPr>
            <w:r w:rsidDel="00000000" w:rsidR="00000000" w:rsidRPr="00000000">
              <w:rPr>
                <w:b w:val="1"/>
                <w:bCs w:val="1"/>
                <w:sz w:val="15"/>
                <w:szCs w:val="15"/>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12F">
            <w:pPr>
              <w:rPr/>
            </w:pPr>
            <w:r w:rsidDel="00000000" w:rsidR="00000000" w:rsidRPr="00000000">
              <w:rPr>
                <w:sz w:val="15"/>
                <w:szCs w:val="15"/>
                <w:rtl w:val="0"/>
              </w:rPr>
              <w:t xml:space="preserve">Dataset integrity</w:t>
            </w:r>
            <w:r w:rsidDel="00000000" w:rsidR="00000000" w:rsidRPr="00000000">
              <w:rPr>
                <w:rtl w:val="0"/>
              </w:rPr>
            </w:r>
          </w:p>
        </w:tc>
        <w:tc>
          <w:tcPr/>
          <w:p w:rsidR="00000000" w:rsidDel="00000000" w:rsidP="00000000" w:rsidRDefault="00000000" w:rsidRPr="00000000" w14:paraId="00000130">
            <w:pPr>
              <w:rPr/>
            </w:pPr>
            <w:r w:rsidDel="00000000" w:rsidR="00000000" w:rsidRPr="00000000">
              <w:rPr>
                <w:sz w:val="15"/>
                <w:szCs w:val="15"/>
                <w:rtl w:val="0"/>
              </w:rPr>
              <w:t xml:space="preserve">Discovery usable samples</w:t>
            </w:r>
            <w:r w:rsidDel="00000000" w:rsidR="00000000" w:rsidRPr="00000000">
              <w:rPr>
                <w:rtl w:val="0"/>
              </w:rPr>
            </w:r>
          </w:p>
        </w:tc>
        <w:tc>
          <w:tcPr/>
          <w:p w:rsidR="00000000" w:rsidDel="00000000" w:rsidP="00000000" w:rsidRDefault="00000000" w:rsidRPr="00000000" w14:paraId="00000131">
            <w:pPr>
              <w:rPr/>
            </w:pPr>
            <w:r w:rsidDel="00000000" w:rsidR="00000000" w:rsidRPr="00000000">
              <w:rPr>
                <w:sz w:val="15"/>
                <w:szCs w:val="15"/>
                <w:rtl w:val="0"/>
              </w:rPr>
              <w:t xml:space="preserve">306 (57 pCR, 249 RD)</w:t>
            </w:r>
            <w:r w:rsidDel="00000000" w:rsidR="00000000" w:rsidRPr="00000000">
              <w:rPr>
                <w:rtl w:val="0"/>
              </w:rPr>
            </w:r>
          </w:p>
        </w:tc>
        <w:tc>
          <w:tcPr/>
          <w:p w:rsidR="00000000" w:rsidDel="00000000" w:rsidP="00000000" w:rsidRDefault="00000000" w:rsidRPr="00000000" w14:paraId="00000132">
            <w:pPr>
              <w:rPr/>
            </w:pPr>
            <w:r w:rsidDel="00000000" w:rsidR="00000000" w:rsidRPr="00000000">
              <w:rPr>
                <w:sz w:val="15"/>
                <w:szCs w:val="15"/>
                <w:rtl w:val="0"/>
              </w:rPr>
              <w:t xml:space="preserve">Discovery cohort is labeled and same-platform.</w:t>
            </w:r>
            <w:r w:rsidDel="00000000" w:rsidR="00000000" w:rsidRPr="00000000">
              <w:rPr>
                <w:rtl w:val="0"/>
              </w:rPr>
            </w:r>
          </w:p>
        </w:tc>
      </w:tr>
      <w:tr>
        <w:trPr>
          <w:cantSplit w:val="0"/>
          <w:tblHeader w:val="0"/>
        </w:trPr>
        <w:tc>
          <w:tcPr/>
          <w:p w:rsidR="00000000" w:rsidDel="00000000" w:rsidP="00000000" w:rsidRDefault="00000000" w:rsidRPr="00000000" w14:paraId="00000133">
            <w:pPr>
              <w:rPr/>
            </w:pPr>
            <w:r w:rsidDel="00000000" w:rsidR="00000000" w:rsidRPr="00000000">
              <w:rPr>
                <w:sz w:val="15"/>
                <w:szCs w:val="15"/>
                <w:rtl w:val="0"/>
              </w:rPr>
              <w:t xml:space="preserve">Dataset integrity</w:t>
            </w:r>
            <w:r w:rsidDel="00000000" w:rsidR="00000000" w:rsidRPr="00000000">
              <w:rPr>
                <w:rtl w:val="0"/>
              </w:rPr>
            </w:r>
          </w:p>
        </w:tc>
        <w:tc>
          <w:tcPr/>
          <w:p w:rsidR="00000000" w:rsidDel="00000000" w:rsidP="00000000" w:rsidRDefault="00000000" w:rsidRPr="00000000" w14:paraId="00000134">
            <w:pPr>
              <w:rPr/>
            </w:pPr>
            <w:r w:rsidDel="00000000" w:rsidR="00000000" w:rsidRPr="00000000">
              <w:rPr>
                <w:sz w:val="15"/>
                <w:szCs w:val="15"/>
                <w:rtl w:val="0"/>
              </w:rPr>
              <w:t xml:space="preserve">External usable samples</w:t>
            </w:r>
            <w:r w:rsidDel="00000000" w:rsidR="00000000" w:rsidRPr="00000000">
              <w:rPr>
                <w:rtl w:val="0"/>
              </w:rPr>
            </w:r>
          </w:p>
        </w:tc>
        <w:tc>
          <w:tcPr/>
          <w:p w:rsidR="00000000" w:rsidDel="00000000" w:rsidP="00000000" w:rsidRDefault="00000000" w:rsidRPr="00000000" w14:paraId="00000135">
            <w:pPr>
              <w:rPr/>
            </w:pPr>
            <w:r w:rsidDel="00000000" w:rsidR="00000000" w:rsidRPr="00000000">
              <w:rPr>
                <w:sz w:val="15"/>
                <w:szCs w:val="15"/>
                <w:rtl w:val="0"/>
              </w:rPr>
              <w:t xml:space="preserve">182 (42 pCR, 140 RD)</w:t>
            </w:r>
            <w:r w:rsidDel="00000000" w:rsidR="00000000" w:rsidRPr="00000000">
              <w:rPr>
                <w:rtl w:val="0"/>
              </w:rPr>
            </w:r>
          </w:p>
        </w:tc>
        <w:tc>
          <w:tcPr/>
          <w:p w:rsidR="00000000" w:rsidDel="00000000" w:rsidP="00000000" w:rsidRDefault="00000000" w:rsidRPr="00000000" w14:paraId="00000136">
            <w:pPr>
              <w:rPr/>
            </w:pPr>
            <w:r w:rsidDel="00000000" w:rsidR="00000000" w:rsidRPr="00000000">
              <w:rPr>
                <w:sz w:val="15"/>
                <w:szCs w:val="15"/>
                <w:rtl w:val="0"/>
              </w:rPr>
              <w:t xml:space="preserve">External validation is same-platform and non-overlapping.</w:t>
            </w:r>
            <w:r w:rsidDel="00000000" w:rsidR="00000000" w:rsidRPr="00000000">
              <w:rPr>
                <w:rtl w:val="0"/>
              </w:rPr>
            </w:r>
          </w:p>
        </w:tc>
      </w:tr>
      <w:tr>
        <w:trPr>
          <w:cantSplit w:val="0"/>
          <w:tblHeader w:val="0"/>
        </w:trPr>
        <w:tc>
          <w:tcPr/>
          <w:p w:rsidR="00000000" w:rsidDel="00000000" w:rsidP="00000000" w:rsidRDefault="00000000" w:rsidRPr="00000000" w14:paraId="00000137">
            <w:pPr>
              <w:rPr/>
            </w:pPr>
            <w:r w:rsidDel="00000000" w:rsidR="00000000" w:rsidRPr="00000000">
              <w:rPr>
                <w:sz w:val="15"/>
                <w:szCs w:val="15"/>
                <w:rtl w:val="0"/>
              </w:rPr>
              <w:t xml:space="preserve">Leakage sensitivity</w:t>
            </w:r>
            <w:r w:rsidDel="00000000" w:rsidR="00000000" w:rsidRPr="00000000">
              <w:rPr>
                <w:rtl w:val="0"/>
              </w:rPr>
            </w:r>
          </w:p>
        </w:tc>
        <w:tc>
          <w:tcPr/>
          <w:p w:rsidR="00000000" w:rsidDel="00000000" w:rsidP="00000000" w:rsidRDefault="00000000" w:rsidRPr="00000000" w14:paraId="00000138">
            <w:pPr>
              <w:rPr/>
            </w:pPr>
            <w:r w:rsidDel="00000000" w:rsidR="00000000" w:rsidRPr="00000000">
              <w:rPr>
                <w:sz w:val="15"/>
                <w:szCs w:val="15"/>
                <w:rtl w:val="0"/>
              </w:rPr>
              <w:t xml:space="preserve">AUROC gap (leaky - guarded)</w:t>
            </w:r>
            <w:r w:rsidDel="00000000" w:rsidR="00000000" w:rsidRPr="00000000">
              <w:rPr>
                <w:rtl w:val="0"/>
              </w:rPr>
            </w:r>
          </w:p>
        </w:tc>
        <w:tc>
          <w:tcPr/>
          <w:p w:rsidR="00000000" w:rsidDel="00000000" w:rsidP="00000000" w:rsidRDefault="00000000" w:rsidRPr="00000000" w14:paraId="00000139">
            <w:pPr>
              <w:rPr/>
            </w:pPr>
            <w:r w:rsidDel="00000000" w:rsidR="00000000" w:rsidRPr="00000000">
              <w:rPr>
                <w:sz w:val="15"/>
                <w:szCs w:val="15"/>
                <w:rtl w:val="0"/>
              </w:rPr>
              <w:t xml:space="preserve">+0.0440</w:t>
            </w:r>
            <w:r w:rsidDel="00000000" w:rsidR="00000000" w:rsidRPr="00000000">
              <w:rPr>
                <w:rtl w:val="0"/>
              </w:rPr>
            </w:r>
          </w:p>
        </w:tc>
        <w:tc>
          <w:tcPr/>
          <w:p w:rsidR="00000000" w:rsidDel="00000000" w:rsidP="00000000" w:rsidRDefault="00000000" w:rsidRPr="00000000" w14:paraId="0000013A">
            <w:pPr>
              <w:rPr/>
            </w:pPr>
            <w:r w:rsidDel="00000000" w:rsidR="00000000" w:rsidRPr="00000000">
              <w:rPr>
                <w:sz w:val="15"/>
                <w:szCs w:val="15"/>
                <w:rtl w:val="0"/>
              </w:rPr>
              <w:t xml:space="preserve">Global feature selection inflates apparent discrimination.</w:t>
            </w:r>
            <w:r w:rsidDel="00000000" w:rsidR="00000000" w:rsidRPr="00000000">
              <w:rPr>
                <w:rtl w:val="0"/>
              </w:rPr>
            </w:r>
          </w:p>
        </w:tc>
      </w:tr>
      <w:tr>
        <w:trPr>
          <w:cantSplit w:val="0"/>
          <w:tblHeader w:val="0"/>
        </w:trPr>
        <w:tc>
          <w:tcPr/>
          <w:p w:rsidR="00000000" w:rsidDel="00000000" w:rsidP="00000000" w:rsidRDefault="00000000" w:rsidRPr="00000000" w14:paraId="0000013B">
            <w:pPr>
              <w:rPr/>
            </w:pPr>
            <w:r w:rsidDel="00000000" w:rsidR="00000000" w:rsidRPr="00000000">
              <w:rPr>
                <w:sz w:val="15"/>
                <w:szCs w:val="15"/>
                <w:rtl w:val="0"/>
              </w:rPr>
              <w:t xml:space="preserve">Leakage sensitivity</w:t>
            </w:r>
            <w:r w:rsidDel="00000000" w:rsidR="00000000" w:rsidRPr="00000000">
              <w:rPr>
                <w:rtl w:val="0"/>
              </w:rPr>
            </w:r>
          </w:p>
        </w:tc>
        <w:tc>
          <w:tcPr/>
          <w:p w:rsidR="00000000" w:rsidDel="00000000" w:rsidP="00000000" w:rsidRDefault="00000000" w:rsidRPr="00000000" w14:paraId="0000013C">
            <w:pPr>
              <w:rPr/>
            </w:pPr>
            <w:r w:rsidDel="00000000" w:rsidR="00000000" w:rsidRPr="00000000">
              <w:rPr>
                <w:sz w:val="15"/>
                <w:szCs w:val="15"/>
                <w:rtl w:val="0"/>
              </w:rPr>
              <w:t xml:space="preserve">PR-AUC gap (leaky - guarded)</w:t>
            </w:r>
            <w:r w:rsidDel="00000000" w:rsidR="00000000" w:rsidRPr="00000000">
              <w:rPr>
                <w:rtl w:val="0"/>
              </w:rPr>
            </w:r>
          </w:p>
        </w:tc>
        <w:tc>
          <w:tcPr/>
          <w:p w:rsidR="00000000" w:rsidDel="00000000" w:rsidP="00000000" w:rsidRDefault="00000000" w:rsidRPr="00000000" w14:paraId="0000013D">
            <w:pPr>
              <w:rPr/>
            </w:pPr>
            <w:r w:rsidDel="00000000" w:rsidR="00000000" w:rsidRPr="00000000">
              <w:rPr>
                <w:sz w:val="15"/>
                <w:szCs w:val="15"/>
                <w:rtl w:val="0"/>
              </w:rPr>
              <w:t xml:space="preserve">+0.0363</w:t>
            </w:r>
            <w:r w:rsidDel="00000000" w:rsidR="00000000" w:rsidRPr="00000000">
              <w:rPr>
                <w:rtl w:val="0"/>
              </w:rPr>
            </w:r>
          </w:p>
        </w:tc>
        <w:tc>
          <w:tcPr/>
          <w:p w:rsidR="00000000" w:rsidDel="00000000" w:rsidP="00000000" w:rsidRDefault="00000000" w:rsidRPr="00000000" w14:paraId="0000013E">
            <w:pPr>
              <w:rPr/>
            </w:pPr>
            <w:r w:rsidDel="00000000" w:rsidR="00000000" w:rsidRPr="00000000">
              <w:rPr>
                <w:sz w:val="15"/>
                <w:szCs w:val="15"/>
                <w:rtl w:val="0"/>
              </w:rPr>
              <w:t xml:space="preserve">Leakage also inflates minority-class ranking performance.</w:t>
            </w:r>
            <w:r w:rsidDel="00000000" w:rsidR="00000000" w:rsidRPr="00000000">
              <w:rPr>
                <w:rtl w:val="0"/>
              </w:rPr>
            </w:r>
          </w:p>
        </w:tc>
      </w:tr>
      <w:tr>
        <w:trPr>
          <w:cantSplit w:val="0"/>
          <w:tblHeader w:val="0"/>
        </w:trPr>
        <w:tc>
          <w:tcPr/>
          <w:p w:rsidR="00000000" w:rsidDel="00000000" w:rsidP="00000000" w:rsidRDefault="00000000" w:rsidRPr="00000000" w14:paraId="0000013F">
            <w:pPr>
              <w:rPr/>
            </w:pPr>
            <w:r w:rsidDel="00000000" w:rsidR="00000000" w:rsidRPr="00000000">
              <w:rPr>
                <w:sz w:val="15"/>
                <w:szCs w:val="15"/>
                <w:rtl w:val="0"/>
              </w:rPr>
              <w:t xml:space="preserve">Guarded nested performance</w:t>
            </w:r>
            <w:r w:rsidDel="00000000" w:rsidR="00000000" w:rsidRPr="00000000">
              <w:rPr>
                <w:rtl w:val="0"/>
              </w:rPr>
            </w:r>
          </w:p>
        </w:tc>
        <w:tc>
          <w:tcPr/>
          <w:p w:rsidR="00000000" w:rsidDel="00000000" w:rsidP="00000000" w:rsidRDefault="00000000" w:rsidRPr="00000000" w14:paraId="00000140">
            <w:pPr>
              <w:rPr/>
            </w:pPr>
            <w:r w:rsidDel="00000000" w:rsidR="00000000" w:rsidRPr="00000000">
              <w:rPr>
                <w:sz w:val="15"/>
                <w:szCs w:val="15"/>
                <w:rtl w:val="0"/>
              </w:rPr>
              <w:t xml:space="preserve">Balanced accuracy / MCC</w:t>
            </w:r>
            <w:r w:rsidDel="00000000" w:rsidR="00000000" w:rsidRPr="00000000">
              <w:rPr>
                <w:rtl w:val="0"/>
              </w:rPr>
            </w:r>
          </w:p>
        </w:tc>
        <w:tc>
          <w:tcPr/>
          <w:p w:rsidR="00000000" w:rsidDel="00000000" w:rsidP="00000000" w:rsidRDefault="00000000" w:rsidRPr="00000000" w14:paraId="00000141">
            <w:pPr>
              <w:rPr/>
            </w:pPr>
            <w:r w:rsidDel="00000000" w:rsidR="00000000" w:rsidRPr="00000000">
              <w:rPr>
                <w:sz w:val="15"/>
                <w:szCs w:val="15"/>
                <w:rtl w:val="0"/>
              </w:rPr>
              <w:t xml:space="preserve">0.5792 / 0.2250</w:t>
            </w:r>
            <w:r w:rsidDel="00000000" w:rsidR="00000000" w:rsidRPr="00000000">
              <w:rPr>
                <w:rtl w:val="0"/>
              </w:rPr>
            </w:r>
          </w:p>
        </w:tc>
        <w:tc>
          <w:tcPr/>
          <w:p w:rsidR="00000000" w:rsidDel="00000000" w:rsidP="00000000" w:rsidRDefault="00000000" w:rsidRPr="00000000" w14:paraId="00000142">
            <w:pPr>
              <w:rPr/>
            </w:pPr>
            <w:r w:rsidDel="00000000" w:rsidR="00000000" w:rsidRPr="00000000">
              <w:rPr>
                <w:sz w:val="15"/>
                <w:szCs w:val="15"/>
                <w:rtl w:val="0"/>
              </w:rPr>
              <w:t xml:space="preserve">Nested validation improves imbalance-aware operating metrics.</w:t>
            </w:r>
            <w:r w:rsidDel="00000000" w:rsidR="00000000" w:rsidRPr="00000000">
              <w:rPr>
                <w:rtl w:val="0"/>
              </w:rPr>
            </w:r>
          </w:p>
        </w:tc>
      </w:tr>
      <w:tr>
        <w:trPr>
          <w:cantSplit w:val="0"/>
          <w:tblHeader w:val="0"/>
        </w:trPr>
        <w:tc>
          <w:tcPr/>
          <w:p w:rsidR="00000000" w:rsidDel="00000000" w:rsidP="00000000" w:rsidRDefault="00000000" w:rsidRPr="00000000" w14:paraId="00000143">
            <w:pPr>
              <w:rPr/>
            </w:pPr>
            <w:r w:rsidDel="00000000" w:rsidR="00000000" w:rsidRPr="00000000">
              <w:rPr>
                <w:sz w:val="15"/>
                <w:szCs w:val="15"/>
                <w:rtl w:val="0"/>
              </w:rPr>
              <w:t xml:space="preserve">Feature stability</w:t>
            </w:r>
            <w:r w:rsidDel="00000000" w:rsidR="00000000" w:rsidRPr="00000000">
              <w:rPr>
                <w:rtl w:val="0"/>
              </w:rPr>
            </w:r>
          </w:p>
        </w:tc>
        <w:tc>
          <w:tcPr/>
          <w:p w:rsidR="00000000" w:rsidDel="00000000" w:rsidP="00000000" w:rsidRDefault="00000000" w:rsidRPr="00000000" w14:paraId="00000144">
            <w:pPr>
              <w:rPr/>
            </w:pPr>
            <w:r w:rsidDel="00000000" w:rsidR="00000000" w:rsidRPr="00000000">
              <w:rPr>
                <w:sz w:val="15"/>
                <w:szCs w:val="15"/>
                <w:rtl w:val="0"/>
              </w:rPr>
              <w:t xml:space="preserve">Nogueira index</w:t>
            </w:r>
            <w:r w:rsidDel="00000000" w:rsidR="00000000" w:rsidRPr="00000000">
              <w:rPr>
                <w:rtl w:val="0"/>
              </w:rPr>
            </w:r>
          </w:p>
        </w:tc>
        <w:tc>
          <w:tcPr/>
          <w:p w:rsidR="00000000" w:rsidDel="00000000" w:rsidP="00000000" w:rsidRDefault="00000000" w:rsidRPr="00000000" w14:paraId="00000145">
            <w:pPr>
              <w:rPr/>
            </w:pPr>
            <w:r w:rsidDel="00000000" w:rsidR="00000000" w:rsidRPr="00000000">
              <w:rPr>
                <w:sz w:val="15"/>
                <w:szCs w:val="15"/>
                <w:rtl w:val="0"/>
              </w:rPr>
              <w:t xml:space="preserve">0.5409</w:t>
            </w:r>
            <w:r w:rsidDel="00000000" w:rsidR="00000000" w:rsidRPr="00000000">
              <w:rPr>
                <w:rtl w:val="0"/>
              </w:rPr>
            </w:r>
          </w:p>
        </w:tc>
        <w:tc>
          <w:tcPr/>
          <w:p w:rsidR="00000000" w:rsidDel="00000000" w:rsidP="00000000" w:rsidRDefault="00000000" w:rsidRPr="00000000" w14:paraId="00000146">
            <w:pPr>
              <w:rPr/>
            </w:pPr>
            <w:r w:rsidDel="00000000" w:rsidR="00000000" w:rsidRPr="00000000">
              <w:rPr>
                <w:sz w:val="15"/>
                <w:szCs w:val="15"/>
                <w:rtl w:val="0"/>
              </w:rPr>
              <w:t xml:space="preserve">Moderate stability with stable core and unstable tail.</w:t>
            </w:r>
            <w:r w:rsidDel="00000000" w:rsidR="00000000" w:rsidRPr="00000000">
              <w:rPr>
                <w:rtl w:val="0"/>
              </w:rPr>
            </w:r>
          </w:p>
        </w:tc>
      </w:tr>
      <w:tr>
        <w:trPr>
          <w:cantSplit w:val="0"/>
          <w:tblHeader w:val="0"/>
        </w:trPr>
        <w:tc>
          <w:tcPr/>
          <w:p w:rsidR="00000000" w:rsidDel="00000000" w:rsidP="00000000" w:rsidRDefault="00000000" w:rsidRPr="00000000" w14:paraId="00000147">
            <w:pPr>
              <w:rPr/>
            </w:pPr>
            <w:r w:rsidDel="00000000" w:rsidR="00000000" w:rsidRPr="00000000">
              <w:rPr>
                <w:sz w:val="15"/>
                <w:szCs w:val="15"/>
                <w:rtl w:val="0"/>
              </w:rPr>
              <w:t xml:space="preserve">External validation</w:t>
            </w:r>
            <w:r w:rsidDel="00000000" w:rsidR="00000000" w:rsidRPr="00000000">
              <w:rPr>
                <w:rtl w:val="0"/>
              </w:rPr>
            </w:r>
          </w:p>
        </w:tc>
        <w:tc>
          <w:tcPr/>
          <w:p w:rsidR="00000000" w:rsidDel="00000000" w:rsidP="00000000" w:rsidRDefault="00000000" w:rsidRPr="00000000" w14:paraId="00000148">
            <w:pPr>
              <w:rPr/>
            </w:pPr>
            <w:r w:rsidDel="00000000" w:rsidR="00000000" w:rsidRPr="00000000">
              <w:rPr>
                <w:sz w:val="15"/>
                <w:szCs w:val="15"/>
                <w:rtl w:val="0"/>
              </w:rPr>
              <w:t xml:space="preserve">GSE25065 AUROC / PR-AUC</w:t>
            </w:r>
            <w:r w:rsidDel="00000000" w:rsidR="00000000" w:rsidRPr="00000000">
              <w:rPr>
                <w:rtl w:val="0"/>
              </w:rPr>
            </w:r>
          </w:p>
        </w:tc>
        <w:tc>
          <w:tcPr/>
          <w:p w:rsidR="00000000" w:rsidDel="00000000" w:rsidP="00000000" w:rsidRDefault="00000000" w:rsidRPr="00000000" w14:paraId="00000149">
            <w:pPr>
              <w:rPr/>
            </w:pPr>
            <w:r w:rsidDel="00000000" w:rsidR="00000000" w:rsidRPr="00000000">
              <w:rPr>
                <w:sz w:val="15"/>
                <w:szCs w:val="15"/>
                <w:rtl w:val="0"/>
              </w:rPr>
              <w:t xml:space="preserve">0.6078 / 0.3060</w:t>
            </w:r>
            <w:r w:rsidDel="00000000" w:rsidR="00000000" w:rsidRPr="00000000">
              <w:rPr>
                <w:rtl w:val="0"/>
              </w:rPr>
            </w:r>
          </w:p>
        </w:tc>
        <w:tc>
          <w:tcPr/>
          <w:p w:rsidR="00000000" w:rsidDel="00000000" w:rsidP="00000000" w:rsidRDefault="00000000" w:rsidRPr="00000000" w14:paraId="0000014A">
            <w:pPr>
              <w:rPr/>
            </w:pPr>
            <w:r w:rsidDel="00000000" w:rsidR="00000000" w:rsidRPr="00000000">
              <w:rPr>
                <w:sz w:val="15"/>
                <w:szCs w:val="15"/>
                <w:rtl w:val="0"/>
              </w:rPr>
              <w:t xml:space="preserve">External validation shows transportability limits.</w:t>
            </w:r>
            <w:r w:rsidDel="00000000" w:rsidR="00000000" w:rsidRPr="00000000">
              <w:rPr>
                <w:rtl w:val="0"/>
              </w:rPr>
            </w:r>
          </w:p>
        </w:tc>
      </w:tr>
      <w:tr>
        <w:trPr>
          <w:cantSplit w:val="0"/>
          <w:tblHeader w:val="0"/>
        </w:trPr>
        <w:tc>
          <w:tcPr/>
          <w:p w:rsidR="00000000" w:rsidDel="00000000" w:rsidP="00000000" w:rsidRDefault="00000000" w:rsidRPr="00000000" w14:paraId="0000014B">
            <w:pPr>
              <w:rPr/>
            </w:pPr>
            <w:r w:rsidDel="00000000" w:rsidR="00000000" w:rsidRPr="00000000">
              <w:rPr>
                <w:sz w:val="15"/>
                <w:szCs w:val="15"/>
                <w:rtl w:val="0"/>
              </w:rPr>
              <w:t xml:space="preserve">Class-imbalance behavior</w:t>
            </w:r>
            <w:r w:rsidDel="00000000" w:rsidR="00000000" w:rsidRPr="00000000">
              <w:rPr>
                <w:rtl w:val="0"/>
              </w:rPr>
            </w:r>
          </w:p>
        </w:tc>
        <w:tc>
          <w:tcPr/>
          <w:p w:rsidR="00000000" w:rsidDel="00000000" w:rsidP="00000000" w:rsidRDefault="00000000" w:rsidRPr="00000000" w14:paraId="0000014C">
            <w:pPr>
              <w:rPr/>
            </w:pPr>
            <w:r w:rsidDel="00000000" w:rsidR="00000000" w:rsidRPr="00000000">
              <w:rPr>
                <w:sz w:val="15"/>
                <w:szCs w:val="15"/>
                <w:rtl w:val="0"/>
              </w:rPr>
              <w:t xml:space="preserve">External sensitivity / specificity</w:t>
            </w:r>
            <w:r w:rsidDel="00000000" w:rsidR="00000000" w:rsidRPr="00000000">
              <w:rPr>
                <w:rtl w:val="0"/>
              </w:rPr>
            </w:r>
          </w:p>
        </w:tc>
        <w:tc>
          <w:tcPr/>
          <w:p w:rsidR="00000000" w:rsidDel="00000000" w:rsidP="00000000" w:rsidRDefault="00000000" w:rsidRPr="00000000" w14:paraId="0000014D">
            <w:pPr>
              <w:rPr/>
            </w:pPr>
            <w:r w:rsidDel="00000000" w:rsidR="00000000" w:rsidRPr="00000000">
              <w:rPr>
                <w:sz w:val="15"/>
                <w:szCs w:val="15"/>
                <w:rtl w:val="0"/>
              </w:rPr>
              <w:t xml:space="preserve">0.1190 / 0.9571</w:t>
            </w:r>
            <w:r w:rsidDel="00000000" w:rsidR="00000000" w:rsidRPr="00000000">
              <w:rPr>
                <w:rtl w:val="0"/>
              </w:rPr>
            </w:r>
          </w:p>
        </w:tc>
        <w:tc>
          <w:tcPr/>
          <w:p w:rsidR="00000000" w:rsidDel="00000000" w:rsidP="00000000" w:rsidRDefault="00000000" w:rsidRPr="00000000" w14:paraId="0000014E">
            <w:pPr>
              <w:rPr/>
            </w:pPr>
            <w:r w:rsidDel="00000000" w:rsidR="00000000" w:rsidRPr="00000000">
              <w:rPr>
                <w:sz w:val="15"/>
                <w:szCs w:val="15"/>
                <w:rtl w:val="0"/>
              </w:rPr>
              <w:t xml:space="preserve">High specificity but low pCR sensitivity.</w:t>
            </w:r>
            <w:r w:rsidDel="00000000" w:rsidR="00000000" w:rsidRPr="00000000">
              <w:rPr>
                <w:rtl w:val="0"/>
              </w:rPr>
            </w:r>
          </w:p>
        </w:tc>
      </w:tr>
      <w:tr>
        <w:trPr>
          <w:cantSplit w:val="0"/>
          <w:tblHeader w:val="0"/>
        </w:trPr>
        <w:tc>
          <w:tcPr/>
          <w:p w:rsidR="00000000" w:rsidDel="00000000" w:rsidP="00000000" w:rsidRDefault="00000000" w:rsidRPr="00000000" w14:paraId="0000014F">
            <w:pPr>
              <w:rPr/>
            </w:pPr>
            <w:r w:rsidDel="00000000" w:rsidR="00000000" w:rsidRPr="00000000">
              <w:rPr>
                <w:sz w:val="15"/>
                <w:szCs w:val="15"/>
                <w:rtl w:val="0"/>
              </w:rPr>
              <w:t xml:space="preserve">Reproducibility status</w:t>
            </w:r>
            <w:r w:rsidDel="00000000" w:rsidR="00000000" w:rsidRPr="00000000">
              <w:rPr>
                <w:rtl w:val="0"/>
              </w:rPr>
            </w:r>
          </w:p>
        </w:tc>
        <w:tc>
          <w:tcPr/>
          <w:p w:rsidR="00000000" w:rsidDel="00000000" w:rsidP="00000000" w:rsidRDefault="00000000" w:rsidRPr="00000000" w14:paraId="00000150">
            <w:pPr>
              <w:rPr/>
            </w:pPr>
            <w:r w:rsidDel="00000000" w:rsidR="00000000" w:rsidRPr="00000000">
              <w:rPr>
                <w:sz w:val="15"/>
                <w:szCs w:val="15"/>
                <w:rtl w:val="0"/>
              </w:rPr>
              <w:t xml:space="preserve">Code/results artifacts</w:t>
            </w:r>
            <w:r w:rsidDel="00000000" w:rsidR="00000000" w:rsidRPr="00000000">
              <w:rPr>
                <w:rtl w:val="0"/>
              </w:rPr>
            </w:r>
          </w:p>
        </w:tc>
        <w:tc>
          <w:tcPr/>
          <w:p w:rsidR="00000000" w:rsidDel="00000000" w:rsidP="00000000" w:rsidRDefault="00000000" w:rsidRPr="00000000" w14:paraId="00000151">
            <w:pPr>
              <w:rPr/>
            </w:pPr>
            <w:r w:rsidDel="00000000" w:rsidR="00000000" w:rsidRPr="00000000">
              <w:rPr>
                <w:sz w:val="15"/>
                <w:szCs w:val="15"/>
                <w:rtl w:val="0"/>
              </w:rPr>
              <w:t xml:space="preserve">Committed outputs and audit table</w:t>
            </w:r>
            <w:r w:rsidDel="00000000" w:rsidR="00000000" w:rsidRPr="00000000">
              <w:rPr>
                <w:rtl w:val="0"/>
              </w:rPr>
            </w:r>
          </w:p>
        </w:tc>
        <w:tc>
          <w:tcPr/>
          <w:p w:rsidR="00000000" w:rsidDel="00000000" w:rsidP="00000000" w:rsidRDefault="00000000" w:rsidRPr="00000000" w14:paraId="00000152">
            <w:pPr>
              <w:rPr/>
            </w:pPr>
            <w:r w:rsidDel="00000000" w:rsidR="00000000" w:rsidRPr="00000000">
              <w:rPr>
                <w:sz w:val="15"/>
                <w:szCs w:val="15"/>
                <w:rtl w:val="0"/>
              </w:rPr>
              <w:t xml:space="preserve">Pipeline is reproducible from repository artifacts.</w:t>
            </w:r>
            <w:r w:rsidDel="00000000" w:rsidR="00000000" w:rsidRPr="00000000">
              <w:rPr>
                <w:rtl w:val="0"/>
              </w:rPr>
            </w:r>
          </w:p>
        </w:tc>
      </w:tr>
      <w:tr>
        <w:trPr>
          <w:cantSplit w:val="0"/>
          <w:tblHeader w:val="0"/>
        </w:trPr>
        <w:tc>
          <w:tcPr/>
          <w:p w:rsidR="00000000" w:rsidDel="00000000" w:rsidP="00000000" w:rsidRDefault="00000000" w:rsidRPr="00000000" w14:paraId="00000153">
            <w:pPr>
              <w:rPr/>
            </w:pPr>
            <w:r w:rsidDel="00000000" w:rsidR="00000000" w:rsidRPr="00000000">
              <w:rPr>
                <w:sz w:val="15"/>
                <w:szCs w:val="15"/>
                <w:rtl w:val="0"/>
              </w:rPr>
              <w:t xml:space="preserve">Limitations/unresolved risks</w:t>
            </w:r>
            <w:r w:rsidDel="00000000" w:rsidR="00000000" w:rsidRPr="00000000">
              <w:rPr>
                <w:rtl w:val="0"/>
              </w:rPr>
            </w:r>
          </w:p>
        </w:tc>
        <w:tc>
          <w:tcPr/>
          <w:p w:rsidR="00000000" w:rsidDel="00000000" w:rsidP="00000000" w:rsidRDefault="00000000" w:rsidRPr="00000000" w14:paraId="00000154">
            <w:pPr>
              <w:rPr/>
            </w:pPr>
            <w:r w:rsidDel="00000000" w:rsidR="00000000" w:rsidRPr="00000000">
              <w:rPr>
                <w:sz w:val="15"/>
                <w:szCs w:val="15"/>
                <w:rtl w:val="0"/>
              </w:rPr>
              <w:t xml:space="preserve">Unvalidated biomarker status</w:t>
            </w:r>
            <w:r w:rsidDel="00000000" w:rsidR="00000000" w:rsidRPr="00000000">
              <w:rPr>
                <w:rtl w:val="0"/>
              </w:rPr>
            </w:r>
          </w:p>
        </w:tc>
        <w:tc>
          <w:tcPr/>
          <w:p w:rsidR="00000000" w:rsidDel="00000000" w:rsidP="00000000" w:rsidRDefault="00000000" w:rsidRPr="00000000" w14:paraId="00000155">
            <w:pPr>
              <w:rPr/>
            </w:pPr>
            <w:r w:rsidDel="00000000" w:rsidR="00000000" w:rsidRPr="00000000">
              <w:rPr>
                <w:sz w:val="15"/>
                <w:szCs w:val="15"/>
                <w:rtl w:val="0"/>
              </w:rPr>
              <w:t xml:space="preserve">No clinical biomarker claim</w:t>
            </w:r>
            <w:r w:rsidDel="00000000" w:rsidR="00000000" w:rsidRPr="00000000">
              <w:rPr>
                <w:rtl w:val="0"/>
              </w:rPr>
            </w:r>
          </w:p>
        </w:tc>
        <w:tc>
          <w:tcPr/>
          <w:p w:rsidR="00000000" w:rsidDel="00000000" w:rsidP="00000000" w:rsidRDefault="00000000" w:rsidRPr="00000000" w14:paraId="00000156">
            <w:pPr>
              <w:rPr/>
            </w:pPr>
            <w:r w:rsidDel="00000000" w:rsidR="00000000" w:rsidRPr="00000000">
              <w:rPr>
                <w:sz w:val="15"/>
                <w:szCs w:val="15"/>
                <w:rtl w:val="0"/>
              </w:rPr>
              <w:t xml:space="preserve">Findings are methodological and require further validation.</w:t>
            </w:r>
            <w:r w:rsidDel="00000000" w:rsidR="00000000" w:rsidRPr="00000000">
              <w:rPr>
                <w:rtl w:val="0"/>
              </w:rPr>
            </w:r>
          </w:p>
        </w:tc>
      </w:tr>
    </w:tbl>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Note. The evidence audit summarizes the current results.</w:t>
      </w:r>
    </w:p>
    <w:p w:rsidR="00000000" w:rsidDel="00000000" w:rsidP="00000000" w:rsidRDefault="00000000" w:rsidRPr="00000000" w14:paraId="00000158">
      <w:pPr>
        <w:pStyle w:val="Heading1"/>
        <w:rPr/>
      </w:pPr>
      <w:r w:rsidDel="00000000" w:rsidR="00000000" w:rsidRPr="00000000">
        <w:rPr>
          <w:rtl w:val="0"/>
        </w:rPr>
        <w:t xml:space="preserve">Discussion</w:t>
      </w:r>
    </w:p>
    <w:p w:rsidR="00000000" w:rsidDel="00000000" w:rsidP="00000000" w:rsidRDefault="00000000" w:rsidRPr="00000000" w14:paraId="00000159">
      <w:pPr>
        <w:pStyle w:val="Heading2"/>
        <w:rPr/>
      </w:pPr>
      <w:r w:rsidDel="00000000" w:rsidR="00000000" w:rsidRPr="00000000">
        <w:rPr>
          <w:rtl w:val="0"/>
        </w:rPr>
        <w:t xml:space="preserve">Principal findings</w:t>
      </w:r>
    </w:p>
    <w:p w:rsidR="00000000" w:rsidDel="00000000" w:rsidP="00000000" w:rsidRDefault="00000000" w:rsidRPr="00000000" w14:paraId="0000015A">
      <w:pPr>
        <w:rPr/>
      </w:pPr>
      <w:r w:rsidDel="00000000" w:rsidR="00000000" w:rsidRPr="00000000">
        <w:rPr>
          <w:rtl w:val="0"/>
        </w:rPr>
        <w:t xml:space="preserve">The results show that naive global feature selection can inflate apparent SMO/SVM discrimination, producing a measurable internal leakage gap. In GSE25055, the leaky pipeline inflated threshold-independent discrimination metrics (AUROC and PR-AUC), whereas operating-point metrics such as balanced accuracy, MCC, and pCR sensitivity varied under class imbalance and should be interpreted cautiously. Separately, external validation on GSE25065 revealed a transportability drop—a decline in discrimination and sensitivity when moving to an independent cohort. This external performance decrease is a limit of model generalization across heterogeneous datasets, distinct from the optimistic bias induced by internal leakage. These findings underscore that even leakage-aware internal validation must be paired with independent cohort evaluation to assess true transportability before any translational claim is made.</w:t>
      </w:r>
    </w:p>
    <w:p w:rsidR="00000000" w:rsidDel="00000000" w:rsidP="00000000" w:rsidRDefault="00000000" w:rsidRPr="00000000" w14:paraId="0000015B">
      <w:pPr>
        <w:pStyle w:val="Heading2"/>
        <w:rPr/>
      </w:pPr>
      <w:r w:rsidDel="00000000" w:rsidR="00000000" w:rsidRPr="00000000">
        <w:rPr>
          <w:rtl w:val="0"/>
        </w:rPr>
        <w:t xml:space="preserve">Why leakage-aware validation changes biomarker interpretation</w:t>
      </w:r>
    </w:p>
    <w:p w:rsidR="00000000" w:rsidDel="00000000" w:rsidP="00000000" w:rsidRDefault="00000000" w:rsidRPr="00000000" w14:paraId="0000015C">
      <w:pPr>
        <w:rPr/>
      </w:pPr>
      <w:r w:rsidDel="00000000" w:rsidR="00000000" w:rsidRPr="00000000">
        <w:rPr>
          <w:rtl w:val="0"/>
        </w:rPr>
        <w:t xml:space="preserve">These results connect leakage inflation directly to biomarker credibility. A model that looks stronger under global feature selection is not necessarily more useful; it may simply benefit from test-fold information embedded in the feature list. The leaky pipeline inflated threshold-independent discrimination metrics, whereas operating-point metrics varied under class imbalance and should be interpreted cautiously. The external-validation decline underscores that transparent reporting of transportability is more valuable than preserving an inflated internal AUROC.</w:t>
      </w:r>
    </w:p>
    <w:p w:rsidR="00000000" w:rsidDel="00000000" w:rsidP="00000000" w:rsidRDefault="00000000" w:rsidRPr="00000000" w14:paraId="0000015D">
      <w:pPr>
        <w:pStyle w:val="Heading2"/>
        <w:rPr/>
      </w:pPr>
      <w:r w:rsidDel="00000000" w:rsidR="00000000" w:rsidRPr="00000000">
        <w:rPr>
          <w:rtl w:val="0"/>
        </w:rPr>
        <w:t xml:space="preserve">Feature stability versus predictive performance</w:t>
      </w:r>
    </w:p>
    <w:p w:rsidR="00000000" w:rsidDel="00000000" w:rsidP="00000000" w:rsidRDefault="00000000" w:rsidRPr="00000000" w14:paraId="0000015E">
      <w:pPr>
        <w:rPr/>
      </w:pPr>
      <w:r w:rsidDel="00000000" w:rsidR="00000000" w:rsidRPr="00000000">
        <w:rPr>
          <w:rtl w:val="0"/>
        </w:rPr>
        <w:t xml:space="preserve">The stability audit shows that performance and feature reproducibility answer different questions. The guarded nested pipeline selected a stable core of 28 probes across all folds, but it also produced a large unstable tail of 102 probes selected only once. This pattern supports the central claim that transcriptomic ML papers should not report a single gene list without fold-level stability evidence. In this analysis, the selected features should be interpreted as audit outputs, not as validated biomarkers.</w:t>
      </w:r>
    </w:p>
    <w:p w:rsidR="00000000" w:rsidDel="00000000" w:rsidP="00000000" w:rsidRDefault="00000000" w:rsidRPr="00000000" w14:paraId="0000015F">
      <w:pPr>
        <w:pStyle w:val="Heading2"/>
        <w:rPr/>
      </w:pPr>
      <w:r w:rsidDel="00000000" w:rsidR="00000000" w:rsidRPr="00000000">
        <w:rPr>
          <w:rtl w:val="0"/>
        </w:rPr>
        <w:t xml:space="preserve">Relation to existing tools and literature</w:t>
      </w:r>
    </w:p>
    <w:p w:rsidR="00000000" w:rsidDel="00000000" w:rsidP="00000000" w:rsidRDefault="00000000" w:rsidRPr="00000000" w14:paraId="00000160">
      <w:pPr>
        <w:rPr/>
      </w:pPr>
      <w:r w:rsidDel="00000000" w:rsidR="00000000" w:rsidRPr="00000000">
        <w:rPr>
          <w:rtl w:val="0"/>
        </w:rPr>
        <w:t xml:space="preserve">This work does not replace nestedcv, stabm, or other existing tools. Its contribution is a focused, reproducible SMO/SVM audit that combines leakage inflation, feature stability, class-imbalance-sensitive performance, external validation, and evidence-table reporting in one workflow. The framework is intended to complement existing validation packages by showing how their principles can be translated into an interpretable omics evidence audit.</w:t>
      </w:r>
    </w:p>
    <w:p w:rsidR="00000000" w:rsidDel="00000000" w:rsidP="00000000" w:rsidRDefault="00000000" w:rsidRPr="00000000" w14:paraId="00000161">
      <w:pPr>
        <w:pStyle w:val="Heading2"/>
        <w:rPr/>
      </w:pPr>
      <w:r w:rsidDel="00000000" w:rsidR="00000000" w:rsidRPr="00000000">
        <w:rPr>
          <w:rtl w:val="0"/>
        </w:rPr>
        <w:t xml:space="preserve">Practical recommendations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Never perform supervised feature selection before splitting.</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Fit scaling and preprocessing parameters on training data only.</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Perform feature selection and hyperparameter tuning inside nested cross-validation.</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Apply SMOTE or other resampling only inside training folds if used at all.</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Report PR-AUC, MCC, balanced accuracy, sensitivity, and specificity for imbalanced endpoints.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Report feature stability and feature-selection frequencies in biomarker studies.</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tab/>
        <w:t xml:space="preserve">Freeze features, thresholds, and hyperparameters before external validation.</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tab/>
        <w:t xml:space="preserve">Release code, data-accession lists, random seeds, fold assignments, and selected-feature outputs.</w:t>
      </w:r>
    </w:p>
    <w:p w:rsidR="00000000" w:rsidDel="00000000" w:rsidP="00000000" w:rsidRDefault="00000000" w:rsidRPr="00000000" w14:paraId="0000016A">
      <w:pPr>
        <w:pStyle w:val="Heading2"/>
        <w:rPr/>
      </w:pPr>
      <w:r w:rsidDel="00000000" w:rsidR="00000000" w:rsidRPr="00000000">
        <w:rPr>
          <w:rtl w:val="0"/>
        </w:rPr>
        <w:t xml:space="preserve">Limitations</w:t>
      </w:r>
    </w:p>
    <w:p w:rsidR="00000000" w:rsidDel="00000000" w:rsidP="00000000" w:rsidRDefault="00000000" w:rsidRPr="00000000" w14:paraId="0000016B">
      <w:pPr>
        <w:rPr/>
      </w:pPr>
      <w:r w:rsidDel="00000000" w:rsidR="00000000" w:rsidRPr="00000000">
        <w:rPr>
          <w:rtl w:val="0"/>
        </w:rPr>
        <w:t xml:space="preserve">The analysis has several limitations. It uses retrospective public datasets and a same-platform external validation cohort from the Hatzis study lineage. Although GSE25055 and GSE25065 are non-overlapping by design, broader cross-cohort generalization remains untested. GSE41998 was not used because its labels and platform require additional safeguards, while GSE20194 and GSE20271 were held because of patient-overlap risk. The analysis used a single primary feature selector and linear SMO/SVM configuration, and pCR sensitivity remained low. No prospective clinical, mechanistic, or wet-lab validation was performed; recurrent probes should be interpreted as stability-ranked candidates for future review, not as clinically validated biomarkers.</w:t>
      </w:r>
    </w:p>
    <w:p w:rsidR="00000000" w:rsidDel="00000000" w:rsidP="00000000" w:rsidRDefault="00000000" w:rsidRPr="00000000" w14:paraId="0000016C">
      <w:pPr>
        <w:pStyle w:val="Heading2"/>
        <w:rPr/>
      </w:pPr>
      <w:r w:rsidDel="00000000" w:rsidR="00000000" w:rsidRPr="00000000">
        <w:rPr>
          <w:rtl w:val="0"/>
        </w:rPr>
        <w:t xml:space="preserve">Future work</w:t>
      </w:r>
    </w:p>
    <w:p w:rsidR="00000000" w:rsidDel="00000000" w:rsidP="00000000" w:rsidRDefault="00000000" w:rsidRPr="00000000" w14:paraId="0000016D">
      <w:pPr>
        <w:rPr/>
      </w:pPr>
      <w:r w:rsidDel="00000000" w:rsidR="00000000" w:rsidRPr="00000000">
        <w:rPr>
          <w:rtl w:val="0"/>
        </w:rPr>
        <w:t>Future work may extend the framework to RNA-seq, multi-omics integration, survival endpoints, other cancer types, and automated evidence-dossier systems for biomarker and therapeutic-target claims.</w:t>
      </w:r>
    </w:p>
    <w:p w:rsidR="00000000" w:rsidDel="00000000" w:rsidP="00000000" w:rsidRDefault="00000000" w:rsidRPr="00000000" w14:paraId="0000016E">
      <w:pPr>
        <w:pStyle w:val="Heading1"/>
        <w:rPr/>
      </w:pPr>
      <w:r w:rsidDel="00000000" w:rsidR="00000000" w:rsidRPr="00000000">
        <w:rPr>
          <w:rtl w:val="0"/>
        </w:rPr>
        <w:t xml:space="preserve">Conclusion</w:t>
      </w:r>
    </w:p>
    <w:p w:rsidR="00000000" w:rsidDel="00000000" w:rsidP="00000000" w:rsidRDefault="00000000" w:rsidRPr="00000000" w14:paraId="0000016F">
      <w:pPr>
        <w:rPr/>
      </w:pPr>
      <w:r w:rsidDel="00000000" w:rsidR="00000000" w:rsidRPr="00000000">
        <w:rPr>
          <w:rtl w:val="0"/>
        </w:rPr>
        <w:t xml:space="preserve">In public transcriptomic biomarker discovery, apparent classification performance can be distorted when feature selection and model development are evaluated without strict validation separation. This study utilized an established linear SMO/SVM approach as a transparent, high-dimensional workhorse model for auditing leakage, feature stability, and transportability. A leaky GSE25055 pipeline showed higher AUROC and PR-AUC than the guarded nested audit pipeline, whereas the guarded pipeline improved balanced accuracy and MCC. These results underscore that the novelty lies in the audit architecture rather than the classifier itself, supporting the Reproducible Omics Evidence Audit as a transparent reporting framework for leakage sensitivity, feature reproducibility, and external transportability. The findings should be interpreted as methodological evidence regarding validation rigor, not as a clinical biomarker discovery claim.</w:t>
      </w:r>
    </w:p>
    <w:p w:rsidR="00000000" w:rsidDel="00000000" w:rsidP="00000000" w:rsidRDefault="00000000" w:rsidRPr="00000000" w14:paraId="00000170">
      <w:pPr>
        <w:pStyle w:val="Heading1"/>
        <w:rPr/>
      </w:pPr>
      <w:r w:rsidDel="00000000" w:rsidR="00000000" w:rsidRPr="00000000">
        <w:rPr>
          <w:rtl w:val="0"/>
        </w:rPr>
        <w:t xml:space="preserve">List of Abbreviations</w:t>
      </w:r>
    </w:p>
    <w:tbl>
      <w:tblPr>
        <w:tblStyle w:val="Table9"/>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1"/>
        <w:gridCol w:w="7425"/>
        <w:tblGridChange w:id="0">
          <w:tblGrid>
            <w:gridCol w:w="2151"/>
            <w:gridCol w:w="7425"/>
          </w:tblGrid>
        </w:tblGridChange>
      </w:tblGrid>
      <w:tr>
        <w:trPr>
          <w:cantSplit w:val="0"/>
          <w:tblHeader w:val="0"/>
        </w:trPr>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Abbreviation</w:t>
            </w: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APA</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American Psychological Association</w:t>
            </w:r>
          </w:p>
        </w:tc>
      </w:tr>
      <w:tr>
        <w:trPr>
          <w:cantSplit w:val="0"/>
          <w:tblHeader w:val="0"/>
        </w:trPr>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AUROC</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Area under the receiver operating characteristic curve</w:t>
            </w:r>
          </w:p>
        </w:tc>
      </w:tr>
      <w:tr>
        <w:trPr>
          <w:cantSplit w:val="0"/>
          <w:tblHeader w:val="0"/>
        </w:trPr>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GEO</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Gene Expression Omnibus</w:t>
            </w:r>
          </w:p>
        </w:tc>
      </w:tr>
      <w:tr>
        <w:trPr>
          <w:cantSplit w:val="0"/>
          <w:tblHeader w:val="0"/>
        </w:trPr>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MCC</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Matthews correlation coefficient</w:t>
            </w:r>
          </w:p>
        </w:tc>
      </w:tr>
      <w:tr>
        <w:trPr>
          <w:cantSplit w:val="0"/>
          <w:tblHeader w:val="0"/>
        </w:trPr>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NCV</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Nested cross-validation</w:t>
            </w:r>
          </w:p>
        </w:tc>
      </w:tr>
      <w:tr>
        <w:trPr>
          <w:cantSplit w:val="0"/>
          <w:tblHeader w:val="0"/>
        </w:trPr>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pCR</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Pathological complete response</w:t>
            </w:r>
          </w:p>
        </w:tc>
      </w:tr>
      <w:tr>
        <w:trPr>
          <w:cantSplit w:val="0"/>
          <w:tblHeader w:val="0"/>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PR-AUC</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Area under the precision-recall curve</w:t>
            </w:r>
          </w:p>
        </w:tc>
      </w:tr>
      <w:tr>
        <w:trPr>
          <w:cantSplit w:val="0"/>
          <w:tblHeader w:val="0"/>
        </w:trPr>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RD</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Residual disease</w:t>
            </w:r>
          </w:p>
        </w:tc>
      </w:tr>
      <w:tr>
        <w:trPr>
          <w:cantSplit w:val="0"/>
          <w:tblHeader w:val="0"/>
        </w:trPr>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RFE</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Recursive feature elimination</w:t>
            </w:r>
          </w:p>
        </w:tc>
      </w:tr>
      <w:tr>
        <w:trPr>
          <w:cantSplit w:val="0"/>
          <w:tblHeader w:val="0"/>
        </w:trPr>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SMO</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Sequential Minimal Optimization</w:t>
            </w:r>
          </w:p>
        </w:tc>
      </w:tr>
      <w:tr>
        <w:trPr>
          <w:cantSplit w:val="0"/>
          <w:tblHeader w:val="0"/>
        </w:trPr>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SMOTE</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Synthetic Minority Over-sampling Technique</w:t>
            </w:r>
          </w:p>
        </w:tc>
      </w:tr>
      <w:tr>
        <w:trPr>
          <w:cantSplit w:val="0"/>
          <w:tblHeader w:val="0"/>
        </w:trPr>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SVM</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Support vector machine</w:t>
            </w:r>
          </w:p>
        </w:tc>
      </w:tr>
    </w:tbl>
    <w:p w:rsidR="00000000" w:rsidDel="00000000" w:rsidP="00000000" w:rsidRDefault="00000000" w:rsidRPr="00000000" w14:paraId="0000018B">
      <w:pPr>
        <w:pStyle w:val="Heading1"/>
        <w:rPr/>
      </w:pPr>
      <w:r w:rsidDel="00000000" w:rsidR="00000000" w:rsidRPr="00000000">
        <w:rPr>
          <w:rtl w:val="0"/>
        </w:rPr>
        <w:t xml:space="preserve">Declarations</w:t>
      </w:r>
    </w:p>
    <w:p w:rsidR="00000000" w:rsidDel="00000000" w:rsidP="00000000" w:rsidRDefault="00000000" w:rsidRPr="00000000" w14:paraId="0000018C">
      <w:pPr>
        <w:pStyle w:val="Heading2"/>
        <w:rPr/>
      </w:pPr>
      <w:r w:rsidDel="00000000" w:rsidR="00000000" w:rsidRPr="00000000">
        <w:rPr>
          <w:rtl w:val="0"/>
        </w:rPr>
        <w:t xml:space="preserve">Ethics approval and consent to participate</w:t>
      </w:r>
    </w:p>
    <w:p w:rsidR="00000000" w:rsidDel="00000000" w:rsidP="00000000" w:rsidRDefault="00000000" w:rsidRPr="00000000" w14:paraId="0000018D">
      <w:pPr>
        <w:rPr/>
      </w:pPr>
      <w:r w:rsidDel="00000000" w:rsidR="00000000" w:rsidRPr="00000000">
        <w:rPr>
          <w:rtl w:val="0"/>
        </w:rPr>
        <w:t>This study uses publicly available, de-identified transcriptomic datasets, for which no new human participants were recruited and no separate ethical approval was required.</w:t>
      </w:r>
    </w:p>
    <w:p w:rsidR="00000000" w:rsidDel="00000000" w:rsidP="00000000" w:rsidRDefault="00000000" w:rsidRPr="00000000" w14:paraId="0000018E">
      <w:pPr>
        <w:pStyle w:val="Heading2"/>
        <w:rPr/>
      </w:pPr>
      <w:r w:rsidDel="00000000" w:rsidR="00000000" w:rsidRPr="00000000">
        <w:rPr>
          <w:rtl w:val="0"/>
        </w:rPr>
        <w:t xml:space="preserve">Consent for publication</w:t>
      </w:r>
    </w:p>
    <w:p w:rsidR="00000000" w:rsidDel="00000000" w:rsidP="00000000" w:rsidRDefault="00000000" w:rsidRPr="00000000" w14:paraId="0000018F">
      <w:pPr>
        <w:rPr/>
      </w:pPr>
      <w:r w:rsidDel="00000000" w:rsidR="00000000" w:rsidRPr="00000000">
        <w:rPr>
          <w:rtl w:val="0"/>
        </w:rPr>
        <w:t xml:space="preserve">Not applicable.</w:t>
      </w:r>
    </w:p>
    <w:p w:rsidR="00000000" w:rsidDel="00000000" w:rsidP="00000000" w:rsidRDefault="00000000" w:rsidRPr="00000000" w14:paraId="00000190">
      <w:pPr>
        <w:pStyle w:val="Heading2"/>
        <w:rPr/>
      </w:pPr>
      <w:r w:rsidDel="00000000" w:rsidR="00000000" w:rsidRPr="00000000">
        <w:rPr>
          <w:rtl w:val="0"/>
        </w:rPr>
        <w:t xml:space="preserve">Availability of data and materials</w:t>
      </w:r>
    </w:p>
    <w:p w:rsidR="00000000" w:rsidDel="00000000" w:rsidP="00000000" w:rsidRDefault="00000000" w:rsidRPr="00000000" w14:paraId="00000191">
      <w:pPr>
        <w:rPr/>
      </w:pPr>
      <w:r w:rsidDel="00000000" w:rsidR="00000000" w:rsidRPr="00000000">
        <w:rPr>
          <w:rtl w:val="0"/>
        </w:rPr>
        <w:t>All public datasets are cited by accession number. The associated code, fold assignments, random seeds, selected-feature lists, and analysis outputs are available in the project GitHub repository, which will be archived with a Zenodo DOI at submission.</w:t>
      </w:r>
    </w:p>
    <w:p w:rsidR="00000000" w:rsidDel="00000000" w:rsidP="00000000" w:rsidRDefault="00000000" w:rsidRPr="00000000" w14:paraId="00000192">
      <w:pPr>
        <w:pStyle w:val="Heading2"/>
        <w:rPr/>
      </w:pPr>
      <w:r w:rsidDel="00000000" w:rsidR="00000000" w:rsidRPr="00000000">
        <w:rPr>
          <w:rtl w:val="0"/>
        </w:rPr>
        <w:t xml:space="preserve">Competing interests</w:t>
      </w:r>
    </w:p>
    <w:p w:rsidR="00000000" w:rsidDel="00000000" w:rsidP="00000000" w:rsidRDefault="00000000" w:rsidRPr="00000000" w14:paraId="00000193">
      <w:pPr>
        <w:rPr/>
      </w:pPr>
      <w:r w:rsidDel="00000000" w:rsidR="00000000" w:rsidRPr="00000000">
        <w:rPr>
          <w:rtl w:val="0"/>
        </w:rPr>
        <w:t>Competing interests will be declared by all authors prior to submission.</w:t>
      </w:r>
    </w:p>
    <w:p w:rsidR="00000000" w:rsidDel="00000000" w:rsidP="00000000" w:rsidRDefault="00000000" w:rsidRPr="00000000" w14:paraId="00000194">
      <w:pPr>
        <w:pStyle w:val="Heading2"/>
        <w:rPr/>
      </w:pPr>
      <w:r w:rsidDel="00000000" w:rsidR="00000000" w:rsidRPr="00000000">
        <w:rPr>
          <w:rtl w:val="0"/>
        </w:rPr>
        <w:t xml:space="preserve">Funding</w:t>
      </w:r>
    </w:p>
    <w:p w:rsidR="00000000" w:rsidDel="00000000" w:rsidP="00000000" w:rsidRDefault="00000000" w:rsidRPr="00000000" w14:paraId="00000195">
      <w:pPr>
        <w:rPr/>
      </w:pPr>
      <w:r w:rsidDel="00000000" w:rsidR="00000000" w:rsidRPr="00000000">
        <w:rPr>
          <w:rtl w:val="0"/>
        </w:rPr>
        <w:t>Funding sources will be declared prior to submission.</w:t>
      </w:r>
    </w:p>
    <w:p w:rsidR="00000000" w:rsidDel="00000000" w:rsidP="00000000" w:rsidRDefault="00000000" w:rsidRPr="00000000" w14:paraId="00000196">
      <w:pPr>
        <w:pStyle w:val="Heading2"/>
        <w:rPr/>
      </w:pPr>
      <w:r w:rsidDel="00000000" w:rsidR="00000000" w:rsidRPr="00000000">
        <w:rPr>
          <w:rtl w:val="0"/>
        </w:rPr>
        <w:t xml:space="preserve">Authors’ contributions</w:t>
      </w:r>
    </w:p>
    <w:p w:rsidR="00000000" w:rsidDel="00000000" w:rsidP="00000000" w:rsidRDefault="00000000" w:rsidRPr="00000000" w14:paraId="00000197">
      <w:pPr>
        <w:rPr/>
      </w:pPr>
      <w:r w:rsidDel="00000000" w:rsidR="00000000" w:rsidRPr="00000000">
        <w:rPr>
          <w:rtl w:val="0"/>
        </w:rPr>
        <w:t>Author contributions will be finalized prior to submission. Anticipated roles span study design and leakage-audit framing; SMO/SVM modeling, feature-selection design, and validation rigor; evidence-audit framing and translational relevance; and disease and transcriptomic interpretation.</w:t>
      </w:r>
    </w:p>
    <w:p w:rsidR="00000000" w:rsidDel="00000000" w:rsidP="00000000" w:rsidRDefault="00000000" w:rsidRPr="00000000" w14:paraId="00000198">
      <w:pPr>
        <w:pStyle w:val="Heading2"/>
        <w:rPr/>
      </w:pPr>
      <w:r w:rsidDel="00000000" w:rsidR="00000000" w:rsidRPr="00000000">
        <w:rPr>
          <w:rtl w:val="0"/>
        </w:rPr>
        <w:t xml:space="preserve">Acknowledgements</w:t>
      </w:r>
    </w:p>
    <w:p w:rsidR="00000000" w:rsidDel="00000000" w:rsidP="00000000" w:rsidRDefault="00000000" w:rsidRPr="00000000" w14:paraId="00000199">
      <w:pPr>
        <w:rPr/>
      </w:pPr>
      <w:r w:rsidDel="00000000" w:rsidR="00000000" w:rsidRPr="00000000">
        <w:rPr>
          <w:rtl w:val="0"/>
        </w:rPr>
        <w:t>Acknowledgements will be added prior to submission.</w:t>
      </w:r>
    </w:p>
    <w:p w:rsidR="00000000" w:rsidDel="00000000" w:rsidP="00000000" w:rsidRDefault="00000000" w:rsidRPr="00000000" w14:paraId="0000019A">
      <w:pPr>
        <w:pStyle w:val="Heading1"/>
        <w:rPr/>
      </w:pPr>
      <w:r w:rsidDel="00000000" w:rsidR="00000000" w:rsidRPr="00000000">
        <w:rPr>
          <w:rtl w:val="0"/>
        </w:rPr>
        <w:t xml:space="preserve">References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Ambroise, C., &amp; McLachlan, G. J. (2002). Selection bias in gene extraction on the basis of microarray gene-expression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National Academy of Sciences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99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6562–6566. https://doi.org/10.1073/pnas.102102699</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Berrar, D., &amp; Flach, P. (2012). Caveats and pitfalls of ROC analysis in clinical microarray research (and how to avoid them).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Briefings in Bioinformatics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83–97. https://doi.org/10.1093/bib/bbr008</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Blagus, R., &amp; Lusa, L. (2013). SMOTE for high-dimensional class-imbalanced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Bioinformatics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106. https://doi.org/10.1186/1471-2105-14-106</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Cawley, G. C., &amp; Talbot, N. L. C. (2010). On over-fitting in model selection and subsequent selection bias in performance evaluation.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2079–2107. https://jmlr.org/papers/v11/cawley10a.html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Chawla, N. V., Bowyer, K. W., Hall, L. O., &amp; Kegelmeyer, W. P. (2002). SMOTE: Synthetic minority over-sampling technique.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Artificial Intelligence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321–357. https://doi.org/10.1613/jair.953</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Chicco, D., &amp; Jurman, G. (2020). The advantages of the Matthews correlation coefficient (MCC) over F1 score and accuracy in binary classification evaluation.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Genomics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6. https://doi.org/10.1186/s12864-019-6413-7</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Chicco, D., &amp; Jurman, G. (2023). The Matthews correlation coefficient (MCC) should replace the ROC AUC as the standard metric for assessing binary classification.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BioData Mining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4. https://doi.org/10.1186/s13040-023-00322-4</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Collins, G. S., Moons, K. G. M., Dhiman, P., Riley, R. D., Beam, A. L., Van Calster, B., Ghassemi, M., Liu, X., Reitsma, J. B., van Smeden, M., Boulesteix, A.-L., Camaradou, J., Celi, L. A., Denaxas, S., Denniston, A. K., Glocker, B., Golub, R. M., Harvey, H., Heinze, G., &amp; members of the TRIPOD+AI initiative (2024). TRIPOD+AI statement: Updated guidance for reporting clinical prediction models that use regression or machine learning methods.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385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e078378. https://doi.org/10.1136/bmj-2023-078378</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Cortes, C., &amp; Vapnik, V. (1995). Support-vector networks.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273–297. https://doi.org/10.1007/BF00994018</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Guyon, I., Weston, J., Barnhill, S., &amp; Vapnik, V. (2002). Gene selection for cancer classification using support vector machines.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389–422. https://doi.org/10.1023/A:1012487302797</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Hatzis, C., Pusztai, L., Valero, V., Booser, D. J., Esserman, L., Lluch, A., Vidaurre, T., Holmes, F., Souchon, E., Wang, H., Martin, M., Cotrina, J., Gomez, H., Hubbard, R., Chacón, J. I., Ferrer-Lozano, J., Dyer, R., Buxton, M., Gong, Y., &amp; Symmans, W. F. (2011). A genomic predictor of response and survival following taxane-anthracycline chemotherapy for invasive breast cancer.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305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1873–1881. https://doi.org/10.1001/jama.2011.593</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Haury, A.-C., Gestraud, P., &amp; Vert, J.-P. (2011). The influence of feature selection methods on accuracy, stability and interpretability of molecular signatures.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Article e28210. https://doi.org/10.1371/journal.pone.0028210</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Kapoor, S., &amp; Narayanan, A. (2023). Leakage and the reproducibility crisis in machine-learning-based science.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Patterns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Article 100804. https://doi.org/10.1016/j.patter.2023.100804</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Lewis, M. J., Spiliopoulou, A., Goldmann, K., Pitzalis, C., McKeigue, P., &amp; Barnes, M. R. (2023). nestedcv: An R package for fast implementation of nested cross-validation with embedded feature selection designed for transcriptomics and high-dimensional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Bioinformatics Advances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Article vbad048. https://doi.org/10.1093/bioadv/vbad048</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Nogueira, S., Sechidis, K., &amp; Brown, G. (2018). On the stability of feature selection algorithms.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Machine Learning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(174), 1–54. </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Platt, J. C. (1999). Fast training of support vector machines using sequential minimal optimization. In B. Schölkopf, C. J. C. Burges, &amp; A. J. Smola (Eds.), Advances in kernel methods: Support vector learning (pp. 185–208). MIT Press. </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Vabalas, A., Gowen, E., Poliakoff, E., &amp; Casson, A. J. (2019). Machine learning algorithm validation with a limited sample size.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Article e0224365. https://doi.org/10.1371/journal.pone.0224365</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Varma, S., &amp; Simon, R. (2006). Bias in error estimation when using cross-validation for model selection.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Bioinformatics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91. https://doi.org/10.1186/1471-2105-7-91</w:t>
      </w:r>
    </w:p>
    <w:p w:rsidR="00000000" w:rsidDel="00000000" w:rsidP="00000000" w:rsidRDefault="00000000" w:rsidRPr="00000000" w14:paraId="000001A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firstLine="0"/>
    </w:pPr>
    <w:rPr>
      <w:rFonts w:ascii="Calibri" w:cs="Calibri" w:eastAsia="Calibri" w:hAnsi="Calibri"/>
      <w:b w:val="1"/>
      <w:bCs w:val="1"/>
    </w:rPr>
  </w:style>
  <w:style w:type="paragraph" w:styleId="Heading2">
    <w:name w:val="heading 2"/>
    <w:basedOn w:val="Normal"/>
    <w:next w:val="Normal"/>
    <w:pPr>
      <w:keepNext w:val="1"/>
      <w:keepLines w:val="1"/>
      <w:spacing w:before="240" w:lineRule="auto"/>
      <w:ind w:firstLine="0"/>
    </w:pPr>
    <w:rPr>
      <w:rFonts w:ascii="Calibri" w:cs="Calibri" w:eastAsia="Calibri" w:hAnsi="Calibri"/>
      <w:b w:val="1"/>
      <w:bCs w:val="1"/>
    </w:rPr>
  </w:style>
  <w:style w:type="paragraph" w:styleId="Heading3">
    <w:name w:val="heading 3"/>
    <w:basedOn w:val="Normal"/>
    <w:next w:val="Normal"/>
    <w:pPr>
      <w:keepNext w:val="1"/>
      <w:keepLines w:val="1"/>
      <w:spacing w:before="240" w:lineRule="auto"/>
      <w:ind w:firstLine="0"/>
    </w:pPr>
    <w:rPr>
      <w:rFonts w:ascii="Calibri" w:cs="Calibri" w:eastAsia="Calibri" w:hAnsi="Calibri"/>
      <w:b w:val="1"/>
      <w:bCs w:val="1"/>
      <w:i w:val="1"/>
      <w:iCs w:val="1"/>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jc w:val="center"/>
    </w:pPr>
    <w:rPr>
      <w:rFonts w:ascii="Calibri" w:cs="Calibri" w:eastAsia="Calibri" w:hAnsi="Calibri"/>
      <w:b w:val="1"/>
      <w:bCs w:val="1"/>
      <w:sz w:val="28"/>
      <w:szCs w:val="28"/>
    </w:rPr>
  </w:style>
  <w:style w:type="paragraph" w:styleId="Subtitle">
    <w:name w:val="Subtitle"/>
    <w:basedOn w:val="Normal"/>
    <w:next w:val="Normal"/>
    <w:pPr>
      <w:ind w:firstLine="720"/>
    </w:pPr>
    <w:rPr>
      <w:rFonts w:ascii="Calibri" w:cs="Calibri" w:eastAsia="Calibri" w:hAnsi="Calibri"/>
      <w:i w:val="1"/>
      <w:i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k8xked31O2AgDtLFYbA4QtyWMg==">CgMxLjA4AHIhMXNWSnRiUnR2VWdnQWs3eFFTT25lYXVxZzVqQ1lfd280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