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vertAlign w:val="baseline"/>
          <w:rtl w:val="0"/>
        </w:rPr>
        <w:t xml:space="preserve">An Audit of Data Leakage and Feature Stability in Transcriptomic Biomarker Classification Using Nested SMO/SVM and External Validation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Abstract</w:t>
      </w:r>
    </w:p>
    <w:p w:rsidR="00000000" w:rsidDel="00000000" w:rsidP="00000000" w:rsidRDefault="00000000" w:rsidRPr="00000000" w14:paraId="00000005">
      <w:pPr>
        <w:spacing w:line="480" w:lineRule="auto"/>
        <w:ind w:firstLine="0"/>
        <w:rPr/>
      </w:pPr>
      <w:r>
        <w:rPr>
          <w:rFonts w:ascii="Times New Roman" w:hAnsi="Times New Roman" w:cs="Times New Roman"/>
          <w:b w:val="0"/>
          <w:i w:val="0"/>
          <w:sz w:val="24"/>
        </w:rPr>
        <w:t>High-dimensional transcriptomic biomarker studies are vulnerable to data leakage when feature selection, preprocessing, imputation, scaling, or class balancing is performed before validation splitting. This risk is acute when the number of measured genes greatly exceeds the number of patient samples, where reported classification performance can reflect contamination of the test fold rather than generalizable biological signal. We use an SMO-trained support vector machine (SMO/SVM) as a transparent, high-dimensional workhorse model to audit the impact of leakage, feature-selection stability, and external cohort transportability. In the GSE25055 discovery cohort, 306 samples with interpretable pCR/RD labels were analyzed (57 pCR, 249 RD). A naive pipeline using global supervised feature selection before cross-validation achieved AUROC 0.7705 (95% bootstrap CI 0.711–0.824) and PR-AUC 0.4016 (0.333–0.497), whereas the guarded nested SMO/SVM pipeline achieved AUROC 0.7265 (0.653–0.791) and PR-AUC 0.3653 (0.281–0.472). The single-cohort leakage gap was positive but modest, and its confidence interval included zero (ΔAUROC +0.044, 95% CI −0.013 to +0.103; paired bootstrap p = 0.13). Two further analyses calibrated this finding. A 1000-permutation label-shuffle negative control showed the leaky pipeline producing strongly above-chance discrimination from randomized labels (null AUROC mean 0.88; all permutations above chance), whereas the guarded pipeline collapsed toward chance (null AUROC mean 0.54) and significantly exceeded its own null on real labels (p = 0.001), supporting the interpretation that global feature selection is diagnostic of a leakage artifact rather than added biological signal. Across 30 repeated nested cross-validation seeds the leakage gap was modest but reproducible, positive in 27 of 30 seeds (median ΔAUROC +0.054; Wilcoxon signed-rank p &lt; 0.001), which is seed/fold-level robustness rather than patient-level inference. Feature-stability analysis showed moderate, reproducible stability (single-split Nogueira index 0.5409, mean Jaccard 0.3734; 30-seed median Nogueira 0.55, a stable core of roughly 30 of 222 probes). External validation on GSE25065 (42 pCR, 140 RD) yielded AUROC 0.6078 (0.506–0.700), a transportability drop distinct from internal leakage. The SMO/SVM classifier, nested cross-validation, and feature-stability metrics are established methods; the contribution is their integration into a single reproducible, leakage-aware audit—coupling a confidence-bounded leakage-gap comparison, a permutation-control negative control, seed-level robustness, fold-level feature-stability profiling, frozen external validation, and structured evidence reporting—presented as within-cohort diagnostic evidence rather than clinical biomarker discovery.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sequential minimal optimization; nested cross-validation; feature selection; feature stability; pathological complete response; BioData Mining</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Introduction</w:t>
      </w:r>
    </w:p>
    <w:p w:rsidR="00000000" w:rsidDel="00000000" w:rsidP="00000000" w:rsidRDefault="00000000" w:rsidRPr="00000000" w14:paraId="00000009">
      <w:pPr>
        <w:pStyle w:val="Heading2"/>
        <w:rPr/>
      </w:pPr>
      <w:r w:rsidDel="00000000" w:rsidR="00000000" w:rsidRPr="00000000">
        <w:rPr>
          <w:rtl w:val="0"/>
        </w:rPr>
        <w:t xml:space="preserve">Public transcriptomic biomarker discovery and the reproducibility problem</w:t>
      </w:r>
    </w:p>
    <w:p w:rsidR="00000000" w:rsidDel="00000000" w:rsidP="00000000" w:rsidRDefault="00000000" w:rsidRPr="00000000" w14:paraId="0000000A">
      <w:pPr>
        <w:rPr/>
      </w:pPr>
      <w:r w:rsidDel="00000000" w:rsidR="00000000" w:rsidRPr="00000000">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B">
      <w:pPr>
        <w:rPr/>
      </w:pPr>
      <w:r w:rsidDel="00000000" w:rsidR="00000000" w:rsidRPr="00000000">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C">
      <w:pPr>
        <w:pStyle w:val="Heading2"/>
        <w:rPr/>
      </w:pPr>
      <w:r w:rsidDel="00000000" w:rsidR="00000000" w:rsidRPr="00000000">
        <w:rPr>
          <w:rtl w:val="0"/>
        </w:rPr>
        <w:t xml:space="preserve">Data leakage as a methodological failure in omics machine learning</w:t>
      </w:r>
    </w:p>
    <w:p w:rsidR="00000000" w:rsidDel="00000000" w:rsidP="00000000" w:rsidRDefault="00000000" w:rsidRPr="00000000" w14:paraId="0000000D">
      <w:pPr>
        <w:rPr/>
      </w:pPr>
      <w:r w:rsidDel="00000000" w:rsidR="00000000" w:rsidRPr="00000000">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E">
      <w:pPr>
        <w:rPr/>
      </w:pPr>
      <w:r w:rsidDel="00000000" w:rsidR="00000000" w:rsidRPr="00000000">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0F">
      <w:pPr>
        <w:pStyle w:val="Heading2"/>
        <w:rPr/>
      </w:pPr>
      <w:r w:rsidDel="00000000" w:rsidR="00000000" w:rsidRPr="00000000">
        <w:rPr>
          <w:rtl w:val="0"/>
        </w:rPr>
        <w:t xml:space="preserve">Why SMO/SVM remains a useful test case</w:t>
      </w:r>
    </w:p>
    <w:p w:rsidR="00000000" w:rsidDel="00000000" w:rsidP="00000000" w:rsidRDefault="00000000" w:rsidRPr="00000000" w14:paraId="00000010">
      <w:pPr>
        <w:rPr/>
      </w:pPr>
      <w:r w:rsidDel="00000000" w:rsidR="00000000" w:rsidRPr="00000000">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1">
      <w:pPr>
        <w:rPr/>
      </w:pPr>
      <w:r w:rsidDel="00000000" w:rsidR="00000000" w:rsidRPr="00000000">
        <w:rPr>
          <w:rtl w:val="0"/>
        </w:rPr>
        <w:t xml:space="preserve">SMO/SVM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2">
      <w:pPr>
        <w:pStyle w:val="Heading2"/>
        <w:rPr/>
      </w:pPr>
      <w:r w:rsidDel="00000000" w:rsidR="00000000" w:rsidRPr="00000000">
        <w:rPr>
          <w:rtl w:val="0"/>
        </w:rPr>
        <w:t xml:space="preserve">Nested cross-validation as the leakage-control architecture</w:t>
      </w:r>
    </w:p>
    <w:p w:rsidR="00000000" w:rsidDel="00000000" w:rsidP="00000000" w:rsidRDefault="00000000" w:rsidRPr="00000000" w14:paraId="00000013">
      <w:pPr>
        <w:rPr/>
      </w:pPr>
      <w:r w:rsidDel="00000000" w:rsidR="00000000" w:rsidRPr="00000000">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4">
      <w:pPr>
        <w:rPr/>
      </w:pPr>
      <w:r w:rsidDel="00000000" w:rsidR="00000000" w:rsidRPr="00000000">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5">
      <w:pPr>
        <w:pStyle w:val="Heading2"/>
        <w:rPr/>
      </w:pPr>
      <w:r w:rsidDel="00000000" w:rsidR="00000000" w:rsidRPr="00000000">
        <w:rPr>
          <w:rtl w:val="0"/>
        </w:rPr>
        <w:t xml:space="preserve">Feature stability as a missing layer in biomarker evaluation</w:t>
      </w:r>
    </w:p>
    <w:p w:rsidR="00000000" w:rsidDel="00000000" w:rsidP="00000000" w:rsidRDefault="00000000" w:rsidRPr="00000000" w14:paraId="00000016">
      <w:pPr>
        <w:rPr/>
      </w:pPr>
      <w:r w:rsidDel="00000000" w:rsidR="00000000" w:rsidRPr="00000000">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7">
      <w:pPr>
        <w:rPr/>
      </w:pPr>
      <w:r w:rsidDel="00000000" w:rsidR="00000000" w:rsidRPr="00000000">
        <w:rPr>
          <w:rtl w:val="0"/>
        </w:rPr>
        <w:t>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8">
      <w:pPr>
        <w:pStyle w:val="Heading2"/>
        <w:rPr/>
      </w:pPr>
      <w:r w:rsidDel="00000000" w:rsidR="00000000" w:rsidRPr="00000000">
        <w:rPr>
          <w:rtl w:val="0"/>
        </w:rPr>
        <w:t xml:space="preserve">Study objective and contributions</w:t>
      </w:r>
    </w:p>
    <w:p w:rsidR="00000000" w:rsidDel="00000000" w:rsidP="00000000" w:rsidRDefault="00000000" w:rsidRPr="00000000" w14:paraId="00000019">
      <w:pPr>
        <w:rPr/>
      </w:pPr>
      <w:r w:rsidDel="00000000" w:rsidR="00000000" w:rsidRPr="00000000">
        <w:rPr>
          <w:rtl w:val="0"/>
        </w:rPr>
        <w:t>The objective of this manuscript is to apply an established SMO/SVM approach as a transparent tool for auditing leakage and feature-stability in public transcriptomic biomarker classification. The study is not positioned as a new biomarker discovery paper or a new algorithm development. The SMO/SVM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SMO/SVM performance, profiles feature-selection stability across folds, tests external transportability on an independent cohort, and reports these dimensions together in a single evidence-audit table.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A leakage-aware SMO/SVM workflow for public transcriptomic biomarker classification.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0">
      <w:pPr>
        <w:pStyle w:val="Heading1"/>
        <w:rPr/>
      </w:pPr>
      <w:r w:rsidDel="00000000" w:rsidR="00000000" w:rsidRPr="00000000">
        <w:rPr>
          <w:rtl w:val="0"/>
        </w:rPr>
        <w:t xml:space="preserve">Literature Review</w:t>
      </w:r>
    </w:p>
    <w:p w:rsidR="00000000" w:rsidDel="00000000" w:rsidP="00000000" w:rsidRDefault="00000000" w:rsidRPr="00000000" w14:paraId="00000021">
      <w:pPr>
        <w:pStyle w:val="Heading2"/>
        <w:rPr/>
      </w:pPr>
      <w:r w:rsidDel="00000000" w:rsidR="00000000" w:rsidRPr="00000000">
        <w:rPr>
          <w:rtl w:val="0"/>
        </w:rPr>
        <w:t xml:space="preserve">Search and evidence-screening basis</w:t>
      </w:r>
    </w:p>
    <w:p w:rsidR="00000000" w:rsidDel="00000000" w:rsidP="00000000" w:rsidRDefault="00000000" w:rsidRPr="00000000" w14:paraId="00000022">
      <w:pPr>
        <w:rPr/>
      </w:pPr>
      <w:r w:rsidDel="00000000" w:rsidR="00000000" w:rsidRPr="00000000">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3">
      <w:pPr>
        <w:pStyle w:val="Heading2"/>
        <w:rPr/>
      </w:pPr>
      <w:r w:rsidDel="00000000" w:rsidR="00000000" w:rsidRPr="00000000">
        <w:rPr>
          <w:rtl w:val="0"/>
        </w:rPr>
        <w:t xml:space="preserve">Data leakage and feature-selection bias in biomedical machine learning</w:t>
      </w:r>
    </w:p>
    <w:p w:rsidR="00000000" w:rsidDel="00000000" w:rsidP="00000000" w:rsidRDefault="00000000" w:rsidRPr="00000000" w14:paraId="00000024">
      <w:pPr>
        <w:rPr/>
      </w:pPr>
      <w:r w:rsidDel="00000000" w:rsidR="00000000" w:rsidRPr="00000000">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5">
      <w:pPr>
        <w:rPr/>
      </w:pPr>
      <w:r w:rsidDel="00000000" w:rsidR="00000000" w:rsidRPr="00000000">
        <w:rPr>
          <w:rtl w:val="0"/>
        </w:rPr>
        <w:t>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6">
      <w:pPr>
        <w:pStyle w:val="Heading2"/>
        <w:rPr/>
      </w:pPr>
      <w:r w:rsidDel="00000000" w:rsidR="00000000" w:rsidRPr="00000000">
        <w:rPr>
          <w:rtl w:val="0"/>
        </w:rPr>
        <w:t xml:space="preserve">Nested validation for high-dimensional omics</w:t>
      </w:r>
    </w:p>
    <w:p w:rsidR="00000000" w:rsidDel="00000000" w:rsidP="00000000" w:rsidRDefault="00000000" w:rsidRPr="00000000" w14:paraId="00000027">
      <w:pPr>
        <w:rPr/>
      </w:pPr>
      <w:r w:rsidDel="00000000" w:rsidR="00000000" w:rsidRPr="00000000">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8">
      <w:pPr>
        <w:rPr/>
      </w:pPr>
      <w:r w:rsidDel="00000000" w:rsidR="00000000" w:rsidRPr="00000000">
        <w:rPr>
          <w:rtl w:val="0"/>
        </w:rPr>
        <w:t>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SMO/SVM leakage behavior, feature-stability auditing, class-imbalance sensitivity, and external validation.</w:t>
      </w:r>
    </w:p>
    <w:p w:rsidR="00000000" w:rsidDel="00000000" w:rsidP="00000000" w:rsidRDefault="00000000" w:rsidRPr="00000000" w14:paraId="00000029">
      <w:pPr>
        <w:pStyle w:val="Heading2"/>
        <w:rPr/>
      </w:pPr>
      <w:r w:rsidDel="00000000" w:rsidR="00000000" w:rsidRPr="00000000">
        <w:rPr>
          <w:rtl w:val="0"/>
        </w:rPr>
        <w:t xml:space="preserve">SVM/SMO and feature selection in transcriptomic classification</w:t>
      </w:r>
    </w:p>
    <w:p w:rsidR="00000000" w:rsidDel="00000000" w:rsidP="00000000" w:rsidRDefault="00000000" w:rsidRPr="00000000" w14:paraId="0000002A">
      <w:pPr>
        <w:rPr/>
      </w:pPr>
      <w:r w:rsidDel="00000000" w:rsidR="00000000" w:rsidRPr="00000000">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B">
      <w:pPr>
        <w:rPr/>
      </w:pPr>
      <w:r w:rsidDel="00000000" w:rsidR="00000000" w:rsidRPr="00000000">
        <w:rPr>
          <w:rtl w:val="0"/>
        </w:rPr>
        <w:t>This study does not overstate algorithmic novelty. SMO/SVM is not new; the novelty is the audit architecture around it. The literature supports positioning SMO/SVM as a sensitive and historically important classifier through which to quantify the impact of leakage-aware validation, rather than as a newly invented method.</w:t>
      </w:r>
    </w:p>
    <w:p w:rsidR="00000000" w:rsidDel="00000000" w:rsidP="00000000" w:rsidRDefault="00000000" w:rsidRPr="00000000" w14:paraId="0000002C">
      <w:pPr>
        <w:pStyle w:val="Heading2"/>
        <w:rPr/>
      </w:pPr>
      <w:r w:rsidDel="00000000" w:rsidR="00000000" w:rsidRPr="00000000">
        <w:rPr>
          <w:rtl w:val="0"/>
        </w:rPr>
        <w:t xml:space="preserve">Feature stability and biomarker reproducibility</w:t>
      </w:r>
    </w:p>
    <w:p w:rsidR="00000000" w:rsidDel="00000000" w:rsidP="00000000" w:rsidRDefault="00000000" w:rsidRPr="00000000" w14:paraId="0000002D">
      <w:pPr>
        <w:rPr/>
      </w:pPr>
      <w:r w:rsidDel="00000000" w:rsidR="00000000" w:rsidRPr="00000000">
        <w:rPr>
          <w:rtl w:val="0"/>
        </w:rPr>
        <w:t>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E">
      <w:pPr>
        <w:rPr/>
      </w:pPr>
      <w:r w:rsidDel="00000000" w:rsidR="00000000" w:rsidRPr="00000000">
        <w:rPr>
          <w:rtl w:val="0"/>
        </w:rPr>
        <w:t>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2F">
      <w:pPr>
        <w:pStyle w:val="Heading2"/>
        <w:rPr/>
      </w:pPr>
      <w:r w:rsidDel="00000000" w:rsidR="00000000" w:rsidRPr="00000000">
        <w:rPr>
          <w:rtl w:val="0"/>
        </w:rPr>
        <w:t xml:space="preserve">Imbalanced biomedical classification and evaluation metrics</w:t>
      </w:r>
    </w:p>
    <w:p w:rsidR="00000000" w:rsidDel="00000000" w:rsidP="00000000" w:rsidRDefault="00000000" w:rsidRPr="00000000" w14:paraId="00000030">
      <w:pPr>
        <w:rPr/>
      </w:pPr>
      <w:r w:rsidDel="00000000" w:rsidR="00000000" w:rsidRPr="00000000">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1">
      <w:pPr>
        <w:rPr/>
      </w:pPr>
      <w:r w:rsidDel="00000000" w:rsidR="00000000" w:rsidRPr="00000000">
        <w:rPr>
          <w:rtl w:val="0"/>
        </w:rPr>
        <w:t>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2">
      <w:pPr>
        <w:pStyle w:val="Heading2"/>
        <w:rPr/>
      </w:pPr>
      <w:r w:rsidDel="00000000" w:rsidR="00000000" w:rsidRPr="00000000">
        <w:rPr>
          <w:rtl w:val="0"/>
        </w:rPr>
        <w:t xml:space="preserve">Breast cancer pCR/RD prediction as a biological stress test</w:t>
      </w:r>
    </w:p>
    <w:p w:rsidR="00000000" w:rsidDel="00000000" w:rsidP="00000000" w:rsidRDefault="00000000" w:rsidRPr="00000000" w14:paraId="00000033">
      <w:pPr>
        <w:rPr/>
      </w:pPr>
      <w:r w:rsidDel="00000000" w:rsidR="00000000" w:rsidRPr="00000000">
        <w:rPr>
          <w:rtl w:val="0"/>
        </w:rPr>
        <w:t>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4">
      <w:pPr>
        <w:rPr/>
      </w:pPr>
      <w:r w:rsidDel="00000000" w:rsidR="00000000" w:rsidRPr="00000000">
        <w:rPr>
          <w:rtl w:val="0"/>
        </w:rPr>
        <w:t>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5">
      <w:pPr>
        <w:pStyle w:val="Heading2"/>
        <w:rPr/>
      </w:pPr>
      <w:r w:rsidDel="00000000" w:rsidR="00000000" w:rsidRPr="00000000">
        <w:rPr>
          <w:rtl w:val="0"/>
        </w:rPr>
        <w:t xml:space="preserve">Reporting standards and trustworthy biomedical AI</w:t>
      </w:r>
    </w:p>
    <w:p w:rsidR="00000000" w:rsidDel="00000000" w:rsidP="00000000" w:rsidRDefault="00000000" w:rsidRPr="00000000" w14:paraId="00000036">
      <w:pPr>
        <w:rPr/>
      </w:pPr>
      <w:r w:rsidDel="00000000" w:rsidR="00000000" w:rsidRPr="00000000">
        <w:rPr>
          <w:rtl w:val="0"/>
        </w:rPr>
        <w:t>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7">
      <w:pPr>
        <w:pStyle w:val="Heading2"/>
        <w:rPr/>
      </w:pPr>
      <w:r w:rsidDel="00000000" w:rsidR="00000000" w:rsidRPr="00000000">
        <w:rPr>
          <w:rtl w:val="0"/>
        </w:rPr>
        <w:t xml:space="preserve">Remaining methodological gap</w:t>
      </w:r>
    </w:p>
    <w:p w:rsidR="00000000" w:rsidDel="00000000" w:rsidP="00000000" w:rsidRDefault="00000000" w:rsidRPr="00000000" w14:paraId="00000038">
      <w:pPr>
        <w:rPr/>
      </w:pPr>
      <w:r w:rsidDel="00000000" w:rsidR="00000000" w:rsidRPr="00000000">
        <w:rPr>
          <w:rtl w:val="0"/>
        </w:rPr>
        <w:t>The literature establishes all individual components of this project: feature-selection leakage, nested cross-validation, SMO/SVM, feature stability, imbalanced classification metrics, and prediction-model reporting standards. Reusable tools already operationalize several of these components: nestedcv (Lewis et al., 2023) provides nested cross-validation with embedded feature selection, and automated omics environments such as OmicSelector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SMO/SVM workhorse to quantify the leakage gap directly (naive versus guarded), profile feature-selection stability across folds, test external transportability on an independent cohort, and report these dimensions together in a single reproducible evidence-audit table. Existing pCR/RD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Literature Matrix</w:t>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1"/>
        <w:gridCol w:w="3226"/>
        <w:gridCol w:w="4029"/>
        <w:tblGridChange w:id="0">
          <w:tblGrid>
            <w:gridCol w:w="2321"/>
            <w:gridCol w:w="3226"/>
            <w:gridCol w:w="4029"/>
          </w:tblGrid>
        </w:tblGridChange>
      </w:tblGrid>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Theme</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Core sources</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How it shapes this manuscript</w:t>
            </w: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Leakage and feature-selection bias</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Ambroise &amp; McLachlan (2002); Kapoor &amp; Narayanan (2023)</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Motivates direct comparison of leaky global feature selection versus guarded nested selection.</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Nested validation</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Varma &amp; Simon (2006); Cawley &amp; Talbot (2010); Vabalas et al. (2019); Lewis et al. (2023)</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Requires inner-loop model selection and outer-loop performance estimation.</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SVM/SMO and feature selection</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Cortes &amp; Vapnik (1995); Platt (1999); Guyon et al. (2002)</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Justifies SMO/SVM as a historically important, high-dimensional classification engine.</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stability</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Haury et al. (2011); Nogueira et al. (2018)</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Makes stability a main audit dimension rather than a supplement.</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 and metrics</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Chawla et al. (2002); Blagus &amp; Lusa (2013); Chicco &amp; Jurman (2020, 2023)</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PR-AUC, MCC, balanced accuracy, and fold-contained resampling.</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pCR/RD stress test</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Hatzis et al. (2011)</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breast cancer neoadjuvant response as a public transcriptomic use case.</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Trustworthy AI reporting</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Collins et al. (2024)</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the Reproducible Omics Evidence Audit as transparent reporting infrastructure.</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table summarizes peer-reviewed and foundational sources that directly support the methodology.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2312"/>
        <w:gridCol w:w="2589"/>
        <w:gridCol w:w="2724"/>
        <w:tblGridChange w:id="0">
          <w:tblGrid>
            <w:gridCol w:w="1951"/>
            <w:gridCol w:w="2312"/>
            <w:gridCol w:w="2589"/>
            <w:gridCol w:w="2724"/>
          </w:tblGrid>
        </w:tblGridChange>
      </w:tblGrid>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Closest literature</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it contributes</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remains missing</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How this manuscript differs</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Lewis et al. (2023), nestedcv</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Implements nested CV with embedded feature selection for transcriptomic/high-dimensional data.</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Does not center a leakage-inflation audit of SMO/SVM with feature-stability and pCR/RD external validation.</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Uses nested-CV principles to quantify SMO/SVM leakage inflation and feature stability.</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Kapoor &amp; Narayanan (2023), leakage taxonomy</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Frames leakage as a broader reproducibility failure in ML-based science.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an omics-specific computational benchmark.</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Operationalizes leakage auditing in public transcriptomic classification.</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Vabalas et al. (2019), limited-sample validation</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bias in validation under limited samples and high dimensions.</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Does not focus on transcriptomic SMO/SVM biomarker stability or pCR/RD cohorts.</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Extends validation concern to omics feature selection, class imbalance, and external validation.</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Breast cancer pCR signature studies</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 public datasets and biological endpoint context.</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Uses pCR/RD as a stress test for methodology, not as a new biomarker claim.</w:t>
            </w:r>
          </w:p>
        </w:tc>
      </w:tr>
      <w:tr>
        <w:tc>
          <w:tcPr>
            <w:tcW w:type="dxa" w:w="1951"/>
          </w:tcPr>
          <w:p>
            <w:pPr>
              <w:spacing w:line="240" w:lineRule="auto" w:after="0" w:before="0"/>
              <w:ind w:firstLine="0" w:left="0"/>
              <w:jc w:val="left"/>
            </w:pPr>
            <w:r>
              <w:rPr>
                <w:rFonts w:ascii="Times New Roman" w:hAnsi="Times New Roman"/>
                <w:b w:val="0"/>
                <w:i w:val="0"/>
                <w:sz w:val="18"/>
              </w:rPr>
              <w:t>OmicSelector (automated omics feature-selection and deep-learning environment)</w:t>
            </w:r>
          </w:p>
        </w:tc>
        <w:tc>
          <w:tcPr>
            <w:tcW w:type="dxa" w:w="2312"/>
          </w:tcPr>
          <w:p>
            <w:pPr>
              <w:spacing w:line="240" w:lineRule="auto" w:after="0" w:before="0"/>
              <w:ind w:firstLine="0" w:left="0"/>
              <w:jc w:val="left"/>
            </w:pPr>
            <w:r>
              <w:rPr>
                <w:rFonts w:ascii="Times New Roman" w:hAnsi="Times New Roman"/>
                <w:b w:val="0"/>
                <w:i w:val="0"/>
                <w:sz w:val="18"/>
              </w:rPr>
              <w:t>Provides leakage-resistant feature selection and modeling with nested cross-validation and stability metrics.</w:t>
            </w:r>
          </w:p>
        </w:tc>
        <w:tc>
          <w:tcPr>
            <w:tcW w:type="dxa" w:w="2589"/>
          </w:tcPr>
          <w:p>
            <w:pPr>
              <w:spacing w:line="240" w:lineRule="auto" w:after="0" w:before="0"/>
              <w:ind w:firstLine="0" w:left="0"/>
              <w:jc w:val="left"/>
            </w:pPr>
            <w:r>
              <w:rPr>
                <w:rFonts w:ascii="Times New Roman" w:hAnsi="Times New Roman"/>
                <w:b w:val="0"/>
                <w:i w:val="0"/>
                <w:sz w:val="18"/>
              </w:rPr>
              <w:t>A general selection/modeling environment rather than a focused leakage-gap audit with external-transportability reporting for one workhorse classifier.</w:t>
            </w:r>
          </w:p>
        </w:tc>
        <w:tc>
          <w:tcPr>
            <w:tcW w:type="dxa" w:w="2724"/>
          </w:tcPr>
          <w:p>
            <w:pPr>
              <w:spacing w:line="240" w:lineRule="auto" w:after="0" w:before="0"/>
              <w:ind w:firstLine="0" w:left="0"/>
              <w:jc w:val="left"/>
            </w:pPr>
            <w:r>
              <w:rPr>
                <w:rFonts w:ascii="Times New Roman" w:hAnsi="Times New Roman"/>
                <w:b w:val="0"/>
                <w:i w:val="0"/>
                <w:sz w:val="18"/>
              </w:rPr>
              <w:t>Uses an established SMO/SVM workhorse to produce an integrated empirical audit (leakage gap + feature stability + external validation + evidence-audit table), complementary to such tools.</w:t>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table summarizes how this study is positioned relative to existing tools.</w:t>
      </w:r>
    </w:p>
    <w:p w:rsidR="00000000" w:rsidDel="00000000" w:rsidP="00000000" w:rsidRDefault="00000000" w:rsidRPr="00000000" w14:paraId="0000006B">
      <w:pPr>
        <w:pStyle w:val="Heading1"/>
        <w:rPr/>
      </w:pPr>
      <w:r w:rsidDel="00000000" w:rsidR="00000000" w:rsidRPr="00000000">
        <w:rPr>
          <w:rtl w:val="0"/>
        </w:rPr>
        <w:t xml:space="preserve">Methods</w:t>
      </w:r>
    </w:p>
    <w:p w:rsidR="00000000" w:rsidDel="00000000" w:rsidP="00000000" w:rsidRDefault="00000000" w:rsidRPr="00000000" w14:paraId="0000006C">
      <w:pPr>
        <w:pStyle w:val="Heading2"/>
        <w:rPr/>
      </w:pPr>
      <w:r w:rsidDel="00000000" w:rsidR="00000000" w:rsidRPr="00000000">
        <w:rPr>
          <w:rtl w:val="0"/>
        </w:rPr>
        <w:t xml:space="preserve">Study design overview</w:t>
      </w:r>
    </w:p>
    <w:p w:rsidR="00000000" w:rsidDel="00000000" w:rsidP="00000000" w:rsidRDefault="00000000" w:rsidRPr="00000000" w14:paraId="0000006D">
      <w:pPr>
        <w:rPr/>
      </w:pPr>
      <w:r w:rsidDel="00000000" w:rsidR="00000000" w:rsidRPr="00000000">
        <w:rPr>
          <w:rtl w:val="0"/>
        </w:rPr>
        <w:t xml:space="preserve">This is a public-data computational methodology study comparing two SMO/SVM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and GSE25065 for external validation.</w:t>
      </w:r>
    </w:p>
    <w:p w:rsidR="00000000" w:rsidDel="00000000" w:rsidP="00000000" w:rsidRDefault="00000000" w:rsidRPr="00000000" w14:paraId="0000006E">
      <w:pPr>
        <w:pStyle w:val="Heading2"/>
        <w:rPr/>
      </w:pPr>
      <w:r w:rsidDel="00000000" w:rsidR="00000000" w:rsidRPr="00000000">
        <w:rPr>
          <w:rtl w:val="0"/>
        </w:rPr>
        <w:t xml:space="preserve">Public datasets and cohort eligibility</w:t>
      </w:r>
    </w:p>
    <w:p w:rsidR="00000000" w:rsidDel="00000000" w:rsidP="00000000" w:rsidRDefault="00000000" w:rsidRPr="00000000" w14:paraId="0000006F">
      <w:pPr>
        <w:rPr/>
      </w:pPr>
      <w:r w:rsidDel="00000000" w:rsidR="00000000" w:rsidRPr="00000000">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2 candidate: GSE41998, partially label-resolved but not used in the present analysis because it requires additional label and cross-platform harmonization safeguards.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Sensitivity cohorts: GSE20194 and GSE20271 are held for possible later sensitivity analyses only after sample-level de-duplication because of MDACC lineage overlap risk.</w:t>
      </w:r>
    </w:p>
    <w:p w:rsidR="00000000" w:rsidDel="00000000" w:rsidP="00000000" w:rsidRDefault="00000000" w:rsidRPr="00000000" w14:paraId="00000074">
      <w:pPr>
        <w:pStyle w:val="Heading2"/>
        <w:rPr/>
      </w:pPr>
      <w:r w:rsidDel="00000000" w:rsidR="00000000" w:rsidRPr="00000000">
        <w:rPr>
          <w:rtl w:val="0"/>
        </w:rPr>
        <w:t xml:space="preserve">Outcome definition</w:t>
      </w:r>
    </w:p>
    <w:p w:rsidR="00000000" w:rsidDel="00000000" w:rsidP="00000000" w:rsidRDefault="00000000" w:rsidRPr="00000000" w14:paraId="00000075">
      <w:pPr>
        <w:rPr/>
      </w:pPr>
      <w:r w:rsidDel="00000000" w:rsidR="00000000" w:rsidRPr="00000000">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6">
      <w:pPr>
        <w:pStyle w:val="Heading2"/>
        <w:rPr/>
      </w:pPr>
      <w:r w:rsidDel="00000000" w:rsidR="00000000" w:rsidRPr="00000000">
        <w:rPr>
          <w:rtl w:val="0"/>
        </w:rPr>
        <w:t xml:space="preserve">Data preprocessing and leakage-control rules</w:t>
      </w:r>
    </w:p>
    <w:p w:rsidR="00000000" w:rsidDel="00000000" w:rsidP="00000000" w:rsidRDefault="00000000" w:rsidRPr="00000000" w14:paraId="00000077">
      <w:pPr>
        <w:rPr/>
      </w:pPr>
      <w:r w:rsidDel="00000000" w:rsidR="00000000" w:rsidRPr="00000000">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14:paraId="00000078">
      <w:pPr>
        <w:pStyle w:val="Heading2"/>
        <w:rPr/>
      </w:pPr>
      <w:r w:rsidDel="00000000" w:rsidR="00000000" w:rsidRPr="00000000">
        <w:rPr>
          <w:rtl w:val="0"/>
        </w:rPr>
        <w:t xml:space="preserve">Pipeline A: naive/leaky baseline</w:t>
      </w:r>
    </w:p>
    <w:p w:rsidR="00000000" w:rsidDel="00000000" w:rsidP="00000000" w:rsidRDefault="00000000" w:rsidRPr="00000000" w14:paraId="00000079">
      <w:pPr>
        <w:rPr/>
      </w:pPr>
      <w:r w:rsidDel="00000000" w:rsidR="00000000" w:rsidRPr="00000000">
        <w:rPr>
          <w:rtl w:val="0"/>
        </w:rPr>
        <w:t xml:space="preserve">The naive pipeline intentionally represents the flawed workflow this paper audits. It used the full discovery cohort to perform feature selection before cross-validation. The top K features were then passed to SMO/SVM cross-validation. This pipeline is not intended for valid inference; it is included to quantify the inflation that a leaky analysis can produce.</w:t>
      </w:r>
    </w:p>
    <w:p w:rsidR="00000000" w:rsidDel="00000000" w:rsidP="00000000" w:rsidRDefault="00000000" w:rsidRPr="00000000" w14:paraId="0000007A">
      <w:pPr>
        <w:pStyle w:val="Heading2"/>
        <w:rPr/>
      </w:pPr>
      <w:r w:rsidDel="00000000" w:rsidR="00000000" w:rsidRPr="00000000">
        <w:rPr>
          <w:rtl w:val="0"/>
        </w:rPr>
        <w:t xml:space="preserve">Pipeline B: guarded nested SMO/SVM framework</w:t>
      </w:r>
    </w:p>
    <w:p w:rsidR="00000000" w:rsidDel="00000000" w:rsidP="00000000" w:rsidRDefault="00000000" w:rsidRPr="00000000" w14:paraId="0000007B">
      <w:pPr>
        <w:rPr/>
      </w:pPr>
      <w:r w:rsidDel="00000000" w:rsidR="00000000" w:rsidRPr="00000000">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SMO/SVM hyperparameter tuning. After choosing the best inner-loop configuration, the model was refit on the full outer training set and evaluated once on the held-out outer test fold.</w:t>
      </w:r>
    </w:p>
    <w:p w:rsidR="00000000" w:rsidDel="00000000" w:rsidP="00000000" w:rsidRDefault="00000000" w:rsidRPr="00000000" w14:paraId="0000007C">
      <w:pPr>
        <w:rPr/>
      </w:pPr>
      <w:r w:rsidDel="00000000" w:rsidR="00000000" w:rsidRPr="00000000">
        <w:rPr>
          <w:rtl w:val="0"/>
        </w:rPr>
        <w:t xml:space="preserve">For each outer split, the outer test fold was first withheld from all model-development procedures. All preprocessing, feature selection, class-imbalance handling, and SMO/SVM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7D">
      <w:pPr>
        <w:pStyle w:val="Heading2"/>
        <w:rPr/>
      </w:pPr>
      <w:r w:rsidDel="00000000" w:rsidR="00000000" w:rsidRPr="00000000">
        <w:rPr>
          <w:rtl w:val="0"/>
        </w:rPr>
        <w:t xml:space="preserve">SMO/SVM model specification</w:t>
      </w:r>
    </w:p>
    <w:p w:rsidR="00000000" w:rsidDel="00000000" w:rsidP="00000000" w:rsidRDefault="00000000" w:rsidRPr="00000000" w14:paraId="0000007E">
      <w:pPr>
        <w:rPr/>
      </w:pPr>
      <w:r w:rsidDel="00000000" w:rsidR="00000000" w:rsidRPr="00000000">
        <w:rPr>
          <w:rtl w:val="0"/>
        </w:rPr>
        <w:t xml:space="preserve">The primary classifier was a linear SMO-trained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p>
    <w:p w:rsidR="00000000" w:rsidDel="00000000" w:rsidP="00000000" w:rsidRDefault="00000000" w:rsidRPr="00000000" w14:paraId="0000007F">
      <w:pPr>
        <w:pStyle w:val="Heading2"/>
        <w:rPr/>
      </w:pPr>
      <w:r w:rsidDel="00000000" w:rsidR="00000000" w:rsidRPr="00000000">
        <w:rPr>
          <w:rtl w:val="0"/>
        </w:rPr>
        <w:t xml:space="preserve">Feature-selection methods</w:t>
      </w:r>
    </w:p>
    <w:p w:rsidR="00000000" w:rsidDel="00000000" w:rsidP="00000000" w:rsidRDefault="00000000" w:rsidRPr="00000000" w14:paraId="00000080">
      <w:pPr>
        <w:rPr/>
      </w:pPr>
      <w:r w:rsidDel="00000000" w:rsidR="00000000" w:rsidRPr="00000000">
        <w:rPr>
          <w:rtl w:val="0"/>
        </w:rPr>
        <w:t>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14:paraId="00000081">
      <w:pPr>
        <w:pStyle w:val="Heading2"/>
        <w:rPr/>
      </w:pPr>
      <w:r w:rsidDel="00000000" w:rsidR="00000000" w:rsidRPr="00000000">
        <w:rPr>
          <w:rtl w:val="0"/>
        </w:rPr>
        <w:t xml:space="preserve">Performance, leakage, and stability metrics</w:t>
      </w:r>
    </w:p>
    <w:p w:rsidR="00000000" w:rsidDel="00000000" w:rsidP="00000000" w:rsidRDefault="00000000" w:rsidRPr="00000000" w14:paraId="00000082">
      <w:pPr>
        <w:rPr/>
      </w:pPr>
      <w:r w:rsidDel="00000000" w:rsidR="00000000" w:rsidRPr="00000000">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p>
    <w:p>
      <w:pPr>
        <w:pStyle w:val="Heading2"/>
      </w:pPr>
      <w:r>
        <w:t>Uncertainty quantification, permutation control, and repeated cross-validation</w:t>
      </w:r>
    </w:p>
    <w:p>
      <w:pPr/>
      <w:r>
        <w:rPr>
          <w:rFonts w:ascii="Times New Roman" w:hAnsi="Times New Roman" w:cs="Times New Roman"/>
          <w:b w:val="0"/>
          <w:i w:val="0"/>
          <w:sz w:val="24"/>
        </w:rPr>
        <w:t>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w:t>
      </w:r>
    </w:p>
    <w:p>
      <w:pPr/>
      <w:r>
        <w:rPr>
          <w:rFonts w:ascii="Times New Roman" w:hAnsi="Times New Roman" w:cs="Times New Roman"/>
          <w:b w:val="0"/>
          <w:i w:val="0"/>
          <w:sz w:val="24"/>
        </w:rPr>
        <w:t>As a negative control, a label-shuffle permutation test was run on GSE25055. The pCR/RD labels were randomly permuted 1000 times (plus one identity permutation), and both 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p>
    <w:p>
      <w:pPr/>
      <w:r>
        <w:rPr>
          <w:rFonts w:ascii="Times New Roman" w:hAnsi="Times New Roman" w:cs="Times New Roman"/>
          <w:b w:val="0"/>
          <w:i w:val="0"/>
          <w:sz w:val="24"/>
        </w:rPr>
        <w:t>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p>
    <w:p>
      <w:pPr/>
      <w:r>
        <w:rPr>
          <w:rFonts w:ascii="Times New Roman" w:hAnsi="Times New Roman" w:cs="Times New Roman"/>
          <w:b w:val="0"/>
          <w:i w:val="0"/>
          <w:sz w:val="24"/>
        </w:rPr>
        <w:t>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p>
    <w:p w:rsidR="00000000" w:rsidDel="00000000" w:rsidP="00000000" w:rsidRDefault="00000000" w:rsidRPr="00000000" w14:paraId="00000083">
      <w:pPr>
        <w:pStyle w:val="Heading2"/>
        <w:rPr/>
      </w:pPr>
      <w:r w:rsidDel="00000000" w:rsidR="00000000" w:rsidRPr="00000000">
        <w:rPr>
          <w:rtl w:val="0"/>
        </w:rPr>
        <w:t xml:space="preserve">External validation protocol</w:t>
      </w:r>
    </w:p>
    <w:p w:rsidR="00000000" w:rsidDel="00000000" w:rsidP="00000000" w:rsidRDefault="00000000" w:rsidRPr="00000000" w14:paraId="00000084">
      <w:pPr>
        <w:rPr/>
      </w:pPr>
      <w:r w:rsidDel="00000000" w:rsidR="00000000" w:rsidRPr="00000000">
        <w:rPr>
          <w:rtl w:val="0"/>
        </w:rPr>
        <w:t xml:space="preserve">After the discovery analysis, the final model design was frozen. Feature-selection rules, selected features, preprocessing transformations, hyperparameters, and classification threshold were fixed before projection to GSE25065. External labels were used only for final evaluation.</w:t>
      </w:r>
    </w:p>
    <w:p w:rsidR="00000000" w:rsidDel="00000000" w:rsidP="00000000" w:rsidRDefault="00000000" w:rsidRPr="00000000" w14:paraId="00000085">
      <w:pPr>
        <w:pStyle w:val="Heading2"/>
        <w:rPr/>
      </w:pPr>
      <w:r w:rsidDel="00000000" w:rsidR="00000000" w:rsidRPr="00000000">
        <w:rPr>
          <w:rtl w:val="0"/>
        </w:rPr>
        <w:t xml:space="preserve">Reproducibility and software availability</w:t>
      </w:r>
    </w:p>
    <w:p w:rsidR="00000000" w:rsidDel="00000000" w:rsidP="00000000" w:rsidRDefault="00000000" w:rsidRPr="00000000" w14:paraId="00000086">
      <w:pPr>
        <w:rPr/>
      </w:pPr>
      <w:r w:rsidDel="00000000" w:rsidR="00000000" w:rsidRPr="00000000">
        <w:rPr>
          <w:rtl w:val="0"/>
        </w:rPr>
        <w:t>The project repository contains data-download scripts, preprocessing scripts, analysis code, random seeds, fold assignments, selected-feature lists, environment information, and final audit tables. A frozen repository release will be archived with a DOI (for example, through Zenodo) at submission.</w:t>
      </w:r>
      <w:r>
        <w:rPr>
          <w:rFonts w:ascii="Times New Roman" w:hAnsi="Times New Roman" w:cs="Times New Roman"/>
          <w:b w:val="0"/>
          <w:i w:val="0"/>
          <w:sz w:val="24"/>
        </w:rPr>
        <w:t xml:space="preserve"> The uncertainty, permutation-control, and repeated cross-validation analyses are implemented in scripts 07_bootstrap_ci.R, 08_permutation_control.R, and 09_repeated_nested_cv.R, with outputs in tables/uncertainty/, results/permutation/, tables/repeated_cv/, and results/repeated_cv/.</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rsidR="00000000" w:rsidDel="00000000" w:rsidP="00000000" w:rsidRDefault="00000000" w:rsidRPr="00000000" w14:paraId="0000009C">
      <w:pPr>
        <w:pStyle w:val="Heading1"/>
        <w:rPr/>
      </w:pPr>
      <w:r w:rsidDel="00000000" w:rsidR="00000000" w:rsidRPr="00000000">
        <w:rPr>
          <w:b w:val="0"/>
          <w:bCs w:val="0"/>
          <w:rtl w:val="0"/>
        </w:rPr>
        <w:t xml:space="preserve">Results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Results section reports only completed analyses already integrated into the project repository. No new modeling was performed in preparing this manuscript update. The contribution described here is methodological and audit-oriented: the analysis characterizes leakage sensitivity, feature reproducibility, class-imbalance behavior, and external-validation transportability for a leakage-aware SMO/SVM workflow. It does not claim clinical biomarker discovery.</w:t>
      </w:r>
    </w:p>
    <w:p w:rsidR="00000000" w:rsidDel="00000000" w:rsidP="00000000" w:rsidRDefault="00000000" w:rsidRPr="00000000" w14:paraId="0000009E">
      <w:pPr>
        <w:pStyle w:val="Heading2"/>
        <w:rPr/>
      </w:pPr>
      <w:r w:rsidDel="00000000" w:rsidR="00000000" w:rsidRPr="00000000">
        <w:rPr>
          <w:b w:val="0"/>
          <w:bCs w:val="0"/>
          <w:rtl w:val="0"/>
        </w:rPr>
        <w:t xml:space="preserve">Cohort construction and endpoint harmonization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analysis used two same-platform breast cancer cohorts profiled on the Affymetrix HG-U133A array (GPL96). GSE25055 served as the discovery cohort and GSE25065 as the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0">
      <w:pPr>
        <w:rPr/>
      </w:pPr>
      <w:r w:rsidDel="00000000" w:rsidR="00000000" w:rsidRPr="00000000">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1">
      <w:pPr>
        <w:rPr/>
      </w:pPr>
      <w:r w:rsidDel="00000000" w:rsidR="00000000" w:rsidRPr="00000000">
        <w:rPr>
          <w:rtl w:val="0"/>
        </w:rPr>
        <w:t xml:space="preserve">Additional candidate cohorts were deliberately held out of the present analysis. GSE41998 was profiled on a different platform (GPL571) and requires cross-platform harmonization. GSE20194 and GSE20271 carry high risk of patient-level overlap with the discovery lineage and require sample-level de-duplication before use. These cohorts are therefore not included in the results reported below.</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A4">
            <w:pPr>
              <w:spacing w:line="240" w:lineRule="auto"/>
              <w:ind w:firstLine="0"/>
              <w:rPr>
                <w:sz w:val="18"/>
                <w:szCs w:val="18"/>
              </w:rPr>
            </w:pPr>
            <w:r w:rsidDel="00000000" w:rsidR="00000000" w:rsidRPr="00000000">
              <w:rPr>
                <w:b w:val="1"/>
                <w:bCs w:val="1"/>
                <w:sz w:val="18"/>
                <w:szCs w:val="18"/>
                <w:rtl w:val="0"/>
              </w:rPr>
              <w:t xml:space="preserve">Cohort</w:t>
            </w:r>
            <w:r w:rsidDel="00000000" w:rsidR="00000000" w:rsidRPr="00000000">
              <w:rPr>
                <w:rtl w:val="0"/>
              </w:rPr>
            </w:r>
          </w:p>
        </w:tc>
        <w:tc>
          <w:tcPr>
            <w:shd w:fill="d9eaf7" w:val="clear"/>
          </w:tcPr>
          <w:p w:rsidR="00000000" w:rsidDel="00000000" w:rsidP="00000000" w:rsidRDefault="00000000" w:rsidRPr="00000000" w14:paraId="000000A5">
            <w:pPr>
              <w:spacing w:line="240" w:lineRule="auto"/>
              <w:ind w:firstLine="0"/>
              <w:rPr>
                <w:sz w:val="18"/>
                <w:szCs w:val="18"/>
              </w:rPr>
            </w:pPr>
            <w:r w:rsidDel="00000000" w:rsidR="00000000" w:rsidRPr="00000000">
              <w:rPr>
                <w:b w:val="1"/>
                <w:bCs w:val="1"/>
                <w:sz w:val="18"/>
                <w:szCs w:val="18"/>
                <w:rtl w:val="0"/>
              </w:rPr>
              <w:t xml:space="preserve">Role/use</w:t>
            </w:r>
            <w:r w:rsidDel="00000000" w:rsidR="00000000" w:rsidRPr="00000000">
              <w:rPr>
                <w:rtl w:val="0"/>
              </w:rPr>
            </w:r>
          </w:p>
        </w:tc>
        <w:tc>
          <w:tcPr>
            <w:shd w:fill="d9eaf7" w:val="clear"/>
          </w:tcPr>
          <w:p w:rsidR="00000000" w:rsidDel="00000000" w:rsidP="00000000" w:rsidRDefault="00000000" w:rsidRPr="00000000" w14:paraId="000000A6">
            <w:pPr>
              <w:spacing w:line="240" w:lineRule="auto"/>
              <w:ind w:firstLine="0"/>
              <w:rPr>
                <w:sz w:val="18"/>
                <w:szCs w:val="18"/>
              </w:rPr>
            </w:pPr>
            <w:r w:rsidDel="00000000" w:rsidR="00000000" w:rsidRPr="00000000">
              <w:rPr>
                <w:b w:val="1"/>
                <w:bCs w:val="1"/>
                <w:sz w:val="18"/>
                <w:szCs w:val="18"/>
                <w:rtl w:val="0"/>
              </w:rPr>
              <w:t xml:space="preserve">Usable labels</w:t>
            </w:r>
            <w:r w:rsidDel="00000000" w:rsidR="00000000" w:rsidRPr="00000000">
              <w:rPr>
                <w:rtl w:val="0"/>
              </w:rPr>
            </w:r>
          </w:p>
        </w:tc>
        <w:tc>
          <w:tcPr>
            <w:shd w:fill="d9eaf7" w:val="clear"/>
          </w:tcPr>
          <w:p w:rsidR="00000000" w:rsidDel="00000000" w:rsidP="00000000" w:rsidRDefault="00000000" w:rsidRPr="00000000" w14:paraId="000000A7">
            <w:pPr>
              <w:spacing w:line="240" w:lineRule="auto"/>
              <w:ind w:firstLine="0"/>
              <w:rPr>
                <w:sz w:val="18"/>
                <w:szCs w:val="18"/>
              </w:rPr>
            </w:pPr>
            <w:r w:rsidDel="00000000" w:rsidR="00000000" w:rsidRPr="00000000">
              <w:rPr>
                <w:b w:val="1"/>
                <w:bCs w:val="1"/>
                <w:sz w:val="18"/>
                <w:szCs w:val="18"/>
                <w:rtl w:val="0"/>
              </w:rPr>
              <w:t xml:space="preserve">Audit note</w:t>
            </w:r>
            <w:r w:rsidDel="00000000" w:rsidR="00000000" w:rsidRPr="00000000">
              <w:rPr>
                <w:rtl w:val="0"/>
              </w:rPr>
            </w:r>
          </w:p>
        </w:tc>
      </w:tr>
      <w:tr>
        <w:trPr>
          <w:cantSplit w:val="0"/>
          <w:tblHeader w:val="0"/>
        </w:trPr>
        <w:tc>
          <w:tcPr/>
          <w:p w:rsidR="00000000" w:rsidDel="00000000" w:rsidP="00000000" w:rsidRDefault="00000000" w:rsidRPr="00000000" w14:paraId="000000A8">
            <w:pPr>
              <w:spacing w:line="240" w:lineRule="auto"/>
              <w:ind w:firstLine="0"/>
              <w:rPr>
                <w:sz w:val="18"/>
                <w:szCs w:val="18"/>
              </w:rPr>
            </w:pPr>
            <w:r w:rsidDel="00000000" w:rsidR="00000000" w:rsidRPr="00000000">
              <w:rPr>
                <w:sz w:val="18"/>
                <w:szCs w:val="18"/>
                <w:rtl w:val="0"/>
              </w:rPr>
              <w:t xml:space="preserve">GSE25055</w:t>
            </w:r>
          </w:p>
        </w:tc>
        <w:tc>
          <w:tcPr/>
          <w:p w:rsidR="00000000" w:rsidDel="00000000" w:rsidP="00000000" w:rsidRDefault="00000000" w:rsidRPr="00000000" w14:paraId="000000A9">
            <w:pPr>
              <w:spacing w:line="240" w:lineRule="auto"/>
              <w:ind w:firstLine="0"/>
              <w:rPr>
                <w:sz w:val="18"/>
                <w:szCs w:val="18"/>
              </w:rPr>
            </w:pPr>
            <w:r w:rsidDel="00000000" w:rsidR="00000000" w:rsidRPr="00000000">
              <w:rPr>
                <w:sz w:val="18"/>
                <w:szCs w:val="18"/>
                <w:rtl w:val="0"/>
              </w:rPr>
              <w:t xml:space="preserve">Discovery/internal validation</w:t>
            </w:r>
          </w:p>
        </w:tc>
        <w:tc>
          <w:tcPr/>
          <w:p w:rsidR="00000000" w:rsidDel="00000000" w:rsidP="00000000" w:rsidRDefault="00000000" w:rsidRPr="00000000" w14:paraId="000000AA">
            <w:pPr>
              <w:spacing w:line="240" w:lineRule="auto"/>
              <w:ind w:firstLine="0"/>
              <w:rPr>
                <w:sz w:val="18"/>
                <w:szCs w:val="18"/>
              </w:rPr>
            </w:pPr>
            <w:r w:rsidDel="00000000" w:rsidR="00000000" w:rsidRPr="00000000">
              <w:rPr>
                <w:sz w:val="18"/>
                <w:szCs w:val="18"/>
                <w:rtl w:val="0"/>
              </w:rPr>
              <w:t xml:space="preserve">306 (57 pCR, 249 RD)</w:t>
            </w:r>
          </w:p>
        </w:tc>
        <w:tc>
          <w:tcPr/>
          <w:p w:rsidR="00000000" w:rsidDel="00000000" w:rsidP="00000000" w:rsidRDefault="00000000" w:rsidRPr="00000000" w14:paraId="000000AB">
            <w:pPr>
              <w:spacing w:line="240" w:lineRule="auto"/>
              <w:ind w:firstLine="0"/>
              <w:rPr>
                <w:sz w:val="18"/>
                <w:szCs w:val="18"/>
              </w:rPr>
            </w:pPr>
            <w:r w:rsidDel="00000000" w:rsidR="00000000" w:rsidRPr="00000000">
              <w:rPr>
                <w:sz w:val="18"/>
                <w:szCs w:val="18"/>
                <w:rtl w:val="0"/>
              </w:rPr>
              <w:t xml:space="preserve">GPL96; used in v1; 4 missing labels excluded.</w:t>
            </w:r>
          </w:p>
        </w:tc>
      </w:tr>
      <w:tr>
        <w:trPr>
          <w:cantSplit w:val="0"/>
          <w:tblHeader w:val="0"/>
        </w:trPr>
        <w:tc>
          <w:tcPr/>
          <w:p w:rsidR="00000000" w:rsidDel="00000000" w:rsidP="00000000" w:rsidRDefault="00000000" w:rsidRPr="00000000" w14:paraId="000000AC">
            <w:pPr>
              <w:spacing w:line="240" w:lineRule="auto"/>
              <w:ind w:firstLine="0"/>
              <w:rPr>
                <w:sz w:val="18"/>
                <w:szCs w:val="18"/>
              </w:rPr>
            </w:pPr>
            <w:r w:rsidDel="00000000" w:rsidR="00000000" w:rsidRPr="00000000">
              <w:rPr>
                <w:sz w:val="18"/>
                <w:szCs w:val="18"/>
                <w:rtl w:val="0"/>
              </w:rPr>
              <w:t xml:space="preserve">GSE25065</w:t>
            </w:r>
          </w:p>
        </w:tc>
        <w:tc>
          <w:tcPr/>
          <w:p w:rsidR="00000000" w:rsidDel="00000000" w:rsidP="00000000" w:rsidRDefault="00000000" w:rsidRPr="00000000" w14:paraId="000000AD">
            <w:pPr>
              <w:spacing w:line="240" w:lineRule="auto"/>
              <w:ind w:firstLine="0"/>
              <w:rPr>
                <w:sz w:val="18"/>
                <w:szCs w:val="18"/>
              </w:rPr>
            </w:pPr>
            <w:r w:rsidDel="00000000" w:rsidR="00000000" w:rsidRPr="00000000">
              <w:rPr>
                <w:sz w:val="18"/>
                <w:szCs w:val="18"/>
                <w:rtl w:val="0"/>
              </w:rPr>
              <w:t xml:space="preserve">External validation</w:t>
            </w:r>
          </w:p>
        </w:tc>
        <w:tc>
          <w:tcPr/>
          <w:p w:rsidR="00000000" w:rsidDel="00000000" w:rsidP="00000000" w:rsidRDefault="00000000" w:rsidRPr="00000000" w14:paraId="000000AE">
            <w:pPr>
              <w:spacing w:line="240" w:lineRule="auto"/>
              <w:ind w:firstLine="0"/>
              <w:rPr>
                <w:sz w:val="18"/>
                <w:szCs w:val="18"/>
              </w:rPr>
            </w:pPr>
            <w:r w:rsidDel="00000000" w:rsidR="00000000" w:rsidRPr="00000000">
              <w:rPr>
                <w:sz w:val="18"/>
                <w:szCs w:val="18"/>
                <w:rtl w:val="0"/>
              </w:rPr>
              <w:t xml:space="preserve">182 (42 pCR, 140 RD)</w:t>
            </w:r>
          </w:p>
        </w:tc>
        <w:tc>
          <w:tcPr/>
          <w:p w:rsidR="00000000" w:rsidDel="00000000" w:rsidP="00000000" w:rsidRDefault="00000000" w:rsidRPr="00000000" w14:paraId="000000AF">
            <w:pPr>
              <w:spacing w:line="240" w:lineRule="auto"/>
              <w:ind w:firstLine="0"/>
              <w:rPr>
                <w:sz w:val="18"/>
                <w:szCs w:val="18"/>
              </w:rPr>
            </w:pPr>
            <w:r w:rsidDel="00000000" w:rsidR="00000000" w:rsidRPr="00000000">
              <w:rPr>
                <w:sz w:val="18"/>
                <w:szCs w:val="18"/>
                <w:rtl w:val="0"/>
              </w:rPr>
              <w:t xml:space="preserve">GPL96; used in v1; 16 missing labels excluded; non-overlapping with GSE25055.</w:t>
            </w:r>
          </w:p>
        </w:tc>
      </w:tr>
      <w:tr>
        <w:trPr>
          <w:cantSplit w:val="0"/>
          <w:tblHeader w:val="0"/>
        </w:trPr>
        <w:tc>
          <w:tcPr/>
          <w:p w:rsidR="00000000" w:rsidDel="00000000" w:rsidP="00000000" w:rsidRDefault="00000000" w:rsidRPr="00000000" w14:paraId="000000B0">
            <w:pPr>
              <w:spacing w:line="240" w:lineRule="auto"/>
              <w:ind w:firstLine="0"/>
              <w:rPr>
                <w:sz w:val="18"/>
                <w:szCs w:val="18"/>
              </w:rPr>
            </w:pPr>
            <w:r w:rsidDel="00000000" w:rsidR="00000000" w:rsidRPr="00000000">
              <w:rPr>
                <w:sz w:val="18"/>
                <w:szCs w:val="18"/>
                <w:rtl w:val="0"/>
              </w:rPr>
              <w:t xml:space="preserve">GSE41998</w:t>
            </w:r>
          </w:p>
        </w:tc>
        <w:tc>
          <w:tcPr/>
          <w:p w:rsidR="00000000" w:rsidDel="00000000" w:rsidP="00000000" w:rsidRDefault="00000000" w:rsidRPr="00000000" w14:paraId="000000B1">
            <w:pPr>
              <w:spacing w:line="240" w:lineRule="auto"/>
              <w:ind w:firstLine="0"/>
              <w:rPr>
                <w:sz w:val="18"/>
                <w:szCs w:val="18"/>
              </w:rPr>
            </w:pPr>
            <w:r w:rsidDel="00000000" w:rsidR="00000000" w:rsidRPr="00000000">
              <w:rPr>
                <w:sz w:val="18"/>
                <w:szCs w:val="18"/>
                <w:rtl w:val="0"/>
              </w:rPr>
              <w:t xml:space="preserve">External validation candidate</w:t>
            </w:r>
          </w:p>
        </w:tc>
        <w:tc>
          <w:tcPr/>
          <w:p w:rsidR="00000000" w:rsidDel="00000000" w:rsidP="00000000" w:rsidRDefault="00000000" w:rsidRPr="00000000" w14:paraId="000000B2">
            <w:pPr>
              <w:spacing w:line="240" w:lineRule="auto"/>
              <w:ind w:firstLine="0"/>
              <w:rPr>
                <w:sz w:val="18"/>
                <w:szCs w:val="18"/>
              </w:rPr>
            </w:pPr>
            <w:r w:rsidDel="00000000" w:rsidR="00000000" w:rsidRPr="00000000">
              <w:rPr>
                <w:sz w:val="18"/>
                <w:szCs w:val="18"/>
                <w:rtl w:val="0"/>
              </w:rPr>
              <w:t xml:space="preserve">253 evaluable (69 pCR, 184 RD)</w:t>
            </w:r>
          </w:p>
        </w:tc>
        <w:tc>
          <w:tcPr/>
          <w:p w:rsidR="00000000" w:rsidDel="00000000" w:rsidP="00000000" w:rsidRDefault="00000000" w:rsidRPr="00000000" w14:paraId="000000B3">
            <w:pPr>
              <w:spacing w:line="240" w:lineRule="auto"/>
              <w:ind w:firstLine="0"/>
              <w:rPr>
                <w:sz w:val="18"/>
                <w:szCs w:val="18"/>
              </w:rPr>
            </w:pPr>
            <w:r w:rsidDel="00000000" w:rsidR="00000000" w:rsidRPr="00000000">
              <w:rPr>
                <w:sz w:val="18"/>
                <w:szCs w:val="18"/>
                <w:rtl w:val="0"/>
              </w:rPr>
              <w:t xml:space="preserve">GPL571; held for future analysis because 26 labels are unresolved/missing and cross-platform harmonization is needed.</w:t>
            </w:r>
          </w:p>
        </w:tc>
      </w:tr>
      <w:tr>
        <w:trPr>
          <w:cantSplit w:val="0"/>
          <w:tblHeader w:val="0"/>
        </w:trPr>
        <w:tc>
          <w:tcPr/>
          <w:p w:rsidR="00000000" w:rsidDel="00000000" w:rsidP="00000000" w:rsidRDefault="00000000" w:rsidRPr="00000000" w14:paraId="000000B4">
            <w:pPr>
              <w:spacing w:line="240" w:lineRule="auto"/>
              <w:ind w:firstLine="0"/>
              <w:rPr>
                <w:sz w:val="18"/>
                <w:szCs w:val="18"/>
              </w:rPr>
            </w:pPr>
            <w:r w:rsidDel="00000000" w:rsidR="00000000" w:rsidRPr="00000000">
              <w:rPr>
                <w:sz w:val="18"/>
                <w:szCs w:val="18"/>
                <w:rtl w:val="0"/>
              </w:rPr>
              <w:t xml:space="preserve">GSE20194</w:t>
            </w:r>
          </w:p>
        </w:tc>
        <w:tc>
          <w:tcPr/>
          <w:p w:rsidR="00000000" w:rsidDel="00000000" w:rsidP="00000000" w:rsidRDefault="00000000" w:rsidRPr="00000000" w14:paraId="000000B5">
            <w:pPr>
              <w:spacing w:line="240" w:lineRule="auto"/>
              <w:ind w:firstLine="0"/>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B6">
            <w:pPr>
              <w:spacing w:line="240" w:lineRule="auto"/>
              <w:ind w:firstLine="0"/>
              <w:rPr>
                <w:sz w:val="18"/>
                <w:szCs w:val="18"/>
              </w:rPr>
            </w:pPr>
            <w:r w:rsidDel="00000000" w:rsidR="00000000" w:rsidRPr="00000000">
              <w:rPr>
                <w:sz w:val="18"/>
                <w:szCs w:val="18"/>
                <w:rtl w:val="0"/>
              </w:rPr>
              <w:t xml:space="preserve">278 (56 pCR, 222 RD)</w:t>
            </w:r>
          </w:p>
        </w:tc>
        <w:tc>
          <w:tcPr/>
          <w:p w:rsidR="00000000" w:rsidDel="00000000" w:rsidP="00000000" w:rsidRDefault="00000000" w:rsidRPr="00000000" w14:paraId="000000B7">
            <w:pPr>
              <w:spacing w:line="240" w:lineRule="auto"/>
              <w:ind w:firstLine="0"/>
              <w:rPr>
                <w:sz w:val="18"/>
                <w:szCs w:val="18"/>
              </w:rPr>
            </w:pPr>
            <w:r w:rsidDel="00000000" w:rsidR="00000000" w:rsidRPr="00000000">
              <w:rPr>
                <w:sz w:val="18"/>
                <w:szCs w:val="18"/>
                <w:rtl w:val="0"/>
              </w:rPr>
              <w:t xml:space="preserve">GPL96; held because of MDACC lineage overlap risk.</w:t>
            </w:r>
          </w:p>
        </w:tc>
      </w:tr>
      <w:tr>
        <w:trPr>
          <w:cantSplit w:val="0"/>
          <w:tblHeader w:val="0"/>
        </w:trPr>
        <w:tc>
          <w:tcPr/>
          <w:p w:rsidR="00000000" w:rsidDel="00000000" w:rsidP="00000000" w:rsidRDefault="00000000" w:rsidRPr="00000000" w14:paraId="000000B8">
            <w:pPr>
              <w:spacing w:line="240" w:lineRule="auto"/>
              <w:ind w:firstLine="0"/>
              <w:rPr>
                <w:sz w:val="18"/>
                <w:szCs w:val="18"/>
              </w:rPr>
            </w:pPr>
            <w:r w:rsidDel="00000000" w:rsidR="00000000" w:rsidRPr="00000000">
              <w:rPr>
                <w:sz w:val="18"/>
                <w:szCs w:val="18"/>
                <w:rtl w:val="0"/>
              </w:rPr>
              <w:t xml:space="preserve">GSE20271</w:t>
            </w:r>
          </w:p>
        </w:tc>
        <w:tc>
          <w:tcPr/>
          <w:p w:rsidR="00000000" w:rsidDel="00000000" w:rsidP="00000000" w:rsidRDefault="00000000" w:rsidRPr="00000000" w14:paraId="000000B9">
            <w:pPr>
              <w:spacing w:line="240" w:lineRule="auto"/>
              <w:ind w:firstLine="0"/>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BA">
            <w:pPr>
              <w:spacing w:line="240" w:lineRule="auto"/>
              <w:ind w:firstLine="0"/>
              <w:rPr>
                <w:sz w:val="18"/>
                <w:szCs w:val="18"/>
              </w:rPr>
            </w:pPr>
            <w:r w:rsidDel="00000000" w:rsidR="00000000" w:rsidRPr="00000000">
              <w:rPr>
                <w:sz w:val="18"/>
                <w:szCs w:val="18"/>
                <w:rtl w:val="0"/>
              </w:rPr>
              <w:t xml:space="preserve">178 (26 pCR, 152 RD)</w:t>
            </w:r>
          </w:p>
        </w:tc>
        <w:tc>
          <w:tcPr/>
          <w:p w:rsidR="00000000" w:rsidDel="00000000" w:rsidP="00000000" w:rsidRDefault="00000000" w:rsidRPr="00000000" w14:paraId="000000BB">
            <w:pPr>
              <w:spacing w:line="240" w:lineRule="auto"/>
              <w:ind w:firstLine="0"/>
              <w:rPr>
                <w:sz w:val="18"/>
                <w:szCs w:val="18"/>
              </w:rPr>
            </w:pPr>
            <w:r w:rsidDel="00000000" w:rsidR="00000000" w:rsidRPr="00000000">
              <w:rPr>
                <w:sz w:val="18"/>
                <w:szCs w:val="18"/>
                <w:rtl w:val="0"/>
              </w:rPr>
              <w:t xml:space="preserve">GPL96; held because of MDACC lineage overlap risk.</w:t>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GSE20194, and GSE20271 are included here for audit transparency but were not used in the current modeling results. pCR = pathological complete response; RD = residual disease.</w:t>
      </w:r>
    </w:p>
    <w:p w:rsidR="00000000" w:rsidDel="00000000" w:rsidP="00000000" w:rsidRDefault="00000000" w:rsidRPr="00000000" w14:paraId="000000BD">
      <w:pPr>
        <w:pStyle w:val="Heading2"/>
        <w:rPr/>
      </w:pPr>
      <w:r w:rsidDel="00000000" w:rsidR="00000000" w:rsidRPr="00000000">
        <w:rPr>
          <w:b w:val="0"/>
          <w:bCs w:val="0"/>
          <w:rtl w:val="0"/>
        </w:rPr>
        <w:t xml:space="preserve">Leaky versus guarded nested SMO/SVM performance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BF">
      <w:pPr>
        <w:rPr/>
      </w:pPr>
      <w:r w:rsidDel="00000000" w:rsidR="00000000" w:rsidRPr="00000000">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0">
      <w:pPr>
        <w:rPr/>
      </w:pPr>
      <w:r w:rsidDel="00000000" w:rsidR="00000000" w:rsidRPr="00000000">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SMO/SVM Performance on GSE25055</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C3">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0C4">
            <w:pPr>
              <w:rPr/>
            </w:pPr>
            <w:r w:rsidDel="00000000" w:rsidR="00000000" w:rsidRPr="00000000">
              <w:rPr>
                <w:b w:val="1"/>
                <w:bCs w:val="1"/>
                <w:sz w:val="15"/>
                <w:szCs w:val="15"/>
                <w:rtl w:val="0"/>
              </w:rPr>
              <w:t xml:space="preserve">Leaky baseline</w:t>
            </w:r>
            <w:r w:rsidDel="00000000" w:rsidR="00000000" w:rsidRPr="00000000">
              <w:rPr>
                <w:rtl w:val="0"/>
              </w:rPr>
            </w:r>
          </w:p>
        </w:tc>
        <w:tc>
          <w:tcPr>
            <w:shd w:fill="d9eaf7" w:val="clear"/>
          </w:tcPr>
          <w:p w:rsidR="00000000" w:rsidDel="00000000" w:rsidP="00000000" w:rsidRDefault="00000000" w:rsidRPr="00000000" w14:paraId="000000C5">
            <w:pPr>
              <w:rPr/>
            </w:pPr>
            <w:r w:rsidDel="00000000" w:rsidR="00000000" w:rsidRPr="00000000">
              <w:rPr>
                <w:b w:val="1"/>
                <w:bCs w:val="1"/>
                <w:sz w:val="15"/>
                <w:szCs w:val="15"/>
                <w:rtl w:val="0"/>
              </w:rPr>
              <w:t xml:space="preserve">Guarded nested SMO/SVM</w:t>
            </w:r>
            <w:r w:rsidDel="00000000" w:rsidR="00000000" w:rsidRPr="00000000">
              <w:rPr>
                <w:rtl w:val="0"/>
              </w:rPr>
            </w:r>
          </w:p>
        </w:tc>
        <w:tc>
          <w:tcPr>
            <w:shd w:fill="d9eaf7" w:val="clear"/>
          </w:tcPr>
          <w:p w:rsidR="00000000" w:rsidDel="00000000" w:rsidP="00000000" w:rsidRDefault="00000000" w:rsidRPr="00000000" w14:paraId="000000C6">
            <w:pPr>
              <w:rPr/>
            </w:pPr>
            <w:r w:rsidDel="00000000" w:rsidR="00000000" w:rsidRPr="00000000">
              <w:rPr>
                <w:b w:val="1"/>
                <w:bCs w:val="1"/>
                <w:sz w:val="15"/>
                <w:szCs w:val="15"/>
                <w:rtl w:val="0"/>
              </w:rPr>
              <w:t xml:space="preserve">Leaky - guarded gap</w:t>
            </w:r>
            <w:r w:rsidDel="00000000" w:rsidR="00000000" w:rsidRPr="00000000">
              <w:rPr>
                <w:rtl w:val="0"/>
              </w:rPr>
            </w:r>
          </w:p>
        </w:tc>
      </w:tr>
      <w:tr>
        <w:trPr>
          <w:cantSplit w:val="0"/>
          <w:tblHeader w:val="0"/>
        </w:trPr>
        <w:tc>
          <w:tcPr/>
          <w:p>
            <w:pPr/>
            <w:r/>
            <w:r>
              <w:rPr>
                <w:rFonts w:ascii="Times New Roman" w:hAnsi="Times New Roman" w:cs="Times New Roman"/>
                <w:b w:val="0"/>
                <w:i w:val="0"/>
                <w:sz w:val="15"/>
              </w:rPr>
              <w:t>AUROC</w:t>
            </w:r>
          </w:p>
        </w:tc>
        <w:tc>
          <w:tcPr/>
          <w:p>
            <w:pPr/>
            <w:r/>
            <w:r>
              <w:rPr>
                <w:rFonts w:ascii="Times New Roman" w:hAnsi="Times New Roman" w:cs="Times New Roman"/>
                <w:b w:val="0"/>
                <w:i w:val="0"/>
                <w:sz w:val="15"/>
              </w:rPr>
              <w:t>0.7705 (0.711–0.824)</w:t>
            </w:r>
          </w:p>
        </w:tc>
        <w:tc>
          <w:tcPr/>
          <w:p>
            <w:pPr/>
            <w:r/>
            <w:r>
              <w:rPr>
                <w:rFonts w:ascii="Times New Roman" w:hAnsi="Times New Roman" w:cs="Times New Roman"/>
                <w:b w:val="0"/>
                <w:i w:val="0"/>
                <w:sz w:val="15"/>
              </w:rPr>
              <w:t>0.7265 (0.653–0.791)</w:t>
            </w:r>
          </w:p>
        </w:tc>
        <w:tc>
          <w:tcPr/>
          <w:p>
            <w:pPr/>
            <w:r/>
            <w:r>
              <w:rPr>
                <w:rFonts w:ascii="Times New Roman" w:hAnsi="Times New Roman" w:cs="Times New Roman"/>
                <w:b w:val="0"/>
                <w:i w:val="0"/>
                <w:sz w:val="15"/>
              </w:rPr>
              <w:t>+0.044 (95% CI −0.013 to +0.103; bootstrap p = 0.13)</w:t>
            </w:r>
          </w:p>
        </w:tc>
      </w:tr>
      <w:tr>
        <w:trPr>
          <w:cantSplit w:val="0"/>
          <w:tblHeader w:val="0"/>
        </w:trPr>
        <w:tc>
          <w:tcPr/>
          <w:p>
            <w:pPr/>
            <w:r/>
            <w:r>
              <w:rPr>
                <w:rFonts w:ascii="Times New Roman" w:hAnsi="Times New Roman" w:cs="Times New Roman"/>
                <w:b w:val="0"/>
                <w:i w:val="0"/>
                <w:sz w:val="15"/>
              </w:rPr>
              <w:t>PR-AUC</w:t>
            </w:r>
          </w:p>
        </w:tc>
        <w:tc>
          <w:tcPr/>
          <w:p>
            <w:pPr/>
            <w:r/>
            <w:r>
              <w:rPr>
                <w:rFonts w:ascii="Times New Roman" w:hAnsi="Times New Roman" w:cs="Times New Roman"/>
                <w:b w:val="0"/>
                <w:i w:val="0"/>
                <w:sz w:val="15"/>
              </w:rPr>
              <w:t>0.4016 (0.333–0.497)</w:t>
            </w:r>
          </w:p>
        </w:tc>
        <w:tc>
          <w:tcPr/>
          <w:p>
            <w:pPr/>
            <w:r/>
            <w:r>
              <w:rPr>
                <w:rFonts w:ascii="Times New Roman" w:hAnsi="Times New Roman" w:cs="Times New Roman"/>
                <w:b w:val="0"/>
                <w:i w:val="0"/>
                <w:sz w:val="15"/>
              </w:rPr>
              <w:t>0.3653 (0.281–0.472)</w:t>
            </w:r>
          </w:p>
        </w:tc>
        <w:tc>
          <w:tcPr/>
          <w:p>
            <w:pPr/>
            <w:r/>
            <w:r>
              <w:rPr>
                <w:rFonts w:ascii="Times New Roman" w:hAnsi="Times New Roman" w:cs="Times New Roman"/>
                <w:b w:val="0"/>
                <w:i w:val="0"/>
                <w:sz w:val="15"/>
              </w:rPr>
              <w:t>+0.036 (−0.048 to +0.125; p = 0.38)</w:t>
            </w:r>
          </w:p>
        </w:tc>
      </w:tr>
      <w:tr>
        <w:trPr>
          <w:cantSplit w:val="0"/>
          <w:tblHeader w:val="0"/>
        </w:trPr>
        <w:tc>
          <w:tcPr/>
          <w:p>
            <w:pPr/>
            <w:r/>
            <w:r>
              <w:rPr>
                <w:rFonts w:ascii="Times New Roman" w:hAnsi="Times New Roman" w:cs="Times New Roman"/>
                <w:b w:val="0"/>
                <w:i w:val="0"/>
                <w:sz w:val="15"/>
              </w:rPr>
              <w:t>Balanced accuracy</w:t>
            </w:r>
          </w:p>
        </w:tc>
        <w:tc>
          <w:tcPr/>
          <w:p>
            <w:pPr/>
            <w:r/>
            <w:r>
              <w:rPr>
                <w:rFonts w:ascii="Times New Roman" w:hAnsi="Times New Roman" w:cs="Times New Roman"/>
                <w:b w:val="0"/>
                <w:i w:val="0"/>
                <w:sz w:val="15"/>
              </w:rPr>
              <w:t>0.5546 (0.525–0.586)</w:t>
            </w:r>
          </w:p>
        </w:tc>
        <w:tc>
          <w:tcPr/>
          <w:p>
            <w:pPr/>
            <w:r/>
            <w:r>
              <w:rPr>
                <w:rFonts w:ascii="Times New Roman" w:hAnsi="Times New Roman" w:cs="Times New Roman"/>
                <w:b w:val="0"/>
                <w:i w:val="0"/>
                <w:sz w:val="15"/>
              </w:rPr>
              <w:t>0.5792 (0.527–0.633)</w:t>
            </w:r>
          </w:p>
        </w:tc>
        <w:tc>
          <w:tcPr/>
          <w:p>
            <w:pPr/>
            <w:r/>
            <w:r>
              <w:rPr>
                <w:rFonts w:ascii="Times New Roman" w:hAnsi="Times New Roman" w:cs="Times New Roman"/>
                <w:b w:val="0"/>
                <w:i w:val="0"/>
                <w:sz w:val="15"/>
              </w:rPr>
              <w:t>−0.025</w:t>
            </w:r>
          </w:p>
        </w:tc>
      </w:tr>
      <w:tr>
        <w:trPr>
          <w:cantSplit w:val="0"/>
          <w:tblHeader w:val="0"/>
        </w:trPr>
        <w:tc>
          <w:tcPr/>
          <w:p>
            <w:pPr/>
            <w:r/>
            <w:r>
              <w:rPr>
                <w:rFonts w:ascii="Times New Roman" w:hAnsi="Times New Roman" w:cs="Times New Roman"/>
                <w:b w:val="0"/>
                <w:i w:val="0"/>
                <w:sz w:val="15"/>
              </w:rPr>
              <w:t>MCC</w:t>
            </w:r>
          </w:p>
        </w:tc>
        <w:tc>
          <w:tcPr/>
          <w:p>
            <w:pPr/>
            <w:r/>
            <w:r>
              <w:rPr>
                <w:rFonts w:ascii="Times New Roman" w:hAnsi="Times New Roman" w:cs="Times New Roman"/>
                <w:b w:val="0"/>
                <w:i w:val="0"/>
                <w:sz w:val="15"/>
              </w:rPr>
              <w:t>0.2064 (0.105–0.298)</w:t>
            </w:r>
          </w:p>
        </w:tc>
        <w:tc>
          <w:tcPr/>
          <w:p>
            <w:pPr/>
            <w:r/>
            <w:r>
              <w:rPr>
                <w:rFonts w:ascii="Times New Roman" w:hAnsi="Times New Roman" w:cs="Times New Roman"/>
                <w:b w:val="0"/>
                <w:i w:val="0"/>
                <w:sz w:val="15"/>
              </w:rPr>
              <w:t>0.2250 (0.075–0.360)</w:t>
            </w:r>
          </w:p>
        </w:tc>
        <w:tc>
          <w:tcPr/>
          <w:p>
            <w:pPr/>
            <w:r/>
            <w:r>
              <w:rPr>
                <w:rFonts w:ascii="Times New Roman" w:hAnsi="Times New Roman" w:cs="Times New Roman"/>
                <w:b w:val="0"/>
                <w:i w:val="0"/>
                <w:sz w:val="15"/>
              </w:rPr>
              <w:t>−0.019</w:t>
            </w:r>
          </w:p>
        </w:tc>
      </w:tr>
      <w:tr>
        <w:trPr>
          <w:cantSplit w:val="0"/>
          <w:tblHeader w:val="0"/>
        </w:trPr>
        <w:tc>
          <w:tcPr/>
          <w:p>
            <w:pPr/>
            <w:r/>
            <w:r>
              <w:rPr>
                <w:rFonts w:ascii="Times New Roman" w:hAnsi="Times New Roman" w:cs="Times New Roman"/>
                <w:b w:val="0"/>
                <w:i w:val="0"/>
                <w:sz w:val="15"/>
              </w:rPr>
              <w:t>Sensitivity (pCR)</w:t>
            </w:r>
          </w:p>
        </w:tc>
        <w:tc>
          <w:tcPr/>
          <w:p>
            <w:pPr/>
            <w:r/>
            <w:r>
              <w:rPr>
                <w:rFonts w:ascii="Times New Roman" w:hAnsi="Times New Roman" w:cs="Times New Roman"/>
                <w:b w:val="0"/>
                <w:i w:val="0"/>
                <w:sz w:val="15"/>
              </w:rPr>
              <w:t>0.1333 (0.074–0.197)</w:t>
            </w:r>
          </w:p>
        </w:tc>
        <w:tc>
          <w:tcPr/>
          <w:p>
            <w:pPr/>
            <w:r/>
            <w:r>
              <w:rPr>
                <w:rFonts w:ascii="Times New Roman" w:hAnsi="Times New Roman" w:cs="Times New Roman"/>
                <w:b w:val="0"/>
                <w:i w:val="0"/>
                <w:sz w:val="15"/>
              </w:rPr>
              <w:t>0.2105 (0.105–0.316)</w:t>
            </w:r>
          </w:p>
        </w:tc>
        <w:tc>
          <w:tcPr/>
          <w:p>
            <w:pPr/>
            <w:r/>
            <w:r>
              <w:rPr>
                <w:rFonts w:ascii="Times New Roman" w:hAnsi="Times New Roman" w:cs="Times New Roman"/>
                <w:b w:val="0"/>
                <w:i w:val="0"/>
                <w:sz w:val="15"/>
              </w:rPr>
              <w:t>−0.077</w:t>
            </w:r>
          </w:p>
        </w:tc>
      </w:tr>
      <w:tr>
        <w:trPr>
          <w:cantSplit w:val="0"/>
          <w:tblHeader w:val="0"/>
        </w:trPr>
        <w:tc>
          <w:tcPr/>
          <w:p>
            <w:pPr/>
            <w:r/>
            <w:r>
              <w:rPr>
                <w:rFonts w:ascii="Times New Roman" w:hAnsi="Times New Roman" w:cs="Times New Roman"/>
                <w:b w:val="0"/>
                <w:i w:val="0"/>
                <w:sz w:val="15"/>
              </w:rPr>
              <w:t>Specificity</w:t>
            </w:r>
          </w:p>
        </w:tc>
        <w:tc>
          <w:tcPr/>
          <w:p>
            <w:pPr/>
            <w:r/>
            <w:r>
              <w:rPr>
                <w:rFonts w:ascii="Times New Roman" w:hAnsi="Times New Roman" w:cs="Times New Roman"/>
                <w:b w:val="0"/>
                <w:i w:val="0"/>
                <w:sz w:val="15"/>
              </w:rPr>
              <w:t>0.9759 (0.964–0.986)</w:t>
            </w:r>
          </w:p>
        </w:tc>
        <w:tc>
          <w:tcPr/>
          <w:p>
            <w:pPr/>
            <w:r/>
            <w:r>
              <w:rPr>
                <w:rFonts w:ascii="Times New Roman" w:hAnsi="Times New Roman" w:cs="Times New Roman"/>
                <w:b w:val="0"/>
                <w:i w:val="0"/>
                <w:sz w:val="15"/>
              </w:rPr>
              <w:t>0.9478 (0.916–0.972)</w:t>
            </w:r>
          </w:p>
        </w:tc>
        <w:tc>
          <w:tcPr/>
          <w:p>
            <w:pPr/>
            <w:r/>
            <w:r>
              <w:rPr>
                <w:rFonts w:ascii="Times New Roman" w:hAnsi="Times New Roman" w:cs="Times New Roman"/>
                <w:b w:val="0"/>
                <w:i w:val="0"/>
                <w:sz w:val="15"/>
              </w:rPr>
              <w:t>+0.028</w:t>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cs="Times New Roman"/>
          <w:b w:val="0"/>
          <w:i w:val="0"/>
          <w:sz w:val="20"/>
        </w:rPr>
        <w:t>Note. Values are point estimates with 95% stratified-bootstrap confidence intervals (B = 2000). Positive AUROC and PR-AUC gaps indicate higher apparent discrimination under the intentionally leaky global feature-selection workflow; both gap CIs include zero. MCC = Matthews correlation coefficient.</w:t>
      </w:r>
    </w:p>
    <w:p>
      <w:pPr>
        <w:pStyle w:val="Heading2"/>
      </w:pPr>
      <w:r>
        <w:t>Uncertainty quantification for the leakage gap</w:t>
      </w:r>
    </w:p>
    <w:p>
      <w:pPr/>
      <w:r>
        <w:rPr>
          <w:rFonts w:ascii="Times New Roman" w:hAnsi="Times New Roman" w:cs="Times New Roman"/>
          <w:b w:val="0"/>
          <w:i w:val="0"/>
          <w:sz w:val="24"/>
        </w:rPr>
        <w:t>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p>
    <w:p>
      <w:pPr>
        <w:pStyle w:val="Heading2"/>
      </w:pPr>
      <w:r>
        <w:t>Permutation-control negative control</w:t>
      </w:r>
    </w:p>
    <w:p>
      <w:pPr/>
      <w:r>
        <w:rPr>
          <w:rFonts w:ascii="Times New Roman" w:hAnsi="Times New Roman" w:cs="Times New Roman"/>
          <w:b w:val="0"/>
          <w:i w:val="0"/>
          <w:sz w:val="24"/>
        </w:rPr>
        <w:t>To test whether the leaky pipeline’s apparent advantage could arise without real signal, the pCR/RD labels were permuted 1000 times and both pipelines were rerun. Under shuffled labels the leaky pipeline still produced strongly above-chance discrimination (null AUROC 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manufactures apparent discrimination from noise—whereas the guarded pipeline captures genuine, label-dependent signal. The contrast is shown in Figure 1 and summarized in Table 6.</w:t>
      </w:r>
    </w:p>
    <w:p>
      <w:pPr>
        <w:jc w:val="center"/>
      </w:pPr>
      <w:r>
        <w:drawing>
          <wp:inline>
            <wp:extent cx="5486400" cy="2493818"/>
            <wp:docPr id="1" name="Picture 1"/>
            <wp:cNvGraphicFramePr>
              <a:graphicFrameLocks noChangeAspect="1"/>
            </wp:cNvGraphicFramePr>
            <a:graphic>
              <a:graphicData uri="http://schemas.openxmlformats.org/drawingml/2006/picture">
                <pic:pic>
                  <pic:nvPicPr>
                    <pic:cNvPr id="0" name="permutation_b1000_null.png"/>
                    <pic:cNvPicPr/>
                  </pic:nvPicPr>
                  <pic:blipFill>
                    <a:blip r:embed="rId7"/>
                    <a:stretch>
                      <a:fillRect/>
                    </a:stretch>
                  </pic:blipFill>
                  <pic:spPr>
                    <a:xfrm>
                      <a:off x="0" y="0"/>
                      <a:ext cx="5486400" cy="2493818"/>
                    </a:xfrm>
                    <a:prstGeom prst="rect"/>
                  </pic:spPr>
                </pic:pic>
              </a:graphicData>
            </a:graphic>
          </wp:inline>
        </w:drawing>
      </w:r>
    </w:p>
    <w:p>
      <w:pPr/>
      <w:r>
        <w:rPr>
          <w:rFonts w:ascii="Times New Roman" w:hAnsi="Times New Roman" w:cs="Times New Roman"/>
          <w:b w:val="0"/>
          <w:i/>
          <w:sz w:val="20"/>
        </w:rPr>
        <w:t>Figure 1. Null distributions of AUROC under 1000 label permutations for the leaky and guarded pipelines (GSE25055). The leaky null sits far above chance while the guarded null sits near 0.5; vertical lines mark the observed real-label AUROC for each pipeline.</w:t>
      </w:r>
    </w:p>
    <w:p>
      <w:pPr/>
      <w:r>
        <w:rPr>
          <w:rFonts w:ascii="Times New Roman" w:hAnsi="Times New Roman" w:cs="Times New Roman"/>
          <w:b w:val="0"/>
          <w:i w:val="0"/>
          <w:sz w:val="24"/>
        </w:rPr>
        <w:t>Table 6</w:t>
      </w:r>
    </w:p>
    <w:p>
      <w:pPr/>
      <w:r>
        <w:rPr>
          <w:rFonts w:ascii="Times New Roman" w:hAnsi="Times New Roman" w:cs="Times New Roman"/>
          <w:b w:val="0"/>
          <w:i/>
          <w:sz w:val="24"/>
        </w:rPr>
        <w:t>Permutation-Control Negative Control (B = 1000), GSE25055</w:t>
      </w:r>
    </w:p>
    <w:tbl>
      <w:tblPr>
        <w:tblStyle w:val="Table5"/>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
      <w:tr>
        <w:tc>
          <w:tcPr>
            <w:tcW w:type="dxa" w:w="1872"/>
            <w:shd w:fill="d9eaf7" w:val="clear"/>
          </w:tcPr>
          <w:p>
            <w:pPr/>
            <w:r/>
            <w:r>
              <w:rPr>
                <w:rFonts w:ascii="Times New Roman" w:hAnsi="Times New Roman" w:cs="Times New Roman"/>
                <w:b/>
                <w:i w:val="0"/>
                <w:sz w:val="15"/>
              </w:rPr>
              <w:t>Statistic</w:t>
            </w:r>
          </w:p>
        </w:tc>
        <w:tc>
          <w:tcPr>
            <w:tcW w:type="dxa" w:w="1872"/>
            <w:shd w:fill="d9eaf7" w:val="clear"/>
          </w:tcPr>
          <w:p>
            <w:pPr/>
            <w:r/>
            <w:r>
              <w:rPr>
                <w:rFonts w:ascii="Times New Roman" w:hAnsi="Times New Roman" w:cs="Times New Roman"/>
                <w:b/>
                <w:i w:val="0"/>
                <w:sz w:val="15"/>
              </w:rPr>
              <w:t>Observed</w:t>
            </w:r>
          </w:p>
        </w:tc>
        <w:tc>
          <w:tcPr>
            <w:tcW w:type="dxa" w:w="1872"/>
            <w:shd w:fill="d9eaf7" w:val="clear"/>
          </w:tcPr>
          <w:p>
            <w:pPr/>
            <w:r/>
            <w:r>
              <w:rPr>
                <w:rFonts w:ascii="Times New Roman" w:hAnsi="Times New Roman" w:cs="Times New Roman"/>
                <w:b/>
                <w:i w:val="0"/>
                <w:sz w:val="15"/>
              </w:rPr>
              <w:t>Null mean (95% range)</w:t>
            </w:r>
          </w:p>
        </w:tc>
        <w:tc>
          <w:tcPr>
            <w:tcW w:type="dxa" w:w="1872"/>
            <w:shd w:fill="d9eaf7" w:val="clear"/>
          </w:tcPr>
          <w:p>
            <w:pPr/>
            <w:r/>
            <w:r>
              <w:rPr>
                <w:rFonts w:ascii="Times New Roman" w:hAnsi="Times New Roman" w:cs="Times New Roman"/>
                <w:b/>
                <w:i w:val="0"/>
                <w:sz w:val="15"/>
              </w:rPr>
              <w:t>Empirical p</w:t>
            </w:r>
          </w:p>
        </w:tc>
        <w:tc>
          <w:tcPr>
            <w:tcW w:type="dxa" w:w="1872"/>
            <w:shd w:fill="d9eaf7" w:val="clear"/>
          </w:tcPr>
          <w:p>
            <w:pPr/>
            <w:r/>
            <w:r>
              <w:rPr>
                <w:rFonts w:ascii="Times New Roman" w:hAnsi="Times New Roman" w:cs="Times New Roman"/>
                <w:b/>
                <w:i w:val="0"/>
                <w:sz w:val="15"/>
              </w:rPr>
              <w:t>Interpretation</w:t>
            </w:r>
          </w:p>
        </w:tc>
      </w:tr>
      <w:tr>
        <w:tc>
          <w:tcPr>
            <w:tcW w:type="dxa" w:w="1872"/>
          </w:tcPr>
          <w:p>
            <w:pPr/>
            <w:r/>
            <w:r>
              <w:rPr>
                <w:rFonts w:ascii="Times New Roman" w:hAnsi="Times New Roman" w:cs="Times New Roman"/>
                <w:b w:val="0"/>
                <w:i w:val="0"/>
                <w:sz w:val="15"/>
              </w:rPr>
              <w:t>Leaky AUROC</w:t>
            </w:r>
          </w:p>
        </w:tc>
        <w:tc>
          <w:tcPr>
            <w:tcW w:type="dxa" w:w="1872"/>
          </w:tcPr>
          <w:p>
            <w:pPr/>
            <w:r/>
            <w:r>
              <w:rPr>
                <w:rFonts w:ascii="Times New Roman" w:hAnsi="Times New Roman" w:cs="Times New Roman"/>
                <w:b w:val="0"/>
                <w:i w:val="0"/>
                <w:sz w:val="15"/>
              </w:rPr>
              <w:t>0.7705</w:t>
            </w:r>
          </w:p>
        </w:tc>
        <w:tc>
          <w:tcPr>
            <w:tcW w:type="dxa" w:w="1872"/>
          </w:tcPr>
          <w:p>
            <w:pPr/>
            <w:r/>
            <w:r>
              <w:rPr>
                <w:rFonts w:ascii="Times New Roman" w:hAnsi="Times New Roman" w:cs="Times New Roman"/>
                <w:b w:val="0"/>
                <w:i w:val="0"/>
                <w:sz w:val="15"/>
              </w:rPr>
              <w:t>0.878 (0.761–0.956)</w:t>
            </w:r>
          </w:p>
        </w:tc>
        <w:tc>
          <w:tcPr>
            <w:tcW w:type="dxa" w:w="1872"/>
          </w:tcPr>
          <w:p>
            <w:pPr/>
            <w:r/>
            <w:r>
              <w:rPr>
                <w:rFonts w:ascii="Times New Roman" w:hAnsi="Times New Roman" w:cs="Times New Roman"/>
                <w:b w:val="0"/>
                <w:i w:val="0"/>
                <w:sz w:val="15"/>
              </w:rPr>
              <w:t>0.97</w:t>
            </w:r>
          </w:p>
        </w:tc>
        <w:tc>
          <w:tcPr>
            <w:tcW w:type="dxa" w:w="1872"/>
          </w:tcPr>
          <w:p>
            <w:pPr/>
            <w:r/>
            <w:r>
              <w:rPr>
                <w:rFonts w:ascii="Times New Roman" w:hAnsi="Times New Roman" w:cs="Times New Roman"/>
                <w:b w:val="0"/>
                <w:i w:val="0"/>
                <w:sz w:val="15"/>
              </w:rPr>
              <w:t>Leaky null far above chance; observed lies within its own null</w:t>
            </w:r>
          </w:p>
        </w:tc>
      </w:tr>
      <w:tr>
        <w:tc>
          <w:tcPr>
            <w:tcW w:type="dxa" w:w="1872"/>
          </w:tcPr>
          <w:p>
            <w:pPr/>
            <w:r/>
            <w:r>
              <w:rPr>
                <w:rFonts w:ascii="Times New Roman" w:hAnsi="Times New Roman" w:cs="Times New Roman"/>
                <w:b w:val="0"/>
                <w:i w:val="0"/>
                <w:sz w:val="15"/>
              </w:rPr>
              <w:t>Guarded AUROC</w:t>
            </w:r>
          </w:p>
        </w:tc>
        <w:tc>
          <w:tcPr>
            <w:tcW w:type="dxa" w:w="1872"/>
          </w:tcPr>
          <w:p>
            <w:pPr/>
            <w:r/>
            <w:r>
              <w:rPr>
                <w:rFonts w:ascii="Times New Roman" w:hAnsi="Times New Roman" w:cs="Times New Roman"/>
                <w:b w:val="0"/>
                <w:i w:val="0"/>
                <w:sz w:val="15"/>
              </w:rPr>
              <w:t>0.7265</w:t>
            </w:r>
          </w:p>
        </w:tc>
        <w:tc>
          <w:tcPr>
            <w:tcW w:type="dxa" w:w="1872"/>
          </w:tcPr>
          <w:p>
            <w:pPr/>
            <w:r/>
            <w:r>
              <w:rPr>
                <w:rFonts w:ascii="Times New Roman" w:hAnsi="Times New Roman" w:cs="Times New Roman"/>
                <w:b w:val="0"/>
                <w:i w:val="0"/>
                <w:sz w:val="15"/>
              </w:rPr>
              <w:t>0.540 (0.478–0.619)</w:t>
            </w:r>
          </w:p>
        </w:tc>
        <w:tc>
          <w:tcPr>
            <w:tcW w:type="dxa" w:w="1872"/>
          </w:tcPr>
          <w:p>
            <w:pPr/>
            <w:r/>
            <w:r>
              <w:rPr>
                <w:rFonts w:ascii="Times New Roman" w:hAnsi="Times New Roman" w:cs="Times New Roman"/>
                <w:b w:val="0"/>
                <w:i w:val="0"/>
                <w:sz w:val="15"/>
              </w:rPr>
              <w:t>0.001</w:t>
            </w:r>
          </w:p>
        </w:tc>
        <w:tc>
          <w:tcPr>
            <w:tcW w:type="dxa" w:w="1872"/>
          </w:tcPr>
          <w:p>
            <w:pPr/>
            <w:r/>
            <w:r>
              <w:rPr>
                <w:rFonts w:ascii="Times New Roman" w:hAnsi="Times New Roman" w:cs="Times New Roman"/>
                <w:b w:val="0"/>
                <w:i w:val="0"/>
                <w:sz w:val="15"/>
              </w:rPr>
              <w:t>Guarded null near chance; real signal exceeds null</w:t>
            </w:r>
          </w:p>
        </w:tc>
      </w:tr>
      <w:tr>
        <w:tc>
          <w:tcPr>
            <w:tcW w:type="dxa" w:w="1872"/>
          </w:tcPr>
          <w:p>
            <w:pPr/>
            <w:r/>
            <w:r>
              <w:rPr>
                <w:rFonts w:ascii="Times New Roman" w:hAnsi="Times New Roman" w:cs="Times New Roman"/>
                <w:b w:val="0"/>
                <w:i w:val="0"/>
                <w:sz w:val="15"/>
              </w:rPr>
              <w:t>Leaky PR-AUC</w:t>
            </w:r>
          </w:p>
        </w:tc>
        <w:tc>
          <w:tcPr>
            <w:tcW w:type="dxa" w:w="1872"/>
          </w:tcPr>
          <w:p>
            <w:pPr/>
            <w:r/>
            <w:r>
              <w:rPr>
                <w:rFonts w:ascii="Times New Roman" w:hAnsi="Times New Roman" w:cs="Times New Roman"/>
                <w:b w:val="0"/>
                <w:i w:val="0"/>
                <w:sz w:val="15"/>
              </w:rPr>
              <w:t>0.402</w:t>
            </w:r>
          </w:p>
        </w:tc>
        <w:tc>
          <w:tcPr>
            <w:tcW w:type="dxa" w:w="1872"/>
          </w:tcPr>
          <w:p>
            <w:pPr/>
            <w:r/>
            <w:r>
              <w:rPr>
                <w:rFonts w:ascii="Times New Roman" w:hAnsi="Times New Roman" w:cs="Times New Roman"/>
                <w:b w:val="0"/>
                <w:i w:val="0"/>
                <w:sz w:val="15"/>
              </w:rPr>
              <w:t>0.664 (0.413–0.861)</w:t>
            </w:r>
          </w:p>
        </w:tc>
        <w:tc>
          <w:tcPr>
            <w:tcW w:type="dxa" w:w="1872"/>
          </w:tcPr>
          <w:p>
            <w:pPr/>
            <w:r/>
            <w:r>
              <w:rPr>
                <w:rFonts w:ascii="Times New Roman" w:hAnsi="Times New Roman" w:cs="Times New Roman"/>
                <w:b w:val="0"/>
                <w:i w:val="0"/>
                <w:sz w:val="15"/>
              </w:rPr>
              <w:t>0.98</w:t>
            </w:r>
          </w:p>
        </w:tc>
        <w:tc>
          <w:tcPr>
            <w:tcW w:type="dxa" w:w="1872"/>
          </w:tcPr>
          <w:p>
            <w:pPr/>
            <w:r/>
            <w:r>
              <w:rPr>
                <w:rFonts w:ascii="Times New Roman" w:hAnsi="Times New Roman" w:cs="Times New Roman"/>
                <w:b w:val="0"/>
                <w:i w:val="0"/>
                <w:sz w:val="15"/>
              </w:rPr>
              <w:t>Inflated under randomized labels</w:t>
            </w:r>
          </w:p>
        </w:tc>
      </w:tr>
      <w:tr>
        <w:tc>
          <w:tcPr>
            <w:tcW w:type="dxa" w:w="1872"/>
          </w:tcPr>
          <w:p>
            <w:pPr/>
            <w:r/>
            <w:r>
              <w:rPr>
                <w:rFonts w:ascii="Times New Roman" w:hAnsi="Times New Roman" w:cs="Times New Roman"/>
                <w:b w:val="0"/>
                <w:i w:val="0"/>
                <w:sz w:val="15"/>
              </w:rPr>
              <w:t>Guarded PR-AUC</w:t>
            </w:r>
          </w:p>
        </w:tc>
        <w:tc>
          <w:tcPr>
            <w:tcW w:type="dxa" w:w="1872"/>
          </w:tcPr>
          <w:p>
            <w:pPr/>
            <w:r/>
            <w:r>
              <w:rPr>
                <w:rFonts w:ascii="Times New Roman" w:hAnsi="Times New Roman" w:cs="Times New Roman"/>
                <w:b w:val="0"/>
                <w:i w:val="0"/>
                <w:sz w:val="15"/>
              </w:rPr>
              <w:t>0.3656</w:t>
            </w:r>
          </w:p>
        </w:tc>
        <w:tc>
          <w:tcPr>
            <w:tcW w:type="dxa" w:w="1872"/>
          </w:tcPr>
          <w:p>
            <w:pPr/>
            <w:r/>
            <w:r>
              <w:rPr>
                <w:rFonts w:ascii="Times New Roman" w:hAnsi="Times New Roman" w:cs="Times New Roman"/>
                <w:b w:val="0"/>
                <w:i w:val="0"/>
                <w:sz w:val="15"/>
              </w:rPr>
              <w:t>0.192 (0.147–0.261)</w:t>
            </w:r>
          </w:p>
        </w:tc>
        <w:tc>
          <w:tcPr>
            <w:tcW w:type="dxa" w:w="1872"/>
          </w:tcPr>
          <w:p>
            <w:pPr/>
            <w:r/>
            <w:r>
              <w:rPr>
                <w:rFonts w:ascii="Times New Roman" w:hAnsi="Times New Roman" w:cs="Times New Roman"/>
                <w:b w:val="0"/>
                <w:i w:val="0"/>
                <w:sz w:val="15"/>
              </w:rPr>
              <w:t>0.001</w:t>
            </w:r>
          </w:p>
        </w:tc>
        <w:tc>
          <w:tcPr>
            <w:tcW w:type="dxa" w:w="1872"/>
          </w:tcPr>
          <w:p>
            <w:pPr/>
            <w:r/>
            <w:r>
              <w:rPr>
                <w:rFonts w:ascii="Times New Roman" w:hAnsi="Times New Roman" w:cs="Times New Roman"/>
                <w:b w:val="0"/>
                <w:i w:val="0"/>
                <w:sz w:val="15"/>
              </w:rPr>
              <w:t>Null ≈ prevalence (0.186); real signal exceeds null</w:t>
            </w:r>
          </w:p>
        </w:tc>
      </w:tr>
      <w:tr>
        <w:tc>
          <w:tcPr>
            <w:tcW w:type="dxa" w:w="1872"/>
          </w:tcPr>
          <w:p>
            <w:pPr/>
            <w:r/>
            <w:r>
              <w:rPr>
                <w:rFonts w:ascii="Times New Roman" w:hAnsi="Times New Roman" w:cs="Times New Roman"/>
                <w:b w:val="0"/>
                <w:i w:val="0"/>
                <w:sz w:val="15"/>
              </w:rPr>
              <w:t>Leakage gap (AUROC)</w:t>
            </w:r>
          </w:p>
        </w:tc>
        <w:tc>
          <w:tcPr>
            <w:tcW w:type="dxa" w:w="1872"/>
          </w:tcPr>
          <w:p>
            <w:pPr/>
            <w:r/>
            <w:r>
              <w:rPr>
                <w:rFonts w:ascii="Times New Roman" w:hAnsi="Times New Roman" w:cs="Times New Roman"/>
                <w:b w:val="0"/>
                <w:i w:val="0"/>
                <w:sz w:val="15"/>
              </w:rPr>
              <w:t>0.044</w:t>
            </w:r>
          </w:p>
        </w:tc>
        <w:tc>
          <w:tcPr>
            <w:tcW w:type="dxa" w:w="1872"/>
          </w:tcPr>
          <w:p>
            <w:pPr/>
            <w:r/>
            <w:r>
              <w:rPr>
                <w:rFonts w:ascii="Times New Roman" w:hAnsi="Times New Roman" w:cs="Times New Roman"/>
                <w:b w:val="0"/>
                <w:i w:val="0"/>
                <w:sz w:val="15"/>
              </w:rPr>
              <w:t>0.338 (0.209–0.445)</w:t>
            </w:r>
          </w:p>
        </w:tc>
        <w:tc>
          <w:tcPr>
            <w:tcW w:type="dxa" w:w="1872"/>
          </w:tcPr>
          <w:p>
            <w:pPr/>
            <w:r/>
            <w:r>
              <w:rPr>
                <w:rFonts w:ascii="Times New Roman" w:hAnsi="Times New Roman" w:cs="Times New Roman"/>
                <w:b w:val="0"/>
                <w:i w:val="0"/>
                <w:sz w:val="15"/>
              </w:rPr>
              <w:t>—</w:t>
            </w:r>
          </w:p>
        </w:tc>
        <w:tc>
          <w:tcPr>
            <w:tcW w:type="dxa" w:w="1872"/>
          </w:tcPr>
          <w:p>
            <w:pPr/>
            <w:r/>
            <w:r>
              <w:rPr>
                <w:rFonts w:ascii="Times New Roman" w:hAnsi="Times New Roman" w:cs="Times New Roman"/>
                <w:b w:val="0"/>
                <w:i w:val="0"/>
                <w:sz w:val="15"/>
              </w:rPr>
              <w:t>Null gap is large; observed real-label gap is small</w:t>
            </w:r>
          </w:p>
        </w:tc>
      </w:tr>
    </w:tbl>
    <w:p>
      <w:pPr/>
      <w:r>
        <w:rPr>
          <w:rFonts w:ascii="Times New Roman" w:hAnsi="Times New Roman" w:cs="Times New Roman"/>
          <w:b w:val="0"/>
          <w:i w:val="0"/>
          <w:sz w:val="20"/>
        </w:rPr>
        <w:t>Note. Empirical p is the fraction of the 1000 permutation values at or above the observed value. Reference chance is 0.5 for AUROC and the cohort prevalence (0.186) for PR-AUC. The control is a diagnostic of the leakage mechanism, not evidence of biological signal.</w:t>
      </w:r>
    </w:p>
    <w:p>
      <w:pPr>
        <w:pStyle w:val="Heading2"/>
      </w:pPr>
      <w:r>
        <w:t>Seed-level robustness across 30 repeated cross-validation runs</w:t>
      </w:r>
    </w:p>
    <w:p>
      <w:pPr/>
      <w:r>
        <w:rPr>
          <w:rFonts w:ascii="Times New Roman" w:hAnsi="Times New Roman" w:cs="Times New Roman"/>
          <w:b w:val="0"/>
          <w:i w:val="0"/>
          <w:sz w:val="24"/>
        </w:rPr>
        <w:t>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2 (leakage gap) and Figure 3 (feature stability), and summarized in Table 7.</w:t>
      </w:r>
    </w:p>
    <w:p>
      <w:pPr>
        <w:jc w:val="center"/>
      </w:pPr>
      <w:r>
        <w:drawing>
          <wp:inline>
            <wp:extent cx="5943600" cy="2701636"/>
            <wp:docPr id="1" name="Picture 1"/>
            <wp:cNvGraphicFramePr>
              <a:graphicFrameLocks noChangeAspect="1"/>
            </wp:cNvGraphicFramePr>
            <a:graphic>
              <a:graphicData uri="http://schemas.openxmlformats.org/drawingml/2006/picture">
                <pic:pic>
                  <pic:nvPicPr>
                    <pic:cNvPr id="0" name="leakage_gap_distribution_full.png"/>
                    <pic:cNvPicPr/>
                  </pic:nvPicPr>
                  <pic:blipFill>
                    <a:blip r:embed="rId8"/>
                    <a:stretch>
                      <a:fillRect/>
                    </a:stretch>
                  </pic:blipFill>
                  <pic:spPr>
                    <a:xfrm>
                      <a:off x="0" y="0"/>
                      <a:ext cx="5943600" cy="2701636"/>
                    </a:xfrm>
                    <a:prstGeom prst="rect"/>
                  </pic:spPr>
                </pic:pic>
              </a:graphicData>
            </a:graphic>
          </wp:inline>
        </w:drawing>
      </w:r>
    </w:p>
    <w:p>
      <w:pPr/>
      <w:r>
        <w:rPr>
          <w:rFonts w:ascii="Times New Roman" w:hAnsi="Times New Roman" w:cs="Times New Roman"/>
          <w:b w:val="0"/>
          <w:i/>
          <w:sz w:val="20"/>
        </w:rPr>
        <w:t>Figure 2. Per-seed AUROC for the leaky and guarded pipelines (left) and the distribution of the leakage gap (right) across 30 repeated nested cross-validation seeds (GSE25055).</w:t>
      </w:r>
    </w:p>
    <w:p>
      <w:pPr>
        <w:jc w:val="center"/>
      </w:pPr>
      <w:r>
        <w:drawing>
          <wp:inline>
            <wp:extent cx="5943600" cy="2701636"/>
            <wp:docPr id="1" name="Picture 1"/>
            <wp:cNvGraphicFramePr>
              <a:graphicFrameLocks noChangeAspect="1"/>
            </wp:cNvGraphicFramePr>
            <a:graphic>
              <a:graphicData uri="http://schemas.openxmlformats.org/drawingml/2006/picture">
                <pic:pic>
                  <pic:nvPicPr>
                    <pic:cNvPr id="0" name="stability_distribution_full.png"/>
                    <pic:cNvPicPr/>
                  </pic:nvPicPr>
                  <pic:blipFill>
                    <a:blip r:embed="rId9"/>
                    <a:stretch>
                      <a:fillRect/>
                    </a:stretch>
                  </pic:blipFill>
                  <pic:spPr>
                    <a:xfrm>
                      <a:off x="0" y="0"/>
                      <a:ext cx="5943600" cy="2701636"/>
                    </a:xfrm>
                    <a:prstGeom prst="rect"/>
                  </pic:spPr>
                </pic:pic>
              </a:graphicData>
            </a:graphic>
          </wp:inline>
        </w:drawing>
      </w:r>
    </w:p>
    <w:p>
      <w:pPr/>
      <w:r>
        <w:rPr>
          <w:rFonts w:ascii="Times New Roman" w:hAnsi="Times New Roman" w:cs="Times New Roman"/>
          <w:b w:val="0"/>
          <w:i/>
          <w:sz w:val="20"/>
        </w:rPr>
        <w:t>Figure 3. Per-seed Nogueira stability (left) and mean pairwise Jaccard overlap (right) of the guarded pipeline’s fold-level feature sets across 30 seeds.</w:t>
      </w:r>
    </w:p>
    <w:p>
      <w:pPr/>
      <w:r>
        <w:rPr>
          <w:rFonts w:ascii="Times New Roman" w:hAnsi="Times New Roman" w:cs="Times New Roman"/>
          <w:b w:val="0"/>
          <w:i w:val="0"/>
          <w:sz w:val="24"/>
        </w:rPr>
        <w:t>Table 7</w:t>
      </w:r>
    </w:p>
    <w:p>
      <w:pPr/>
      <w:r>
        <w:rPr>
          <w:rFonts w:ascii="Times New Roman" w:hAnsi="Times New Roman" w:cs="Times New Roman"/>
          <w:b w:val="0"/>
          <w:i/>
          <w:sz w:val="24"/>
        </w:rPr>
        <w:t>Seed-Level Robustness Across 30 Repeated Nested Cross-Validation Runs, GSE25055</w:t>
      </w:r>
    </w:p>
    <w:tbl>
      <w:tblPr>
        <w:tblStyle w:val="Table5"/>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
      <w:tr>
        <w:tc>
          <w:tcPr>
            <w:tcW w:type="dxa" w:w="2340"/>
            <w:shd w:fill="d9eaf7" w:val="clear"/>
          </w:tcPr>
          <w:p>
            <w:pPr/>
            <w:r/>
            <w:r>
              <w:rPr>
                <w:rFonts w:ascii="Times New Roman" w:hAnsi="Times New Roman" w:cs="Times New Roman"/>
                <w:b/>
                <w:i w:val="0"/>
                <w:sz w:val="15"/>
              </w:rPr>
              <w:t>Quantity</w:t>
            </w:r>
          </w:p>
        </w:tc>
        <w:tc>
          <w:tcPr>
            <w:tcW w:type="dxa" w:w="2340"/>
            <w:shd w:fill="d9eaf7" w:val="clear"/>
          </w:tcPr>
          <w:p>
            <w:pPr/>
            <w:r/>
            <w:r>
              <w:rPr>
                <w:rFonts w:ascii="Times New Roman" w:hAnsi="Times New Roman" w:cs="Times New Roman"/>
                <w:b/>
                <w:i w:val="0"/>
                <w:sz w:val="15"/>
              </w:rPr>
              <w:t>Median</w:t>
            </w:r>
          </w:p>
        </w:tc>
        <w:tc>
          <w:tcPr>
            <w:tcW w:type="dxa" w:w="2340"/>
            <w:shd w:fill="d9eaf7" w:val="clear"/>
          </w:tcPr>
          <w:p>
            <w:pPr/>
            <w:r/>
            <w:r>
              <w:rPr>
                <w:rFonts w:ascii="Times New Roman" w:hAnsi="Times New Roman" w:cs="Times New Roman"/>
                <w:b/>
                <w:i w:val="0"/>
                <w:sz w:val="15"/>
              </w:rPr>
              <w:t>2.5–97.5 percentile</w:t>
            </w:r>
          </w:p>
        </w:tc>
        <w:tc>
          <w:tcPr>
            <w:tcW w:type="dxa" w:w="2340"/>
            <w:shd w:fill="d9eaf7" w:val="clear"/>
          </w:tcPr>
          <w:p>
            <w:pPr/>
            <w:r/>
            <w:r>
              <w:rPr>
                <w:rFonts w:ascii="Times New Roman" w:hAnsi="Times New Roman" w:cs="Times New Roman"/>
                <w:b/>
                <w:i w:val="0"/>
                <w:sz w:val="15"/>
              </w:rPr>
              <w:t>Notes</w:t>
            </w:r>
          </w:p>
        </w:tc>
      </w:tr>
      <w:tr>
        <w:tc>
          <w:tcPr>
            <w:tcW w:type="dxa" w:w="2340"/>
          </w:tcPr>
          <w:p>
            <w:pPr/>
            <w:r/>
            <w:r>
              <w:rPr>
                <w:rFonts w:ascii="Times New Roman" w:hAnsi="Times New Roman" w:cs="Times New Roman"/>
                <w:b w:val="0"/>
                <w:i w:val="0"/>
                <w:sz w:val="15"/>
              </w:rPr>
              <w:t>Leaky AUROC</w:t>
            </w:r>
          </w:p>
        </w:tc>
        <w:tc>
          <w:tcPr>
            <w:tcW w:type="dxa" w:w="2340"/>
          </w:tcPr>
          <w:p>
            <w:pPr/>
            <w:r/>
            <w:r>
              <w:rPr>
                <w:rFonts w:ascii="Times New Roman" w:hAnsi="Times New Roman" w:cs="Times New Roman"/>
                <w:b w:val="0"/>
                <w:i w:val="0"/>
                <w:sz w:val="15"/>
              </w:rPr>
              <w:t>0.774</w:t>
            </w:r>
          </w:p>
        </w:tc>
        <w:tc>
          <w:tcPr>
            <w:tcW w:type="dxa" w:w="2340"/>
          </w:tcPr>
          <w:p>
            <w:pPr/>
            <w:r/>
            <w:r>
              <w:rPr>
                <w:rFonts w:ascii="Times New Roman" w:hAnsi="Times New Roman" w:cs="Times New Roman"/>
                <w:b w:val="0"/>
                <w:i w:val="0"/>
                <w:sz w:val="15"/>
              </w:rPr>
              <w:t>0.750–0.784</w:t>
            </w:r>
          </w:p>
        </w:tc>
        <w:tc>
          <w:tcPr>
            <w:tcW w:type="dxa" w:w="2340"/>
          </w:tcPr>
          <w:p>
            <w:pPr/>
            <w:r/>
            <w:r>
              <w:rPr>
                <w:rFonts w:ascii="Times New Roman" w:hAnsi="Times New Roman" w:cs="Times New Roman"/>
                <w:b w:val="0"/>
                <w:i w:val="0"/>
                <w:sz w:val="15"/>
              </w:rPr>
              <w:t>Per-seed</w:t>
            </w:r>
          </w:p>
        </w:tc>
      </w:tr>
      <w:tr>
        <w:tc>
          <w:tcPr>
            <w:tcW w:type="dxa" w:w="2340"/>
          </w:tcPr>
          <w:p>
            <w:pPr/>
            <w:r/>
            <w:r>
              <w:rPr>
                <w:rFonts w:ascii="Times New Roman" w:hAnsi="Times New Roman" w:cs="Times New Roman"/>
                <w:b w:val="0"/>
                <w:i w:val="0"/>
                <w:sz w:val="15"/>
              </w:rPr>
              <w:t>Guarded AUROC</w:t>
            </w:r>
          </w:p>
        </w:tc>
        <w:tc>
          <w:tcPr>
            <w:tcW w:type="dxa" w:w="2340"/>
          </w:tcPr>
          <w:p>
            <w:pPr/>
            <w:r/>
            <w:r>
              <w:rPr>
                <w:rFonts w:ascii="Times New Roman" w:hAnsi="Times New Roman" w:cs="Times New Roman"/>
                <w:b w:val="0"/>
                <w:i w:val="0"/>
                <w:sz w:val="15"/>
              </w:rPr>
              <w:t>0.721</w:t>
            </w:r>
          </w:p>
        </w:tc>
        <w:tc>
          <w:tcPr>
            <w:tcW w:type="dxa" w:w="2340"/>
          </w:tcPr>
          <w:p>
            <w:pPr/>
            <w:r/>
            <w:r>
              <w:rPr>
                <w:rFonts w:ascii="Times New Roman" w:hAnsi="Times New Roman" w:cs="Times New Roman"/>
                <w:b w:val="0"/>
                <w:i w:val="0"/>
                <w:sz w:val="15"/>
              </w:rPr>
              <w:t>0.674–0.777</w:t>
            </w:r>
          </w:p>
        </w:tc>
        <w:tc>
          <w:tcPr>
            <w:tcW w:type="dxa" w:w="2340"/>
          </w:tcPr>
          <w:p>
            <w:pPr/>
            <w:r/>
            <w:r>
              <w:rPr>
                <w:rFonts w:ascii="Times New Roman" w:hAnsi="Times New Roman" w:cs="Times New Roman"/>
                <w:b w:val="0"/>
                <w:i w:val="0"/>
                <w:sz w:val="15"/>
              </w:rPr>
              <w:t>Per-seed; more seed-sensitive than leaky</w:t>
            </w:r>
          </w:p>
        </w:tc>
      </w:tr>
      <w:tr>
        <w:tc>
          <w:tcPr>
            <w:tcW w:type="dxa" w:w="2340"/>
          </w:tcPr>
          <w:p>
            <w:pPr/>
            <w:r/>
            <w:r>
              <w:rPr>
                <w:rFonts w:ascii="Times New Roman" w:hAnsi="Times New Roman" w:cs="Times New Roman"/>
                <w:b w:val="0"/>
                <w:i w:val="0"/>
                <w:sz w:val="15"/>
              </w:rPr>
              <w:t>ΔAUROC (leaky − guarded)</w:t>
            </w:r>
          </w:p>
        </w:tc>
        <w:tc>
          <w:tcPr>
            <w:tcW w:type="dxa" w:w="2340"/>
          </w:tcPr>
          <w:p>
            <w:pPr/>
            <w:r/>
            <w:r>
              <w:rPr>
                <w:rFonts w:ascii="Times New Roman" w:hAnsi="Times New Roman" w:cs="Times New Roman"/>
                <w:b w:val="0"/>
                <w:i w:val="0"/>
                <w:sz w:val="15"/>
              </w:rPr>
              <w:t>0.054</w:t>
            </w:r>
          </w:p>
        </w:tc>
        <w:tc>
          <w:tcPr>
            <w:tcW w:type="dxa" w:w="2340"/>
          </w:tcPr>
          <w:p>
            <w:pPr/>
            <w:r/>
            <w:r>
              <w:rPr>
                <w:rFonts w:ascii="Times New Roman" w:hAnsi="Times New Roman" w:cs="Times New Roman"/>
                <w:b w:val="0"/>
                <w:i w:val="0"/>
                <w:sz w:val="15"/>
              </w:rPr>
              <w:t>−0.007 to 0.108</w:t>
            </w:r>
          </w:p>
        </w:tc>
        <w:tc>
          <w:tcPr>
            <w:tcW w:type="dxa" w:w="2340"/>
          </w:tcPr>
          <w:p>
            <w:pPr/>
            <w:r/>
            <w:r>
              <w:rPr>
                <w:rFonts w:ascii="Times New Roman" w:hAnsi="Times New Roman" w:cs="Times New Roman"/>
                <w:b w:val="0"/>
                <w:i w:val="0"/>
                <w:sz w:val="15"/>
              </w:rPr>
              <w:t>Positive in 27/30 seeds; Wilcoxon V = 456, p = 4.5 × 10⁻⁶</w:t>
            </w:r>
          </w:p>
        </w:tc>
      </w:tr>
      <w:tr>
        <w:tc>
          <w:tcPr>
            <w:tcW w:type="dxa" w:w="2340"/>
          </w:tcPr>
          <w:p>
            <w:pPr/>
            <w:r/>
            <w:r>
              <w:rPr>
                <w:rFonts w:ascii="Times New Roman" w:hAnsi="Times New Roman" w:cs="Times New Roman"/>
                <w:b w:val="0"/>
                <w:i w:val="0"/>
                <w:sz w:val="15"/>
              </w:rPr>
              <w:t>ΔPR-AUC (leaky − guarded)</w:t>
            </w:r>
          </w:p>
        </w:tc>
        <w:tc>
          <w:tcPr>
            <w:tcW w:type="dxa" w:w="2340"/>
          </w:tcPr>
          <w:p>
            <w:pPr/>
            <w:r/>
            <w:r>
              <w:rPr>
                <w:rFonts w:ascii="Times New Roman" w:hAnsi="Times New Roman" w:cs="Times New Roman"/>
                <w:b w:val="0"/>
                <w:i w:val="0"/>
                <w:sz w:val="15"/>
              </w:rPr>
              <w:t>0.057</w:t>
            </w:r>
          </w:p>
        </w:tc>
        <w:tc>
          <w:tcPr>
            <w:tcW w:type="dxa" w:w="2340"/>
          </w:tcPr>
          <w:p>
            <w:pPr/>
            <w:r/>
            <w:r>
              <w:rPr>
                <w:rFonts w:ascii="Times New Roman" w:hAnsi="Times New Roman" w:cs="Times New Roman"/>
                <w:b w:val="0"/>
                <w:i w:val="0"/>
                <w:sz w:val="15"/>
              </w:rPr>
              <w:t>−0.024 to 0.139</w:t>
            </w:r>
          </w:p>
        </w:tc>
        <w:tc>
          <w:tcPr>
            <w:tcW w:type="dxa" w:w="2340"/>
          </w:tcPr>
          <w:p>
            <w:pPr/>
            <w:r/>
            <w:r>
              <w:rPr>
                <w:rFonts w:ascii="Times New Roman" w:hAnsi="Times New Roman" w:cs="Times New Roman"/>
                <w:b w:val="0"/>
                <w:i w:val="0"/>
                <w:sz w:val="15"/>
              </w:rPr>
              <w:t>Positive in 27/30 seeds; Wilcoxon V = 445, p = 1.3 × 10⁻⁵</w:t>
            </w:r>
          </w:p>
        </w:tc>
      </w:tr>
      <w:tr>
        <w:tc>
          <w:tcPr>
            <w:tcW w:type="dxa" w:w="2340"/>
          </w:tcPr>
          <w:p>
            <w:pPr/>
            <w:r/>
            <w:r>
              <w:rPr>
                <w:rFonts w:ascii="Times New Roman" w:hAnsi="Times New Roman" w:cs="Times New Roman"/>
                <w:b w:val="0"/>
                <w:i w:val="0"/>
                <w:sz w:val="15"/>
              </w:rPr>
              <w:t>Nogueira stability</w:t>
            </w:r>
          </w:p>
        </w:tc>
        <w:tc>
          <w:tcPr>
            <w:tcW w:type="dxa" w:w="2340"/>
          </w:tcPr>
          <w:p>
            <w:pPr/>
            <w:r/>
            <w:r>
              <w:rPr>
                <w:rFonts w:ascii="Times New Roman" w:hAnsi="Times New Roman" w:cs="Times New Roman"/>
                <w:b w:val="0"/>
                <w:i w:val="0"/>
                <w:sz w:val="15"/>
              </w:rPr>
              <w:t>0.550</w:t>
            </w:r>
          </w:p>
        </w:tc>
        <w:tc>
          <w:tcPr>
            <w:tcW w:type="dxa" w:w="2340"/>
          </w:tcPr>
          <w:p>
            <w:pPr/>
            <w:r/>
            <w:r>
              <w:rPr>
                <w:rFonts w:ascii="Times New Roman" w:hAnsi="Times New Roman" w:cs="Times New Roman"/>
                <w:b w:val="0"/>
                <w:i w:val="0"/>
                <w:sz w:val="15"/>
              </w:rPr>
              <w:t>0.490–0.595</w:t>
            </w:r>
          </w:p>
        </w:tc>
        <w:tc>
          <w:tcPr>
            <w:tcW w:type="dxa" w:w="2340"/>
          </w:tcPr>
          <w:p>
            <w:pPr/>
            <w:r/>
            <w:r>
              <w:rPr>
                <w:rFonts w:ascii="Times New Roman" w:hAnsi="Times New Roman" w:cs="Times New Roman"/>
                <w:b w:val="0"/>
                <w:i w:val="0"/>
                <w:sz w:val="15"/>
              </w:rPr>
              <w:t>Moderate, reproducible</w:t>
            </w:r>
          </w:p>
        </w:tc>
      </w:tr>
      <w:tr>
        <w:tc>
          <w:tcPr>
            <w:tcW w:type="dxa" w:w="2340"/>
          </w:tcPr>
          <w:p>
            <w:pPr/>
            <w:r/>
            <w:r>
              <w:rPr>
                <w:rFonts w:ascii="Times New Roman" w:hAnsi="Times New Roman" w:cs="Times New Roman"/>
                <w:b w:val="0"/>
                <w:i w:val="0"/>
                <w:sz w:val="15"/>
              </w:rPr>
              <w:t>Mean Jaccard overlap</w:t>
            </w:r>
          </w:p>
        </w:tc>
        <w:tc>
          <w:tcPr>
            <w:tcW w:type="dxa" w:w="2340"/>
          </w:tcPr>
          <w:p>
            <w:pPr/>
            <w:r/>
            <w:r>
              <w:rPr>
                <w:rFonts w:ascii="Times New Roman" w:hAnsi="Times New Roman" w:cs="Times New Roman"/>
                <w:b w:val="0"/>
                <w:i w:val="0"/>
                <w:sz w:val="15"/>
              </w:rPr>
              <w:t>0.383</w:t>
            </w:r>
          </w:p>
        </w:tc>
        <w:tc>
          <w:tcPr>
            <w:tcW w:type="dxa" w:w="2340"/>
          </w:tcPr>
          <w:p>
            <w:pPr/>
            <w:r/>
            <w:r>
              <w:rPr>
                <w:rFonts w:ascii="Times New Roman" w:hAnsi="Times New Roman" w:cs="Times New Roman"/>
                <w:b w:val="0"/>
                <w:i w:val="0"/>
                <w:sz w:val="15"/>
              </w:rPr>
              <w:t>0.328–0.428</w:t>
            </w:r>
          </w:p>
        </w:tc>
        <w:tc>
          <w:tcPr>
            <w:tcW w:type="dxa" w:w="2340"/>
          </w:tcPr>
          <w:p>
            <w:pPr/>
            <w:r/>
            <w:r>
              <w:rPr>
                <w:rFonts w:ascii="Times New Roman" w:hAnsi="Times New Roman" w:cs="Times New Roman"/>
                <w:b w:val="0"/>
                <w:i w:val="0"/>
                <w:sz w:val="15"/>
              </w:rPr>
              <w:t>Moderate, reproducible</w:t>
            </w:r>
          </w:p>
        </w:tc>
      </w:tr>
      <w:tr>
        <w:tc>
          <w:tcPr>
            <w:tcW w:type="dxa" w:w="2340"/>
          </w:tcPr>
          <w:p>
            <w:pPr/>
            <w:r/>
            <w:r>
              <w:rPr>
                <w:rFonts w:ascii="Times New Roman" w:hAnsi="Times New Roman" w:cs="Times New Roman"/>
                <w:b w:val="0"/>
                <w:i w:val="0"/>
                <w:sz w:val="15"/>
              </w:rPr>
              <w:t>Stable-core probes</w:t>
            </w:r>
          </w:p>
        </w:tc>
        <w:tc>
          <w:tcPr>
            <w:tcW w:type="dxa" w:w="2340"/>
          </w:tcPr>
          <w:p>
            <w:pPr/>
            <w:r/>
            <w:r>
              <w:rPr>
                <w:rFonts w:ascii="Times New Roman" w:hAnsi="Times New Roman" w:cs="Times New Roman"/>
                <w:b w:val="0"/>
                <w:i w:val="0"/>
                <w:sz w:val="15"/>
              </w:rPr>
              <w:t>30</w:t>
            </w:r>
          </w:p>
        </w:tc>
        <w:tc>
          <w:tcPr>
            <w:tcW w:type="dxa" w:w="2340"/>
          </w:tcPr>
          <w:p>
            <w:pPr/>
            <w:r/>
            <w:r>
              <w:rPr>
                <w:rFonts w:ascii="Times New Roman" w:hAnsi="Times New Roman" w:cs="Times New Roman"/>
                <w:b w:val="0"/>
                <w:i w:val="0"/>
                <w:sz w:val="15"/>
              </w:rPr>
              <w:t>23–35 (range)</w:t>
            </w:r>
          </w:p>
        </w:tc>
        <w:tc>
          <w:tcPr>
            <w:tcW w:type="dxa" w:w="2340"/>
          </w:tcPr>
          <w:p>
            <w:pPr/>
            <w:r/>
            <w:r>
              <w:rPr>
                <w:rFonts w:ascii="Times New Roman" w:hAnsi="Times New Roman" w:cs="Times New Roman"/>
                <w:b w:val="0"/>
                <w:i w:val="0"/>
                <w:sz w:val="15"/>
              </w:rPr>
              <w:t>Selected in all five outer folds</w:t>
            </w:r>
          </w:p>
        </w:tc>
      </w:tr>
      <w:tr>
        <w:tc>
          <w:tcPr>
            <w:tcW w:type="dxa" w:w="2340"/>
          </w:tcPr>
          <w:p>
            <w:pPr/>
            <w:r/>
            <w:r>
              <w:rPr>
                <w:rFonts w:ascii="Times New Roman" w:hAnsi="Times New Roman" w:cs="Times New Roman"/>
                <w:b w:val="0"/>
                <w:i w:val="0"/>
                <w:sz w:val="15"/>
              </w:rPr>
              <w:t>Unstable-tail probes</w:t>
            </w:r>
          </w:p>
        </w:tc>
        <w:tc>
          <w:tcPr>
            <w:tcW w:type="dxa" w:w="2340"/>
          </w:tcPr>
          <w:p>
            <w:pPr/>
            <w:r/>
            <w:r>
              <w:rPr>
                <w:rFonts w:ascii="Times New Roman" w:hAnsi="Times New Roman" w:cs="Times New Roman"/>
                <w:b w:val="0"/>
                <w:i w:val="0"/>
                <w:sz w:val="15"/>
              </w:rPr>
              <w:t>103.5</w:t>
            </w:r>
          </w:p>
        </w:tc>
        <w:tc>
          <w:tcPr>
            <w:tcW w:type="dxa" w:w="2340"/>
          </w:tcPr>
          <w:p>
            <w:pPr/>
            <w:r/>
            <w:r>
              <w:rPr>
                <w:rFonts w:ascii="Times New Roman" w:hAnsi="Times New Roman" w:cs="Times New Roman"/>
                <w:b w:val="0"/>
                <w:i w:val="0"/>
                <w:sz w:val="15"/>
              </w:rPr>
              <w:t>75–123 (range)</w:t>
            </w:r>
          </w:p>
        </w:tc>
        <w:tc>
          <w:tcPr>
            <w:tcW w:type="dxa" w:w="2340"/>
          </w:tcPr>
          <w:p>
            <w:pPr/>
            <w:r/>
            <w:r>
              <w:rPr>
                <w:rFonts w:ascii="Times New Roman" w:hAnsi="Times New Roman" w:cs="Times New Roman"/>
                <w:b w:val="0"/>
                <w:i w:val="0"/>
                <w:sz w:val="15"/>
              </w:rPr>
              <w:t>Selected in only one fold</w:t>
            </w:r>
          </w:p>
        </w:tc>
      </w:tr>
    </w:tbl>
    <w:p>
      <w:pPr/>
      <w:r>
        <w:rPr>
          <w:rFonts w:ascii="Times New Roman" w:hAnsi="Times New Roman" w:cs="Times New Roman"/>
          <w:b w:val="0"/>
          <w:i w:val="0"/>
          <w:sz w:val="20"/>
        </w:rPr>
        <w:t>Note. Percentiles are across 30 seeds. The Wilcoxon signed-rank test characterizes reproducibility of the gap across fold randomizations, not patient-level inference.</w:t>
      </w:r>
    </w:p>
    <w:p w:rsidR="00000000" w:rsidDel="00000000" w:rsidP="00000000" w:rsidRDefault="00000000" w:rsidRPr="00000000" w14:paraId="000000E0">
      <w:pPr>
        <w:pStyle w:val="Heading2"/>
        <w:rPr/>
      </w:pPr>
      <w:r w:rsidDel="00000000" w:rsidR="00000000" w:rsidRPr="00000000">
        <w:rPr>
          <w:b w:val="0"/>
          <w:bCs w:val="0"/>
          <w:rtl w:val="0"/>
        </w:rPr>
        <w:t xml:space="preserve">Feature-stability audit</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0E2">
      <w:pPr>
        <w:rPr/>
      </w:pPr>
      <w:r w:rsidDel="00000000" w:rsidR="00000000" w:rsidRPr="00000000">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Cs w:val="0"/>
          <w:smallCaps w:val="0"/>
          <w:strike w:val="0"/>
          <w:color w:val="000000"/>
          <w:sz w:val="24"/>
          <w:szCs w:val="24"/>
          <w:u w:val="none"/>
          <w:shd w:fill="auto" w:val="clear"/>
          <w:vertAlign w:val="baseline"/>
          <w:rtl w:val="0"/>
        </w:rPr>
        <w:t>Table 8</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f7" w:val="clear"/>
          </w:tcPr>
          <w:p w:rsidR="00000000" w:rsidDel="00000000" w:rsidP="00000000" w:rsidRDefault="00000000" w:rsidRPr="00000000" w14:paraId="000000E5">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0E6">
            <w:pPr>
              <w:rPr/>
            </w:pPr>
            <w:r w:rsidDel="00000000" w:rsidR="00000000" w:rsidRPr="00000000">
              <w:rPr>
                <w:b w:val="1"/>
                <w:bCs w:val="1"/>
                <w:sz w:val="15"/>
                <w:szCs w:val="15"/>
                <w:rtl w:val="0"/>
              </w:rPr>
              <w:t xml:space="preserve">Value</w:t>
            </w:r>
            <w:r w:rsidDel="00000000" w:rsidR="00000000" w:rsidRPr="00000000">
              <w:rPr>
                <w:rtl w:val="0"/>
              </w:rPr>
            </w:r>
          </w:p>
        </w:tc>
        <w:tc>
          <w:tcPr>
            <w:shd w:fill="d9eaf7" w:val="clear"/>
          </w:tcPr>
          <w:p w:rsidR="00000000" w:rsidDel="00000000" w:rsidP="00000000" w:rsidRDefault="00000000" w:rsidRPr="00000000" w14:paraId="000000E7">
            <w:pPr>
              <w:rPr/>
            </w:pPr>
            <w:r w:rsidDel="00000000" w:rsidR="00000000" w:rsidRPr="00000000">
              <w:rPr>
                <w:b w:val="1"/>
                <w:bCs w:val="1"/>
                <w:sz w:val="15"/>
                <w:szCs w:val="15"/>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sz w:val="15"/>
                <w:szCs w:val="15"/>
                <w:rtl w:val="0"/>
              </w:rPr>
              <w:t xml:space="preserve">Outer folds</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15"/>
                <w:szCs w:val="15"/>
                <w:rtl w:val="0"/>
              </w:rPr>
              <w:t xml:space="preserve">5</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5"/>
                <w:szCs w:val="15"/>
                <w:rtl w:val="0"/>
              </w:rPr>
              <w:t xml:space="preserve">Pilot-scale stability estimate</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sz w:val="15"/>
                <w:szCs w:val="15"/>
                <w:rtl w:val="0"/>
              </w:rPr>
              <w:t xml:space="preserve">Features selected per fold</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5"/>
                <w:szCs w:val="15"/>
                <w:rtl w:val="0"/>
              </w:rPr>
              <w:t xml:space="preserve">100</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5"/>
                <w:szCs w:val="15"/>
                <w:rtl w:val="0"/>
              </w:rPr>
              <w:t xml:space="preserve">Fixed top-K feature-selection setting</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sz w:val="15"/>
                <w:szCs w:val="15"/>
                <w:rtl w:val="0"/>
              </w:rPr>
              <w:t xml:space="preserve">Feature universe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5"/>
                <w:szCs w:val="15"/>
                <w:rtl w:val="0"/>
              </w:rPr>
              <w:t xml:space="preserve">22,283</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5"/>
                <w:szCs w:val="15"/>
                <w:rtl w:val="0"/>
              </w:rPr>
              <w:t xml:space="preserve">Probe-level GPL96 feature space</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sz w:val="15"/>
                <w:szCs w:val="15"/>
                <w:rtl w:val="0"/>
              </w:rPr>
              <w:t xml:space="preserve">Total unique selected features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5"/>
                <w:szCs w:val="15"/>
                <w:rtl w:val="0"/>
              </w:rPr>
              <w:t xml:space="preserve">222</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5"/>
                <w:szCs w:val="15"/>
                <w:rtl w:val="0"/>
              </w:rPr>
              <w:t xml:space="preserve">More features selected across folds than in any single model</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sz w:val="15"/>
                <w:szCs w:val="15"/>
                <w:rtl w:val="0"/>
              </w:rPr>
              <w:t xml:space="preserve">Selected in all 5 folds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5"/>
                <w:szCs w:val="15"/>
                <w:rtl w:val="0"/>
              </w:rPr>
              <w:t xml:space="preserve">28</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5"/>
                <w:szCs w:val="15"/>
                <w:rtl w:val="0"/>
              </w:rPr>
              <w:t xml:space="preserve">Stable feature core</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sz w:val="15"/>
                <w:szCs w:val="15"/>
                <w:rtl w:val="0"/>
              </w:rPr>
              <w:t xml:space="preserve">Selected in only 1 fold</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5"/>
                <w:szCs w:val="15"/>
                <w:rtl w:val="0"/>
              </w:rPr>
              <w:t xml:space="preserve">102</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5"/>
                <w:szCs w:val="15"/>
                <w:rtl w:val="0"/>
              </w:rPr>
              <w:t xml:space="preserve">Large unstable tail</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sz w:val="15"/>
                <w:szCs w:val="15"/>
                <w:rtl w:val="0"/>
              </w:rPr>
              <w:t xml:space="preserve">Mean Jaccard overlap</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5"/>
                <w:szCs w:val="15"/>
                <w:rtl w:val="0"/>
              </w:rPr>
              <w:t xml:space="preserve">0.3734</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5"/>
                <w:szCs w:val="15"/>
                <w:rtl w:val="0"/>
              </w:rPr>
              <w:t xml:space="preserve">Moderate pairwise overlap</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sz w:val="15"/>
                <w:szCs w:val="15"/>
                <w:rtl w:val="0"/>
              </w:rPr>
              <w:t xml:space="preserve">Median Jaccard overlap</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5"/>
                <w:szCs w:val="15"/>
                <w:rtl w:val="0"/>
              </w:rPr>
              <w:t xml:space="preserve">0.3699</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5"/>
                <w:szCs w:val="15"/>
                <w:rtl w:val="0"/>
              </w:rPr>
              <w:t xml:space="preserve">Moderate pairwise overlap</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sz w:val="15"/>
                <w:szCs w:val="15"/>
                <w:rtl w:val="0"/>
              </w:rPr>
              <w:t xml:space="preserve">Nogueira stability index</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5"/>
                <w:szCs w:val="15"/>
                <w:rtl w:val="0"/>
              </w:rPr>
              <w:t xml:space="preserve">0.5409</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5"/>
                <w:szCs w:val="15"/>
                <w:rtl w:val="0"/>
              </w:rPr>
              <w:t xml:space="preserve">Moderate stability</w:t>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rsidR="00000000" w:rsidDel="00000000" w:rsidP="00000000" w:rsidRDefault="00000000" w:rsidRPr="00000000" w14:paraId="00000104">
      <w:pPr>
        <w:pStyle w:val="Heading2"/>
        <w:rPr/>
      </w:pPr>
      <w:r w:rsidDel="00000000" w:rsidR="00000000" w:rsidRPr="00000000">
        <w:rPr>
          <w:b w:val="0"/>
          <w:bCs w:val="0"/>
          <w:rtl w:val="0"/>
        </w:rPr>
        <w:t xml:space="preserve">External validation on GSE25065</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06">
      <w:pPr>
        <w:rPr/>
      </w:pPr>
      <w:r w:rsidDel="00000000" w:rsidR="00000000" w:rsidRPr="00000000">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Cs w:val="0"/>
          <w:smallCaps w:val="0"/>
          <w:strike w:val="0"/>
          <w:color w:val="000000"/>
          <w:sz w:val="24"/>
          <w:szCs w:val="24"/>
          <w:u w:val="none"/>
          <w:shd w:fill="auto" w:val="clear"/>
          <w:vertAlign w:val="baseline"/>
          <w:rtl w:val="0"/>
        </w:rPr>
        <w:t>Table 9</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Validation on GSE25065</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09">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10A">
            <w:pPr>
              <w:rPr/>
            </w:pPr>
            <w:r w:rsidDel="00000000" w:rsidR="00000000" w:rsidRPr="00000000">
              <w:rPr>
                <w:b w:val="1"/>
                <w:bCs w:val="1"/>
                <w:sz w:val="15"/>
                <w:szCs w:val="15"/>
                <w:rtl w:val="0"/>
              </w:rPr>
              <w:t xml:space="preserve">Guarded nested CV (GSE25055)</w:t>
            </w:r>
            <w:r w:rsidDel="00000000" w:rsidR="00000000" w:rsidRPr="00000000">
              <w:rPr>
                <w:rtl w:val="0"/>
              </w:rPr>
            </w:r>
          </w:p>
        </w:tc>
        <w:tc>
          <w:tcPr>
            <w:shd w:fill="d9eaf7" w:val="clear"/>
          </w:tcPr>
          <w:p w:rsidR="00000000" w:rsidDel="00000000" w:rsidP="00000000" w:rsidRDefault="00000000" w:rsidRPr="00000000" w14:paraId="0000010B">
            <w:pPr>
              <w:rPr/>
            </w:pPr>
            <w:r w:rsidDel="00000000" w:rsidR="00000000" w:rsidRPr="00000000">
              <w:rPr>
                <w:b w:val="1"/>
                <w:bCs w:val="1"/>
                <w:sz w:val="15"/>
                <w:szCs w:val="15"/>
                <w:rtl w:val="0"/>
              </w:rPr>
              <w:t xml:space="preserve">External validation (GSE25065)</w:t>
            </w:r>
            <w:r w:rsidDel="00000000" w:rsidR="00000000" w:rsidRPr="00000000">
              <w:rPr>
                <w:rtl w:val="0"/>
              </w:rPr>
            </w:r>
          </w:p>
        </w:tc>
        <w:tc>
          <w:tcPr>
            <w:shd w:fill="d9eaf7" w:val="clear"/>
          </w:tcPr>
          <w:p w:rsidR="00000000" w:rsidDel="00000000" w:rsidP="00000000" w:rsidRDefault="00000000" w:rsidRPr="00000000" w14:paraId="0000010C">
            <w:pPr>
              <w:rPr/>
            </w:pPr>
            <w:r w:rsidDel="00000000" w:rsidR="00000000" w:rsidRPr="00000000">
              <w:rPr>
                <w:b w:val="1"/>
                <w:bCs w:val="1"/>
                <w:sz w:val="15"/>
                <w:szCs w:val="15"/>
                <w:rtl w:val="0"/>
              </w:rPr>
              <w:t xml:space="preserve">External drop/change</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sz w:val="15"/>
                <w:szCs w:val="15"/>
                <w:rtl w:val="0"/>
              </w:rPr>
              <w:t xml:space="preserve">AUROC</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5"/>
                <w:szCs w:val="15"/>
                <w:rtl w:val="0"/>
              </w:rPr>
              <w:t xml:space="preserve">0.7265</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5"/>
                <w:szCs w:val="15"/>
                <w:rtl w:val="0"/>
              </w:rPr>
              <w:t xml:space="preserve">0.6078</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5"/>
                <w:szCs w:val="15"/>
                <w:rtl w:val="0"/>
              </w:rPr>
              <w:t xml:space="preserve">-0.1187</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sz w:val="15"/>
                <w:szCs w:val="15"/>
                <w:rtl w:val="0"/>
              </w:rPr>
              <w:t xml:space="preserve">PR-AUC</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5"/>
                <w:szCs w:val="15"/>
                <w:rtl w:val="0"/>
              </w:rPr>
              <w:t xml:space="preserve">0.3656</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15"/>
                <w:szCs w:val="15"/>
                <w:rtl w:val="0"/>
              </w:rPr>
              <w:t xml:space="preserve">0.3060</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5"/>
                <w:szCs w:val="15"/>
                <w:rtl w:val="0"/>
              </w:rPr>
              <w:t xml:space="preserve">-0.0596</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sz w:val="15"/>
                <w:szCs w:val="15"/>
                <w:rtl w:val="0"/>
              </w:rPr>
              <w:t xml:space="preserve">Balanced accuracy</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5"/>
                <w:szCs w:val="15"/>
                <w:rtl w:val="0"/>
              </w:rPr>
              <w:t xml:space="preserve">0.5792</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5"/>
                <w:szCs w:val="15"/>
                <w:rtl w:val="0"/>
              </w:rPr>
              <w:t xml:space="preserve">0.5381</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5"/>
                <w:szCs w:val="15"/>
                <w:rtl w:val="0"/>
              </w:rPr>
              <w:t xml:space="preserve">-0.0411</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sz w:val="15"/>
                <w:szCs w:val="15"/>
                <w:rtl w:val="0"/>
              </w:rPr>
              <w:t xml:space="preserve">MCC</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5"/>
                <w:szCs w:val="15"/>
                <w:rtl w:val="0"/>
              </w:rPr>
              <w:t xml:space="preserve">0.2250</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5"/>
                <w:szCs w:val="15"/>
                <w:rtl w:val="0"/>
              </w:rPr>
              <w:t xml:space="preserve">0.1347</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5"/>
                <w:szCs w:val="15"/>
                <w:rtl w:val="0"/>
              </w:rPr>
              <w:t xml:space="preserve">-0.0903</w:t>
            </w: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sz w:val="15"/>
                <w:szCs w:val="15"/>
                <w:rtl w:val="0"/>
              </w:rPr>
              <w:t xml:space="preserve">Sensitivity</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5"/>
                <w:szCs w:val="15"/>
                <w:rtl w:val="0"/>
              </w:rPr>
              <w:t xml:space="preserve">0.2105</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5"/>
                <w:szCs w:val="15"/>
                <w:rtl w:val="0"/>
              </w:rPr>
              <w:t xml:space="preserve">0.1190</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5"/>
                <w:szCs w:val="15"/>
                <w:rtl w:val="0"/>
              </w:rPr>
              <w:t xml:space="preserve">-0.0915</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sz w:val="15"/>
                <w:szCs w:val="15"/>
                <w:rtl w:val="0"/>
              </w:rPr>
              <w:t xml:space="preserve">Specificity</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5"/>
                <w:szCs w:val="15"/>
                <w:rtl w:val="0"/>
              </w:rPr>
              <w:t xml:space="preserve">0.9478</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5"/>
                <w:szCs w:val="15"/>
                <w:rtl w:val="0"/>
              </w:rPr>
              <w:t xml:space="preserve">0.9571</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5"/>
                <w:szCs w:val="15"/>
                <w:rtl w:val="0"/>
              </w:rPr>
              <w:t xml:space="preserve">+0.0094</w:t>
            </w: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0000126">
      <w:pPr>
        <w:pStyle w:val="Heading2"/>
        <w:rPr/>
      </w:pPr>
      <w:r w:rsidDel="00000000" w:rsidR="00000000" w:rsidRPr="00000000">
        <w:rPr>
          <w:b w:val="0"/>
          <w:bCs w:val="0"/>
          <w:rtl w:val="0"/>
        </w:rPr>
        <w:t xml:space="preserve">Integrated Reproducible Omics Evidence Audit</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28">
      <w:pPr>
        <w:rPr/>
      </w:pPr>
      <w:r w:rsidDel="00000000" w:rsidR="00000000" w:rsidRPr="00000000">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single same-platform external cohort are reported as limitations rather than minimized.</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Cs w:val="0"/>
          <w:smallCaps w:val="0"/>
          <w:strike w:val="0"/>
          <w:color w:val="000000"/>
          <w:sz w:val="24"/>
          <w:szCs w:val="24"/>
          <w:u w:val="none"/>
          <w:shd w:fill="auto" w:val="clear"/>
          <w:vertAlign w:val="baseline"/>
          <w:rtl w:val="0"/>
        </w:rPr>
        <w:t>Table 10</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2B">
            <w:pPr>
              <w:rPr/>
            </w:pPr>
            <w:r w:rsidDel="00000000" w:rsidR="00000000" w:rsidRPr="00000000">
              <w:rPr>
                <w:b w:val="1"/>
                <w:bCs w:val="1"/>
                <w:sz w:val="15"/>
                <w:szCs w:val="15"/>
                <w:rtl w:val="0"/>
              </w:rPr>
              <w:t xml:space="preserve">Audit domain</w:t>
            </w:r>
            <w:r w:rsidDel="00000000" w:rsidR="00000000" w:rsidRPr="00000000">
              <w:rPr>
                <w:rtl w:val="0"/>
              </w:rPr>
            </w:r>
          </w:p>
        </w:tc>
        <w:tc>
          <w:tcPr>
            <w:shd w:fill="d9eaf7" w:val="clear"/>
          </w:tcPr>
          <w:p w:rsidR="00000000" w:rsidDel="00000000" w:rsidP="00000000" w:rsidRDefault="00000000" w:rsidRPr="00000000" w14:paraId="0000012C">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12D">
            <w:pPr>
              <w:rPr/>
            </w:pPr>
            <w:r w:rsidDel="00000000" w:rsidR="00000000" w:rsidRPr="00000000">
              <w:rPr>
                <w:b w:val="1"/>
                <w:bCs w:val="1"/>
                <w:sz w:val="15"/>
                <w:szCs w:val="15"/>
                <w:rtl w:val="0"/>
              </w:rPr>
              <w:t xml:space="preserve">Value</w:t>
            </w:r>
            <w:r w:rsidDel="00000000" w:rsidR="00000000" w:rsidRPr="00000000">
              <w:rPr>
                <w:rtl w:val="0"/>
              </w:rPr>
            </w:r>
          </w:p>
        </w:tc>
        <w:tc>
          <w:tcPr>
            <w:shd w:fill="d9eaf7" w:val="clear"/>
          </w:tcPr>
          <w:p w:rsidR="00000000" w:rsidDel="00000000" w:rsidP="00000000" w:rsidRDefault="00000000" w:rsidRPr="00000000" w14:paraId="0000012E">
            <w:pPr>
              <w:rPr/>
            </w:pPr>
            <w:r w:rsidDel="00000000" w:rsidR="00000000" w:rsidRPr="00000000">
              <w:rPr>
                <w:b w:val="1"/>
                <w:bCs w:val="1"/>
                <w:sz w:val="15"/>
                <w:szCs w:val="15"/>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sz w:val="15"/>
                <w:szCs w:val="15"/>
                <w:rtl w:val="0"/>
              </w:rPr>
              <w:t xml:space="preserve">Dataset integrity</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15"/>
                <w:szCs w:val="15"/>
                <w:rtl w:val="0"/>
              </w:rPr>
              <w:t xml:space="preserve">Discovery usable samples</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15"/>
                <w:szCs w:val="15"/>
                <w:rtl w:val="0"/>
              </w:rPr>
              <w:t xml:space="preserve">306 (57 pCR, 249 RD)</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5"/>
                <w:szCs w:val="15"/>
                <w:rtl w:val="0"/>
              </w:rPr>
              <w:t xml:space="preserve">Discovery cohort is labeled and same-platform.</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sz w:val="15"/>
                <w:szCs w:val="15"/>
                <w:rtl w:val="0"/>
              </w:rPr>
              <w:t xml:space="preserve">Dataset integrity</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5"/>
                <w:szCs w:val="15"/>
                <w:rtl w:val="0"/>
              </w:rPr>
              <w:t xml:space="preserve">External usable samples</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5"/>
                <w:szCs w:val="15"/>
                <w:rtl w:val="0"/>
              </w:rPr>
              <w:t xml:space="preserve">182 (42 pCR, 140 RD)</w:t>
            </w:r>
            <w:r w:rsidDel="00000000" w:rsidR="00000000" w:rsidRPr="00000000">
              <w:rPr>
                <w:rtl w:val="0"/>
              </w:rPr>
            </w:r>
          </w:p>
        </w:tc>
        <w:tc>
          <w:tcPr/>
          <w:p w:rsidR="00000000" w:rsidDel="00000000" w:rsidP="00000000" w:rsidRDefault="00000000" w:rsidRPr="00000000" w14:paraId="00000136">
            <w:pPr>
              <w:rPr/>
            </w:pPr>
            <w:r w:rsidDel="00000000" w:rsidR="00000000" w:rsidRPr="00000000">
              <w:rPr>
                <w:sz w:val="15"/>
                <w:szCs w:val="15"/>
                <w:rtl w:val="0"/>
              </w:rPr>
              <w:t xml:space="preserve">External validation is same-platform and non-overlapping.</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sz w:val="15"/>
                <w:szCs w:val="15"/>
                <w:rtl w:val="0"/>
              </w:rPr>
              <w:t xml:space="preserve">Leakage sensitivity</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5"/>
                <w:szCs w:val="15"/>
                <w:rtl w:val="0"/>
              </w:rPr>
              <w:t xml:space="preserve">AUROC gap (leaky - guarded)</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5"/>
                <w:szCs w:val="15"/>
                <w:rtl w:val="0"/>
              </w:rPr>
              <w:t xml:space="preserve">+0.0440</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5"/>
                <w:szCs w:val="15"/>
                <w:rtl w:val="0"/>
              </w:rPr>
              <w:t xml:space="preserve">Global feature selection inflates apparent discrimination.</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sz w:val="15"/>
                <w:szCs w:val="15"/>
                <w:rtl w:val="0"/>
              </w:rPr>
              <w:t xml:space="preserve">Leakage sensitivity</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5"/>
                <w:szCs w:val="15"/>
                <w:rtl w:val="0"/>
              </w:rPr>
              <w:t xml:space="preserve">PR-AUC gap (leaky - guarded)</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15"/>
                <w:szCs w:val="15"/>
                <w:rtl w:val="0"/>
              </w:rPr>
              <w:t xml:space="preserve">+0.0363</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5"/>
                <w:szCs w:val="15"/>
                <w:rtl w:val="0"/>
              </w:rPr>
              <w:t xml:space="preserve">Leakage also inflates minority-class ranking performance.</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sz w:val="15"/>
                <w:szCs w:val="15"/>
                <w:rtl w:val="0"/>
              </w:rPr>
              <w:t xml:space="preserve">Guarded nested performance</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5"/>
                <w:szCs w:val="15"/>
                <w:rtl w:val="0"/>
              </w:rPr>
              <w:t xml:space="preserve">Balanced accuracy / MCC</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5"/>
                <w:szCs w:val="15"/>
                <w:rtl w:val="0"/>
              </w:rPr>
              <w:t xml:space="preserve">0.5792 / 0.2250</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5"/>
                <w:szCs w:val="15"/>
                <w:rtl w:val="0"/>
              </w:rPr>
              <w:t xml:space="preserve">Nested validation improves imbalance-aware operating metrics.</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sz w:val="15"/>
                <w:szCs w:val="15"/>
                <w:rtl w:val="0"/>
              </w:rPr>
              <w:t xml:space="preserve">Feature stability</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5"/>
                <w:szCs w:val="15"/>
                <w:rtl w:val="0"/>
              </w:rPr>
              <w:t xml:space="preserve">Nogueira index</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15"/>
                <w:szCs w:val="15"/>
                <w:rtl w:val="0"/>
              </w:rPr>
              <w:t xml:space="preserve">0.5409</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5"/>
                <w:szCs w:val="15"/>
                <w:rtl w:val="0"/>
              </w:rPr>
              <w:t xml:space="preserve">Moderate stability with stable core and unstable tail.</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sz w:val="15"/>
                <w:szCs w:val="15"/>
                <w:rtl w:val="0"/>
              </w:rPr>
              <w:t xml:space="preserve">External validation</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5"/>
                <w:szCs w:val="15"/>
                <w:rtl w:val="0"/>
              </w:rPr>
              <w:t xml:space="preserve">GSE25065 AUROC / PR-AUC</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5"/>
                <w:szCs w:val="15"/>
                <w:rtl w:val="0"/>
              </w:rPr>
              <w:t xml:space="preserve">0.6078 / 0.3060</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15"/>
                <w:szCs w:val="15"/>
                <w:rtl w:val="0"/>
              </w:rPr>
              <w:t xml:space="preserve">External validation shows transportability limits.</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sz w:val="15"/>
                <w:szCs w:val="15"/>
                <w:rtl w:val="0"/>
              </w:rPr>
              <w:t xml:space="preserve">Class-imbalance behavior</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15"/>
                <w:szCs w:val="15"/>
                <w:rtl w:val="0"/>
              </w:rPr>
              <w:t xml:space="preserve">External sensitivity / specificity</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15"/>
                <w:szCs w:val="15"/>
                <w:rtl w:val="0"/>
              </w:rPr>
              <w:t xml:space="preserve">0.1190 / 0.9571</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5"/>
                <w:szCs w:val="15"/>
                <w:rtl w:val="0"/>
              </w:rPr>
              <w:t xml:space="preserve">High specificity but low pCR sensitivity.</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sz w:val="15"/>
                <w:szCs w:val="15"/>
                <w:rtl w:val="0"/>
              </w:rPr>
              <w:t xml:space="preserve">Reproducibility status</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5"/>
                <w:szCs w:val="15"/>
                <w:rtl w:val="0"/>
              </w:rPr>
              <w:t xml:space="preserve">Code/results artifacts</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5"/>
                <w:szCs w:val="15"/>
                <w:rtl w:val="0"/>
              </w:rPr>
              <w:t xml:space="preserve">Committed outputs and audit table</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15"/>
                <w:szCs w:val="15"/>
                <w:rtl w:val="0"/>
              </w:rPr>
              <w:t xml:space="preserve">Pipeline is reproducible from repository artifacts.</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sz w:val="15"/>
                <w:szCs w:val="15"/>
                <w:rtl w:val="0"/>
              </w:rPr>
              <w:t xml:space="preserve">Limitations/unresolved risks</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5"/>
                <w:szCs w:val="15"/>
                <w:rtl w:val="0"/>
              </w:rPr>
              <w:t xml:space="preserve">Unvalidated biomarker status</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5"/>
                <w:szCs w:val="15"/>
                <w:rtl w:val="0"/>
              </w:rPr>
              <w:t xml:space="preserve">No clinical biomarker claim</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5"/>
                <w:szCs w:val="15"/>
                <w:rtl w:val="0"/>
              </w:rPr>
              <w:t xml:space="preserve">Findings are methodological and require further validation.</w:t>
            </w:r>
            <w:r w:rsidDel="00000000" w:rsidR="00000000" w:rsidRPr="00000000">
              <w:rPr>
                <w:rtl w:val="0"/>
              </w:rPr>
            </w:r>
          </w:p>
        </w:tc>
      </w:tr>
      <w:tr>
        <w:tc>
          <w:tcPr>
            <w:tcW w:type="dxa" w:w="2340"/>
          </w:tcPr>
          <w:p>
            <w:pPr/>
            <w:r/>
            <w:r>
              <w:rPr>
                <w:rFonts w:ascii="Times New Roman" w:hAnsi="Times New Roman" w:cs="Times New Roman"/>
                <w:b w:val="0"/>
                <w:i w:val="0"/>
                <w:sz w:val="15"/>
              </w:rPr>
              <w:t>Leakage sensitivity</w:t>
            </w:r>
          </w:p>
        </w:tc>
        <w:tc>
          <w:tcPr>
            <w:tcW w:type="dxa" w:w="2340"/>
          </w:tcPr>
          <w:p>
            <w:pPr/>
            <w:r/>
            <w:r>
              <w:rPr>
                <w:rFonts w:ascii="Times New Roman" w:hAnsi="Times New Roman" w:cs="Times New Roman"/>
                <w:b w:val="0"/>
                <w:i w:val="0"/>
                <w:sz w:val="15"/>
              </w:rPr>
              <w:t>Internal leakage gap, ΔAUROC (95% CI)</w:t>
            </w:r>
          </w:p>
        </w:tc>
        <w:tc>
          <w:tcPr>
            <w:tcW w:type="dxa" w:w="2340"/>
          </w:tcPr>
          <w:p>
            <w:pPr/>
            <w:r/>
            <w:r>
              <w:rPr>
                <w:rFonts w:ascii="Times New Roman" w:hAnsi="Times New Roman" w:cs="Times New Roman"/>
                <w:b w:val="0"/>
                <w:i w:val="0"/>
                <w:sz w:val="15"/>
              </w:rPr>
              <w:t>+0.044 (−0.013 to +0.103)</w:t>
            </w:r>
          </w:p>
        </w:tc>
        <w:tc>
          <w:tcPr>
            <w:tcW w:type="dxa" w:w="2340"/>
          </w:tcPr>
          <w:p>
            <w:pPr/>
            <w:r/>
            <w:r>
              <w:rPr>
                <w:rFonts w:ascii="Times New Roman" w:hAnsi="Times New Roman" w:cs="Times New Roman"/>
                <w:b w:val="0"/>
                <w:i w:val="0"/>
                <w:sz w:val="15"/>
              </w:rPr>
              <w:t>Positive but CI includes zero in one cohort</w:t>
            </w:r>
          </w:p>
        </w:tc>
      </w:tr>
      <w:tr>
        <w:tc>
          <w:tcPr>
            <w:tcW w:type="dxa" w:w="2340"/>
          </w:tcPr>
          <w:p>
            <w:pPr/>
            <w:r/>
            <w:r>
              <w:rPr>
                <w:rFonts w:ascii="Times New Roman" w:hAnsi="Times New Roman" w:cs="Times New Roman"/>
                <w:b w:val="0"/>
                <w:i w:val="0"/>
                <w:sz w:val="15"/>
              </w:rPr>
              <w:t>Leakage sensitivity</w:t>
            </w:r>
          </w:p>
        </w:tc>
        <w:tc>
          <w:tcPr>
            <w:tcW w:type="dxa" w:w="2340"/>
          </w:tcPr>
          <w:p>
            <w:pPr/>
            <w:r/>
            <w:r>
              <w:rPr>
                <w:rFonts w:ascii="Times New Roman" w:hAnsi="Times New Roman" w:cs="Times New Roman"/>
                <w:b w:val="0"/>
                <w:i w:val="0"/>
                <w:sz w:val="15"/>
              </w:rPr>
              <w:t>Permutation control, leaky null AUROC</w:t>
            </w:r>
          </w:p>
        </w:tc>
        <w:tc>
          <w:tcPr>
            <w:tcW w:type="dxa" w:w="2340"/>
          </w:tcPr>
          <w:p>
            <w:pPr/>
            <w:r/>
            <w:r>
              <w:rPr>
                <w:rFonts w:ascii="Times New Roman" w:hAnsi="Times New Roman" w:cs="Times New Roman"/>
                <w:b w:val="0"/>
                <w:i w:val="0"/>
                <w:sz w:val="15"/>
              </w:rPr>
              <w:t>0.88 (all permutations &gt; chance)</w:t>
            </w:r>
          </w:p>
        </w:tc>
        <w:tc>
          <w:tcPr>
            <w:tcW w:type="dxa" w:w="2340"/>
          </w:tcPr>
          <w:p>
            <w:pPr/>
            <w:r/>
            <w:r>
              <w:rPr>
                <w:rFonts w:ascii="Times New Roman" w:hAnsi="Times New Roman" w:cs="Times New Roman"/>
                <w:b w:val="0"/>
                <w:i w:val="0"/>
                <w:sz w:val="15"/>
              </w:rPr>
              <w:t>Diagnostic of leakage artifact; guarded null near chance</w:t>
            </w:r>
          </w:p>
        </w:tc>
      </w:tr>
      <w:tr>
        <w:tc>
          <w:tcPr>
            <w:tcW w:type="dxa" w:w="2340"/>
          </w:tcPr>
          <w:p>
            <w:pPr/>
            <w:r/>
            <w:r>
              <w:rPr>
                <w:rFonts w:ascii="Times New Roman" w:hAnsi="Times New Roman" w:cs="Times New Roman"/>
                <w:b w:val="0"/>
                <w:i w:val="0"/>
                <w:sz w:val="15"/>
              </w:rPr>
              <w:t>Reproducibility</w:t>
            </w:r>
          </w:p>
        </w:tc>
        <w:tc>
          <w:tcPr>
            <w:tcW w:type="dxa" w:w="2340"/>
          </w:tcPr>
          <w:p>
            <w:pPr/>
            <w:r/>
            <w:r>
              <w:rPr>
                <w:rFonts w:ascii="Times New Roman" w:hAnsi="Times New Roman" w:cs="Times New Roman"/>
                <w:b w:val="0"/>
                <w:i w:val="0"/>
                <w:sz w:val="15"/>
              </w:rPr>
              <w:t>Seed robustness, ΔAUROC (27/30 seeds)</w:t>
            </w:r>
          </w:p>
        </w:tc>
        <w:tc>
          <w:tcPr>
            <w:tcW w:type="dxa" w:w="2340"/>
          </w:tcPr>
          <w:p>
            <w:pPr/>
            <w:r/>
            <w:r>
              <w:rPr>
                <w:rFonts w:ascii="Times New Roman" w:hAnsi="Times New Roman" w:cs="Times New Roman"/>
                <w:b w:val="0"/>
                <w:i w:val="0"/>
                <w:sz w:val="15"/>
              </w:rPr>
              <w:t>median +0.054; Wilcoxon p &lt; 0.001</w:t>
            </w:r>
          </w:p>
        </w:tc>
        <w:tc>
          <w:tcPr>
            <w:tcW w:type="dxa" w:w="2340"/>
          </w:tcPr>
          <w:p>
            <w:pPr/>
            <w:r/>
            <w:r>
              <w:rPr>
                <w:rFonts w:ascii="Times New Roman" w:hAnsi="Times New Roman" w:cs="Times New Roman"/>
                <w:b w:val="0"/>
                <w:i w:val="0"/>
                <w:sz w:val="15"/>
              </w:rPr>
              <w:t>Modest but reproducible across folds</w:t>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Note. The evidence audit summarizes the current results.</w:t>
      </w:r>
    </w:p>
    <w:p w:rsidR="00000000" w:rsidDel="00000000" w:rsidP="00000000" w:rsidRDefault="00000000" w:rsidRPr="00000000" w14:paraId="00000158">
      <w:pPr>
        <w:pStyle w:val="Heading1"/>
        <w:rPr/>
      </w:pPr>
      <w:r w:rsidDel="00000000" w:rsidR="00000000" w:rsidRPr="00000000">
        <w:rPr>
          <w:rtl w:val="0"/>
        </w:rPr>
        <w:t xml:space="preserve">Discussion</w:t>
      </w:r>
    </w:p>
    <w:p w:rsidR="00000000" w:rsidDel="00000000" w:rsidP="00000000" w:rsidRDefault="00000000" w:rsidRPr="00000000" w14:paraId="00000159">
      <w:pPr>
        <w:pStyle w:val="Heading2"/>
        <w:rPr/>
      </w:pPr>
      <w:r w:rsidDel="00000000" w:rsidR="00000000" w:rsidRPr="00000000">
        <w:rPr>
          <w:rtl w:val="0"/>
        </w:rPr>
        <w:t xml:space="preserve">Principal findings</w:t>
      </w:r>
    </w:p>
    <w:p w:rsidR="00000000" w:rsidDel="00000000" w:rsidP="00000000" w:rsidRDefault="00000000" w:rsidRPr="00000000" w14:paraId="0000015A">
      <w:pPr>
        <w:rPr/>
      </w:pPr>
      <w:r>
        <w:rPr>
          <w:rFonts w:ascii="Times New Roman" w:hAnsi="Times New Roman" w:cs="Times New Roman"/>
          <w:b w:val="0"/>
          <w:i w:val="0"/>
          <w:sz w:val="24"/>
        </w:rPr>
        <w:t>Three results, taken together, calibrate the leakage finding. First, on the GSE25055 discovery cohort, naive global feature selection produced a positive but modest internal leakage 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collapsed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external validation on GSE25065 showed a transportability drop—a decline in discrimination and minority-class recall when moving to an independent cohort—that is distinct from internal leakage. These four quantities answer different questions: the internal gap is a within-cohort magnitude, the permutation control is a mechanism demonstration, the repeated-CV result is fold-level reproducibility, and the external drop is a generalization limit. Reported together, they argue for leakage-aware, uncertainty-bounded auditing rather than reliance on a single headline metric.</w:t>
      </w:r>
    </w:p>
    <w:p w:rsidR="00000000" w:rsidDel="00000000" w:rsidP="00000000" w:rsidRDefault="00000000" w:rsidRPr="00000000" w14:paraId="0000015B">
      <w:pPr>
        <w:pStyle w:val="Heading2"/>
        <w:rPr/>
      </w:pPr>
      <w:r w:rsidDel="00000000" w:rsidR="00000000" w:rsidRPr="00000000">
        <w:rPr>
          <w:rtl w:val="0"/>
        </w:rPr>
        <w:t xml:space="preserve">Why leakage-aware validation changes biomarker interpretation</w:t>
      </w:r>
    </w:p>
    <w:p w:rsidR="00000000" w:rsidDel="00000000" w:rsidP="00000000" w:rsidRDefault="00000000" w:rsidRPr="00000000" w14:paraId="0000015C">
      <w:pPr>
        <w:rPr/>
      </w:pPr>
      <w:r w:rsidDel="00000000" w:rsidR="00000000" w:rsidRPr="00000000">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r>
        <w:rPr>
          <w:rFonts w:ascii="Times New Roman" w:hAnsi="Times New Roman" w:cs="Times New Roman"/>
          <w:b w:val="0"/>
          <w:i w:val="0"/>
          <w:sz w:val="24"/>
        </w:rPr>
        <w:t xml:space="preserve"> The permutation control makes the mechanism explicit: because global feature selection can read held-out labels, it manufactures apparent discrimination even when no signal exists, which is why leakage-aware validation changes the interpretation of headline metrics rather than merely adjusting them.</w:t>
      </w:r>
    </w:p>
    <w:p w:rsidR="00000000" w:rsidDel="00000000" w:rsidP="00000000" w:rsidRDefault="00000000" w:rsidRPr="00000000" w14:paraId="0000015D">
      <w:pPr>
        <w:pStyle w:val="Heading2"/>
        <w:rPr/>
      </w:pPr>
      <w:r w:rsidDel="00000000" w:rsidR="00000000" w:rsidRPr="00000000">
        <w:rPr>
          <w:rtl w:val="0"/>
        </w:rPr>
        <w:t xml:space="preserve">Feature stability versus predictive performance</w:t>
      </w:r>
    </w:p>
    <w:p w:rsidR="00000000" w:rsidDel="00000000" w:rsidP="00000000" w:rsidRDefault="00000000" w:rsidRPr="00000000" w14:paraId="0000015E">
      <w:pPr>
        <w:rPr/>
      </w:pPr>
      <w:r w:rsidDel="00000000" w:rsidR="00000000" w:rsidRPr="00000000">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r>
        <w:rPr>
          <w:rFonts w:ascii="Times New Roman" w:hAnsi="Times New Roman" w:cs="Times New Roman"/>
          <w:b w:val="0"/>
          <w:i w:val="0"/>
          <w:sz w:val="24"/>
        </w:rPr>
        <w:t xml:space="preserve"> The 30-seed repeated analysis shows that the moderate stability seen in a single split is itself reproducible (median Nogueira index 0.55), reinforcing that the audit characterizes the selection procedure rather than a fixed gene panel.</w:t>
      </w:r>
    </w:p>
    <w:p w:rsidR="00000000" w:rsidDel="00000000" w:rsidP="00000000" w:rsidRDefault="00000000" w:rsidRPr="00000000" w14:paraId="0000015F">
      <w:pPr>
        <w:pStyle w:val="Heading2"/>
        <w:rPr/>
      </w:pPr>
      <w:r w:rsidDel="00000000" w:rsidR="00000000" w:rsidRPr="00000000">
        <w:rPr>
          <w:rtl w:val="0"/>
        </w:rPr>
        <w:t xml:space="preserve">Relation to existing tools and literature</w:t>
      </w:r>
    </w:p>
    <w:p w:rsidR="00000000" w:rsidDel="00000000" w:rsidP="00000000" w:rsidRDefault="00000000" w:rsidRPr="00000000" w14:paraId="00000160">
      <w:pPr>
        <w:rPr/>
      </w:pPr>
      <w:r w:rsidDel="00000000" w:rsidR="00000000" w:rsidRPr="00000000">
        <w:rPr>
          <w:rtl w:val="0"/>
        </w:rPr>
        <w:t>This work does not replace nestedcv, stabm, OmicSelector, or other existing tools, and it does not introduce a new classifier, validation procedure, or stability metric. Whereas nestedcv (Lewis et al., 2023) and OmicSelector provide reusable machinery for leakage-resistant model building and feature selection, the present contribution is the empirical audit such machinery enables: a side-by-side leakage-gap quantification, a fold-level feature-stability profile, frozen external validation, and an integrated evidence-audit summary applied to a single SMO/SVM workhorse. The framework is intended to complement existing validation packages by showing how their principles can be translated into an interpretable omics evidence audit.</w:t>
      </w:r>
    </w:p>
    <w:p w:rsidR="00000000" w:rsidDel="00000000" w:rsidP="00000000" w:rsidRDefault="00000000" w:rsidRPr="00000000" w14:paraId="00000161">
      <w:pPr>
        <w:pStyle w:val="Heading2"/>
        <w:rPr/>
      </w:pPr>
      <w:r w:rsidDel="00000000" w:rsidR="00000000" w:rsidRPr="00000000">
        <w:rPr>
          <w:rtl w:val="0"/>
        </w:rPr>
        <w:t xml:space="preserve">Practical recommendations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6A">
      <w:pPr>
        <w:pStyle w:val="Heading2"/>
        <w:rPr/>
      </w:pPr>
      <w:r w:rsidDel="00000000" w:rsidR="00000000" w:rsidRPr="00000000">
        <w:rPr>
          <w:rtl w:val="0"/>
        </w:rPr>
        <w:t xml:space="preserve">Limitations</w:t>
      </w:r>
    </w:p>
    <w:p w:rsidR="00000000" w:rsidDel="00000000" w:rsidP="00000000" w:rsidRDefault="00000000" w:rsidRPr="00000000" w14:paraId="0000016B">
      <w:pPr>
        <w:rPr/>
      </w:pPr>
      <w:r>
        <w:rPr>
          <w:rFonts w:ascii="Times New Roman" w:hAnsi="Times New Roman" w:cs="Times New Roman"/>
          <w:b w:val="0"/>
          <w:i w:val="0"/>
          <w:sz w:val="24"/>
        </w:rPr>
        <w:t>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GSE25055 and GSE25065 are non-overlapping by design, broader cross-cohort and cross-platform generalization remains untested. GSE41998 was not used here and remains future work (Phase 3) because its labels and platform require additional cross-platform, leakage-safe handling, while GSE20194 and GSE20271 were held because of patient-overlap risk. The analysis used a single primary feature selector and a linear SMO/SVM configuration, and pCR sensitivity remained low under both pipelines. No prospective clinical, mechanistic, or wet-lab validation was performed; recurrent probes should be interpreted as stability-ranked candidates for future review, not as clinically validated biomarkers.</w:t>
      </w:r>
    </w:p>
    <w:p w:rsidR="00000000" w:rsidDel="00000000" w:rsidP="00000000" w:rsidRDefault="00000000" w:rsidRPr="00000000" w14:paraId="0000016C">
      <w:pPr>
        <w:pStyle w:val="Heading2"/>
        <w:rPr/>
      </w:pPr>
      <w:r w:rsidDel="00000000" w:rsidR="00000000" w:rsidRPr="00000000">
        <w:rPr>
          <w:rtl w:val="0"/>
        </w:rPr>
        <w:t xml:space="preserve">Future work</w:t>
      </w:r>
    </w:p>
    <w:p w:rsidR="00000000" w:rsidDel="00000000" w:rsidP="00000000" w:rsidRDefault="00000000" w:rsidRPr="00000000" w14:paraId="0000016D">
      <w:pPr>
        <w:rPr/>
      </w:pPr>
      <w:r w:rsidDel="00000000" w:rsidR="00000000" w:rsidRPr="00000000">
        <w:rPr>
          <w:rtl w:val="0"/>
        </w:rPr>
        <w:t>Future work may extend the framework to RNA-seq, multi-omics integration, survival endpoints, other cancer types, and automated evidence-dossier systems for biomarker and therapeutic-target claims.</w:t>
      </w:r>
      <w:r>
        <w:rPr>
          <w:rFonts w:ascii="Times New Roman" w:hAnsi="Times New Roman" w:cs="Times New Roman"/>
          <w:b w:val="0"/>
          <w:i w:val="0"/>
          <w:sz w:val="24"/>
        </w:rPr>
        <w:t xml:space="preserve"> A priority is leakage-safe cross-platform external validation (for example, GSE41998) using a training-derived probe/gene mapping with no joint normalization, alongside additional feature selectors and classifiers as sensitivity analyses.</w:t>
      </w:r>
    </w:p>
    <w:p w:rsidR="00000000" w:rsidDel="00000000" w:rsidP="00000000" w:rsidRDefault="00000000" w:rsidRPr="00000000" w14:paraId="0000016E">
      <w:pPr>
        <w:pStyle w:val="Heading1"/>
        <w:rPr/>
      </w:pPr>
      <w:r w:rsidDel="00000000" w:rsidR="00000000" w:rsidRPr="00000000">
        <w:rPr>
          <w:rtl w:val="0"/>
        </w:rPr>
        <w:t xml:space="preserve">Conclusion</w:t>
      </w:r>
    </w:p>
    <w:p w:rsidR="00000000" w:rsidDel="00000000" w:rsidP="00000000" w:rsidRDefault="00000000" w:rsidRPr="00000000" w14:paraId="0000016F">
      <w:pPr>
        <w:rPr/>
      </w:pPr>
      <w:r w:rsidDel="00000000" w:rsidR="00000000" w:rsidRPr="00000000">
        <w:rPr>
          <w:rtl w:val="0"/>
        </w:rPr>
        <w:t>In public transcriptomic biomarker discovery, apparent classification performance can be distorted when feature selection and model development are evaluated without strict validation separation. This study utilized an established linear SMO/SVM approach as a transparent, high-dimensional workhorse model for auditing leakage, feature stability, and transportability. A leaky GSE25055 pipeline showed higher AUROC and PR-AUC than the guarded nested audit pipeline, whereas the guarded pipeline improved balanced accuracy and MCC.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70">
      <w:pPr>
        <w:pStyle w:val="Heading1"/>
        <w:rPr/>
      </w:pPr>
      <w:r w:rsidDel="00000000" w:rsidR="00000000" w:rsidRPr="00000000">
        <w:rPr>
          <w:rtl w:val="0"/>
        </w:rPr>
        <w:t xml:space="preserve">List of Abbreviations</w:t>
      </w:r>
    </w:p>
    <w:tbl>
      <w:tblPr>
        <w:tblStyle w:val="Table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1"/>
        <w:gridCol w:w="7425"/>
        <w:tblGridChange w:id="0">
          <w:tblGrid>
            <w:gridCol w:w="2151"/>
            <w:gridCol w:w="7425"/>
          </w:tblGrid>
        </w:tblGridChange>
      </w:tblGrid>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Abbreviation</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APA</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American Psychological Association</w:t>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AUROC</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Area under the receiver operating characteristic curve</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GEO</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Gene Expression Omnibus</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MCC</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Matthews correlation coefficient</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NCV</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Nested cross-validation</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pCR</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Pathological complete response</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PR-AUC</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Area under the precision-recall curve</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RD</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Residual disease</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RFE</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Recursive feature elimination</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SMO</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Sequential Minimal Optimization</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SMOTE</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Synthetic Minority Over-sampling Technique</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SVM</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 vector machine</w:t>
            </w:r>
          </w:p>
        </w:tc>
      </w:tr>
    </w:tbl>
    <w:p w:rsidR="00000000" w:rsidDel="00000000" w:rsidP="00000000" w:rsidRDefault="00000000" w:rsidRPr="00000000" w14:paraId="0000018B">
      <w:pPr>
        <w:pStyle w:val="Heading1"/>
        <w:rPr/>
      </w:pPr>
      <w:r w:rsidDel="00000000" w:rsidR="00000000" w:rsidRPr="00000000">
        <w:rPr>
          <w:rtl w:val="0"/>
        </w:rPr>
        <w:t xml:space="preserve">Declarations</w:t>
      </w:r>
    </w:p>
    <w:p w:rsidR="00000000" w:rsidDel="00000000" w:rsidP="00000000" w:rsidRDefault="00000000" w:rsidRPr="00000000" w14:paraId="0000018C">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18D">
      <w:pPr>
        <w:rPr/>
      </w:pPr>
      <w:r w:rsidDel="00000000" w:rsidR="00000000" w:rsidRPr="00000000">
        <w:rPr>
          <w:rtl w:val="0"/>
        </w:rPr>
        <w:t>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18E">
      <w:pPr>
        <w:pStyle w:val="Heading2"/>
        <w:rPr/>
      </w:pPr>
      <w:r w:rsidDel="00000000" w:rsidR="00000000" w:rsidRPr="00000000">
        <w:rPr>
          <w:rtl w:val="0"/>
        </w:rPr>
        <w:t xml:space="preserve">Consent for publication</w:t>
      </w:r>
    </w:p>
    <w:p w:rsidR="00000000" w:rsidDel="00000000" w:rsidP="00000000" w:rsidRDefault="00000000" w:rsidRPr="00000000" w14:paraId="0000018F">
      <w:pPr>
        <w:rPr/>
      </w:pPr>
      <w:r w:rsidDel="00000000" w:rsidR="00000000" w:rsidRPr="00000000">
        <w:rPr>
          <w:rtl w:val="0"/>
        </w:rPr>
        <w:t xml:space="preserve">Not applicable.</w:t>
      </w:r>
    </w:p>
    <w:p w:rsidR="00000000" w:rsidDel="00000000" w:rsidP="00000000" w:rsidRDefault="00000000" w:rsidRPr="00000000" w14:paraId="00000190">
      <w:pPr>
        <w:pStyle w:val="Heading2"/>
        <w:rPr/>
      </w:pPr>
      <w:r w:rsidDel="00000000" w:rsidR="00000000" w:rsidRPr="00000000">
        <w:rPr>
          <w:rtl w:val="0"/>
        </w:rPr>
        <w:t xml:space="preserve">Availability of data and materials</w:t>
      </w:r>
    </w:p>
    <w:p w:rsidR="00000000" w:rsidDel="00000000" w:rsidP="00000000" w:rsidRDefault="00000000" w:rsidRPr="00000000" w14:paraId="00000191">
      <w:pPr>
        <w:rPr/>
      </w:pPr>
      <w:r w:rsidDel="00000000" w:rsidR="00000000" w:rsidRPr="00000000">
        <w:rPr>
          <w:rtl w:val="0"/>
        </w:rPr>
        <w:t>All public datasets are cited by accession number. The associated code, fold assignments, random seeds, selected-feature lists, and analysis outputs are available in the project GitHub repository, which will be archived with a Zenodo DOI at submission.</w:t>
      </w:r>
    </w:p>
    <w:p w:rsidR="00000000" w:rsidDel="00000000" w:rsidP="00000000" w:rsidRDefault="00000000" w:rsidRPr="00000000" w14:paraId="00000192">
      <w:pPr>
        <w:pStyle w:val="Heading2"/>
        <w:rPr/>
      </w:pPr>
      <w:r w:rsidDel="00000000" w:rsidR="00000000" w:rsidRPr="00000000">
        <w:rPr>
          <w:rtl w:val="0"/>
        </w:rPr>
        <w:t xml:space="preserve">Competing interests</w:t>
      </w:r>
    </w:p>
    <w:p w:rsidR="00000000" w:rsidDel="00000000" w:rsidP="00000000" w:rsidRDefault="00000000" w:rsidRPr="00000000" w14:paraId="00000193">
      <w:pPr>
        <w:rPr/>
      </w:pPr>
      <w:r w:rsidDel="00000000" w:rsidR="00000000" w:rsidRPr="00000000">
        <w:rPr>
          <w:rtl w:val="0"/>
        </w:rPr>
        <w:t>Competing interests will be declared by all authors prior to submission.</w:t>
      </w:r>
    </w:p>
    <w:p w:rsidR="00000000" w:rsidDel="00000000" w:rsidP="00000000" w:rsidRDefault="00000000" w:rsidRPr="00000000" w14:paraId="00000194">
      <w:pPr>
        <w:pStyle w:val="Heading2"/>
        <w:rPr/>
      </w:pPr>
      <w:r w:rsidDel="00000000" w:rsidR="00000000" w:rsidRPr="00000000">
        <w:rPr>
          <w:rtl w:val="0"/>
        </w:rPr>
        <w:t xml:space="preserve">Funding</w:t>
      </w:r>
    </w:p>
    <w:p w:rsidR="00000000" w:rsidDel="00000000" w:rsidP="00000000" w:rsidRDefault="00000000" w:rsidRPr="00000000" w14:paraId="00000195">
      <w:pPr>
        <w:rPr/>
      </w:pPr>
      <w:r w:rsidDel="00000000" w:rsidR="00000000" w:rsidRPr="00000000">
        <w:rPr>
          <w:rtl w:val="0"/>
        </w:rPr>
        <w:t>Funding sources will be declared prior to submission.</w:t>
      </w:r>
    </w:p>
    <w:p w:rsidR="00000000" w:rsidDel="00000000" w:rsidP="00000000" w:rsidRDefault="00000000" w:rsidRPr="00000000" w14:paraId="00000196">
      <w:pPr>
        <w:pStyle w:val="Heading2"/>
        <w:rPr/>
      </w:pPr>
      <w:r w:rsidDel="00000000" w:rsidR="00000000" w:rsidRPr="00000000">
        <w:rPr>
          <w:rtl w:val="0"/>
        </w:rPr>
        <w:t xml:space="preserve">Authors’ contributions</w:t>
      </w:r>
    </w:p>
    <w:p w:rsidR="00000000" w:rsidDel="00000000" w:rsidP="00000000" w:rsidRDefault="00000000" w:rsidRPr="00000000" w14:paraId="00000197">
      <w:pPr>
        <w:rPr/>
      </w:pPr>
      <w:r w:rsidDel="00000000" w:rsidR="00000000" w:rsidRPr="00000000">
        <w:rPr>
          <w:rtl w:val="0"/>
        </w:rPr>
        <w:t>Author contributions will be finalized prior to submission. Anticipated roles span study design and leakage-audit framing; SMO/SVM modeling, feature-selection design, and validation rigor; evidence-audit framing and translational relevance; and disease and transcriptomic interpretation.</w:t>
      </w:r>
    </w:p>
    <w:p w:rsidR="00000000" w:rsidDel="00000000" w:rsidP="00000000" w:rsidRDefault="00000000" w:rsidRPr="00000000" w14:paraId="00000198">
      <w:pPr>
        <w:pStyle w:val="Heading2"/>
        <w:rPr/>
      </w:pPr>
      <w:r w:rsidDel="00000000" w:rsidR="00000000" w:rsidRPr="00000000">
        <w:rPr>
          <w:rtl w:val="0"/>
        </w:rPr>
        <w:t xml:space="preserve">Acknowledgements</w:t>
      </w:r>
    </w:p>
    <w:p w:rsidR="00000000" w:rsidDel="00000000" w:rsidP="00000000" w:rsidRDefault="00000000" w:rsidRPr="00000000" w14:paraId="00000199">
      <w:pPr>
        <w:rPr/>
      </w:pPr>
      <w:r w:rsidDel="00000000" w:rsidR="00000000" w:rsidRPr="00000000">
        <w:rPr>
          <w:rtl w:val="0"/>
        </w:rPr>
        <w:t>Acknowledgements will be added prior to submission.</w:t>
      </w:r>
    </w:p>
    <w:p w:rsidR="00000000" w:rsidDel="00000000" w:rsidP="00000000" w:rsidRDefault="00000000" w:rsidRPr="00000000" w14:paraId="0000019A">
      <w:pPr>
        <w:pStyle w:val="Heading1"/>
        <w:rPr/>
      </w:pPr>
      <w:r w:rsidDel="00000000" w:rsidR="00000000" w:rsidRPr="00000000">
        <w:rPr>
          <w:rtl w:val="0"/>
        </w:rPr>
        <w:t xml:space="preserve">References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1AD">
      <w:pPr>
        <w:rPr/>
      </w:pPr>
      <w:r w:rsidDel="00000000" w:rsidR="00000000" w:rsidRPr="00000000">
        <w:rPr>
          <w:rtl w:val="0"/>
        </w:rPr>
      </w:r>
    </w:p>
    <w:sectPr>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8xked31O2AgDtLFYbA4QtyWMg==">CgMxLjA4AHIhMXNWSnRiUnR2VWdnQWs3eFFTT25lYXVxZzVqQ1lfd280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