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not provided;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r>
        <w:t xml:space="preserve"> The full audit is consolidated in a reproducible evidence-audit table and dashboard generated deterministically from the committed outputs.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SMO/SVM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documented in the dataset audit but not used in the present analysis; its labels and platform require additional leakage-safe, cross-platform handling.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SMO/SVM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accompanies the analysis.</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not used in current modeling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SMO/SVM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SMO/SVM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r>
        <w:rPr>
          <w:rFonts w:ascii="Cardo" w:cs="Cardo" w:eastAsia="Cardo" w:hAnsi="Cardo"/>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11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11</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val="0"/>
          <w:tblHeader w:val="0"/>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6</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 signal exceeds null</w:t>
            </w:r>
            <w:r>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 signal exceeds null</w:t>
            </w:r>
            <w:r>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7.</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External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External validation (GSE25065)</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val="0"/>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val="0"/>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val="0"/>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val="0"/>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val="0"/>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val="0"/>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6035040" cy="3317016"/>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6035040" cy="3317016"/>
                    </a:xfrm>
                    <a:prstGeom prst="rect"/>
                  </pic:spPr>
                </pic:pic>
              </a:graphicData>
            </a:graphic>
          </wp:inline>
        </w:drawing>
      </w:r>
    </w:p>
    <w:p>
      <w:r>
        <w:rPr>
          <w:i/>
          <w:sz w:val="20"/>
        </w:rPr>
        <w:t>Figure 7.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11);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(varied only in budget through the top-K sweep) and a linear SMO/SVM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Pr>
          <w:rtl w:val="0"/>
        </w:rPr>
      </w:r>
      <w:r>
        <w:t xml:space="preserve"> The feature-budget (top-K) sensitivity sweep has been completed and is reported above (Table 11). Two pre-specified robustness extensions remain, to be reported once executed under frozen, pre-registered protocols: an elastic-net comparator to test whether the leakage and stability behaviour is specific to the SVM model class, and a leakage-safe cross-platform external validation on an independent-platform cohort (GSE41998).</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val="0"/>
          <w:tblHeader w:val="0"/>
        </w:trPr>
        <w:tc>
          <w:tcPr/>
          <w:p w:rsidR="00000000" w:rsidDel="00000000" w:rsidP="00000000" w:rsidRDefault="00000000" w:rsidRPr="00000000" w14:paraId="000001E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APA</w:t>
            </w:r>
          </w:p>
        </w:tc>
        <w:tc>
          <w:tcPr/>
          <w:p w:rsidR="00000000" w:rsidDel="00000000" w:rsidP="00000000" w:rsidRDefault="00000000" w:rsidRPr="00000000" w14:paraId="000001E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American Psychological Association</w:t>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with a frozen, Zenodo-DOI-archivable release.</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