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Pr>
          <w:rtl w:val="0"/>
        </w:rPr>
      </w:r>
    </w:p>
    <w:p w:rsidR="00000000" w:rsidDel="00000000" w:rsidP="00000000" w:rsidRDefault="00000000" w:rsidRPr="00000000" w14:paraId="00000002">
      <w:pPr>
        <w:spacing w:line="480" w:lineRule="auto"/>
        <w:ind w:firstLine="0"/>
        <w:jc w:val="center"/>
        <w:rPr/>
      </w:pPr>
      <w:r>
        <w:rPr>
          <w:rFonts w:ascii="Times New Roman" w:cs="Times New Roman" w:eastAsia="Times New Roman" w:hAnsi="Times New Roman"/>
          <w:sz w:val="24"/>
          <w:szCs w:val="24"/>
          <w:rtl w:val="0"/>
        </w:rPr>
        <w:t xml:space="preserve">Iris Yang</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Wing-Keung Wong</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Paul Tan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Chung-I Huang</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 Jewel Wang</w:t>
      </w:r>
      <w:r>
        <w:rPr>
          <w:rFonts w:ascii="Times New Roman" w:cs="Times New Roman" w:eastAsia="Times New Roman" w:hAnsi="Times New Roman"/>
          <w:sz w:val="24"/>
          <w:szCs w:val="24"/>
          <w:vertAlign w:val="superscript"/>
          <w:rtl w:val="0"/>
        </w:rPr>
        <w:t xml:space="preserve">5</w:t>
      </w:r>
      <w:r>
        <w:rPr>
          <w:rtl w:val="0"/>
        </w:rPr>
      </w:r>
    </w:p>
    <w:p w:rsidR="00000000" w:rsidDel="00000000" w:rsidP="00000000" w:rsidRDefault="00000000" w:rsidRPr="00000000" w14:paraId="00000003">
      <w:pPr>
        <w:spacing w:line="480" w:lineRule="auto"/>
        <w:ind w:firstLine="0"/>
        <w:jc w:val="center"/>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California State University, Los Angeles, USA and Purdue University, USA; </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Asia University, Taiwan; </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Affiliation to be finalized; </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National Chung Hsing University, Taiwan; </w:t>
      </w:r>
      <w:r>
        <w:rPr>
          <w:rFonts w:ascii="Times New Roman" w:cs="Times New Roman" w:eastAsia="Times New Roman" w:hAnsi="Times New Roman"/>
          <w:sz w:val="24"/>
          <w:szCs w:val="24"/>
          <w:vertAlign w:val="superscript"/>
          <w:rtl w:val="0"/>
        </w:rPr>
        <w:t xml:space="preserve">5</w:t>
      </w:r>
      <w:r>
        <w:rPr>
          <w:rFonts w:ascii="Times New Roman" w:cs="Times New Roman" w:eastAsia="Times New Roman" w:hAnsi="Times New Roman"/>
          <w:sz w:val="24"/>
          <w:szCs w:val="24"/>
          <w:rtl w:val="0"/>
        </w:rPr>
        <w:t xml:space="preserve">Brandeis University, USA.</w:t>
      </w:r>
      <w:r>
        <w:rPr>
          <w:rtl w:val="0"/>
        </w:rPr>
      </w:r>
    </w:p>
    <w:p w:rsidR="00000000" w:rsidDel="00000000" w:rsidP="00000000" w:rsidRDefault="00000000" w:rsidRPr="00000000" w14:paraId="00000004">
      <w:pPr>
        <w:spacing w:line="480" w:lineRule="auto"/>
        <w:ind w:firstLine="0"/>
        <w:jc w:val="center"/>
        <w:rPr/>
      </w:pPr>
      <w:r>
        <w:rPr>
          <w:rFonts w:ascii="Times New Roman" w:cs="Times New Roman" w:eastAsia="Times New Roman" w:hAnsi="Times New Roman"/>
          <w:sz w:val="24"/>
          <w:szCs w:val="24"/>
          <w:rtl w:val="0"/>
        </w:rPr>
        <w:t xml:space="preserve">*Denotes co-corresponding authors.</w:t>
      </w:r>
      <w:r>
        <w:rPr>
          <w:rtl w:val="0"/>
        </w:rPr>
      </w:r>
    </w:p>
    <w:p w:rsidR="00000000" w:rsidDel="00000000" w:rsidP="00000000" w:rsidRDefault="00000000" w:rsidRPr="00000000" w14:paraId="00000005">
      <w:pPr>
        <w:pStyle w:val="Heading1"/>
        <w:rPr/>
      </w:pPr>
      <w:r>
        <w:rPr>
          <w:rtl w:val="0"/>
        </w:rPr>
        <w:t xml:space="preserve">Abstract</w:t>
      </w:r>
    </w:p>
    <w:p w:rsidR="00000000" w:rsidDel="00000000" w:rsidP="00000000" w:rsidRDefault="00000000" w:rsidRPr="00000000" w14:paraId="00000006">
      <w:pPr>
        <w:spacing w:line="480" w:lineRule="auto"/>
        <w:ind w:firstLine="0"/>
        <w:rPr/>
      </w:pPr>
      <w:r>
        <w:rPr>
          <w:rFonts w:ascii="Cardo" w:cs="Cardo" w:eastAsia="Cardo" w:hAnsi="Cardo"/>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linear 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r>
        <w:t xml:space="preserve"> The full audit is consolidated in a reproducible evidence-audit table and dashboard generated deterministically from the committed outputs.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nested cross-validation; feature selection; feature stability; pathological complete response; BioData Mining</w:t>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Introduction</w:t>
      </w:r>
    </w:p>
    <w:p w:rsidR="00000000" w:rsidDel="00000000" w:rsidP="00000000" w:rsidRDefault="00000000" w:rsidRPr="00000000" w14:paraId="0000000A">
      <w:pPr>
        <w:pStyle w:val="Heading2"/>
        <w:rPr/>
      </w:pPr>
      <w:r>
        <w:rPr>
          <w:rtl w:val="0"/>
        </w:rPr>
        <w:t xml:space="preserve">Public transcriptomic biomarker discovery and the reproducibility problem</w:t>
      </w:r>
    </w:p>
    <w:p w:rsidR="00000000" w:rsidDel="00000000" w:rsidP="00000000" w:rsidRDefault="00000000" w:rsidRPr="00000000" w14:paraId="0000000B">
      <w:pPr>
        <w:rPr/>
      </w:pPr>
      <w:r>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Pr>
          <w:rtl w:val="0"/>
        </w:rPr>
        <w:t xml:space="preserve">Data leakage as a methodological failure in omics machine learning</w:t>
      </w:r>
    </w:p>
    <w:p w:rsidR="00000000" w:rsidDel="00000000" w:rsidP="00000000" w:rsidRDefault="00000000" w:rsidRPr="00000000" w14:paraId="0000000E">
      <w:pPr>
        <w:rPr/>
      </w:pPr>
      <w:r>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Pr>
          <w:rtl w:val="0"/>
        </w:rPr>
        <w:t xml:space="preserve">Why SMO/SVM remains a useful test case</w:t>
      </w:r>
    </w:p>
    <w:p w:rsidR="00000000" w:rsidDel="00000000" w:rsidP="00000000" w:rsidRDefault="00000000" w:rsidRPr="00000000" w14:paraId="00000011">
      <w:pPr>
        <w:rPr/>
      </w:pPr>
      <w:r>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Pr>
          <w:rtl w:val="0"/>
        </w:rPr>
        <w:t xml:space="preserve">Nested cross-validation as the leakage-control architecture</w:t>
      </w:r>
    </w:p>
    <w:p w:rsidR="00000000" w:rsidDel="00000000" w:rsidP="00000000" w:rsidRDefault="00000000" w:rsidRPr="00000000" w14:paraId="00000014">
      <w:pPr>
        <w:rPr/>
      </w:pPr>
      <w:r>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Pr>
          <w:rtl w:val="0"/>
        </w:rPr>
        <w:t xml:space="preserve">Feature stability as a missing layer in biomarker evaluation</w:t>
      </w:r>
    </w:p>
    <w:p w:rsidR="00000000" w:rsidDel="00000000" w:rsidP="00000000" w:rsidRDefault="00000000" w:rsidRPr="00000000" w14:paraId="00000017">
      <w:pPr>
        <w:rPr/>
      </w:pPr>
      <w:r>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Pr>
          <w:rtl w:val="0"/>
        </w:rPr>
        <w:t xml:space="preserve">Study objective and contributions</w:t>
      </w:r>
    </w:p>
    <w:p w:rsidR="00000000" w:rsidDel="00000000" w:rsidP="00000000" w:rsidRDefault="00000000" w:rsidRPr="00000000" w14:paraId="0000001A">
      <w:pPr>
        <w:rPr/>
      </w:pPr>
      <w:r>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Pr>
          <w:rtl w:val="0"/>
        </w:rPr>
        <w:t xml:space="preserve">Literature Review</w:t>
      </w:r>
    </w:p>
    <w:p w:rsidR="00000000" w:rsidDel="00000000" w:rsidP="00000000" w:rsidRDefault="00000000" w:rsidRPr="00000000" w14:paraId="00000022">
      <w:pPr>
        <w:pStyle w:val="Heading2"/>
        <w:rPr/>
      </w:pPr>
      <w:r>
        <w:rPr>
          <w:rtl w:val="0"/>
        </w:rPr>
        <w:t xml:space="preserve">Search and evidence-screening basis</w:t>
      </w:r>
    </w:p>
    <w:p w:rsidR="00000000" w:rsidDel="00000000" w:rsidP="00000000" w:rsidRDefault="00000000" w:rsidRPr="00000000" w14:paraId="00000023">
      <w:pPr>
        <w:rPr/>
      </w:pPr>
      <w:r>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Pr>
          <w:rtl w:val="0"/>
        </w:rPr>
        <w:t xml:space="preserve">Data leakage and feature-selection bias in biomedical machine learning</w:t>
      </w:r>
    </w:p>
    <w:p w:rsidR="00000000" w:rsidDel="00000000" w:rsidP="00000000" w:rsidRDefault="00000000" w:rsidRPr="00000000" w14:paraId="00000025">
      <w:pPr>
        <w:rPr/>
      </w:pPr>
      <w:r>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Pr>
          <w:rtl w:val="0"/>
        </w:rPr>
        <w:t xml:space="preserve">Nested validation for high-dimensional omics</w:t>
      </w:r>
    </w:p>
    <w:p w:rsidR="00000000" w:rsidDel="00000000" w:rsidP="00000000" w:rsidRDefault="00000000" w:rsidRPr="00000000" w14:paraId="00000028">
      <w:pPr>
        <w:rPr/>
      </w:pPr>
      <w:r>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A">
      <w:pPr>
        <w:pStyle w:val="Heading2"/>
        <w:rPr/>
      </w:pPr>
      <w:r>
        <w:rPr>
          <w:rtl w:val="0"/>
        </w:rPr>
        <w:t xml:space="preserve">SVM/SMO and feature selection in transcriptomic classification</w:t>
      </w:r>
    </w:p>
    <w:p w:rsidR="00000000" w:rsidDel="00000000" w:rsidP="00000000" w:rsidRDefault="00000000" w:rsidRPr="00000000" w14:paraId="0000002B">
      <w:pPr>
        <w:rPr/>
      </w:pPr>
      <w:r>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Pr>
          <w:rtl w:val="0"/>
        </w:rPr>
        <w:t xml:space="preserve">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Pr>
          <w:rtl w:val="0"/>
        </w:rPr>
        <w:t xml:space="preserve">Feature stability and biomarker reproducibility</w:t>
      </w:r>
    </w:p>
    <w:p w:rsidR="00000000" w:rsidDel="00000000" w:rsidP="00000000" w:rsidRDefault="00000000" w:rsidRPr="00000000" w14:paraId="0000002E">
      <w:pPr>
        <w:rPr/>
      </w:pPr>
      <w:r>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Pr>
          <w:rtl w:val="0"/>
        </w:rPr>
        <w:t xml:space="preserve">Imbalanced biomedical classification and evaluation metrics</w:t>
      </w:r>
    </w:p>
    <w:p w:rsidR="00000000" w:rsidDel="00000000" w:rsidP="00000000" w:rsidRDefault="00000000" w:rsidRPr="00000000" w14:paraId="00000031">
      <w:pPr>
        <w:rPr/>
      </w:pPr>
      <w:r>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Pr>
          <w:rtl w:val="0"/>
        </w:rPr>
        <w:t xml:space="preserve">Breast cancer pCR/RD prediction as a biological stress test</w:t>
      </w:r>
    </w:p>
    <w:p w:rsidR="00000000" w:rsidDel="00000000" w:rsidP="00000000" w:rsidRDefault="00000000" w:rsidRPr="00000000" w14:paraId="00000034">
      <w:pPr>
        <w:rPr/>
      </w:pPr>
      <w:r>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Pr>
          <w:rtl w:val="0"/>
        </w:rPr>
        <w:t xml:space="preserve">Reporting standards and trustworthy biomedical AI</w:t>
      </w:r>
    </w:p>
    <w:p w:rsidR="00000000" w:rsidDel="00000000" w:rsidP="00000000" w:rsidRDefault="00000000" w:rsidRPr="00000000" w14:paraId="00000037">
      <w:pPr>
        <w:rPr/>
      </w:pPr>
      <w:r>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Pr>
          <w:rtl w:val="0"/>
        </w:rPr>
        <w:t xml:space="preserve">Remaining methodological gap</w:t>
      </w:r>
    </w:p>
    <w:p w:rsidR="00000000" w:rsidDel="00000000" w:rsidP="00000000" w:rsidRDefault="00000000" w:rsidRPr="00000000" w14:paraId="00000039">
      <w:pPr>
        <w:rPr/>
      </w:pPr>
      <w:r>
        <w:rPr>
          <w:rtl w:val="0"/>
        </w:rPr>
        <w:t xml:space="preserve">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Pr>
                <w:rtl w:val="0"/>
              </w:rPr>
            </w:r>
          </w:p>
        </w:tc>
      </w:tr>
      <w:tr>
        <w:trPr>
          <w:cantSplit w:val="0"/>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Pr>
                <w:rtl w:val="0"/>
              </w:rPr>
            </w:r>
          </w:p>
        </w:tc>
      </w:tr>
      <w:tr>
        <w:trPr>
          <w:cantSplit w:val="0"/>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SMO/SVM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val="0"/>
          <w:tblHeader w:val="0"/>
        </w:trPr>
        <w:tc>
          <w:tcPr/>
          <w:p w:rsidR="00000000" w:rsidDel="00000000" w:rsidP="00000000" w:rsidRDefault="00000000" w:rsidRPr="00000000" w14:paraId="0000006D">
            <w:pPr>
              <w:spacing w:line="240" w:lineRule="auto"/>
              <w:ind w:firstLine="0"/>
              <w:rPr/>
            </w:pPr>
            <w:r>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Pr>
                <w:rtl w:val="0"/>
              </w:rPr>
            </w:r>
          </w:p>
        </w:tc>
        <w:tc>
          <w:tcPr/>
          <w:p w:rsidR="00000000" w:rsidDel="00000000" w:rsidP="00000000" w:rsidRDefault="00000000" w:rsidRPr="00000000" w14:paraId="0000006E">
            <w:pPr>
              <w:spacing w:line="240" w:lineRule="auto"/>
              <w:ind w:firstLine="0"/>
              <w:rPr/>
            </w:pPr>
            <w:r>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Pr>
                <w:rtl w:val="0"/>
              </w:rPr>
            </w:r>
          </w:p>
        </w:tc>
        <w:tc>
          <w:tcPr/>
          <w:p w:rsidR="00000000" w:rsidDel="00000000" w:rsidP="00000000" w:rsidRDefault="00000000" w:rsidRPr="00000000" w14:paraId="0000006F">
            <w:pPr>
              <w:spacing w:line="240" w:lineRule="auto"/>
              <w:ind w:firstLine="0"/>
              <w:rPr/>
            </w:pPr>
            <w:r>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Pr>
                <w:rtl w:val="0"/>
              </w:rPr>
            </w:r>
          </w:p>
        </w:tc>
        <w:tc>
          <w:tcPr/>
          <w:p w:rsidR="00000000" w:rsidDel="00000000" w:rsidP="00000000" w:rsidRDefault="00000000" w:rsidRPr="00000000" w14:paraId="00000070">
            <w:pPr>
              <w:spacing w:line="240" w:lineRule="auto"/>
              <w:ind w:firstLine="0"/>
              <w:rPr/>
            </w:pPr>
            <w:r>
              <w:rPr>
                <w:rFonts w:ascii="Times New Roman" w:cs="Times New Roman" w:eastAsia="Times New Roman" w:hAnsi="Times New Roman"/>
                <w:b w:val="0"/>
                <w:bCs w:val="0"/>
                <w:i w:val="0"/>
                <w:iCs w:val="0"/>
                <w:sz w:val="18"/>
                <w:szCs w:val="18"/>
                <w:rtl w:val="0"/>
              </w:rPr>
              <w:t xml:space="preserve">Uses an established SMO/SVM workhorse to produce an integrated empirical audit (leakage gap + feature stability + external validation + evidence-audit table), complementary to such tools.</w:t>
            </w:r>
            <w:r>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Pr>
          <w:rtl w:val="0"/>
        </w:rPr>
        <w:t xml:space="preserve">Methods</w:t>
      </w:r>
    </w:p>
    <w:p w:rsidR="00000000" w:rsidDel="00000000" w:rsidP="00000000" w:rsidRDefault="00000000" w:rsidRPr="00000000" w14:paraId="00000073">
      <w:pPr>
        <w:pStyle w:val="Heading2"/>
        <w:rPr/>
      </w:pPr>
      <w:r>
        <w:rPr>
          <w:rtl w:val="0"/>
        </w:rPr>
        <w:t xml:space="preserve">Study design overview</w:t>
      </w:r>
    </w:p>
    <w:p w:rsidR="00000000" w:rsidDel="00000000" w:rsidP="00000000" w:rsidRDefault="00000000" w:rsidRPr="00000000" w14:paraId="00000074">
      <w:pPr>
        <w:rPr/>
      </w:pPr>
      <w:r>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Pr>
          <w:rtl w:val="0"/>
        </w:rPr>
        <w:t xml:space="preserve">Public datasets and cohort eligibility</w:t>
      </w:r>
    </w:p>
    <w:p w:rsidR="00000000" w:rsidDel="00000000" w:rsidP="00000000" w:rsidRDefault="00000000" w:rsidRPr="00000000" w14:paraId="00000076">
      <w:pPr>
        <w:rPr/>
      </w:pPr>
      <w:r>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GSE41998 (GPL571) is documented in the dataset audit but not used in the present analysis; its labels and platform require additional leakage-safe, cross-platform handling.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GSE20194 and GSE20271 are documented but not used, owing to MDACC-lineage patient-overlap risk.</w:t>
      </w:r>
    </w:p>
    <w:p w:rsidR="00000000" w:rsidDel="00000000" w:rsidP="00000000" w:rsidRDefault="00000000" w:rsidRPr="00000000" w14:paraId="0000007B">
      <w:pPr>
        <w:pStyle w:val="Heading2"/>
        <w:rPr/>
      </w:pPr>
      <w:r>
        <w:rPr>
          <w:rtl w:val="0"/>
        </w:rPr>
        <w:t xml:space="preserve">Outcome definition</w:t>
      </w:r>
    </w:p>
    <w:p w:rsidR="00000000" w:rsidDel="00000000" w:rsidP="00000000" w:rsidRDefault="00000000" w:rsidRPr="00000000" w14:paraId="0000007C">
      <w:pPr>
        <w:rPr/>
      </w:pPr>
      <w:r>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Pr>
          <w:rtl w:val="0"/>
        </w:rPr>
        <w:t xml:space="preserve">Data preprocessing and leakage-control rules</w:t>
      </w:r>
    </w:p>
    <w:p w:rsidR="00000000" w:rsidDel="00000000" w:rsidP="00000000" w:rsidRDefault="00000000" w:rsidRPr="00000000" w14:paraId="0000007E">
      <w:pPr>
        <w:rPr/>
      </w:pPr>
      <w:r>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F">
      <w:pPr>
        <w:pStyle w:val="Heading2"/>
        <w:rPr/>
      </w:pPr>
      <w:r>
        <w:rPr>
          <w:rtl w:val="0"/>
        </w:rPr>
        <w:t xml:space="preserve">Pipeline A: naive/leaky baseline</w:t>
      </w:r>
    </w:p>
    <w:p w:rsidR="00000000" w:rsidDel="00000000" w:rsidP="00000000" w:rsidRDefault="00000000" w:rsidRPr="00000000" w14:paraId="00000080">
      <w:pPr>
        <w:rPr/>
      </w:pPr>
      <w:r>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Pr>
          <w:rtl w:val="0"/>
        </w:rPr>
        <w:t xml:space="preserve">Pipeline B: guarded nested SMO/SVM framework</w:t>
      </w:r>
    </w:p>
    <w:p w:rsidR="00000000" w:rsidDel="00000000" w:rsidP="00000000" w:rsidRDefault="00000000" w:rsidRPr="00000000" w14:paraId="00000082">
      <w:pPr>
        <w:rPr/>
      </w:pPr>
      <w:r>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Pr>
          <w:rtl w:val="0"/>
        </w:rPr>
        <w:t>Model specification (linear SVM)</w:t>
      </w:r>
    </w:p>
    <w:p w:rsidR="00000000" w:rsidDel="00000000" w:rsidP="00000000" w:rsidRDefault="00000000" w:rsidRPr="00000000" w14:paraId="00000085">
      <w:pPr>
        <w:rPr/>
      </w:pPr>
      <w:r>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14:paraId="00000086">
      <w:pPr>
        <w:pStyle w:val="Heading2"/>
        <w:rPr/>
      </w:pPr>
      <w:r>
        <w:rPr>
          <w:rtl w:val="0"/>
        </w:rPr>
        <w:t xml:space="preserve">Feature-selection methods</w:t>
      </w:r>
    </w:p>
    <w:p w:rsidR="00000000" w:rsidDel="00000000" w:rsidP="00000000" w:rsidRDefault="00000000" w:rsidRPr="00000000" w14:paraId="00000087">
      <w:pPr>
        <w:rPr/>
      </w:pPr>
      <w:r>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pPr>
        <w:rPr/>
      </w:pPr>
      <w:r>
        <w:rPr>
          <w:i w:val="1"/>
          <w:iCs w:val="1"/>
          <w:rtl w:val="0"/>
        </w:rPr>
        <w:t xml:space="preserve">Selector-budget sensitivity analysis. </w:t>
      </w:r>
      <w:r>
        <w:rPr>
          <w:rtl w:val="0"/>
        </w:rPr>
        <w:t xml:space="preserve">To assess robustness to the feature-selection budget, the univariate Welch t-test selector was held fixed while the top-K budget was varied over K = 25, 50, 100, and 200, and the leaky and guarded nested pipelines were re-evaluated at each K on GSE25055 (scripts/12_selector_k_sweep.R). All other settings — seed, fold structure, scaling, class weighting, and cost grid — were unchanged, and K = 100 reproduced the primary analysis exactly, anchoring the sweep. No external cohorts were used.</w:t>
      </w:r>
    </w:p>
    <w:p w:rsidR="00000000" w:rsidDel="00000000" w:rsidP="00000000" w:rsidRDefault="00000000" w:rsidRPr="00000000" w14:paraId="00000088">
      <w:pPr>
        <w:pStyle w:val="Heading2"/>
        <w:rPr/>
      </w:pPr>
      <w:r>
        <w:rPr>
          <w:rtl w:val="0"/>
        </w:rPr>
        <w:t xml:space="preserve">Performance, leakage, and stability metrics</w:t>
      </w:r>
    </w:p>
    <w:p w:rsidR="00000000" w:rsidDel="00000000" w:rsidP="00000000" w:rsidRDefault="00000000" w:rsidRPr="00000000" w14:paraId="00000089">
      <w:pPr>
        <w:rPr/>
      </w:pPr>
      <w:r>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14:paraId="0000008A">
      <w:pPr>
        <w:pStyle w:val="Heading2"/>
        <w:rPr/>
      </w:pPr>
      <w:r>
        <w:rPr>
          <w:rtl w:val="0"/>
        </w:rPr>
        <w:t xml:space="preserve">Uncertainty quantification, permutation control, and repeated cross-validation</w:t>
      </w:r>
    </w:p>
    <w:p w:rsidR="00000000" w:rsidDel="00000000" w:rsidP="00000000" w:rsidRDefault="00000000" w:rsidRPr="00000000" w14:paraId="0000008B">
      <w:pPr>
        <w:rPr/>
      </w:pPr>
      <w:r>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Pr>
          <w:rtl w:val="0"/>
        </w:rPr>
      </w:r>
    </w:p>
    <w:p w:rsidR="00000000" w:rsidDel="00000000" w:rsidP="00000000" w:rsidRDefault="00000000" w:rsidRPr="00000000" w14:paraId="0000008D">
      <w:pPr>
        <w:rPr/>
      </w:pPr>
      <w:r>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Pr>
          <w:rtl w:val="0"/>
        </w:rPr>
      </w:r>
    </w:p>
    <w:p w:rsidR="00000000" w:rsidDel="00000000" w:rsidP="00000000" w:rsidRDefault="00000000" w:rsidRPr="00000000" w14:paraId="0000008E">
      <w:pPr>
        <w:rPr/>
      </w:pPr>
      <w:r>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Pr>
          <w:rtl w:val="0"/>
        </w:rPr>
      </w:r>
    </w:p>
    <w:p w:rsidR="00000000" w:rsidDel="00000000" w:rsidP="00000000" w:rsidRDefault="00000000" w:rsidRPr="00000000" w14:paraId="0000008F">
      <w:pPr>
        <w:pStyle w:val="Heading2"/>
        <w:rPr/>
      </w:pPr>
      <w:r>
        <w:rPr>
          <w:rtl w:val="0"/>
        </w:rPr>
        <w:t xml:space="preserve">External validation protocol</w:t>
      </w:r>
    </w:p>
    <w:p w:rsidR="00000000" w:rsidDel="00000000" w:rsidP="00000000" w:rsidRDefault="00000000" w:rsidRPr="00000000" w14:paraId="00000090">
      <w:pPr>
        <w:rPr/>
      </w:pPr>
      <w:r>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0000091">
      <w:pPr>
        <w:pStyle w:val="Heading2"/>
        <w:rPr/>
      </w:pPr>
      <w:r>
        <w:rPr>
          <w:rtl w:val="0"/>
        </w:rPr>
        <w:t xml:space="preserve">Reproducibility and software availability</w:t>
      </w:r>
    </w:p>
    <w:p w:rsidR="00000000" w:rsidDel="00000000" w:rsidP="00000000" w:rsidRDefault="00000000" w:rsidRPr="00000000" w14:paraId="00000092">
      <w:pPr>
        <w:rPr/>
      </w:pPr>
      <w:r>
        <w:rPr>
          <w:rtl w:val="0"/>
        </w:rP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Zenodo) will accompany the final submission.</w:t>
      </w:r>
      <w:r>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Pr>
          <w:rtl w:val="0"/>
        </w:rPr>
      </w:r>
      <w:r>
        <w:t xml:space="preserve"> A machine-readable evidence-audit artifact and a six-panel evidence-audit dashboard are produced from the committed outputs by scripts/10_build_evidence_audit_artifact.R and scripts/11_plot_evidence_audit_dashboard.R, with no new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Pr>
                <w:rtl w:val="0"/>
              </w:rPr>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Pr>
          <w:rtl w:val="0"/>
        </w:rPr>
      </w:r>
    </w:p>
    <w:p w:rsidR="00000000" w:rsidDel="00000000" w:rsidP="00000000" w:rsidRDefault="00000000" w:rsidRPr="00000000" w14:paraId="000000A9">
      <w:pPr>
        <w:rPr/>
      </w:pPr>
      <w:r>
        <w:rPr>
          <w:i w:val="1"/>
          <w:iCs w:val="1"/>
          <w:sz w:val="20"/>
          <w:szCs w:val="20"/>
          <w:rtl w:val="0"/>
        </w:rPr>
        <w:t xml:space="preserve">Figure 1. Conceptual comparison of the leaky (global) and guarded (nested) pipelines on GSE25055. Both use the same linear SMO/SVM, t-test top-100 feature selection, and cost grid; they differ only in whether feature selection occurs before the validation split (leaky) or strictly inside training folds (guarded).</w:t>
      </w:r>
      <w:r>
        <w:rPr>
          <w:rtl w:val="0"/>
        </w:rPr>
      </w:r>
    </w:p>
    <w:p w:rsidR="00000000" w:rsidDel="00000000" w:rsidP="00000000" w:rsidRDefault="00000000" w:rsidRPr="00000000" w14:paraId="000000AA">
      <w:pPr>
        <w:pStyle w:val="Heading1"/>
        <w:rPr/>
      </w:pPr>
      <w:r>
        <w:rPr>
          <w:b w:val="0"/>
          <w:bCs w:val="0"/>
          <w:rtl w:val="0"/>
        </w:rPr>
        <w:t xml:space="preserve">Results</w:t>
      </w:r>
      <w:r>
        <w:rPr>
          <w:rtl w:val="0"/>
        </w:rPr>
      </w:r>
    </w:p>
    <w:p w:rsidR="00000000" w:rsidDel="00000000" w:rsidP="00000000" w:rsidRDefault="00000000" w:rsidRPr="00000000" w14:paraId="000000AB">
      <w:pPr>
        <w:rPr/>
      </w:pPr>
      <w:r>
        <w:rPr>
          <w:rtl w:val="0"/>
        </w:rPr>
        <w:t xml:space="preserve">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AC">
      <w:pPr>
        <w:pStyle w:val="Heading2"/>
        <w:rPr/>
      </w:pPr>
      <w:r>
        <w:rPr>
          <w:b w:val="0"/>
          <w:bCs w:val="0"/>
          <w:rtl w:val="0"/>
        </w:rPr>
        <w:t xml:space="preserve">Cohort construction and endpoint harmonization</w:t>
      </w:r>
      <w:r>
        <w:rPr>
          <w:rtl w:val="0"/>
        </w:rPr>
      </w:r>
    </w:p>
    <w:p w:rsidR="00000000" w:rsidDel="00000000" w:rsidP="00000000" w:rsidRDefault="00000000" w:rsidRPr="00000000" w14:paraId="000000AD">
      <w:pPr>
        <w:rPr/>
      </w:pPr>
      <w:r>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B2">
            <w:pPr>
              <w:spacing w:line="240" w:lineRule="auto"/>
              <w:ind w:firstLine="0"/>
              <w:jc w:val="center"/>
              <w:rPr>
                <w:sz w:val="18"/>
                <w:szCs w:val="18"/>
              </w:rPr>
            </w:pPr>
            <w:r>
              <w:rPr>
                <w:b w:val="1"/>
                <w:bCs w:val="1"/>
                <w:sz w:val="18"/>
                <w:szCs w:val="18"/>
                <w:rtl w:val="0"/>
              </w:rPr>
              <w:t xml:space="preserve">Cohort</w:t>
            </w:r>
            <w:r>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Pr>
                <w:b w:val="1"/>
                <w:bCs w:val="1"/>
                <w:sz w:val="18"/>
                <w:szCs w:val="18"/>
                <w:rtl w:val="0"/>
              </w:rPr>
              <w:t xml:space="preserve">Role/use</w:t>
            </w:r>
            <w:r>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Pr>
                <w:b w:val="1"/>
                <w:bCs w:val="1"/>
                <w:sz w:val="18"/>
                <w:szCs w:val="18"/>
                <w:rtl w:val="0"/>
              </w:rPr>
              <w:t xml:space="preserve">Usable labels</w:t>
            </w:r>
            <w:r>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Pr>
                <w:b w:val="1"/>
                <w:bCs w:val="1"/>
                <w:sz w:val="18"/>
                <w:szCs w:val="18"/>
                <w:rtl w:val="0"/>
              </w:rPr>
              <w:t xml:space="preserve">Audit note</w:t>
            </w:r>
            <w:r>
              <w:rPr>
                <w:rtl w:val="0"/>
              </w:rPr>
            </w:r>
          </w:p>
        </w:tc>
      </w:tr>
      <w:tr>
        <w:trPr>
          <w:cantSplit w:val="0"/>
          <w:tblHeader w:val="0"/>
        </w:trPr>
        <w:tc>
          <w:tcPr/>
          <w:p w:rsidR="00000000" w:rsidDel="00000000" w:rsidP="00000000" w:rsidRDefault="00000000" w:rsidRPr="00000000" w14:paraId="000000B6">
            <w:pPr>
              <w:spacing w:line="240" w:lineRule="auto"/>
              <w:ind w:firstLine="0"/>
              <w:jc w:val="center"/>
              <w:rPr>
                <w:sz w:val="18"/>
                <w:szCs w:val="18"/>
              </w:rPr>
            </w:pPr>
            <w:r>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Pr>
                <w:sz w:val="18"/>
                <w:szCs w:val="18"/>
                <w:rtl w:val="0"/>
              </w:rPr>
              <w:t xml:space="preserve">GPL96; 4 missing labels excluded.</w:t>
            </w:r>
          </w:p>
        </w:tc>
      </w:tr>
      <w:tr>
        <w:trPr>
          <w:cantSplit w:val="0"/>
          <w:tblHeader w:val="0"/>
        </w:trPr>
        <w:tc>
          <w:tcPr/>
          <w:p w:rsidR="00000000" w:rsidDel="00000000" w:rsidP="00000000" w:rsidRDefault="00000000" w:rsidRPr="00000000" w14:paraId="000000BA">
            <w:pPr>
              <w:spacing w:line="240" w:lineRule="auto"/>
              <w:ind w:firstLine="0"/>
              <w:jc w:val="center"/>
              <w:rPr>
                <w:sz w:val="18"/>
                <w:szCs w:val="18"/>
              </w:rPr>
            </w:pPr>
            <w:r>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Pr>
                <w:sz w:val="18"/>
                <w:szCs w:val="18"/>
                <w:rtl w:val="0"/>
              </w:rPr>
              <w:t xml:space="preserve">Same-platform, same-study-family validation</w:t>
            </w:r>
          </w:p>
        </w:tc>
        <w:tc>
          <w:tcPr/>
          <w:p w:rsidR="00000000" w:rsidDel="00000000" w:rsidP="00000000" w:rsidRDefault="00000000" w:rsidRPr="00000000" w14:paraId="000000BC">
            <w:pPr>
              <w:spacing w:line="240" w:lineRule="auto"/>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Pr>
                <w:sz w:val="18"/>
                <w:szCs w:val="18"/>
                <w:rtl w:val="0"/>
              </w:rPr>
              <w:t xml:space="preserve">GPL96; 16 missing labels excluded; non-overlapping with GSE25055.</w:t>
            </w:r>
          </w:p>
        </w:tc>
      </w:tr>
      <w:tr>
        <w:trPr>
          <w:cantSplit w:val="0"/>
          <w:tblHeader w:val="0"/>
        </w:trPr>
        <w:tc>
          <w:tcPr/>
          <w:p w:rsidR="00000000" w:rsidDel="00000000" w:rsidP="00000000" w:rsidRDefault="00000000" w:rsidRPr="00000000" w14:paraId="000000BE">
            <w:pPr>
              <w:spacing w:line="240" w:lineRule="auto"/>
              <w:ind w:firstLine="0"/>
              <w:jc w:val="center"/>
              <w:rPr>
                <w:sz w:val="18"/>
                <w:szCs w:val="18"/>
              </w:rPr>
            </w:pPr>
            <w:r>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Pr>
                <w:sz w:val="18"/>
                <w:szCs w:val="18"/>
                <w:rtl w:val="0"/>
              </w:rPr>
              <w:t xml:space="preserve">GPL571; not used in current modeling because 26 labels are unresolved/missing and cross-platform harmonization is needed.</w:t>
            </w:r>
          </w:p>
        </w:tc>
      </w:tr>
      <w:tr>
        <w:trPr>
          <w:cantSplit w:val="0"/>
          <w:tblHeader w:val="0"/>
        </w:trPr>
        <w:tc>
          <w:tcPr/>
          <w:p w:rsidR="00000000" w:rsidDel="00000000" w:rsidP="00000000" w:rsidRDefault="00000000" w:rsidRPr="00000000" w14:paraId="000000C2">
            <w:pPr>
              <w:spacing w:line="240" w:lineRule="auto"/>
              <w:ind w:firstLine="0"/>
              <w:jc w:val="center"/>
              <w:rPr>
                <w:sz w:val="18"/>
                <w:szCs w:val="18"/>
              </w:rPr>
            </w:pPr>
            <w:r>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C6">
            <w:pPr>
              <w:spacing w:line="240" w:lineRule="auto"/>
              <w:ind w:firstLine="0"/>
              <w:jc w:val="center"/>
              <w:rPr>
                <w:sz w:val="18"/>
                <w:szCs w:val="18"/>
              </w:rPr>
            </w:pPr>
            <w:r>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Pr>
          <w:b w:val="0"/>
          <w:bCs w:val="0"/>
          <w:rtl w:val="0"/>
        </w:rPr>
        <w:t xml:space="preserve">Leaky versus guarded nested SMO/SVM performance</w:t>
      </w:r>
      <w:r>
        <w:rPr>
          <w:rtl w:val="0"/>
        </w:rPr>
      </w:r>
    </w:p>
    <w:p w:rsidR="00000000" w:rsidDel="00000000" w:rsidP="00000000" w:rsidRDefault="00000000" w:rsidRPr="00000000" w14:paraId="000000CC">
      <w:pPr>
        <w:rPr/>
      </w:pPr>
      <w:r>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Pr>
          <w:rtl w:val="0"/>
        </w:rPr>
      </w:r>
    </w:p>
    <w:p w:rsidR="00000000" w:rsidDel="00000000" w:rsidP="00000000" w:rsidRDefault="00000000" w:rsidRPr="00000000" w14:paraId="000000D1">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val="0"/>
          <w:tblHeader w:val="0"/>
        </w:trPr>
        <w:tc>
          <w:tcPr>
            <w:shd w:fill="d9eaf7" w:val="clear"/>
          </w:tcPr>
          <w:p w:rsidR="00000000" w:rsidDel="00000000" w:rsidP="00000000" w:rsidRDefault="00000000" w:rsidRPr="00000000" w14:paraId="000000D2">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0D3">
            <w:pPr>
              <w:ind w:firstLine="0"/>
              <w:jc w:val="center"/>
              <w:rPr>
                <w:sz w:val="18"/>
                <w:szCs w:val="18"/>
              </w:rPr>
            </w:pPr>
            <w:r>
              <w:rPr>
                <w:b w:val="1"/>
                <w:bCs w:val="1"/>
                <w:sz w:val="18"/>
                <w:szCs w:val="18"/>
                <w:rtl w:val="0"/>
              </w:rPr>
              <w:t xml:space="preserve">Leaky baseline</w:t>
            </w:r>
            <w:r>
              <w:rPr>
                <w:rtl w:val="0"/>
              </w:rPr>
            </w:r>
          </w:p>
        </w:tc>
        <w:tc>
          <w:tcPr>
            <w:shd w:fill="d9eaf7" w:val="clear"/>
          </w:tcPr>
          <w:p w:rsidR="00000000" w:rsidDel="00000000" w:rsidP="00000000" w:rsidRDefault="00000000" w:rsidRPr="00000000" w14:paraId="000000D4">
            <w:pPr>
              <w:ind w:firstLine="0"/>
              <w:jc w:val="center"/>
              <w:rPr>
                <w:sz w:val="18"/>
                <w:szCs w:val="18"/>
              </w:rPr>
            </w:pPr>
            <w:r>
              <w:rPr>
                <w:b w:val="1"/>
                <w:bCs w:val="1"/>
                <w:sz w:val="18"/>
                <w:szCs w:val="18"/>
                <w:rtl w:val="0"/>
              </w:rPr>
              <w:t xml:space="preserve">Guarded nested SMO/SVM</w:t>
            </w:r>
            <w:r>
              <w:rPr>
                <w:rtl w:val="0"/>
              </w:rPr>
            </w:r>
          </w:p>
        </w:tc>
        <w:tc>
          <w:tcPr>
            <w:shd w:fill="d9eaf7" w:val="clear"/>
          </w:tcPr>
          <w:p w:rsidR="00000000" w:rsidDel="00000000" w:rsidP="00000000" w:rsidRDefault="00000000" w:rsidRPr="00000000" w14:paraId="000000D5">
            <w:pPr>
              <w:ind w:firstLine="0"/>
              <w:jc w:val="center"/>
              <w:rPr>
                <w:sz w:val="18"/>
                <w:szCs w:val="18"/>
              </w:rPr>
            </w:pPr>
            <w:r>
              <w:rPr>
                <w:b w:val="1"/>
                <w:bCs w:val="1"/>
                <w:sz w:val="18"/>
                <w:szCs w:val="18"/>
                <w:rtl w:val="0"/>
              </w:rPr>
              <w:t xml:space="preserve">Leaky - guarded gap</w:t>
            </w:r>
            <w:r>
              <w:rPr>
                <w:rtl w:val="0"/>
              </w:rPr>
            </w:r>
          </w:p>
        </w:tc>
      </w:tr>
      <w:tr>
        <w:trPr>
          <w:cantSplit w:val="0"/>
          <w:trHeight w:val="502.4560546875" w:hRule="atLeast"/>
          <w:tblHeader w:val="0"/>
        </w:trPr>
        <w:tc>
          <w:tcPr/>
          <w:p w:rsidR="00000000" w:rsidDel="00000000" w:rsidP="00000000" w:rsidRDefault="00000000" w:rsidRPr="00000000" w14:paraId="000000D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AUROC</w:t>
            </w:r>
            <w:r>
              <w:rPr>
                <w:rtl w:val="0"/>
              </w:rPr>
            </w:r>
          </w:p>
        </w:tc>
        <w:tc>
          <w:tcPr/>
          <w:p w:rsidR="00000000" w:rsidDel="00000000" w:rsidP="00000000" w:rsidRDefault="00000000" w:rsidRPr="00000000" w14:paraId="000000D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 (0.711–0.824)</w:t>
            </w:r>
            <w:r>
              <w:rPr>
                <w:rtl w:val="0"/>
              </w:rPr>
            </w:r>
          </w:p>
        </w:tc>
        <w:tc>
          <w:tcPr/>
          <w:p w:rsidR="00000000" w:rsidDel="00000000" w:rsidP="00000000" w:rsidRDefault="00000000" w:rsidRPr="00000000" w14:paraId="000000D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 (0.653–0.791)</w:t>
            </w:r>
            <w:r>
              <w:rPr>
                <w:rtl w:val="0"/>
              </w:rPr>
            </w:r>
          </w:p>
        </w:tc>
        <w:tc>
          <w:tcPr/>
          <w:p w:rsidR="00000000" w:rsidDel="00000000" w:rsidP="00000000" w:rsidRDefault="00000000" w:rsidRPr="00000000" w14:paraId="000000D9">
            <w:pPr>
              <w:ind w:firstLine="0"/>
              <w:jc w:val="center"/>
              <w:rPr>
                <w:sz w:val="18"/>
                <w:szCs w:val="18"/>
              </w:rPr>
            </w:pPr>
            <w:r>
              <w:rPr>
                <w:rFonts w:ascii="Gungsuh" w:cs="Gungsuh" w:eastAsia="Gungsuh" w:hAnsi="Gungsuh"/>
                <w:b w:val="0"/>
                <w:bCs w:val="0"/>
                <w:i w:val="0"/>
                <w:iCs w:val="0"/>
                <w:sz w:val="18"/>
                <w:szCs w:val="18"/>
                <w:rtl w:val="0"/>
              </w:rPr>
              <w:t xml:space="preserve">+0.044 (95% CI −0.013 to +0.103; bootstrap p = 0.13)</w:t>
            </w:r>
            <w:r>
              <w:rPr>
                <w:rtl w:val="0"/>
              </w:rPr>
            </w:r>
          </w:p>
        </w:tc>
      </w:tr>
      <w:tr>
        <w:trPr>
          <w:cantSplit w:val="0"/>
          <w:tblHeader w:val="0"/>
        </w:trPr>
        <w:tc>
          <w:tcPr/>
          <w:p w:rsidR="00000000" w:rsidDel="00000000" w:rsidP="00000000" w:rsidRDefault="00000000" w:rsidRPr="00000000" w14:paraId="000000D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PR-AUC</w:t>
            </w:r>
            <w:r>
              <w:rPr>
                <w:rtl w:val="0"/>
              </w:rPr>
            </w:r>
          </w:p>
        </w:tc>
        <w:tc>
          <w:tcPr/>
          <w:p w:rsidR="00000000" w:rsidDel="00000000" w:rsidP="00000000" w:rsidRDefault="00000000" w:rsidRPr="00000000" w14:paraId="000000D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0.4016 (0.333–0.497)</w:t>
            </w:r>
            <w:r>
              <w:rPr>
                <w:rtl w:val="0"/>
              </w:rPr>
            </w:r>
          </w:p>
        </w:tc>
        <w:tc>
          <w:tcPr/>
          <w:p w:rsidR="00000000" w:rsidDel="00000000" w:rsidP="00000000" w:rsidRDefault="00000000" w:rsidRPr="00000000" w14:paraId="000000D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0.3653 (0.281–0.472)</w:t>
            </w:r>
            <w:r>
              <w:rPr>
                <w:rtl w:val="0"/>
              </w:rPr>
            </w:r>
          </w:p>
        </w:tc>
        <w:tc>
          <w:tcPr/>
          <w:p w:rsidR="00000000" w:rsidDel="00000000" w:rsidP="00000000" w:rsidRDefault="00000000" w:rsidRPr="00000000" w14:paraId="000000DD">
            <w:pPr>
              <w:ind w:firstLine="0"/>
              <w:jc w:val="center"/>
              <w:rPr>
                <w:sz w:val="18"/>
                <w:szCs w:val="18"/>
              </w:rPr>
            </w:pPr>
            <w:r>
              <w:rPr>
                <w:rFonts w:ascii="Gungsuh" w:cs="Gungsuh" w:eastAsia="Gungsuh" w:hAnsi="Gungsuh"/>
                <w:b w:val="0"/>
                <w:bCs w:val="0"/>
                <w:i w:val="0"/>
                <w:iCs w:val="0"/>
                <w:sz w:val="18"/>
                <w:szCs w:val="18"/>
                <w:rtl w:val="0"/>
              </w:rPr>
              <w:t xml:space="preserve">+0.036 (−0.048 to +0.125; p = 0.38)</w:t>
            </w:r>
            <w:r>
              <w:rPr>
                <w:rtl w:val="0"/>
              </w:rPr>
            </w:r>
          </w:p>
        </w:tc>
      </w:tr>
      <w:tr>
        <w:trPr>
          <w:cantSplit w:val="0"/>
          <w:tblHeader w:val="0"/>
        </w:trPr>
        <w:tc>
          <w:tcPr/>
          <w:p w:rsidR="00000000" w:rsidDel="00000000" w:rsidP="00000000" w:rsidRDefault="00000000" w:rsidRPr="00000000" w14:paraId="000000D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Balanced accuracy</w:t>
            </w:r>
            <w:r>
              <w:rPr>
                <w:rtl w:val="0"/>
              </w:rPr>
            </w:r>
          </w:p>
        </w:tc>
        <w:tc>
          <w:tcPr/>
          <w:p w:rsidR="00000000" w:rsidDel="00000000" w:rsidP="00000000" w:rsidRDefault="00000000" w:rsidRPr="00000000" w14:paraId="000000D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0.5546 (0.525–0.586)</w:t>
            </w:r>
            <w:r>
              <w:rPr>
                <w:rtl w:val="0"/>
              </w:rPr>
            </w:r>
          </w:p>
        </w:tc>
        <w:tc>
          <w:tcPr/>
          <w:p w:rsidR="00000000" w:rsidDel="00000000" w:rsidP="00000000" w:rsidRDefault="00000000" w:rsidRPr="00000000" w14:paraId="000000E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0.5792 (0.527–0.633)</w:t>
            </w:r>
            <w:r>
              <w:rPr>
                <w:rtl w:val="0"/>
              </w:rPr>
            </w:r>
          </w:p>
        </w:tc>
        <w:tc>
          <w:tcPr/>
          <w:p w:rsidR="00000000" w:rsidDel="00000000" w:rsidP="00000000" w:rsidRDefault="00000000" w:rsidRPr="00000000" w14:paraId="000000E1">
            <w:pPr>
              <w:ind w:firstLine="0"/>
              <w:jc w:val="center"/>
              <w:rPr>
                <w:sz w:val="18"/>
                <w:szCs w:val="18"/>
              </w:rPr>
            </w:pPr>
            <w:r>
              <w:rPr>
                <w:rFonts w:ascii="Gungsuh" w:cs="Gungsuh" w:eastAsia="Gungsuh" w:hAnsi="Gungsuh"/>
                <w:b w:val="0"/>
                <w:bCs w:val="0"/>
                <w:i w:val="0"/>
                <w:iCs w:val="0"/>
                <w:sz w:val="18"/>
                <w:szCs w:val="18"/>
                <w:rtl w:val="0"/>
              </w:rPr>
              <w:t xml:space="preserve">−0.025</w:t>
            </w:r>
            <w:r>
              <w:rPr>
                <w:rtl w:val="0"/>
              </w:rPr>
            </w:r>
          </w:p>
        </w:tc>
      </w:tr>
      <w:tr>
        <w:trPr>
          <w:cantSplit w:val="0"/>
          <w:tblHeader w:val="0"/>
        </w:trPr>
        <w:tc>
          <w:tcPr/>
          <w:p w:rsidR="00000000" w:rsidDel="00000000" w:rsidP="00000000" w:rsidRDefault="00000000" w:rsidRPr="00000000" w14:paraId="000000E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MCC</w:t>
            </w:r>
            <w:r>
              <w:rPr>
                <w:rtl w:val="0"/>
              </w:rPr>
            </w:r>
          </w:p>
        </w:tc>
        <w:tc>
          <w:tcPr/>
          <w:p w:rsidR="00000000" w:rsidDel="00000000" w:rsidP="00000000" w:rsidRDefault="00000000" w:rsidRPr="00000000" w14:paraId="000000E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0.2064 (0.105–0.298)</w:t>
            </w:r>
            <w:r>
              <w:rPr>
                <w:rtl w:val="0"/>
              </w:rPr>
            </w:r>
          </w:p>
        </w:tc>
        <w:tc>
          <w:tcPr/>
          <w:p w:rsidR="00000000" w:rsidDel="00000000" w:rsidP="00000000" w:rsidRDefault="00000000" w:rsidRPr="00000000" w14:paraId="000000E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0.2250 (0.075–0.360)</w:t>
            </w:r>
            <w:r>
              <w:rPr>
                <w:rtl w:val="0"/>
              </w:rPr>
            </w:r>
          </w:p>
        </w:tc>
        <w:tc>
          <w:tcPr/>
          <w:p w:rsidR="00000000" w:rsidDel="00000000" w:rsidP="00000000" w:rsidRDefault="00000000" w:rsidRPr="00000000" w14:paraId="000000E5">
            <w:pPr>
              <w:ind w:firstLine="0"/>
              <w:jc w:val="center"/>
              <w:rPr>
                <w:sz w:val="18"/>
                <w:szCs w:val="18"/>
              </w:rPr>
            </w:pPr>
            <w:r>
              <w:rPr>
                <w:rFonts w:ascii="Gungsuh" w:cs="Gungsuh" w:eastAsia="Gungsuh" w:hAnsi="Gungsuh"/>
                <w:b w:val="0"/>
                <w:bCs w:val="0"/>
                <w:i w:val="0"/>
                <w:iCs w:val="0"/>
                <w:sz w:val="18"/>
                <w:szCs w:val="18"/>
                <w:rtl w:val="0"/>
              </w:rPr>
              <w:t xml:space="preserve">−0.019</w:t>
            </w:r>
            <w:r>
              <w:rPr>
                <w:rtl w:val="0"/>
              </w:rPr>
            </w:r>
          </w:p>
        </w:tc>
      </w:tr>
      <w:tr>
        <w:trPr>
          <w:cantSplit w:val="0"/>
          <w:tblHeader w:val="0"/>
        </w:trPr>
        <w:tc>
          <w:tcPr/>
          <w:p w:rsidR="00000000" w:rsidDel="00000000" w:rsidP="00000000" w:rsidRDefault="00000000" w:rsidRPr="00000000" w14:paraId="000000E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Sensitivity (pCR)</w:t>
            </w:r>
            <w:r>
              <w:rPr>
                <w:rtl w:val="0"/>
              </w:rPr>
            </w:r>
          </w:p>
        </w:tc>
        <w:tc>
          <w:tcPr/>
          <w:p w:rsidR="00000000" w:rsidDel="00000000" w:rsidP="00000000" w:rsidRDefault="00000000" w:rsidRPr="00000000" w14:paraId="000000E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0.1333 (0.074–0.197)</w:t>
            </w:r>
            <w:r>
              <w:rPr>
                <w:rtl w:val="0"/>
              </w:rPr>
            </w:r>
          </w:p>
        </w:tc>
        <w:tc>
          <w:tcPr/>
          <w:p w:rsidR="00000000" w:rsidDel="00000000" w:rsidP="00000000" w:rsidRDefault="00000000" w:rsidRPr="00000000" w14:paraId="000000E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0.2105 (0.105–0.316)</w:t>
            </w:r>
            <w:r>
              <w:rPr>
                <w:rtl w:val="0"/>
              </w:rPr>
            </w:r>
          </w:p>
        </w:tc>
        <w:tc>
          <w:tcPr/>
          <w:p w:rsidR="00000000" w:rsidDel="00000000" w:rsidP="00000000" w:rsidRDefault="00000000" w:rsidRPr="00000000" w14:paraId="000000E9">
            <w:pPr>
              <w:ind w:firstLine="0"/>
              <w:jc w:val="center"/>
              <w:rPr>
                <w:sz w:val="18"/>
                <w:szCs w:val="18"/>
              </w:rPr>
            </w:pPr>
            <w:r>
              <w:rPr>
                <w:rFonts w:ascii="Gungsuh" w:cs="Gungsuh" w:eastAsia="Gungsuh" w:hAnsi="Gungsuh"/>
                <w:b w:val="0"/>
                <w:bCs w:val="0"/>
                <w:i w:val="0"/>
                <w:iCs w:val="0"/>
                <w:sz w:val="18"/>
                <w:szCs w:val="18"/>
                <w:rtl w:val="0"/>
              </w:rPr>
              <w:t xml:space="preserve">−0.077</w:t>
            </w:r>
            <w:r>
              <w:rPr>
                <w:rtl w:val="0"/>
              </w:rPr>
            </w:r>
          </w:p>
        </w:tc>
      </w:tr>
      <w:tr>
        <w:trPr>
          <w:cantSplit w:val="0"/>
          <w:tblHeader w:val="0"/>
        </w:trPr>
        <w:tc>
          <w:tcPr/>
          <w:p w:rsidR="00000000" w:rsidDel="00000000" w:rsidP="00000000" w:rsidRDefault="00000000" w:rsidRPr="00000000" w14:paraId="000000E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Specificity</w:t>
            </w:r>
            <w:r>
              <w:rPr>
                <w:rtl w:val="0"/>
              </w:rPr>
            </w:r>
          </w:p>
        </w:tc>
        <w:tc>
          <w:tcPr/>
          <w:p w:rsidR="00000000" w:rsidDel="00000000" w:rsidP="00000000" w:rsidRDefault="00000000" w:rsidRPr="00000000" w14:paraId="000000E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0.9759 (0.964–0.986)</w:t>
            </w:r>
            <w:r>
              <w:rPr>
                <w:rtl w:val="0"/>
              </w:rPr>
            </w:r>
          </w:p>
        </w:tc>
        <w:tc>
          <w:tcPr/>
          <w:p w:rsidR="00000000" w:rsidDel="00000000" w:rsidP="00000000" w:rsidRDefault="00000000" w:rsidRPr="00000000" w14:paraId="000000E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0.9478 (0.916–0.972)</w:t>
            </w:r>
            <w:r>
              <w:rPr>
                <w:rtl w:val="0"/>
              </w:rPr>
            </w:r>
          </w:p>
        </w:tc>
        <w:tc>
          <w:tcPr/>
          <w:p w:rsidR="00000000" w:rsidDel="00000000" w:rsidP="00000000" w:rsidRDefault="00000000" w:rsidRPr="00000000" w14:paraId="000000E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+0.028</w:t>
            </w:r>
            <w:r>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Pr>
          <w:rtl w:val="0"/>
        </w:rPr>
      </w:r>
    </w:p>
    <w:p w:rsidR="00000000" w:rsidDel="00000000" w:rsidP="00000000" w:rsidRDefault="00000000" w:rsidRPr="00000000" w14:paraId="000000EF">
      <w:pPr>
        <w:jc w:val="center"/>
        <w:rPr/>
      </w:pPr>
      <w:r>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Pr>
          <w:rtl w:val="0"/>
        </w:rPr>
      </w:r>
    </w:p>
    <w:p w:rsidR="00000000" w:rsidDel="00000000" w:rsidP="00000000" w:rsidRDefault="00000000" w:rsidRPr="00000000" w14:paraId="000000F0">
      <w:pPr>
        <w:rPr/>
      </w:pPr>
      <w:r>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Pr>
          <w:rtl w:val="0"/>
        </w:rPr>
      </w:r>
    </w:p>
    <w:p w:rsidR="00000000" w:rsidDel="00000000" w:rsidP="00000000" w:rsidRDefault="00000000" w:rsidRPr="00000000" w14:paraId="000000F1">
      <w:pPr>
        <w:pStyle w:val="Heading2"/>
        <w:rPr/>
      </w:pPr>
      <w:r>
        <w:rPr>
          <w:rtl w:val="0"/>
        </w:rPr>
        <w:t xml:space="preserve">Uncertainty quantification for the leakage gap</w:t>
      </w:r>
    </w:p>
    <w:p w:rsidR="00000000" w:rsidDel="00000000" w:rsidP="00000000" w:rsidRDefault="00000000" w:rsidRPr="00000000" w14:paraId="000000F2">
      <w:pPr>
        <w:rPr/>
      </w:pPr>
      <w:r>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pPr>
        <w:pStyle w:val="Heading2"/>
        <w:rPr/>
      </w:pPr>
      <w:r>
        <w:rPr>
          <w:rtl w:val="0"/>
        </w:rPr>
        <w:t xml:space="preserve">Sensitivity to the feature-selection budget (top-K sweep)</w:t>
      </w:r>
    </w:p>
    <w:p w:rsidR="00000000" w:rsidDel="00000000" w:rsidP="00000000" w:rsidRDefault="00000000" w:rsidRPr="00000000">
      <w:pPr>
        <w:rPr/>
      </w:pPr>
      <w:r>
        <w:rPr>
          <w:rFonts w:ascii="Cardo" w:cs="Cardo" w:eastAsia="Cardo" w:hAnsi="Cardo"/>
          <w:rtl w:val="0"/>
        </w:rPr>
        <w:t xml:space="preserve">To test whether the leakage gap depends on the size of the feature-selection budget, the Welch t-test selector was held fixed and the top-K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rsidR="00000000" w:rsidDel="00000000" w:rsidP="00000000" w:rsidRDefault="00000000" w:rsidRPr="00000000">
      <w:pPr>
        <w:rPr/>
      </w:pPr>
      <w:r>
        <w:rPr>
          <w:rFonts w:ascii="Times New Roman" w:cs="Times New Roman" w:eastAsia="Times New Roman" w:hAnsi="Times New Roman"/>
          <w:b w:val="0"/>
          <w:bCs w:val="0"/>
          <w:i w:val="0"/>
          <w:iCs w:val="0"/>
          <w:color w:val="000000"/>
          <w:sz w:val="24"/>
          <w:szCs w:val="24"/>
          <w:rtl w:val="0"/>
        </w:rPr>
        <w:t xml:space="preserve">Table 6</w:t>
      </w:r>
    </w:p>
    <w:p w:rsidR="00000000" w:rsidDel="00000000" w:rsidP="00000000" w:rsidRDefault="00000000" w:rsidRPr="00000000">
      <w:pPr>
        <w:rPr/>
      </w:pPr>
      <w:r>
        <w:rPr>
          <w:rFonts w:ascii="Times New Roman" w:cs="Times New Roman" w:eastAsia="Times New Roman" w:hAnsi="Times New Roman"/>
          <w:b w:val="0"/>
          <w:bCs w:val="0"/>
          <w:i w:val="1"/>
          <w:iCs w:val="1"/>
          <w:color w:val="000000"/>
          <w:sz w:val="24"/>
          <w:szCs w:val="24"/>
          <w:rtl w:val="0"/>
        </w:rPr>
        <w:t xml:space="preserve">Selector Top-K Sweep: Leakage Gap and Feature Stability on GSE25055</w:t>
      </w:r>
    </w:p>
    <w:p w:rsidR="00000000" w:rsidDel="00000000" w:rsidP="00000000" w:rsidRDefault="00000000" w:rsidRPr="00000000">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
        <w:gridCol w:w="900"/>
        <w:gridCol w:w="900"/>
        <w:gridCol w:w="760"/>
        <w:gridCol w:w="900"/>
        <w:gridCol w:w="900"/>
        <w:gridCol w:w="760"/>
        <w:gridCol w:w="820"/>
        <w:gridCol w:w="940"/>
        <w:gridCol w:w="920"/>
        <w:gridCol w:w="940"/>
      </w:tblGrid>
      <w:tr>
        <w:trPr>
          <w:cantSplit w:val="0"/>
          <w:tblHeader w:val="0"/>
        </w:trPr>
        <w:tc>
          <w:tcPr>
            <w:shd w:fill="d9eaf7" w:val="clear"/>
          </w:tcPr>
          <w:p>
            <w:pPr>
              <w:ind w:firstLine="0"/>
              <w:jc w:val="center"/>
              <w:rPr>
                <w:sz w:val="16"/>
                <w:szCs w:val="16"/>
              </w:rPr>
            </w:pPr>
            <w:r>
              <w:rPr>
                <w:b w:val="1"/>
                <w:bCs w:val="1"/>
                <w:sz w:val="16"/>
                <w:szCs w:val="16"/>
                <w:rtl w:val="0"/>
              </w:rPr>
              <w:t xml:space="preserve">K</w:t>
            </w:r>
          </w:p>
        </w:tc>
        <w:tc>
          <w:tcPr>
            <w:shd w:fill="d9eaf7" w:val="clear"/>
          </w:tcPr>
          <w:p>
            <w:pPr>
              <w:ind w:firstLine="0"/>
              <w:jc w:val="center"/>
              <w:rPr>
                <w:sz w:val="16"/>
                <w:szCs w:val="16"/>
              </w:rPr>
            </w:pPr>
            <w:r>
              <w:rPr>
                <w:b w:val="1"/>
                <w:bCs w:val="1"/>
                <w:sz w:val="16"/>
                <w:szCs w:val="16"/>
                <w:rtl w:val="0"/>
              </w:rPr>
              <w:t xml:space="preserve">Leaky AUROC</w:t>
            </w:r>
          </w:p>
        </w:tc>
        <w:tc>
          <w:tcPr>
            <w:shd w:fill="d9eaf7" w:val="clear"/>
          </w:tcPr>
          <w:p>
            <w:pPr>
              <w:ind w:firstLine="0"/>
              <w:jc w:val="center"/>
              <w:rPr>
                <w:sz w:val="16"/>
                <w:szCs w:val="16"/>
              </w:rPr>
            </w:pPr>
            <w:r>
              <w:rPr>
                <w:b w:val="1"/>
                <w:bCs w:val="1"/>
                <w:sz w:val="16"/>
                <w:szCs w:val="16"/>
                <w:rtl w:val="0"/>
              </w:rPr>
              <w:t xml:space="preserve">Guarded AUROC</w:t>
            </w:r>
          </w:p>
        </w:tc>
        <w:tc>
          <w:tcPr>
            <w:shd w:fill="d9eaf7" w:val="clear"/>
          </w:tcPr>
          <w:p>
            <w:pPr>
              <w:ind w:firstLine="0"/>
              <w:jc w:val="center"/>
              <w:rPr>
                <w:sz w:val="16"/>
                <w:szCs w:val="16"/>
              </w:rPr>
            </w:pPr>
            <w:r>
              <w:rPr>
                <w:b w:val="1"/>
                <w:bCs w:val="1"/>
                <w:sz w:val="16"/>
                <w:szCs w:val="16"/>
                <w:rtl w:val="0"/>
              </w:rPr>
              <w:t xml:space="preserve">ΔAUROC</w:t>
            </w:r>
          </w:p>
        </w:tc>
        <w:tc>
          <w:tcPr>
            <w:shd w:fill="d9eaf7" w:val="clear"/>
          </w:tcPr>
          <w:p>
            <w:pPr>
              <w:ind w:firstLine="0"/>
              <w:jc w:val="center"/>
              <w:rPr>
                <w:sz w:val="16"/>
                <w:szCs w:val="16"/>
              </w:rPr>
            </w:pPr>
            <w:r>
              <w:rPr>
                <w:b w:val="1"/>
                <w:bCs w:val="1"/>
                <w:sz w:val="16"/>
                <w:szCs w:val="16"/>
                <w:rtl w:val="0"/>
              </w:rPr>
              <w:t xml:space="preserve">Leaky PR-AUC</w:t>
            </w:r>
          </w:p>
        </w:tc>
        <w:tc>
          <w:tcPr>
            <w:shd w:fill="d9eaf7" w:val="clear"/>
          </w:tcPr>
          <w:p>
            <w:pPr>
              <w:ind w:firstLine="0"/>
              <w:jc w:val="center"/>
              <w:rPr>
                <w:sz w:val="16"/>
                <w:szCs w:val="16"/>
              </w:rPr>
            </w:pPr>
            <w:r>
              <w:rPr>
                <w:b w:val="1"/>
                <w:bCs w:val="1"/>
                <w:sz w:val="16"/>
                <w:szCs w:val="16"/>
                <w:rtl w:val="0"/>
              </w:rPr>
              <w:t xml:space="preserve">Guarded PR-AUC</w:t>
            </w:r>
          </w:p>
        </w:tc>
        <w:tc>
          <w:tcPr>
            <w:shd w:fill="d9eaf7" w:val="clear"/>
          </w:tcPr>
          <w:p>
            <w:pPr>
              <w:ind w:firstLine="0"/>
              <w:jc w:val="center"/>
              <w:rPr>
                <w:sz w:val="16"/>
                <w:szCs w:val="16"/>
              </w:rPr>
            </w:pPr>
            <w:r>
              <w:rPr>
                <w:b w:val="1"/>
                <w:bCs w:val="1"/>
                <w:sz w:val="16"/>
                <w:szCs w:val="16"/>
                <w:rtl w:val="0"/>
              </w:rPr>
              <w:t xml:space="preserve">ΔPR-AUC</w:t>
            </w:r>
          </w:p>
        </w:tc>
        <w:tc>
          <w:tcPr>
            <w:shd w:fill="d9eaf7" w:val="clear"/>
          </w:tcPr>
          <w:p>
            <w:pPr>
              <w:ind w:firstLine="0"/>
              <w:jc w:val="center"/>
              <w:rPr>
                <w:sz w:val="16"/>
                <w:szCs w:val="16"/>
              </w:rPr>
            </w:pPr>
            <w:r>
              <w:rPr>
                <w:b w:val="1"/>
                <w:bCs w:val="1"/>
                <w:sz w:val="16"/>
                <w:szCs w:val="16"/>
                <w:rtl w:val="0"/>
              </w:rPr>
              <w:t xml:space="preserve">Nogueira</w:t>
            </w:r>
          </w:p>
        </w:tc>
        <w:tc>
          <w:tcPr>
            <w:shd w:fill="d9eaf7" w:val="clear"/>
          </w:tcPr>
          <w:p>
            <w:pPr>
              <w:ind w:firstLine="0"/>
              <w:jc w:val="center"/>
              <w:rPr>
                <w:sz w:val="16"/>
                <w:szCs w:val="16"/>
              </w:rPr>
            </w:pPr>
            <w:r>
              <w:rPr>
                <w:b w:val="1"/>
                <w:bCs w:val="1"/>
                <w:sz w:val="16"/>
                <w:szCs w:val="16"/>
                <w:rtl w:val="0"/>
              </w:rPr>
              <w:t xml:space="preserve">Mean Jaccard</w:t>
            </w:r>
          </w:p>
        </w:tc>
        <w:tc>
          <w:tcPr>
            <w:shd w:fill="d9eaf7" w:val="clear"/>
          </w:tcPr>
          <w:p>
            <w:pPr>
              <w:ind w:firstLine="0"/>
              <w:jc w:val="center"/>
              <w:rPr>
                <w:sz w:val="16"/>
                <w:szCs w:val="16"/>
              </w:rPr>
            </w:pPr>
            <w:r>
              <w:rPr>
                <w:b w:val="1"/>
                <w:bCs w:val="1"/>
                <w:sz w:val="16"/>
                <w:szCs w:val="16"/>
                <w:rtl w:val="0"/>
              </w:rPr>
              <w:t xml:space="preserve">Stable core</w:t>
            </w:r>
          </w:p>
        </w:tc>
        <w:tc>
          <w:tcPr>
            <w:shd w:fill="d9eaf7" w:val="clear"/>
          </w:tcPr>
          <w:p>
            <w:pPr>
              <w:ind w:firstLine="0"/>
              <w:jc w:val="center"/>
              <w:rPr>
                <w:sz w:val="16"/>
                <w:szCs w:val="16"/>
              </w:rPr>
            </w:pPr>
            <w:r>
              <w:rPr>
                <w:b w:val="1"/>
                <w:bCs w:val="1"/>
                <w:sz w:val="16"/>
                <w:szCs w:val="16"/>
                <w:rtl w:val="0"/>
              </w:rPr>
              <w:t xml:space="preserve">Unstable tail</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0.8365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0.7197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+0.1167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0.5041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0.3340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+0.1701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0.2317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46</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50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0.8094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0.7426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+0.0668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0.4627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+0.0892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0.4448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0.2906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68</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0.7705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0.7265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+0.0440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0.4020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0.3656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+0.0363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0.5409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102</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0.8198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0.7154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+0.1044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0.4572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0.6055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0.4389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77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174</w:t>
            </w:r>
          </w:p>
        </w:tc>
      </w:tr>
    </w:tbl>
    <w:p w:rsidR="00000000" w:rsidDel="00000000" w:rsidP="00000000" w:rsidRDefault="00000000" w:rsidRPr="00000000">
      <w:pPr>
        <w:rPr/>
      </w:pPr>
      <w:r>
        <w:rPr>
          <w:rFonts w:ascii="Times New Roman" w:cs="Times New Roman" w:eastAsia="Times New Roman" w:hAnsi="Times New Roman"/>
          <w:i w:val="1"/>
          <w:iCs w:val="1"/>
          <w:sz w:val="20"/>
          <w:szCs w:val="20"/>
          <w:rtl w:val="0"/>
        </w:rPr>
        <w:t xml:space="preserve">Note. </w:t>
      </w:r>
      <w:r>
        <w:rPr>
          <w:rFonts w:ascii="Times New Roman" w:cs="Times New Roman" w:eastAsia="Times New Roman" w:hAnsi="Times New Roman"/>
          <w:sz w:val="20"/>
          <w:szCs w:val="20"/>
          <w:rtl w:val="0"/>
        </w:rPr>
        <w:t xml:space="preserve">The Welch t-test selector is held fixed; only the top-K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rsidR="00000000" w:rsidDel="00000000" w:rsidP="00000000" w:rsidRDefault="00000000" w:rsidRPr="00000000" w14:paraId="000000F3">
      <w:pPr>
        <w:pStyle w:val="Heading2"/>
        <w:rPr/>
      </w:pPr>
      <w:r>
        <w:rPr>
          <w:rtl w:val="0"/>
        </w:rPr>
        <w:t xml:space="preserve">Permutation-control negative control</w:t>
      </w:r>
    </w:p>
    <w:p w:rsidR="00000000" w:rsidDel="00000000" w:rsidP="00000000" w:rsidRDefault="00000000" w:rsidRPr="00000000" w14:paraId="000000F4">
      <w:pPr>
        <w:rPr/>
      </w:pPr>
      <w:r>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captures genuine, label-dependent signal. The contrast is shown in Figure 3 and summarized in Table 7.</w:t>
      </w:r>
      <w:r>
        <w:rPr>
          <w:rtl w:val="0"/>
        </w:rPr>
      </w:r>
    </w:p>
    <w:p w:rsidR="00000000" w:rsidDel="00000000" w:rsidP="00000000" w:rsidRDefault="00000000" w:rsidRPr="00000000" w14:paraId="000000F5">
      <w:pPr>
        <w:ind w:firstLine="0"/>
        <w:jc w:val="center"/>
        <w:rPr/>
      </w:pPr>
      <w:r>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Pr>
          <w:rtl w:val="0"/>
        </w:rPr>
      </w:r>
    </w:p>
    <w:p w:rsidR="00000000" w:rsidDel="00000000" w:rsidP="00000000" w:rsidRDefault="00000000" w:rsidRPr="00000000" w14:paraId="000000F6">
      <w:pPr>
        <w:rPr/>
      </w:pPr>
      <w:r>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Pr>
          <w:rtl w:val="0"/>
        </w:rPr>
      </w:r>
    </w:p>
    <w:p w:rsidR="00000000" w:rsidDel="00000000" w:rsidP="00000000" w:rsidRDefault="00000000" w:rsidRPr="00000000" w14:paraId="000000F7">
      <w:pPr>
        <w:rPr/>
      </w:pPr>
      <w:r>
        <w:rPr>
          <w:rFonts w:ascii="Times New Roman" w:cs="Times New Roman" w:eastAsia="Times New Roman" w:hAnsi="Times New Roman"/>
          <w:b w:val="0"/>
          <w:bCs w:val="0"/>
          <w:i w:val="0"/>
          <w:iCs w:val="0"/>
          <w:sz w:val="24"/>
          <w:szCs w:val="24"/>
          <w:rtl w:val="0"/>
        </w:rPr>
        <w:t xml:space="preserve">Table 7</w:t>
      </w:r>
      <w:r>
        <w:rPr>
          <w:rtl w:val="0"/>
        </w:rPr>
      </w:r>
    </w:p>
    <w:p w:rsidR="00000000" w:rsidDel="00000000" w:rsidP="00000000" w:rsidRDefault="00000000" w:rsidRPr="00000000" w14:paraId="000000F8">
      <w:pPr>
        <w:rPr/>
      </w:pPr>
      <w:r>
        <w:rPr>
          <w:rFonts w:ascii="Times New Roman" w:cs="Times New Roman" w:eastAsia="Times New Roman" w:hAnsi="Times New Roman"/>
          <w:b w:val="0"/>
          <w:bCs w:val="0"/>
          <w:i w:val="1"/>
          <w:iCs w:val="1"/>
          <w:sz w:val="24"/>
          <w:szCs w:val="24"/>
          <w:rtl w:val="0"/>
        </w:rPr>
        <w:t xml:space="preserve">Permutation-Control Negative Control (B = 1000), GSE25055</w:t>
      </w:r>
      <w:r>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tcPr>
          <w:p w:rsidR="00000000" w:rsidDel="00000000" w:rsidP="00000000" w:rsidRDefault="00000000" w:rsidRPr="00000000" w14:paraId="000000F9">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Statistic</w:t>
            </w:r>
            <w:r>
              <w:rPr>
                <w:rtl w:val="0"/>
              </w:rPr>
            </w:r>
          </w:p>
        </w:tc>
        <w:tc>
          <w:tcPr>
            <w:shd w:fill="d9eaf7" w:val="clear"/>
          </w:tcPr>
          <w:p w:rsidR="00000000" w:rsidDel="00000000" w:rsidP="00000000" w:rsidRDefault="00000000" w:rsidRPr="00000000" w14:paraId="000000FA">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Observed</w:t>
            </w:r>
            <w:r>
              <w:rPr>
                <w:rtl w:val="0"/>
              </w:rPr>
            </w:r>
          </w:p>
        </w:tc>
        <w:tc>
          <w:tcPr>
            <w:shd w:fill="d9eaf7" w:val="clear"/>
          </w:tcPr>
          <w:p w:rsidR="00000000" w:rsidDel="00000000" w:rsidP="00000000" w:rsidRDefault="00000000" w:rsidRPr="00000000" w14:paraId="000000FB">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Null mean (95% range)</w:t>
            </w:r>
            <w:r>
              <w:rPr>
                <w:rtl w:val="0"/>
              </w:rPr>
            </w:r>
          </w:p>
        </w:tc>
        <w:tc>
          <w:tcPr>
            <w:shd w:fill="d9eaf7" w:val="clear"/>
          </w:tcPr>
          <w:p w:rsidR="00000000" w:rsidDel="00000000" w:rsidP="00000000" w:rsidRDefault="00000000" w:rsidRPr="00000000" w14:paraId="000000FC">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Empirical p</w:t>
            </w:r>
            <w:r>
              <w:rPr>
                <w:rtl w:val="0"/>
              </w:rPr>
            </w:r>
          </w:p>
        </w:tc>
        <w:tc>
          <w:tcPr>
            <w:shd w:fill="d9eaf7" w:val="clear"/>
          </w:tcPr>
          <w:p w:rsidR="00000000" w:rsidDel="00000000" w:rsidP="00000000" w:rsidRDefault="00000000" w:rsidRPr="00000000" w14:paraId="000000FD">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0F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0F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w:t>
            </w:r>
            <w:r>
              <w:rPr>
                <w:rtl w:val="0"/>
              </w:rPr>
            </w:r>
          </w:p>
        </w:tc>
        <w:tc>
          <w:tcPr/>
          <w:p w:rsidR="00000000" w:rsidDel="00000000" w:rsidP="00000000" w:rsidRDefault="00000000" w:rsidRPr="00000000" w14:paraId="0000010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0.878 (0.761–0.956)</w:t>
            </w:r>
            <w:r>
              <w:rPr>
                <w:rtl w:val="0"/>
              </w:rPr>
            </w:r>
          </w:p>
        </w:tc>
        <w:tc>
          <w:tcPr/>
          <w:p w:rsidR="00000000" w:rsidDel="00000000" w:rsidP="00000000" w:rsidRDefault="00000000" w:rsidRPr="00000000" w14:paraId="0000010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w:t>
            </w:r>
            <w:r>
              <w:rPr>
                <w:rtl w:val="0"/>
              </w:rPr>
            </w:r>
          </w:p>
        </w:tc>
        <w:tc>
          <w:tcPr/>
          <w:p w:rsidR="00000000" w:rsidDel="00000000" w:rsidP="00000000" w:rsidRDefault="00000000" w:rsidRPr="00000000" w14:paraId="0000010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null far above chance; observed lies within its own null</w:t>
            </w:r>
            <w:r>
              <w:rPr>
                <w:rtl w:val="0"/>
              </w:rPr>
            </w:r>
          </w:p>
        </w:tc>
      </w:tr>
      <w:tr>
        <w:trPr>
          <w:cantSplit w:val="0"/>
          <w:tblHeader w:val="0"/>
        </w:trPr>
        <w:tc>
          <w:tcPr/>
          <w:p w:rsidR="00000000" w:rsidDel="00000000" w:rsidP="00000000" w:rsidRDefault="00000000" w:rsidRPr="00000000" w14:paraId="0000010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0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w:t>
            </w:r>
            <w:r>
              <w:rPr>
                <w:rtl w:val="0"/>
              </w:rPr>
            </w:r>
          </w:p>
        </w:tc>
        <w:tc>
          <w:tcPr/>
          <w:p w:rsidR="00000000" w:rsidDel="00000000" w:rsidP="00000000" w:rsidRDefault="00000000" w:rsidRPr="00000000" w14:paraId="0000010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0.540 (0.478–0.619)</w:t>
            </w:r>
            <w:r>
              <w:rPr>
                <w:rtl w:val="0"/>
              </w:rPr>
            </w:r>
          </w:p>
        </w:tc>
        <w:tc>
          <w:tcPr/>
          <w:p w:rsidR="00000000" w:rsidDel="00000000" w:rsidP="00000000" w:rsidRDefault="00000000" w:rsidRPr="00000000" w14:paraId="0000010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0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null near chance; real signal exceeds null</w:t>
            </w:r>
            <w:r>
              <w:rPr>
                <w:rtl w:val="0"/>
              </w:rPr>
            </w:r>
          </w:p>
        </w:tc>
      </w:tr>
      <w:tr>
        <w:trPr>
          <w:cantSplit w:val="0"/>
          <w:tblHeader w:val="0"/>
        </w:trPr>
        <w:tc>
          <w:tcPr/>
          <w:p w:rsidR="00000000" w:rsidDel="00000000" w:rsidP="00000000" w:rsidRDefault="00000000" w:rsidRPr="00000000" w14:paraId="0000010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PR-AUC</w:t>
            </w:r>
            <w:r>
              <w:rPr>
                <w:rtl w:val="0"/>
              </w:rPr>
            </w:r>
          </w:p>
        </w:tc>
        <w:tc>
          <w:tcPr/>
          <w:p w:rsidR="00000000" w:rsidDel="00000000" w:rsidP="00000000" w:rsidRDefault="00000000" w:rsidRPr="00000000" w14:paraId="0000010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0.402</w:t>
            </w:r>
            <w:r>
              <w:rPr>
                <w:rtl w:val="0"/>
              </w:rPr>
            </w:r>
          </w:p>
        </w:tc>
        <w:tc>
          <w:tcPr/>
          <w:p w:rsidR="00000000" w:rsidDel="00000000" w:rsidP="00000000" w:rsidRDefault="00000000" w:rsidRPr="00000000" w14:paraId="0000010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0.664 (0.413–0.861)</w:t>
            </w:r>
            <w:r>
              <w:rPr>
                <w:rtl w:val="0"/>
              </w:rPr>
            </w:r>
          </w:p>
        </w:tc>
        <w:tc>
          <w:tcPr/>
          <w:p w:rsidR="00000000" w:rsidDel="00000000" w:rsidP="00000000" w:rsidRDefault="00000000" w:rsidRPr="00000000" w14:paraId="0000010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0.98</w:t>
            </w:r>
            <w:r>
              <w:rPr>
                <w:rtl w:val="0"/>
              </w:rPr>
            </w:r>
          </w:p>
        </w:tc>
        <w:tc>
          <w:tcPr/>
          <w:p w:rsidR="00000000" w:rsidDel="00000000" w:rsidP="00000000" w:rsidRDefault="00000000" w:rsidRPr="00000000" w14:paraId="0000010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Inflated under randomized labels</w:t>
            </w:r>
            <w:r>
              <w:rPr>
                <w:rtl w:val="0"/>
              </w:rPr>
            </w:r>
          </w:p>
        </w:tc>
      </w:tr>
      <w:tr>
        <w:trPr>
          <w:cantSplit w:val="0"/>
          <w:tblHeader w:val="0"/>
        </w:trPr>
        <w:tc>
          <w:tcPr/>
          <w:p w:rsidR="00000000" w:rsidDel="00000000" w:rsidP="00000000" w:rsidRDefault="00000000" w:rsidRPr="00000000" w14:paraId="0000010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PR-AUC</w:t>
            </w:r>
            <w:r>
              <w:rPr>
                <w:rtl w:val="0"/>
              </w:rPr>
            </w:r>
          </w:p>
        </w:tc>
        <w:tc>
          <w:tcPr/>
          <w:p w:rsidR="00000000" w:rsidDel="00000000" w:rsidP="00000000" w:rsidRDefault="00000000" w:rsidRPr="00000000" w14:paraId="0000010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0.3656</w:t>
            </w:r>
            <w:r>
              <w:rPr>
                <w:rtl w:val="0"/>
              </w:rPr>
            </w:r>
          </w:p>
        </w:tc>
        <w:tc>
          <w:tcPr/>
          <w:p w:rsidR="00000000" w:rsidDel="00000000" w:rsidP="00000000" w:rsidRDefault="00000000" w:rsidRPr="00000000" w14:paraId="0000010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0.192 (0.147–0.261)</w:t>
            </w:r>
            <w:r>
              <w:rPr>
                <w:rtl w:val="0"/>
              </w:rPr>
            </w:r>
          </w:p>
        </w:tc>
        <w:tc>
          <w:tcPr/>
          <w:p w:rsidR="00000000" w:rsidDel="00000000" w:rsidP="00000000" w:rsidRDefault="00000000" w:rsidRPr="00000000" w14:paraId="0000011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11">
            <w:pPr>
              <w:ind w:firstLine="0"/>
              <w:jc w:val="center"/>
              <w:rPr>
                <w:sz w:val="18"/>
                <w:szCs w:val="18"/>
              </w:rPr>
            </w:pPr>
            <w:r>
              <w:rPr>
                <w:rFonts w:ascii="Gungsuh" w:cs="Gungsuh" w:eastAsia="Gungsuh" w:hAnsi="Gungsuh"/>
                <w:b w:val="0"/>
                <w:bCs w:val="0"/>
                <w:i w:val="0"/>
                <w:iCs w:val="0"/>
                <w:sz w:val="18"/>
                <w:szCs w:val="18"/>
                <w:rtl w:val="0"/>
              </w:rPr>
              <w:t xml:space="preserve">Null ≈ prevalence (0.186); real signal exceeds null</w:t>
            </w:r>
            <w:r>
              <w:rPr>
                <w:rtl w:val="0"/>
              </w:rPr>
            </w:r>
          </w:p>
        </w:tc>
      </w:tr>
      <w:tr>
        <w:trPr>
          <w:cantSplit w:val="0"/>
          <w:tblHeader w:val="0"/>
        </w:trPr>
        <w:tc>
          <w:tcPr/>
          <w:p w:rsidR="00000000" w:rsidDel="00000000" w:rsidP="00000000" w:rsidRDefault="00000000" w:rsidRPr="00000000" w14:paraId="0000011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gap (AUROC)</w:t>
            </w:r>
            <w:r>
              <w:rPr>
                <w:rtl w:val="0"/>
              </w:rPr>
            </w:r>
          </w:p>
        </w:tc>
        <w:tc>
          <w:tcPr/>
          <w:p w:rsidR="00000000" w:rsidDel="00000000" w:rsidP="00000000" w:rsidRDefault="00000000" w:rsidRPr="00000000" w14:paraId="0000011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0.044</w:t>
            </w:r>
            <w:r>
              <w:rPr>
                <w:rtl w:val="0"/>
              </w:rPr>
            </w:r>
          </w:p>
        </w:tc>
        <w:tc>
          <w:tcPr/>
          <w:p w:rsidR="00000000" w:rsidDel="00000000" w:rsidP="00000000" w:rsidRDefault="00000000" w:rsidRPr="00000000" w14:paraId="0000011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0.338 (0.209–0.445)</w:t>
            </w:r>
            <w:r>
              <w:rPr>
                <w:rtl w:val="0"/>
              </w:rPr>
            </w:r>
          </w:p>
        </w:tc>
        <w:tc>
          <w:tcPr/>
          <w:p w:rsidR="00000000" w:rsidDel="00000000" w:rsidP="00000000" w:rsidRDefault="00000000" w:rsidRPr="00000000" w14:paraId="0000011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w:t>
            </w:r>
            <w:r>
              <w:rPr>
                <w:rtl w:val="0"/>
              </w:rPr>
            </w:r>
          </w:p>
        </w:tc>
        <w:tc>
          <w:tcPr/>
          <w:p w:rsidR="00000000" w:rsidDel="00000000" w:rsidP="00000000" w:rsidRDefault="00000000" w:rsidRPr="00000000" w14:paraId="0000011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Null gap is large; observed real-label gap is small</w:t>
            </w:r>
            <w:r>
              <w:rPr>
                <w:rtl w:val="0"/>
              </w:rPr>
            </w:r>
          </w:p>
        </w:tc>
      </w:tr>
    </w:tbl>
    <w:p w:rsidR="00000000" w:rsidDel="00000000" w:rsidP="00000000" w:rsidRDefault="00000000" w:rsidRPr="00000000" w14:paraId="00000117">
      <w:pPr>
        <w:rPr/>
      </w:pPr>
      <w:r>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Pr>
          <w:rtl w:val="0"/>
        </w:rPr>
      </w:r>
    </w:p>
    <w:p w:rsidR="00000000" w:rsidDel="00000000" w:rsidP="00000000" w:rsidRDefault="00000000" w:rsidRPr="00000000" w14:paraId="00000118">
      <w:pPr>
        <w:pStyle w:val="Heading2"/>
        <w:rPr/>
      </w:pPr>
      <w:r>
        <w:rPr>
          <w:rtl w:val="0"/>
        </w:rPr>
        <w:t xml:space="preserve">Seed-level robustness across 30 repeated cross-validation runs</w:t>
      </w:r>
    </w:p>
    <w:p w:rsidR="00000000" w:rsidDel="00000000" w:rsidP="00000000" w:rsidRDefault="00000000" w:rsidRPr="00000000" w14:paraId="00000119">
      <w:pPr>
        <w:rPr/>
      </w:pPr>
      <w:r>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 and summarized in Table 8.</w:t>
      </w:r>
    </w:p>
    <w:p w:rsidR="00000000" w:rsidDel="00000000" w:rsidP="00000000" w:rsidRDefault="00000000" w:rsidRPr="00000000" w14:paraId="0000011A">
      <w:pPr>
        <w:jc w:val="center"/>
        <w:rPr/>
      </w:pPr>
      <w:r>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B">
      <w:pPr>
        <w:rPr/>
      </w:pPr>
      <w:r>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Pr>
          <w:rtl w:val="0"/>
        </w:rPr>
      </w:r>
    </w:p>
    <w:p w:rsidR="00000000" w:rsidDel="00000000" w:rsidP="00000000" w:rsidRDefault="00000000" w:rsidRPr="00000000" w14:paraId="0000011C">
      <w:pPr>
        <w:jc w:val="center"/>
        <w:rPr/>
      </w:pPr>
      <w:r>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D">
      <w:pPr>
        <w:rPr/>
      </w:pPr>
      <w:r>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Pr>
          <w:rtl w:val="0"/>
        </w:rPr>
      </w:r>
    </w:p>
    <w:p w:rsidR="00000000" w:rsidDel="00000000" w:rsidP="00000000" w:rsidRDefault="00000000" w:rsidRPr="00000000" w14:paraId="0000011E">
      <w:pPr>
        <w:rPr/>
      </w:pPr>
      <w:r>
        <w:rPr>
          <w:rFonts w:ascii="Times New Roman" w:cs="Times New Roman" w:eastAsia="Times New Roman" w:hAnsi="Times New Roman"/>
          <w:b w:val="0"/>
          <w:bCs w:val="0"/>
          <w:i w:val="0"/>
          <w:iCs w:val="0"/>
          <w:sz w:val="24"/>
          <w:szCs w:val="24"/>
          <w:rtl w:val="0"/>
        </w:rPr>
        <w:t xml:space="preserve">Table 8</w:t>
      </w:r>
      <w:r>
        <w:rPr>
          <w:rtl w:val="0"/>
        </w:rPr>
      </w:r>
    </w:p>
    <w:p w:rsidR="00000000" w:rsidDel="00000000" w:rsidP="00000000" w:rsidRDefault="00000000" w:rsidRPr="00000000" w14:paraId="0000011F">
      <w:pPr>
        <w:rPr/>
      </w:pPr>
      <w:r>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Pr>
          <w:rtl w:val="0"/>
        </w:rPr>
      </w:r>
    </w:p>
    <w:p w:rsidR="00000000" w:rsidDel="00000000" w:rsidP="00000000" w:rsidRDefault="00000000" w:rsidRPr="00000000" w14:paraId="00000120">
      <w:pPr>
        <w:rPr/>
      </w:pPr>
      <w:r>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val="0"/>
          <w:tblHeader w:val="0"/>
        </w:trPr>
        <w:tc>
          <w:tcPr>
            <w:shd w:fill="d9eaf7" w:val="clear"/>
          </w:tcPr>
          <w:p w:rsidR="00000000" w:rsidDel="00000000" w:rsidP="00000000" w:rsidRDefault="00000000" w:rsidRPr="00000000" w14:paraId="00000121">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Quantity</w:t>
            </w:r>
            <w:r>
              <w:rPr>
                <w:rtl w:val="0"/>
              </w:rPr>
            </w:r>
          </w:p>
        </w:tc>
        <w:tc>
          <w:tcPr>
            <w:shd w:fill="d9eaf7" w:val="clear"/>
          </w:tcPr>
          <w:p w:rsidR="00000000" w:rsidDel="00000000" w:rsidP="00000000" w:rsidRDefault="00000000" w:rsidRPr="00000000" w14:paraId="00000122">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Median</w:t>
            </w:r>
            <w:r>
              <w:rPr>
                <w:rtl w:val="0"/>
              </w:rPr>
            </w:r>
          </w:p>
        </w:tc>
        <w:tc>
          <w:tcPr>
            <w:shd w:fill="d9eaf7" w:val="clear"/>
          </w:tcPr>
          <w:p w:rsidR="00000000" w:rsidDel="00000000" w:rsidP="00000000" w:rsidRDefault="00000000" w:rsidRPr="00000000" w14:paraId="00000123">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2.5–97.5 percentile</w:t>
            </w:r>
            <w:r>
              <w:rPr>
                <w:rtl w:val="0"/>
              </w:rPr>
            </w:r>
          </w:p>
        </w:tc>
        <w:tc>
          <w:tcPr>
            <w:shd w:fill="d9eaf7" w:val="clear"/>
          </w:tcPr>
          <w:p w:rsidR="00000000" w:rsidDel="00000000" w:rsidP="00000000" w:rsidRDefault="00000000" w:rsidRPr="00000000" w14:paraId="00000124">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Notes</w:t>
            </w:r>
            <w:r>
              <w:rPr>
                <w:rtl w:val="0"/>
              </w:rPr>
            </w:r>
          </w:p>
        </w:tc>
      </w:tr>
      <w:tr>
        <w:trPr>
          <w:cantSplit w:val="0"/>
          <w:tblHeader w:val="0"/>
        </w:trPr>
        <w:tc>
          <w:tcPr/>
          <w:p w:rsidR="00000000" w:rsidDel="00000000" w:rsidP="00000000" w:rsidRDefault="00000000" w:rsidRPr="00000000" w14:paraId="0000012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12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0.774</w:t>
            </w:r>
            <w:r>
              <w:rPr>
                <w:rtl w:val="0"/>
              </w:rPr>
            </w:r>
          </w:p>
        </w:tc>
        <w:tc>
          <w:tcPr/>
          <w:p w:rsidR="00000000" w:rsidDel="00000000" w:rsidP="00000000" w:rsidRDefault="00000000" w:rsidRPr="00000000" w14:paraId="0000012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0.750–0.784</w:t>
            </w:r>
            <w:r>
              <w:rPr>
                <w:rtl w:val="0"/>
              </w:rPr>
            </w:r>
          </w:p>
        </w:tc>
        <w:tc>
          <w:tcPr/>
          <w:p w:rsidR="00000000" w:rsidDel="00000000" w:rsidP="00000000" w:rsidRDefault="00000000" w:rsidRPr="00000000" w14:paraId="0000012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w:t>
            </w:r>
            <w:r>
              <w:rPr>
                <w:rtl w:val="0"/>
              </w:rPr>
            </w:r>
          </w:p>
        </w:tc>
      </w:tr>
      <w:tr>
        <w:trPr>
          <w:cantSplit w:val="0"/>
          <w:tblHeader w:val="0"/>
        </w:trPr>
        <w:tc>
          <w:tcPr/>
          <w:p w:rsidR="00000000" w:rsidDel="00000000" w:rsidP="00000000" w:rsidRDefault="00000000" w:rsidRPr="00000000" w14:paraId="0000012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2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0.721</w:t>
            </w:r>
            <w:r>
              <w:rPr>
                <w:rtl w:val="0"/>
              </w:rPr>
            </w:r>
          </w:p>
        </w:tc>
        <w:tc>
          <w:tcPr/>
          <w:p w:rsidR="00000000" w:rsidDel="00000000" w:rsidP="00000000" w:rsidRDefault="00000000" w:rsidRPr="00000000" w14:paraId="0000012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0.674–0.777</w:t>
            </w:r>
            <w:r>
              <w:rPr>
                <w:rtl w:val="0"/>
              </w:rPr>
            </w:r>
          </w:p>
        </w:tc>
        <w:tc>
          <w:tcPr/>
          <w:p w:rsidR="00000000" w:rsidDel="00000000" w:rsidP="00000000" w:rsidRDefault="00000000" w:rsidRPr="00000000" w14:paraId="0000012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 more seed-sensitive than leaky</w:t>
            </w:r>
            <w:r>
              <w:rPr>
                <w:rtl w:val="0"/>
              </w:rPr>
            </w:r>
          </w:p>
        </w:tc>
      </w:tr>
      <w:tr>
        <w:trPr>
          <w:cantSplit w:val="0"/>
          <w:tblHeader w:val="0"/>
        </w:trPr>
        <w:tc>
          <w:tcPr/>
          <w:p w:rsidR="00000000" w:rsidDel="00000000" w:rsidP="00000000" w:rsidRDefault="00000000" w:rsidRPr="00000000" w14:paraId="0000012D">
            <w:pPr>
              <w:ind w:firstLine="0"/>
              <w:jc w:val="center"/>
              <w:rPr>
                <w:sz w:val="18"/>
                <w:szCs w:val="18"/>
              </w:rPr>
            </w:pPr>
            <w:r>
              <w:rPr>
                <w:rFonts w:ascii="Cardo" w:cs="Cardo" w:eastAsia="Cardo" w:hAnsi="Cardo"/>
                <w:b w:val="0"/>
                <w:bCs w:val="0"/>
                <w:i w:val="0"/>
                <w:iCs w:val="0"/>
                <w:sz w:val="18"/>
                <w:szCs w:val="18"/>
                <w:rtl w:val="0"/>
              </w:rPr>
              <w:t xml:space="preserve">ΔAUROC (leaky − guarded)</w:t>
            </w:r>
            <w:r>
              <w:rPr>
                <w:rtl w:val="0"/>
              </w:rPr>
            </w:r>
          </w:p>
        </w:tc>
        <w:tc>
          <w:tcPr/>
          <w:p w:rsidR="00000000" w:rsidDel="00000000" w:rsidP="00000000" w:rsidRDefault="00000000" w:rsidRPr="00000000" w14:paraId="0000012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0.054</w:t>
            </w:r>
            <w:r>
              <w:rPr>
                <w:rtl w:val="0"/>
              </w:rPr>
            </w:r>
          </w:p>
        </w:tc>
        <w:tc>
          <w:tcPr/>
          <w:p w:rsidR="00000000" w:rsidDel="00000000" w:rsidP="00000000" w:rsidRDefault="00000000" w:rsidRPr="00000000" w14:paraId="0000012F">
            <w:pPr>
              <w:ind w:firstLine="0"/>
              <w:jc w:val="center"/>
              <w:rPr>
                <w:sz w:val="18"/>
                <w:szCs w:val="18"/>
              </w:rPr>
            </w:pPr>
            <w:r>
              <w:rPr>
                <w:rFonts w:ascii="Gungsuh" w:cs="Gungsuh" w:eastAsia="Gungsuh" w:hAnsi="Gungsuh"/>
                <w:b w:val="0"/>
                <w:bCs w:val="0"/>
                <w:i w:val="0"/>
                <w:iCs w:val="0"/>
                <w:sz w:val="18"/>
                <w:szCs w:val="18"/>
                <w:rtl w:val="0"/>
              </w:rPr>
              <w:t xml:space="preserve">−0.007 to 0.108</w:t>
            </w:r>
            <w:r>
              <w:rPr>
                <w:rtl w:val="0"/>
              </w:rPr>
            </w:r>
          </w:p>
        </w:tc>
        <w:tc>
          <w:tcPr/>
          <w:p w:rsidR="00000000" w:rsidDel="00000000" w:rsidP="00000000" w:rsidRDefault="00000000" w:rsidRPr="00000000" w14:paraId="0000013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456, p = 4.5 × 10⁻⁶</w:t>
            </w:r>
            <w:r>
              <w:rPr>
                <w:rtl w:val="0"/>
              </w:rPr>
            </w:r>
          </w:p>
        </w:tc>
      </w:tr>
      <w:tr>
        <w:trPr>
          <w:cantSplit w:val="0"/>
          <w:tblHeader w:val="0"/>
        </w:trPr>
        <w:tc>
          <w:tcPr/>
          <w:p w:rsidR="00000000" w:rsidDel="00000000" w:rsidP="00000000" w:rsidRDefault="00000000" w:rsidRPr="00000000" w14:paraId="00000131">
            <w:pPr>
              <w:ind w:firstLine="0"/>
              <w:jc w:val="center"/>
              <w:rPr>
                <w:sz w:val="18"/>
                <w:szCs w:val="18"/>
              </w:rPr>
            </w:pPr>
            <w:r>
              <w:rPr>
                <w:rFonts w:ascii="Cardo" w:cs="Cardo" w:eastAsia="Cardo" w:hAnsi="Cardo"/>
                <w:b w:val="0"/>
                <w:bCs w:val="0"/>
                <w:i w:val="0"/>
                <w:iCs w:val="0"/>
                <w:sz w:val="18"/>
                <w:szCs w:val="18"/>
                <w:rtl w:val="0"/>
              </w:rPr>
              <w:t xml:space="preserve">ΔPR-AUC (leaky − guarded)</w:t>
            </w:r>
            <w:r>
              <w:rPr>
                <w:rtl w:val="0"/>
              </w:rPr>
            </w:r>
          </w:p>
        </w:tc>
        <w:tc>
          <w:tcPr/>
          <w:p w:rsidR="00000000" w:rsidDel="00000000" w:rsidP="00000000" w:rsidRDefault="00000000" w:rsidRPr="00000000" w14:paraId="0000013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0.057</w:t>
            </w:r>
            <w:r>
              <w:rPr>
                <w:rtl w:val="0"/>
              </w:rPr>
            </w:r>
          </w:p>
        </w:tc>
        <w:tc>
          <w:tcPr/>
          <w:p w:rsidR="00000000" w:rsidDel="00000000" w:rsidP="00000000" w:rsidRDefault="00000000" w:rsidRPr="00000000" w14:paraId="00000133">
            <w:pPr>
              <w:ind w:firstLine="0"/>
              <w:jc w:val="center"/>
              <w:rPr>
                <w:sz w:val="18"/>
                <w:szCs w:val="18"/>
              </w:rPr>
            </w:pPr>
            <w:r>
              <w:rPr>
                <w:rFonts w:ascii="Gungsuh" w:cs="Gungsuh" w:eastAsia="Gungsuh" w:hAnsi="Gungsuh"/>
                <w:b w:val="0"/>
                <w:bCs w:val="0"/>
                <w:i w:val="0"/>
                <w:iCs w:val="0"/>
                <w:sz w:val="18"/>
                <w:szCs w:val="18"/>
                <w:rtl w:val="0"/>
              </w:rPr>
              <w:t xml:space="preserve">−0.024 to 0.139</w:t>
            </w:r>
            <w:r>
              <w:rPr>
                <w:rtl w:val="0"/>
              </w:rPr>
            </w:r>
          </w:p>
        </w:tc>
        <w:tc>
          <w:tcPr/>
          <w:p w:rsidR="00000000" w:rsidDel="00000000" w:rsidP="00000000" w:rsidRDefault="00000000" w:rsidRPr="00000000" w14:paraId="0000013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445, p = 1.3 × 10⁻⁵</w:t>
            </w:r>
            <w:r>
              <w:rPr>
                <w:rtl w:val="0"/>
              </w:rPr>
            </w:r>
          </w:p>
        </w:tc>
      </w:tr>
      <w:tr>
        <w:trPr>
          <w:cantSplit w:val="0"/>
          <w:tblHeader w:val="0"/>
        </w:trPr>
        <w:tc>
          <w:tcPr/>
          <w:p w:rsidR="00000000" w:rsidDel="00000000" w:rsidP="00000000" w:rsidRDefault="00000000" w:rsidRPr="00000000" w14:paraId="0000013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Nogueira stability</w:t>
            </w:r>
            <w:r>
              <w:rPr>
                <w:rtl w:val="0"/>
              </w:rPr>
            </w:r>
          </w:p>
        </w:tc>
        <w:tc>
          <w:tcPr/>
          <w:p w:rsidR="00000000" w:rsidDel="00000000" w:rsidP="00000000" w:rsidRDefault="00000000" w:rsidRPr="00000000" w14:paraId="0000013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0.550</w:t>
            </w:r>
            <w:r>
              <w:rPr>
                <w:rtl w:val="0"/>
              </w:rPr>
            </w:r>
          </w:p>
        </w:tc>
        <w:tc>
          <w:tcPr/>
          <w:p w:rsidR="00000000" w:rsidDel="00000000" w:rsidP="00000000" w:rsidRDefault="00000000" w:rsidRPr="00000000" w14:paraId="0000013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0.490–0.595</w:t>
            </w:r>
            <w:r>
              <w:rPr>
                <w:rtl w:val="0"/>
              </w:rPr>
            </w:r>
          </w:p>
        </w:tc>
        <w:tc>
          <w:tcPr/>
          <w:p w:rsidR="00000000" w:rsidDel="00000000" w:rsidP="00000000" w:rsidRDefault="00000000" w:rsidRPr="00000000" w14:paraId="0000013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val="0"/>
          <w:tblHeader w:val="0"/>
        </w:trPr>
        <w:tc>
          <w:tcPr/>
          <w:p w:rsidR="00000000" w:rsidDel="00000000" w:rsidP="00000000" w:rsidRDefault="00000000" w:rsidRPr="00000000" w14:paraId="0000013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Mean Jaccard overlap</w:t>
            </w:r>
            <w:r>
              <w:rPr>
                <w:rtl w:val="0"/>
              </w:rPr>
            </w:r>
          </w:p>
        </w:tc>
        <w:tc>
          <w:tcPr/>
          <w:p w:rsidR="00000000" w:rsidDel="00000000" w:rsidP="00000000" w:rsidRDefault="00000000" w:rsidRPr="00000000" w14:paraId="0000013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0.383</w:t>
            </w:r>
            <w:r>
              <w:rPr>
                <w:rtl w:val="0"/>
              </w:rPr>
            </w:r>
          </w:p>
        </w:tc>
        <w:tc>
          <w:tcPr/>
          <w:p w:rsidR="00000000" w:rsidDel="00000000" w:rsidP="00000000" w:rsidRDefault="00000000" w:rsidRPr="00000000" w14:paraId="0000013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0.328–0.428</w:t>
            </w:r>
            <w:r>
              <w:rPr>
                <w:rtl w:val="0"/>
              </w:rPr>
            </w:r>
          </w:p>
        </w:tc>
        <w:tc>
          <w:tcPr/>
          <w:p w:rsidR="00000000" w:rsidDel="00000000" w:rsidP="00000000" w:rsidRDefault="00000000" w:rsidRPr="00000000" w14:paraId="0000013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val="0"/>
          <w:tblHeader w:val="0"/>
        </w:trPr>
        <w:tc>
          <w:tcPr/>
          <w:p w:rsidR="00000000" w:rsidDel="00000000" w:rsidP="00000000" w:rsidRDefault="00000000" w:rsidRPr="00000000" w14:paraId="0000013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Stable-core probes</w:t>
            </w:r>
            <w:r>
              <w:rPr>
                <w:rtl w:val="0"/>
              </w:rPr>
            </w:r>
          </w:p>
        </w:tc>
        <w:tc>
          <w:tcPr/>
          <w:p w:rsidR="00000000" w:rsidDel="00000000" w:rsidP="00000000" w:rsidRDefault="00000000" w:rsidRPr="00000000" w14:paraId="0000013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30</w:t>
            </w:r>
            <w:r>
              <w:rPr>
                <w:rtl w:val="0"/>
              </w:rPr>
            </w:r>
          </w:p>
        </w:tc>
        <w:tc>
          <w:tcPr/>
          <w:p w:rsidR="00000000" w:rsidDel="00000000" w:rsidP="00000000" w:rsidRDefault="00000000" w:rsidRPr="00000000" w14:paraId="0000013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23–35 (range)</w:t>
            </w:r>
            <w:r>
              <w:rPr>
                <w:rtl w:val="0"/>
              </w:rPr>
            </w:r>
          </w:p>
        </w:tc>
        <w:tc>
          <w:tcPr/>
          <w:p w:rsidR="00000000" w:rsidDel="00000000" w:rsidP="00000000" w:rsidRDefault="00000000" w:rsidRPr="00000000" w14:paraId="0000014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all five outer folds</w:t>
            </w:r>
            <w:r>
              <w:rPr>
                <w:rtl w:val="0"/>
              </w:rPr>
            </w:r>
          </w:p>
        </w:tc>
      </w:tr>
      <w:tr>
        <w:trPr>
          <w:cantSplit w:val="0"/>
          <w:tblHeader w:val="0"/>
        </w:trPr>
        <w:tc>
          <w:tcPr/>
          <w:p w:rsidR="00000000" w:rsidDel="00000000" w:rsidP="00000000" w:rsidRDefault="00000000" w:rsidRPr="00000000" w14:paraId="0000014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Unstable-tail probes</w:t>
            </w:r>
            <w:r>
              <w:rPr>
                <w:rtl w:val="0"/>
              </w:rPr>
            </w:r>
          </w:p>
        </w:tc>
        <w:tc>
          <w:tcPr/>
          <w:p w:rsidR="00000000" w:rsidDel="00000000" w:rsidP="00000000" w:rsidRDefault="00000000" w:rsidRPr="00000000" w14:paraId="0000014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103.5</w:t>
            </w:r>
            <w:r>
              <w:rPr>
                <w:rtl w:val="0"/>
              </w:rPr>
            </w:r>
          </w:p>
        </w:tc>
        <w:tc>
          <w:tcPr/>
          <w:p w:rsidR="00000000" w:rsidDel="00000000" w:rsidP="00000000" w:rsidRDefault="00000000" w:rsidRPr="00000000" w14:paraId="0000014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75–123 (range)</w:t>
            </w:r>
            <w:r>
              <w:rPr>
                <w:rtl w:val="0"/>
              </w:rPr>
            </w:r>
          </w:p>
        </w:tc>
        <w:tc>
          <w:tcPr/>
          <w:p w:rsidR="00000000" w:rsidDel="00000000" w:rsidP="00000000" w:rsidRDefault="00000000" w:rsidRPr="00000000" w14:paraId="0000014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only one fold</w:t>
            </w:r>
            <w:r>
              <w:rPr>
                <w:rtl w:val="0"/>
              </w:rPr>
            </w:r>
          </w:p>
        </w:tc>
      </w:tr>
    </w:tbl>
    <w:p w:rsidR="00000000" w:rsidDel="00000000" w:rsidP="00000000" w:rsidRDefault="00000000" w:rsidRPr="00000000" w14:paraId="00000145">
      <w:pPr>
        <w:rPr/>
      </w:pPr>
      <w:r>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Pr>
          <w:rtl w:val="0"/>
        </w:rPr>
      </w:r>
    </w:p>
    <w:p w:rsidR="00000000" w:rsidDel="00000000" w:rsidP="00000000" w:rsidRDefault="00000000" w:rsidRPr="00000000" w14:paraId="00000146">
      <w:pPr>
        <w:pStyle w:val="Heading2"/>
        <w:rPr/>
      </w:pPr>
      <w:r>
        <w:rPr>
          <w:b w:val="0"/>
          <w:bCs w:val="0"/>
          <w:rtl w:val="0"/>
        </w:rPr>
        <w:t xml:space="preserve">Feature-stability audit</w:t>
      </w:r>
      <w:r>
        <w:rPr>
          <w:rtl w:val="0"/>
        </w:rPr>
      </w:r>
    </w:p>
    <w:p w:rsidR="00000000" w:rsidDel="00000000" w:rsidP="00000000" w:rsidRDefault="00000000" w:rsidRPr="00000000" w14:paraId="00000147">
      <w:pPr>
        <w:rPr/>
      </w:pPr>
      <w:r>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14B">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4C">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4D">
            <w:pPr>
              <w:ind w:firstLine="0"/>
              <w:jc w:val="center"/>
              <w:rPr>
                <w:sz w:val="18"/>
                <w:szCs w:val="18"/>
              </w:rPr>
            </w:pPr>
            <w:r>
              <w:rPr>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14E">
            <w:pPr>
              <w:ind w:firstLine="0"/>
              <w:jc w:val="center"/>
              <w:rPr>
                <w:sz w:val="18"/>
                <w:szCs w:val="18"/>
              </w:rPr>
            </w:pPr>
            <w:r>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Pr>
                <w:sz w:val="18"/>
                <w:szCs w:val="18"/>
                <w:rtl w:val="0"/>
              </w:rPr>
              <w:t xml:space="preserve">5</w:t>
            </w:r>
          </w:p>
        </w:tc>
        <w:tc>
          <w:tcPr/>
          <w:p w:rsidR="00000000" w:rsidDel="00000000" w:rsidP="00000000" w:rsidRDefault="00000000" w:rsidRPr="00000000" w14:paraId="00000150">
            <w:pPr>
              <w:ind w:firstLine="0"/>
              <w:jc w:val="center"/>
              <w:rPr>
                <w:sz w:val="18"/>
                <w:szCs w:val="18"/>
              </w:rPr>
            </w:pPr>
            <w:r>
              <w:rPr>
                <w:sz w:val="18"/>
                <w:szCs w:val="18"/>
                <w:rtl w:val="0"/>
              </w:rPr>
              <w:t xml:space="preserve">Pilot-scale stability estimate</w:t>
            </w:r>
          </w:p>
        </w:tc>
      </w:tr>
      <w:tr>
        <w:trPr>
          <w:cantSplit w:val="0"/>
          <w:tblHeader w:val="0"/>
        </w:trPr>
        <w:tc>
          <w:tcPr/>
          <w:p w:rsidR="00000000" w:rsidDel="00000000" w:rsidP="00000000" w:rsidRDefault="00000000" w:rsidRPr="00000000" w14:paraId="00000151">
            <w:pPr>
              <w:ind w:firstLine="0"/>
              <w:jc w:val="center"/>
              <w:rPr>
                <w:sz w:val="18"/>
                <w:szCs w:val="18"/>
              </w:rPr>
            </w:pPr>
            <w:r>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Pr>
                <w:sz w:val="18"/>
                <w:szCs w:val="18"/>
                <w:rtl w:val="0"/>
              </w:rPr>
              <w:t xml:space="preserve">100</w:t>
            </w:r>
          </w:p>
        </w:tc>
        <w:tc>
          <w:tcPr/>
          <w:p w:rsidR="00000000" w:rsidDel="00000000" w:rsidP="00000000" w:rsidRDefault="00000000" w:rsidRPr="00000000" w14:paraId="00000153">
            <w:pPr>
              <w:ind w:firstLine="0"/>
              <w:jc w:val="center"/>
              <w:rPr>
                <w:sz w:val="18"/>
                <w:szCs w:val="18"/>
              </w:rPr>
            </w:pPr>
            <w:r>
              <w:rPr>
                <w:sz w:val="18"/>
                <w:szCs w:val="18"/>
                <w:rtl w:val="0"/>
              </w:rPr>
              <w:t xml:space="preserve">Fixed top-K feature-selection setting</w:t>
            </w:r>
          </w:p>
        </w:tc>
      </w:tr>
      <w:tr>
        <w:trPr>
          <w:cantSplit w:val="0"/>
          <w:tblHeader w:val="0"/>
        </w:trPr>
        <w:tc>
          <w:tcPr/>
          <w:p w:rsidR="00000000" w:rsidDel="00000000" w:rsidP="00000000" w:rsidRDefault="00000000" w:rsidRPr="00000000" w14:paraId="00000154">
            <w:pPr>
              <w:ind w:firstLine="0"/>
              <w:jc w:val="center"/>
              <w:rPr>
                <w:sz w:val="18"/>
                <w:szCs w:val="18"/>
              </w:rPr>
            </w:pPr>
            <w:r>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Pr>
                <w:sz w:val="18"/>
                <w:szCs w:val="18"/>
                <w:rtl w:val="0"/>
              </w:rPr>
              <w:t xml:space="preserve">Probe-level GPL96 feature space</w:t>
            </w:r>
          </w:p>
        </w:tc>
      </w:tr>
      <w:tr>
        <w:trPr>
          <w:cantSplit w:val="0"/>
          <w:tblHeader w:val="0"/>
        </w:trPr>
        <w:tc>
          <w:tcPr/>
          <w:p w:rsidR="00000000" w:rsidDel="00000000" w:rsidP="00000000" w:rsidRDefault="00000000" w:rsidRPr="00000000" w14:paraId="00000157">
            <w:pPr>
              <w:ind w:firstLine="0"/>
              <w:jc w:val="center"/>
              <w:rPr>
                <w:sz w:val="18"/>
                <w:szCs w:val="18"/>
              </w:rPr>
            </w:pPr>
            <w:r>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Pr>
                <w:sz w:val="18"/>
                <w:szCs w:val="18"/>
                <w:rtl w:val="0"/>
              </w:rPr>
              <w:t xml:space="preserve">222</w:t>
            </w:r>
          </w:p>
        </w:tc>
        <w:tc>
          <w:tcPr/>
          <w:p w:rsidR="00000000" w:rsidDel="00000000" w:rsidP="00000000" w:rsidRDefault="00000000" w:rsidRPr="00000000" w14:paraId="00000159">
            <w:pPr>
              <w:ind w:firstLine="0"/>
              <w:jc w:val="center"/>
              <w:rPr>
                <w:sz w:val="18"/>
                <w:szCs w:val="18"/>
              </w:rPr>
            </w:pPr>
            <w:r>
              <w:rPr>
                <w:sz w:val="18"/>
                <w:szCs w:val="18"/>
                <w:rtl w:val="0"/>
              </w:rPr>
              <w:t xml:space="preserve">More features selected across folds than in any single model</w:t>
            </w:r>
          </w:p>
        </w:tc>
      </w:tr>
      <w:tr>
        <w:trPr>
          <w:cantSplit w:val="0"/>
          <w:tblHeader w:val="0"/>
        </w:trPr>
        <w:tc>
          <w:tcPr/>
          <w:p w:rsidR="00000000" w:rsidDel="00000000" w:rsidP="00000000" w:rsidRDefault="00000000" w:rsidRPr="00000000" w14:paraId="0000015A">
            <w:pPr>
              <w:ind w:firstLine="0"/>
              <w:jc w:val="center"/>
              <w:rPr>
                <w:sz w:val="18"/>
                <w:szCs w:val="18"/>
              </w:rPr>
            </w:pPr>
            <w:r>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Pr>
                <w:sz w:val="18"/>
                <w:szCs w:val="18"/>
                <w:rtl w:val="0"/>
              </w:rPr>
              <w:t xml:space="preserve">28</w:t>
            </w:r>
          </w:p>
        </w:tc>
        <w:tc>
          <w:tcPr/>
          <w:p w:rsidR="00000000" w:rsidDel="00000000" w:rsidP="00000000" w:rsidRDefault="00000000" w:rsidRPr="00000000" w14:paraId="0000015C">
            <w:pPr>
              <w:ind w:firstLine="0"/>
              <w:jc w:val="center"/>
              <w:rPr>
                <w:sz w:val="18"/>
                <w:szCs w:val="18"/>
              </w:rPr>
            </w:pPr>
            <w:r>
              <w:rPr>
                <w:sz w:val="18"/>
                <w:szCs w:val="18"/>
                <w:rtl w:val="0"/>
              </w:rPr>
              <w:t xml:space="preserve">Stable feature core</w:t>
            </w:r>
          </w:p>
        </w:tc>
      </w:tr>
      <w:tr>
        <w:trPr>
          <w:cantSplit w:val="0"/>
          <w:tblHeader w:val="0"/>
        </w:trPr>
        <w:tc>
          <w:tcPr/>
          <w:p w:rsidR="00000000" w:rsidDel="00000000" w:rsidP="00000000" w:rsidRDefault="00000000" w:rsidRPr="00000000" w14:paraId="0000015D">
            <w:pPr>
              <w:ind w:firstLine="0"/>
              <w:jc w:val="center"/>
              <w:rPr>
                <w:sz w:val="18"/>
                <w:szCs w:val="18"/>
              </w:rPr>
            </w:pPr>
            <w:r>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Pr>
                <w:sz w:val="18"/>
                <w:szCs w:val="18"/>
                <w:rtl w:val="0"/>
              </w:rPr>
              <w:t xml:space="preserve">102</w:t>
            </w:r>
          </w:p>
        </w:tc>
        <w:tc>
          <w:tcPr/>
          <w:p w:rsidR="00000000" w:rsidDel="00000000" w:rsidP="00000000" w:rsidRDefault="00000000" w:rsidRPr="00000000" w14:paraId="0000015F">
            <w:pPr>
              <w:ind w:firstLine="0"/>
              <w:jc w:val="center"/>
              <w:rPr>
                <w:sz w:val="18"/>
                <w:szCs w:val="18"/>
              </w:rPr>
            </w:pPr>
            <w:r>
              <w:rPr>
                <w:sz w:val="18"/>
                <w:szCs w:val="18"/>
                <w:rtl w:val="0"/>
              </w:rPr>
              <w:t xml:space="preserve">Large unstable tail</w:t>
            </w:r>
          </w:p>
        </w:tc>
      </w:tr>
      <w:tr>
        <w:trPr>
          <w:cantSplit w:val="0"/>
          <w:tblHeader w:val="0"/>
        </w:trPr>
        <w:tc>
          <w:tcPr/>
          <w:p w:rsidR="00000000" w:rsidDel="00000000" w:rsidP="00000000" w:rsidRDefault="00000000" w:rsidRPr="00000000" w14:paraId="00000160">
            <w:pPr>
              <w:ind w:firstLine="0"/>
              <w:jc w:val="center"/>
              <w:rPr>
                <w:sz w:val="18"/>
                <w:szCs w:val="18"/>
              </w:rPr>
            </w:pPr>
            <w:r>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Pr>
                <w:sz w:val="18"/>
                <w:szCs w:val="18"/>
                <w:rtl w:val="0"/>
              </w:rPr>
              <w:t xml:space="preserve">Moderate pairwise overlap</w:t>
            </w:r>
          </w:p>
        </w:tc>
      </w:tr>
      <w:tr>
        <w:trPr>
          <w:cantSplit w:val="0"/>
          <w:tblHeader w:val="0"/>
        </w:trPr>
        <w:tc>
          <w:tcPr/>
          <w:p w:rsidR="00000000" w:rsidDel="00000000" w:rsidP="00000000" w:rsidRDefault="00000000" w:rsidRPr="00000000" w14:paraId="00000163">
            <w:pPr>
              <w:ind w:firstLine="0"/>
              <w:jc w:val="center"/>
              <w:rPr>
                <w:sz w:val="18"/>
                <w:szCs w:val="18"/>
              </w:rPr>
            </w:pPr>
            <w:r>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Pr>
                <w:sz w:val="18"/>
                <w:szCs w:val="18"/>
                <w:rtl w:val="0"/>
              </w:rPr>
              <w:t xml:space="preserve">Moderate pairwise overlap</w:t>
            </w:r>
          </w:p>
        </w:tc>
      </w:tr>
      <w:tr>
        <w:trPr>
          <w:cantSplit w:val="0"/>
          <w:tblHeader w:val="0"/>
        </w:trPr>
        <w:tc>
          <w:tcPr/>
          <w:p w:rsidR="00000000" w:rsidDel="00000000" w:rsidP="00000000" w:rsidRDefault="00000000" w:rsidRPr="00000000" w14:paraId="00000166">
            <w:pPr>
              <w:ind w:firstLine="0"/>
              <w:jc w:val="center"/>
              <w:rPr>
                <w:sz w:val="18"/>
                <w:szCs w:val="18"/>
              </w:rPr>
            </w:pPr>
            <w:r>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Pr>
          <w:rtl w:val="0"/>
        </w:rPr>
      </w:r>
    </w:p>
    <w:p w:rsidR="00000000" w:rsidDel="00000000" w:rsidP="00000000" w:rsidRDefault="00000000" w:rsidRPr="00000000" w14:paraId="0000016B">
      <w:pPr>
        <w:rPr/>
      </w:pPr>
      <w:r>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Pr>
          <w:rtl w:val="0"/>
        </w:rPr>
      </w:r>
    </w:p>
    <w:p w:rsidR="00000000" w:rsidDel="00000000" w:rsidP="00000000" w:rsidRDefault="00000000" w:rsidRPr="00000000" w14:paraId="0000016C">
      <w:pPr>
        <w:pStyle w:val="Heading2"/>
        <w:rPr/>
      </w:pPr>
      <w:r>
        <w:rPr>
          <w:b w:val="0"/>
          <w:bCs w:val="0"/>
          <w:rtl w:val="0"/>
        </w:rPr>
        <w:t xml:space="preserve">External validation on GSE25065</w:t>
      </w:r>
      <w:r>
        <w:rPr>
          <w:rtl w:val="0"/>
        </w:rPr>
      </w:r>
    </w:p>
    <w:p w:rsidR="00000000" w:rsidDel="00000000" w:rsidP="00000000" w:rsidRDefault="00000000" w:rsidRPr="00000000" w14:paraId="0000016D">
      <w:pPr>
        <w:rPr/>
      </w:pPr>
      <w:r>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Pr>
          <w:rtl w:val="0"/>
        </w:rPr>
      </w:r>
    </w:p>
    <w:p w:rsidR="00000000" w:rsidDel="00000000" w:rsidP="00000000" w:rsidRDefault="00000000" w:rsidRPr="00000000" w14:paraId="00000171">
      <w:pPr>
        <w:rPr/>
      </w:pPr>
      <w:r>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72">
            <w:pPr>
              <w:rPr/>
            </w:pPr>
            <w:r>
              <w:rPr>
                <w:b w:val="1"/>
                <w:bCs w:val="1"/>
                <w:sz w:val="15"/>
                <w:szCs w:val="15"/>
                <w:rtl w:val="0"/>
              </w:rPr>
              <w:t xml:space="preserve">Metric</w:t>
            </w:r>
            <w:r>
              <w:rPr>
                <w:rtl w:val="0"/>
              </w:rPr>
            </w:r>
          </w:p>
        </w:tc>
        <w:tc>
          <w:tcPr>
            <w:shd w:fill="d9eaf7" w:val="clear"/>
          </w:tcPr>
          <w:p w:rsidR="00000000" w:rsidDel="00000000" w:rsidP="00000000" w:rsidRDefault="00000000" w:rsidRPr="00000000" w14:paraId="00000173">
            <w:pPr>
              <w:rPr/>
            </w:pPr>
            <w:r>
              <w:rPr>
                <w:b w:val="1"/>
                <w:bCs w:val="1"/>
                <w:sz w:val="15"/>
                <w:szCs w:val="15"/>
                <w:rtl w:val="0"/>
              </w:rPr>
              <w:t xml:space="preserve">Guarded nested CV (GSE25055)</w:t>
            </w:r>
            <w:r>
              <w:rPr>
                <w:rtl w:val="0"/>
              </w:rPr>
            </w:r>
          </w:p>
        </w:tc>
        <w:tc>
          <w:tcPr>
            <w:shd w:fill="d9eaf7" w:val="clear"/>
          </w:tcPr>
          <w:p w:rsidR="00000000" w:rsidDel="00000000" w:rsidP="00000000" w:rsidRDefault="00000000" w:rsidRPr="00000000" w14:paraId="00000174">
            <w:pPr>
              <w:rPr/>
            </w:pPr>
            <w:r>
              <w:rPr>
                <w:b w:val="1"/>
                <w:bCs w:val="1"/>
                <w:sz w:val="15"/>
                <w:szCs w:val="15"/>
                <w:rtl w:val="0"/>
              </w:rPr>
              <w:t xml:space="preserve">External validation (GSE25065)</w:t>
            </w:r>
            <w:r>
              <w:rPr>
                <w:rtl w:val="0"/>
              </w:rPr>
            </w:r>
          </w:p>
        </w:tc>
        <w:tc>
          <w:tcPr>
            <w:shd w:fill="d9eaf7" w:val="clear"/>
          </w:tcPr>
          <w:p w:rsidR="00000000" w:rsidDel="00000000" w:rsidP="00000000" w:rsidRDefault="00000000" w:rsidRPr="00000000" w14:paraId="00000175">
            <w:pPr>
              <w:rPr/>
            </w:pPr>
            <w:r>
              <w:rPr>
                <w:b w:val="1"/>
                <w:bCs w:val="1"/>
                <w:sz w:val="15"/>
                <w:szCs w:val="15"/>
                <w:rtl w:val="0"/>
              </w:rPr>
              <w:t xml:space="preserve">External drop/change</w:t>
            </w:r>
            <w:r>
              <w:rPr>
                <w:rtl w:val="0"/>
              </w:rPr>
            </w:r>
          </w:p>
        </w:tc>
      </w:tr>
      <w:tr>
        <w:trPr>
          <w:cantSplit w:val="0"/>
          <w:tblHeader w:val="0"/>
        </w:trPr>
        <w:tc>
          <w:tcPr/>
          <w:p w:rsidR="00000000" w:rsidDel="00000000" w:rsidP="00000000" w:rsidRDefault="00000000" w:rsidRPr="00000000" w14:paraId="00000176">
            <w:pPr>
              <w:rPr/>
            </w:pPr>
            <w:r>
              <w:rPr>
                <w:sz w:val="15"/>
                <w:szCs w:val="15"/>
                <w:rtl w:val="0"/>
              </w:rPr>
              <w:t xml:space="preserve">AUROC</w:t>
            </w:r>
            <w:r>
              <w:rPr>
                <w:rtl w:val="0"/>
              </w:rPr>
            </w:r>
          </w:p>
        </w:tc>
        <w:tc>
          <w:tcPr/>
          <w:p w:rsidR="00000000" w:rsidDel="00000000" w:rsidP="00000000" w:rsidRDefault="00000000" w:rsidRPr="00000000" w14:paraId="00000177">
            <w:pPr>
              <w:rPr/>
            </w:pPr>
            <w:r>
              <w:rPr>
                <w:sz w:val="15"/>
                <w:szCs w:val="15"/>
                <w:rtl w:val="0"/>
              </w:rPr>
              <w:t xml:space="preserve">0.7265</w:t>
            </w:r>
            <w:r>
              <w:rPr>
                <w:rtl w:val="0"/>
              </w:rPr>
            </w:r>
          </w:p>
        </w:tc>
        <w:tc>
          <w:tcPr/>
          <w:p w:rsidR="00000000" w:rsidDel="00000000" w:rsidP="00000000" w:rsidRDefault="00000000" w:rsidRPr="00000000" w14:paraId="00000178">
            <w:pPr>
              <w:rPr/>
            </w:pPr>
            <w:r>
              <w:rPr>
                <w:sz w:val="15"/>
                <w:szCs w:val="15"/>
                <w:rtl w:val="0"/>
              </w:rPr>
              <w:t xml:space="preserve">0.6078</w:t>
            </w:r>
            <w:r>
              <w:rPr>
                <w:rtl w:val="0"/>
              </w:rPr>
            </w:r>
          </w:p>
        </w:tc>
        <w:tc>
          <w:tcPr/>
          <w:p w:rsidR="00000000" w:rsidDel="00000000" w:rsidP="00000000" w:rsidRDefault="00000000" w:rsidRPr="00000000" w14:paraId="00000179">
            <w:pPr>
              <w:rPr/>
            </w:pPr>
            <w:r>
              <w:rPr>
                <w:sz w:val="15"/>
                <w:szCs w:val="15"/>
                <w:rtl w:val="0"/>
              </w:rPr>
              <w:t xml:space="preserve">-0.1187</w:t>
            </w:r>
            <w:r>
              <w:rPr>
                <w:rtl w:val="0"/>
              </w:rPr>
            </w:r>
          </w:p>
        </w:tc>
      </w:tr>
      <w:tr>
        <w:trPr>
          <w:cantSplit w:val="0"/>
          <w:tblHeader w:val="0"/>
        </w:trPr>
        <w:tc>
          <w:tcPr/>
          <w:p w:rsidR="00000000" w:rsidDel="00000000" w:rsidP="00000000" w:rsidRDefault="00000000" w:rsidRPr="00000000" w14:paraId="0000017A">
            <w:pPr>
              <w:rPr/>
            </w:pPr>
            <w:r>
              <w:rPr>
                <w:sz w:val="15"/>
                <w:szCs w:val="15"/>
                <w:rtl w:val="0"/>
              </w:rPr>
              <w:t xml:space="preserve">PR-AUC</w:t>
            </w:r>
            <w:r>
              <w:rPr>
                <w:rtl w:val="0"/>
              </w:rPr>
            </w:r>
          </w:p>
        </w:tc>
        <w:tc>
          <w:tcPr/>
          <w:p w:rsidR="00000000" w:rsidDel="00000000" w:rsidP="00000000" w:rsidRDefault="00000000" w:rsidRPr="00000000" w14:paraId="0000017B">
            <w:pPr>
              <w:rPr/>
            </w:pPr>
            <w:r>
              <w:rPr>
                <w:sz w:val="15"/>
                <w:szCs w:val="15"/>
                <w:rtl w:val="0"/>
              </w:rPr>
              <w:t xml:space="preserve">0.3656</w:t>
            </w:r>
            <w:r>
              <w:rPr>
                <w:rtl w:val="0"/>
              </w:rPr>
            </w:r>
          </w:p>
        </w:tc>
        <w:tc>
          <w:tcPr/>
          <w:p w:rsidR="00000000" w:rsidDel="00000000" w:rsidP="00000000" w:rsidRDefault="00000000" w:rsidRPr="00000000" w14:paraId="0000017C">
            <w:pPr>
              <w:rPr/>
            </w:pPr>
            <w:r>
              <w:rPr>
                <w:sz w:val="15"/>
                <w:szCs w:val="15"/>
                <w:rtl w:val="0"/>
              </w:rPr>
              <w:t xml:space="preserve">0.3060</w:t>
            </w:r>
            <w:r>
              <w:rPr>
                <w:rtl w:val="0"/>
              </w:rPr>
            </w:r>
          </w:p>
        </w:tc>
        <w:tc>
          <w:tcPr/>
          <w:p w:rsidR="00000000" w:rsidDel="00000000" w:rsidP="00000000" w:rsidRDefault="00000000" w:rsidRPr="00000000" w14:paraId="0000017D">
            <w:pPr>
              <w:rPr/>
            </w:pPr>
            <w:r>
              <w:rPr>
                <w:sz w:val="15"/>
                <w:szCs w:val="15"/>
                <w:rtl w:val="0"/>
              </w:rPr>
              <w:t xml:space="preserve">-0.0596</w:t>
            </w:r>
            <w:r>
              <w:rPr>
                <w:rtl w:val="0"/>
              </w:rPr>
            </w:r>
          </w:p>
        </w:tc>
      </w:tr>
      <w:tr>
        <w:trPr>
          <w:cantSplit w:val="0"/>
          <w:tblHeader w:val="0"/>
        </w:trPr>
        <w:tc>
          <w:tcPr/>
          <w:p w:rsidR="00000000" w:rsidDel="00000000" w:rsidP="00000000" w:rsidRDefault="00000000" w:rsidRPr="00000000" w14:paraId="0000017E">
            <w:pPr>
              <w:rPr/>
            </w:pPr>
            <w:r>
              <w:rPr>
                <w:sz w:val="15"/>
                <w:szCs w:val="15"/>
                <w:rtl w:val="0"/>
              </w:rPr>
              <w:t xml:space="preserve">Balanced accuracy</w:t>
            </w:r>
            <w:r>
              <w:rPr>
                <w:rtl w:val="0"/>
              </w:rPr>
            </w:r>
          </w:p>
        </w:tc>
        <w:tc>
          <w:tcPr/>
          <w:p w:rsidR="00000000" w:rsidDel="00000000" w:rsidP="00000000" w:rsidRDefault="00000000" w:rsidRPr="00000000" w14:paraId="0000017F">
            <w:pPr>
              <w:rPr/>
            </w:pPr>
            <w:r>
              <w:rPr>
                <w:sz w:val="15"/>
                <w:szCs w:val="15"/>
                <w:rtl w:val="0"/>
              </w:rPr>
              <w:t xml:space="preserve">0.5792</w:t>
            </w:r>
            <w:r>
              <w:rPr>
                <w:rtl w:val="0"/>
              </w:rPr>
            </w:r>
          </w:p>
        </w:tc>
        <w:tc>
          <w:tcPr/>
          <w:p w:rsidR="00000000" w:rsidDel="00000000" w:rsidP="00000000" w:rsidRDefault="00000000" w:rsidRPr="00000000" w14:paraId="00000180">
            <w:pPr>
              <w:rPr/>
            </w:pPr>
            <w:r>
              <w:rPr>
                <w:sz w:val="15"/>
                <w:szCs w:val="15"/>
                <w:rtl w:val="0"/>
              </w:rPr>
              <w:t xml:space="preserve">0.5381</w:t>
            </w:r>
            <w:r>
              <w:rPr>
                <w:rtl w:val="0"/>
              </w:rPr>
            </w:r>
          </w:p>
        </w:tc>
        <w:tc>
          <w:tcPr/>
          <w:p w:rsidR="00000000" w:rsidDel="00000000" w:rsidP="00000000" w:rsidRDefault="00000000" w:rsidRPr="00000000" w14:paraId="00000181">
            <w:pPr>
              <w:rPr/>
            </w:pPr>
            <w:r>
              <w:rPr>
                <w:sz w:val="15"/>
                <w:szCs w:val="15"/>
                <w:rtl w:val="0"/>
              </w:rPr>
              <w:t xml:space="preserve">-0.0411</w:t>
            </w:r>
            <w:r>
              <w:rPr>
                <w:rtl w:val="0"/>
              </w:rPr>
            </w:r>
          </w:p>
        </w:tc>
      </w:tr>
      <w:tr>
        <w:trPr>
          <w:cantSplit w:val="0"/>
          <w:tblHeader w:val="0"/>
        </w:trPr>
        <w:tc>
          <w:tcPr/>
          <w:p w:rsidR="00000000" w:rsidDel="00000000" w:rsidP="00000000" w:rsidRDefault="00000000" w:rsidRPr="00000000" w14:paraId="00000182">
            <w:pPr>
              <w:rPr/>
            </w:pPr>
            <w:r>
              <w:rPr>
                <w:sz w:val="15"/>
                <w:szCs w:val="15"/>
                <w:rtl w:val="0"/>
              </w:rPr>
              <w:t xml:space="preserve">MCC</w:t>
            </w:r>
            <w:r>
              <w:rPr>
                <w:rtl w:val="0"/>
              </w:rPr>
            </w:r>
          </w:p>
        </w:tc>
        <w:tc>
          <w:tcPr/>
          <w:p w:rsidR="00000000" w:rsidDel="00000000" w:rsidP="00000000" w:rsidRDefault="00000000" w:rsidRPr="00000000" w14:paraId="00000183">
            <w:pPr>
              <w:rPr/>
            </w:pPr>
            <w:r>
              <w:rPr>
                <w:sz w:val="15"/>
                <w:szCs w:val="15"/>
                <w:rtl w:val="0"/>
              </w:rPr>
              <w:t xml:space="preserve">0.2250</w:t>
            </w:r>
            <w:r>
              <w:rPr>
                <w:rtl w:val="0"/>
              </w:rPr>
            </w:r>
          </w:p>
        </w:tc>
        <w:tc>
          <w:tcPr/>
          <w:p w:rsidR="00000000" w:rsidDel="00000000" w:rsidP="00000000" w:rsidRDefault="00000000" w:rsidRPr="00000000" w14:paraId="00000184">
            <w:pPr>
              <w:rPr/>
            </w:pPr>
            <w:r>
              <w:rPr>
                <w:sz w:val="15"/>
                <w:szCs w:val="15"/>
                <w:rtl w:val="0"/>
              </w:rPr>
              <w:t xml:space="preserve">0.1347</w:t>
            </w:r>
            <w:r>
              <w:rPr>
                <w:rtl w:val="0"/>
              </w:rPr>
            </w:r>
          </w:p>
        </w:tc>
        <w:tc>
          <w:tcPr/>
          <w:p w:rsidR="00000000" w:rsidDel="00000000" w:rsidP="00000000" w:rsidRDefault="00000000" w:rsidRPr="00000000" w14:paraId="00000185">
            <w:pPr>
              <w:rPr/>
            </w:pPr>
            <w:r>
              <w:rPr>
                <w:sz w:val="15"/>
                <w:szCs w:val="15"/>
                <w:rtl w:val="0"/>
              </w:rPr>
              <w:t xml:space="preserve">-0.0903</w:t>
            </w:r>
            <w:r>
              <w:rPr>
                <w:rtl w:val="0"/>
              </w:rPr>
            </w:r>
          </w:p>
        </w:tc>
      </w:tr>
      <w:tr>
        <w:trPr>
          <w:cantSplit w:val="0"/>
          <w:tblHeader w:val="0"/>
        </w:trPr>
        <w:tc>
          <w:tcPr/>
          <w:p w:rsidR="00000000" w:rsidDel="00000000" w:rsidP="00000000" w:rsidRDefault="00000000" w:rsidRPr="00000000" w14:paraId="00000186">
            <w:pPr>
              <w:rPr/>
            </w:pPr>
            <w:r>
              <w:rPr>
                <w:sz w:val="15"/>
                <w:szCs w:val="15"/>
                <w:rtl w:val="0"/>
              </w:rPr>
              <w:t xml:space="preserve">Sensitivity</w:t>
            </w:r>
            <w:r>
              <w:rPr>
                <w:rtl w:val="0"/>
              </w:rPr>
            </w:r>
          </w:p>
        </w:tc>
        <w:tc>
          <w:tcPr/>
          <w:p w:rsidR="00000000" w:rsidDel="00000000" w:rsidP="00000000" w:rsidRDefault="00000000" w:rsidRPr="00000000" w14:paraId="00000187">
            <w:pPr>
              <w:rPr/>
            </w:pPr>
            <w:r>
              <w:rPr>
                <w:sz w:val="15"/>
                <w:szCs w:val="15"/>
                <w:rtl w:val="0"/>
              </w:rPr>
              <w:t xml:space="preserve">0.2105</w:t>
            </w:r>
            <w:r>
              <w:rPr>
                <w:rtl w:val="0"/>
              </w:rPr>
            </w:r>
          </w:p>
        </w:tc>
        <w:tc>
          <w:tcPr/>
          <w:p w:rsidR="00000000" w:rsidDel="00000000" w:rsidP="00000000" w:rsidRDefault="00000000" w:rsidRPr="00000000" w14:paraId="00000188">
            <w:pPr>
              <w:rPr/>
            </w:pPr>
            <w:r>
              <w:rPr>
                <w:sz w:val="15"/>
                <w:szCs w:val="15"/>
                <w:rtl w:val="0"/>
              </w:rPr>
              <w:t xml:space="preserve">0.1190</w:t>
            </w:r>
            <w:r>
              <w:rPr>
                <w:rtl w:val="0"/>
              </w:rPr>
            </w:r>
          </w:p>
        </w:tc>
        <w:tc>
          <w:tcPr/>
          <w:p w:rsidR="00000000" w:rsidDel="00000000" w:rsidP="00000000" w:rsidRDefault="00000000" w:rsidRPr="00000000" w14:paraId="00000189">
            <w:pPr>
              <w:rPr/>
            </w:pPr>
            <w:r>
              <w:rPr>
                <w:sz w:val="15"/>
                <w:szCs w:val="15"/>
                <w:rtl w:val="0"/>
              </w:rPr>
              <w:t xml:space="preserve">-0.0915</w:t>
            </w:r>
            <w:r>
              <w:rPr>
                <w:rtl w:val="0"/>
              </w:rPr>
            </w:r>
          </w:p>
        </w:tc>
      </w:tr>
      <w:tr>
        <w:trPr>
          <w:cantSplit w:val="0"/>
          <w:tblHeader w:val="0"/>
        </w:trPr>
        <w:tc>
          <w:tcPr/>
          <w:p w:rsidR="00000000" w:rsidDel="00000000" w:rsidP="00000000" w:rsidRDefault="00000000" w:rsidRPr="00000000" w14:paraId="0000018A">
            <w:pPr>
              <w:rPr/>
            </w:pPr>
            <w:r>
              <w:rPr>
                <w:sz w:val="15"/>
                <w:szCs w:val="15"/>
                <w:rtl w:val="0"/>
              </w:rPr>
              <w:t xml:space="preserve">Specificity</w:t>
            </w:r>
            <w:r>
              <w:rPr>
                <w:rtl w:val="0"/>
              </w:rPr>
            </w:r>
          </w:p>
        </w:tc>
        <w:tc>
          <w:tcPr/>
          <w:p w:rsidR="00000000" w:rsidDel="00000000" w:rsidP="00000000" w:rsidRDefault="00000000" w:rsidRPr="00000000" w14:paraId="0000018B">
            <w:pPr>
              <w:rPr/>
            </w:pPr>
            <w:r>
              <w:rPr>
                <w:sz w:val="15"/>
                <w:szCs w:val="15"/>
                <w:rtl w:val="0"/>
              </w:rPr>
              <w:t xml:space="preserve">0.9478</w:t>
            </w:r>
            <w:r>
              <w:rPr>
                <w:rtl w:val="0"/>
              </w:rPr>
            </w:r>
          </w:p>
        </w:tc>
        <w:tc>
          <w:tcPr/>
          <w:p w:rsidR="00000000" w:rsidDel="00000000" w:rsidP="00000000" w:rsidRDefault="00000000" w:rsidRPr="00000000" w14:paraId="0000018C">
            <w:pPr>
              <w:rPr/>
            </w:pPr>
            <w:r>
              <w:rPr>
                <w:sz w:val="15"/>
                <w:szCs w:val="15"/>
                <w:rtl w:val="0"/>
              </w:rPr>
              <w:t xml:space="preserve">0.9571</w:t>
            </w:r>
            <w:r>
              <w:rPr>
                <w:rtl w:val="0"/>
              </w:rPr>
            </w:r>
          </w:p>
        </w:tc>
        <w:tc>
          <w:tcPr/>
          <w:p w:rsidR="00000000" w:rsidDel="00000000" w:rsidP="00000000" w:rsidRDefault="00000000" w:rsidRPr="00000000" w14:paraId="0000018D">
            <w:pPr>
              <w:rPr/>
            </w:pPr>
            <w:r>
              <w:rPr>
                <w:sz w:val="15"/>
                <w:szCs w:val="15"/>
                <w:rtl w:val="0"/>
              </w:rPr>
              <w:t xml:space="preserve">+0.0094</w:t>
            </w:r>
            <w:r>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F">
      <w:pPr>
        <w:pStyle w:val="Heading2"/>
        <w:rPr/>
      </w:pPr>
      <w:r>
        <w:rPr>
          <w:b w:val="0"/>
          <w:bCs w:val="0"/>
          <w:rtl w:val="0"/>
        </w:rPr>
        <w:t xml:space="preserve">Integrated Reproducible Omics Evidence Audit</w:t>
      </w:r>
      <w:r>
        <w:rPr>
          <w:rtl w:val="0"/>
        </w:rPr>
      </w:r>
    </w:p>
    <w:p w:rsidR="00000000" w:rsidDel="00000000" w:rsidP="00000000" w:rsidRDefault="00000000" w:rsidRPr="00000000" w14:paraId="00000190">
      <w:pPr>
        <w:rPr/>
      </w:pPr>
      <w:r>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r>
        <w:t xml:space="preserve"> These dimensions are shown together in the evidence-audit dashboard (Figure 7).</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11</w:t>
      </w:r>
      <w:r>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94">
            <w:pPr>
              <w:ind w:firstLine="0"/>
              <w:jc w:val="center"/>
              <w:rPr>
                <w:sz w:val="18"/>
                <w:szCs w:val="18"/>
              </w:rPr>
            </w:pPr>
            <w:r>
              <w:rPr>
                <w:b w:val="1"/>
                <w:bCs w:val="1"/>
                <w:sz w:val="18"/>
                <w:szCs w:val="18"/>
                <w:rtl w:val="0"/>
              </w:rPr>
              <w:t xml:space="preserve">Audit domain</w:t>
            </w:r>
            <w:r>
              <w:rPr>
                <w:rtl w:val="0"/>
              </w:rPr>
            </w:r>
          </w:p>
        </w:tc>
        <w:tc>
          <w:tcPr>
            <w:shd w:fill="d9eaf7" w:val="clear"/>
          </w:tcPr>
          <w:p w:rsidR="00000000" w:rsidDel="00000000" w:rsidP="00000000" w:rsidRDefault="00000000" w:rsidRPr="00000000" w14:paraId="00000195">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96">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97">
            <w:pPr>
              <w:ind w:firstLine="0"/>
              <w:jc w:val="center"/>
              <w:rPr>
                <w:sz w:val="18"/>
                <w:szCs w:val="18"/>
              </w:rPr>
            </w:pPr>
            <w:r>
              <w:rPr>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198">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Pr>
                <w:sz w:val="18"/>
                <w:szCs w:val="18"/>
                <w:rtl w:val="0"/>
              </w:rPr>
              <w:t xml:space="preserve">Discovery cohort is labeled and same-platform.</w:t>
            </w:r>
          </w:p>
        </w:tc>
      </w:tr>
      <w:tr>
        <w:trPr>
          <w:cantSplit w:val="0"/>
          <w:tblHeader w:val="0"/>
        </w:trPr>
        <w:tc>
          <w:tcPr/>
          <w:p w:rsidR="00000000" w:rsidDel="00000000" w:rsidP="00000000" w:rsidRDefault="00000000" w:rsidRPr="00000000" w14:paraId="0000019C">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Pr>
                <w:sz w:val="18"/>
                <w:szCs w:val="18"/>
                <w:rtl w:val="0"/>
              </w:rPr>
              <w:t xml:space="preserve">Same-platform, same-study-family validation cohort is non-overlapping.</w:t>
            </w:r>
          </w:p>
        </w:tc>
      </w:tr>
      <w:tr>
        <w:trPr>
          <w:cantSplit w:val="0"/>
          <w:tblHeader w:val="0"/>
        </w:trPr>
        <w:tc>
          <w:tcPr/>
          <w:p w:rsidR="00000000" w:rsidDel="00000000" w:rsidP="00000000" w:rsidRDefault="00000000" w:rsidRPr="00000000" w14:paraId="000001A0">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Pr>
                <w:sz w:val="18"/>
                <w:szCs w:val="18"/>
                <w:rtl w:val="0"/>
              </w:rPr>
              <w:t xml:space="preserve">Global feature selection can inflate apparent discrimination; single-cohort gap CI includes zero (Table 5).</w:t>
            </w:r>
          </w:p>
        </w:tc>
      </w:tr>
      <w:tr>
        <w:trPr>
          <w:cantSplit w:val="0"/>
          <w:tblHeader w:val="0"/>
        </w:trPr>
        <w:tc>
          <w:tcPr/>
          <w:p w:rsidR="00000000" w:rsidDel="00000000" w:rsidP="00000000" w:rsidRDefault="00000000" w:rsidRPr="00000000" w14:paraId="000001A4">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Pr>
                <w:sz w:val="18"/>
                <w:szCs w:val="18"/>
                <w:rtl w:val="0"/>
              </w:rPr>
              <w:t xml:space="preserve">Leakage can also raise minority-class (PR-AUC) ranking; single-cohort gap CI includes zero.</w:t>
            </w:r>
          </w:p>
        </w:tc>
      </w:tr>
      <w:tr>
        <w:trPr>
          <w:cantSplit w:val="0"/>
          <w:tblHeader w:val="0"/>
        </w:trPr>
        <w:tc>
          <w:tcPr/>
          <w:p w:rsidR="00000000" w:rsidDel="00000000" w:rsidP="00000000" w:rsidRDefault="00000000" w:rsidRPr="00000000" w14:paraId="000001A8">
            <w:pPr>
              <w:ind w:firstLine="0"/>
              <w:jc w:val="center"/>
              <w:rPr>
                <w:sz w:val="18"/>
                <w:szCs w:val="18"/>
              </w:rPr>
            </w:pPr>
            <w:r>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Pr>
                <w:sz w:val="18"/>
                <w:szCs w:val="18"/>
                <w:rtl w:val="0"/>
              </w:rPr>
              <w:t xml:space="preserve">Operating-point metrics vary under class imbalance and should be interpreted cautiously.</w:t>
            </w:r>
          </w:p>
        </w:tc>
      </w:tr>
      <w:tr>
        <w:trPr>
          <w:cantSplit w:val="0"/>
          <w:tblHeader w:val="0"/>
        </w:trPr>
        <w:tc>
          <w:tcPr/>
          <w:p w:rsidR="00000000" w:rsidDel="00000000" w:rsidP="00000000" w:rsidRDefault="00000000" w:rsidRPr="00000000" w14:paraId="000001AC">
            <w:pPr>
              <w:ind w:firstLine="0"/>
              <w:jc w:val="center"/>
              <w:rPr>
                <w:sz w:val="18"/>
                <w:szCs w:val="18"/>
              </w:rPr>
            </w:pPr>
            <w:r>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Pr>
                <w:sz w:val="18"/>
                <w:szCs w:val="18"/>
                <w:rtl w:val="0"/>
              </w:rPr>
              <w:t xml:space="preserve">Moderate stability with stable core and unstable tail.</w:t>
            </w:r>
          </w:p>
        </w:tc>
      </w:tr>
      <w:tr>
        <w:trPr>
          <w:cantSplit w:val="0"/>
          <w:tblHeader w:val="0"/>
        </w:trPr>
        <w:tc>
          <w:tcPr/>
          <w:p w:rsidR="00000000" w:rsidDel="00000000" w:rsidP="00000000" w:rsidRDefault="00000000" w:rsidRPr="00000000" w14:paraId="000001B0">
            <w:pPr>
              <w:ind w:firstLine="0"/>
              <w:jc w:val="center"/>
              <w:rPr>
                <w:sz w:val="18"/>
                <w:szCs w:val="18"/>
              </w:rPr>
            </w:pPr>
            <w:r>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Pr>
                <w:sz w:val="18"/>
                <w:szCs w:val="18"/>
                <w:rtl w:val="0"/>
              </w:rPr>
              <w:t xml:space="preserve">Same-study-family validation shows a transportability drop; broader external transportability remains untested.</w:t>
            </w:r>
          </w:p>
        </w:tc>
      </w:tr>
      <w:tr>
        <w:trPr>
          <w:cantSplit w:val="0"/>
          <w:tblHeader w:val="0"/>
        </w:trPr>
        <w:tc>
          <w:tcPr/>
          <w:p w:rsidR="00000000" w:rsidDel="00000000" w:rsidP="00000000" w:rsidRDefault="00000000" w:rsidRPr="00000000" w14:paraId="000001B4">
            <w:pPr>
              <w:ind w:firstLine="0"/>
              <w:jc w:val="center"/>
              <w:rPr>
                <w:sz w:val="18"/>
                <w:szCs w:val="18"/>
              </w:rPr>
            </w:pPr>
            <w:r>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Pr>
                <w:sz w:val="18"/>
                <w:szCs w:val="18"/>
                <w:rtl w:val="0"/>
              </w:rPr>
              <w:t xml:space="preserve">High specificity but low pCR sensitivity.</w:t>
            </w:r>
          </w:p>
        </w:tc>
      </w:tr>
      <w:tr>
        <w:trPr>
          <w:cantSplit w:val="0"/>
          <w:tblHeader w:val="0"/>
        </w:trPr>
        <w:tc>
          <w:tcPr/>
          <w:p w:rsidR="00000000" w:rsidDel="00000000" w:rsidP="00000000" w:rsidRDefault="00000000" w:rsidRPr="00000000" w14:paraId="000001B8">
            <w:pPr>
              <w:ind w:firstLine="0"/>
              <w:jc w:val="center"/>
              <w:rPr>
                <w:sz w:val="18"/>
                <w:szCs w:val="18"/>
              </w:rPr>
            </w:pPr>
            <w:r>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Pr>
                <w:sz w:val="18"/>
                <w:szCs w:val="18"/>
                <w:rtl w:val="0"/>
              </w:rPr>
              <w:t xml:space="preserve">Pipeline is reproducible from repository artifacts.</w:t>
            </w:r>
          </w:p>
        </w:tc>
      </w:tr>
      <w:tr>
        <w:trPr>
          <w:cantSplit w:val="0"/>
          <w:tblHeader w:val="0"/>
        </w:trPr>
        <w:tc>
          <w:tcPr/>
          <w:p w:rsidR="00000000" w:rsidDel="00000000" w:rsidP="00000000" w:rsidRDefault="00000000" w:rsidRPr="00000000" w14:paraId="000001BC">
            <w:pPr>
              <w:ind w:firstLine="0"/>
              <w:jc w:val="center"/>
              <w:rPr>
                <w:sz w:val="18"/>
                <w:szCs w:val="18"/>
              </w:rPr>
            </w:pPr>
            <w:r>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Pr>
                <w:sz w:val="18"/>
                <w:szCs w:val="18"/>
                <w:rtl w:val="0"/>
              </w:rPr>
              <w:t xml:space="preserve">Findings are methodological and require further validation.</w:t>
            </w:r>
          </w:p>
        </w:tc>
      </w:tr>
      <w:tr>
        <w:trPr>
          <w:cantSplit w:val="0"/>
          <w:tblHeader w:val="0"/>
        </w:trPr>
        <w:tc>
          <w:tcPr/>
          <w:p w:rsidR="00000000" w:rsidDel="00000000" w:rsidP="00000000" w:rsidRDefault="00000000" w:rsidRPr="00000000" w14:paraId="000001C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Internal leakage gap, ΔAUROC (95% CI)</w:t>
            </w:r>
            <w:r>
              <w:rPr>
                <w:rtl w:val="0"/>
              </w:rPr>
            </w:r>
          </w:p>
        </w:tc>
        <w:tc>
          <w:tcPr/>
          <w:p w:rsidR="00000000" w:rsidDel="00000000" w:rsidP="00000000" w:rsidRDefault="00000000" w:rsidRPr="00000000" w14:paraId="000001C2">
            <w:pPr>
              <w:ind w:firstLine="0"/>
              <w:jc w:val="center"/>
              <w:rPr>
                <w:sz w:val="18"/>
                <w:szCs w:val="18"/>
              </w:rPr>
            </w:pPr>
            <w:r>
              <w:rPr>
                <w:rFonts w:ascii="Gungsuh" w:cs="Gungsuh" w:eastAsia="Gungsuh" w:hAnsi="Gungsuh"/>
                <w:b w:val="0"/>
                <w:bCs w:val="0"/>
                <w:i w:val="0"/>
                <w:iCs w:val="0"/>
                <w:sz w:val="18"/>
                <w:szCs w:val="18"/>
                <w:rtl w:val="0"/>
              </w:rPr>
              <w:t xml:space="preserve">+0.044 (−0.013 to +0.103)</w:t>
            </w:r>
            <w:r>
              <w:rPr>
                <w:rtl w:val="0"/>
              </w:rPr>
            </w:r>
          </w:p>
        </w:tc>
        <w:tc>
          <w:tcPr/>
          <w:p w:rsidR="00000000" w:rsidDel="00000000" w:rsidP="00000000" w:rsidRDefault="00000000" w:rsidRPr="00000000" w14:paraId="000001C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but CI includes zero in one cohort</w:t>
            </w:r>
            <w:r>
              <w:rPr>
                <w:rtl w:val="0"/>
              </w:rPr>
            </w:r>
          </w:p>
        </w:tc>
      </w:tr>
      <w:tr>
        <w:trPr>
          <w:cantSplit w:val="0"/>
          <w:tblHeader w:val="0"/>
        </w:trPr>
        <w:tc>
          <w:tcPr/>
          <w:p w:rsidR="00000000" w:rsidDel="00000000" w:rsidP="00000000" w:rsidRDefault="00000000" w:rsidRPr="00000000" w14:paraId="000001C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Permutation control, leaky null AUROC</w:t>
            </w:r>
            <w:r>
              <w:rPr>
                <w:rtl w:val="0"/>
              </w:rPr>
            </w:r>
          </w:p>
        </w:tc>
        <w:tc>
          <w:tcPr/>
          <w:p w:rsidR="00000000" w:rsidDel="00000000" w:rsidP="00000000" w:rsidRDefault="00000000" w:rsidRPr="00000000" w14:paraId="000001C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0.88 (all permutations &gt; chance)</w:t>
            </w:r>
            <w:r>
              <w:rPr>
                <w:rtl w:val="0"/>
              </w:rPr>
            </w:r>
          </w:p>
        </w:tc>
        <w:tc>
          <w:tcPr/>
          <w:p w:rsidR="00000000" w:rsidDel="00000000" w:rsidP="00000000" w:rsidRDefault="00000000" w:rsidRPr="00000000" w14:paraId="000001C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Diagnostic of leakage artifact; guarded null near chance</w:t>
            </w:r>
            <w:r>
              <w:rPr>
                <w:rtl w:val="0"/>
              </w:rPr>
            </w:r>
          </w:p>
        </w:tc>
      </w:tr>
      <w:tr>
        <w:trPr>
          <w:cantSplit w:val="0"/>
          <w:tblHeader w:val="0"/>
        </w:trPr>
        <w:tc>
          <w:tcPr/>
          <w:p w:rsidR="00000000" w:rsidDel="00000000" w:rsidP="00000000" w:rsidRDefault="00000000" w:rsidRPr="00000000" w14:paraId="000001C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Reproducibility</w:t>
            </w:r>
            <w:r>
              <w:rPr>
                <w:rtl w:val="0"/>
              </w:rPr>
            </w:r>
          </w:p>
        </w:tc>
        <w:tc>
          <w:tcPr/>
          <w:p w:rsidR="00000000" w:rsidDel="00000000" w:rsidP="00000000" w:rsidRDefault="00000000" w:rsidRPr="00000000" w14:paraId="000001C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Seed robustness, ΔAUROC (27/30 seeds)</w:t>
            </w:r>
            <w:r>
              <w:rPr>
                <w:rtl w:val="0"/>
              </w:rPr>
            </w:r>
          </w:p>
        </w:tc>
        <w:tc>
          <w:tcPr/>
          <w:p w:rsidR="00000000" w:rsidDel="00000000" w:rsidP="00000000" w:rsidRDefault="00000000" w:rsidRPr="00000000" w14:paraId="000001C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median +0.054; Wilcoxon p &lt; 0.001</w:t>
            </w:r>
            <w:r>
              <w:rPr>
                <w:rtl w:val="0"/>
              </w:rPr>
            </w:r>
          </w:p>
        </w:tc>
        <w:tc>
          <w:tcPr/>
          <w:p w:rsidR="00000000" w:rsidDel="00000000" w:rsidP="00000000" w:rsidRDefault="00000000" w:rsidRPr="00000000" w14:paraId="000001C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Modest but reproducible across folds</w:t>
            </w:r>
            <w:r>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pPr>
        <w:jc w:val="center"/>
      </w:pPr>
      <w:r>
        <w:drawing>
          <wp:inline>
            <wp:extent cx="6035040" cy="3317016"/>
            <wp:docPr id="7" name="Picture 7"/>
            <wp:cNvGraphicFramePr>
              <a:graphicFrameLocks noChangeAspect="1"/>
            </wp:cNvGraphicFramePr>
            <a:graphic>
              <a:graphicData uri="http://schemas.openxmlformats.org/drawingml/2006/picture">
                <pic:pic>
                  <pic:nvPicPr>
                    <pic:cNvPr id="0" name="evidence_audit_dashboard.png"/>
                    <pic:cNvPicPr/>
                  </pic:nvPicPr>
                  <pic:blipFill>
                    <a:blip r:embed="rId14"/>
                    <a:stretch>
                      <a:fillRect/>
                    </a:stretch>
                  </pic:blipFill>
                  <pic:spPr>
                    <a:xfrm>
                      <a:off x="0" y="0"/>
                      <a:ext cx="6035040" cy="3317016"/>
                    </a:xfrm>
                    <a:prstGeom prst="rect"/>
                  </pic:spPr>
                </pic:pic>
              </a:graphicData>
            </a:graphic>
          </wp:inline>
        </w:drawing>
      </w:r>
    </w:p>
    <w:p>
      <w:r>
        <w:rPr>
          <w:i/>
          <w:sz w:val="20"/>
        </w:rPr>
        <w:t>Figure 7. Reproducible Omics Evidence Audit dashboard summarising,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rsidR="00000000" w:rsidDel="00000000" w:rsidP="00000000" w:rsidRDefault="00000000" w:rsidRPr="00000000" w14:paraId="000001CD">
      <w:pPr>
        <w:pStyle w:val="Heading1"/>
        <w:rPr/>
      </w:pPr>
      <w:r>
        <w:rPr>
          <w:rtl w:val="0"/>
        </w:rPr>
        <w:t xml:space="preserve">Discussion</w:t>
      </w:r>
    </w:p>
    <w:p w:rsidR="00000000" w:rsidDel="00000000" w:rsidP="00000000" w:rsidRDefault="00000000" w:rsidRPr="00000000" w14:paraId="000001CE">
      <w:pPr>
        <w:pStyle w:val="Heading2"/>
        <w:rPr/>
      </w:pPr>
      <w:r>
        <w:rPr>
          <w:rtl w:val="0"/>
        </w:rPr>
        <w:t xml:space="preserve">Principal findings</w:t>
      </w:r>
    </w:p>
    <w:p w:rsidR="00000000" w:rsidDel="00000000" w:rsidP="00000000" w:rsidRDefault="00000000" w:rsidRPr="00000000" w14:paraId="000001CF">
      <w:pPr>
        <w:rPr/>
      </w:pPr>
      <w:r>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r>
        <w:rPr>
          <w:rtl w:val="0"/>
        </w:rPr>
      </w:r>
    </w:p>
    <w:p w:rsidR="00000000" w:rsidDel="00000000" w:rsidP="00000000" w:rsidRDefault="00000000" w:rsidRPr="00000000" w14:paraId="000001D0">
      <w:pPr>
        <w:pStyle w:val="Heading2"/>
        <w:rPr/>
      </w:pPr>
      <w:r>
        <w:rPr>
          <w:rtl w:val="0"/>
        </w:rPr>
        <w:t xml:space="preserve">Why leakage-aware validation changes biomarker interpretation</w:t>
      </w:r>
    </w:p>
    <w:p w:rsidR="00000000" w:rsidDel="00000000" w:rsidP="00000000" w:rsidRDefault="00000000" w:rsidRPr="00000000" w14:paraId="000001D1">
      <w:pPr>
        <w:rPr/>
      </w:pPr>
      <w:r>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r>
        <w:rPr>
          <w:rtl w:val="0"/>
        </w:rPr>
      </w:r>
    </w:p>
    <w:p w:rsidR="00000000" w:rsidDel="00000000" w:rsidP="00000000" w:rsidRDefault="00000000" w:rsidRPr="00000000" w14:paraId="000001D2">
      <w:pPr>
        <w:pStyle w:val="Heading2"/>
        <w:rPr/>
      </w:pPr>
      <w:r>
        <w:rPr>
          <w:rtl w:val="0"/>
        </w:rPr>
        <w:t xml:space="preserve">Feature stability versus predictive performance</w:t>
      </w:r>
    </w:p>
    <w:p w:rsidR="00000000" w:rsidDel="00000000" w:rsidP="00000000" w:rsidRDefault="00000000" w:rsidRPr="00000000" w14:paraId="000001D3">
      <w:pPr>
        <w:rPr/>
      </w:pPr>
      <w:r>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Pr>
          <w:rtl w:val="0"/>
        </w:rPr>
      </w:r>
    </w:p>
    <w:p w:rsidR="00000000" w:rsidDel="00000000" w:rsidP="00000000" w:rsidRDefault="00000000" w:rsidRPr="00000000" w14:paraId="000001D4">
      <w:pPr>
        <w:pStyle w:val="Heading2"/>
        <w:rPr/>
      </w:pPr>
      <w:r>
        <w:rPr>
          <w:rtl w:val="0"/>
        </w:rPr>
        <w:t xml:space="preserve">Relation to existing tools and literature</w:t>
      </w:r>
    </w:p>
    <w:p w:rsidR="00000000" w:rsidDel="00000000" w:rsidP="00000000" w:rsidRDefault="00000000" w:rsidRPr="00000000" w14:paraId="000001D5">
      <w:pPr>
        <w:rPr/>
      </w:pPr>
      <w:r>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Pr>
          <w:rtl w:val="0"/>
        </w:rPr>
        <w:t xml:space="preserve">Limitations</w:t>
      </w:r>
    </w:p>
    <w:p w:rsidR="00000000" w:rsidDel="00000000" w:rsidP="00000000" w:rsidRDefault="00000000" w:rsidRPr="00000000" w14:paraId="000001E0">
      <w:pPr>
        <w:rPr/>
      </w:pPr>
      <w:r>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because its labels and platform require additional cross-platform, leakage-safe handling, while GSE20194 and GSE20271 were held because of patient-overlap risk. The analysis used a single primary feature selector (varied only in budget through the top-K sweep) and a linear SMO/SVM configuration, and pCR sensitivity remained low under both pipelines; whether the leakage and stability behaviour generalizes across selector families and model classes remains untested. No prospective clinical, mechanistic, or wet-lab validation was performed; recurrent probes should be interpreted as stability-ranked candidates for future review, not as clinically validated biomarkers.</w:t>
      </w:r>
      <w:r>
        <w:rPr>
          <w:rtl w:val="0"/>
        </w:rPr>
      </w:r>
    </w:p>
    <w:p w:rsidR="00000000" w:rsidDel="00000000" w:rsidP="00000000" w:rsidRDefault="00000000" w:rsidRPr="00000000" w14:paraId="000001E1">
      <w:pPr>
        <w:pStyle w:val="Heading2"/>
        <w:rPr/>
      </w:pPr>
      <w:r>
        <w:rPr>
          <w:rtl w:val="0"/>
        </w:rPr>
        <w:t xml:space="preserve">Future work</w:t>
      </w:r>
    </w:p>
    <w:p w:rsidR="00000000" w:rsidDel="00000000" w:rsidP="00000000" w:rsidRDefault="00000000" w:rsidRPr="00000000" w14:paraId="000001E2">
      <w:pPr>
        <w:rPr/>
      </w:pPr>
      <w:r>
        <w:rPr>
          <w:rtl w:val="0"/>
        </w:rPr>
        <w:t xml:space="preserve">Future work may extend the framework to RNA-seq, multi-omics integration, survival endpoints, other cancer types, and automated evidence-dossier systems for biomarker and therapeutic-target claims.</w:t>
      </w:r>
      <w:r>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Pr>
          <w:rtl w:val="0"/>
        </w:rPr>
      </w:r>
      <w:r>
        <w:t xml:space="preserve"> The feature-budget (top-K) sensitivity sweep has been completed and is reported above (Table 6). Two pre-specified robustness extensions remain, to be reported once executed under frozen, pre-registered protocols: an elastic-net comparator to test whether the leakage and stability behaviour is specific to the SVM model class, and a leakage-safe cross-platform external validation on an independent-platform cohort (GSE41998).</w:t>
      </w:r>
    </w:p>
    <w:p w:rsidR="00000000" w:rsidDel="00000000" w:rsidP="00000000" w:rsidRDefault="00000000" w:rsidRPr="00000000" w14:paraId="000001E3">
      <w:pPr>
        <w:pStyle w:val="Heading1"/>
        <w:rPr/>
      </w:pPr>
      <w:r>
        <w:rPr>
          <w:rtl w:val="0"/>
        </w:rPr>
        <w:t xml:space="preserve">Conclusion</w:t>
      </w:r>
    </w:p>
    <w:p w:rsidR="00000000" w:rsidDel="00000000" w:rsidP="00000000" w:rsidRDefault="00000000" w:rsidRPr="00000000" w14:paraId="000001E4">
      <w:pPr>
        <w:rPr/>
      </w:pPr>
      <w:r>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Pr>
          <w:rtl w:val="0"/>
        </w:rPr>
        <w:t xml:space="preserve">List of Abbreviations</w:t>
      </w:r>
    </w:p>
    <w:p w:rsidR="00000000" w:rsidDel="00000000" w:rsidP="00000000" w:rsidRDefault="00000000" w:rsidRPr="00000000" w14:paraId="000001E6">
      <w:pPr>
        <w:rPr/>
      </w:pPr>
      <w:r>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Pr>
                <w:rtl w:val="0"/>
              </w:rPr>
            </w:r>
          </w:p>
        </w:tc>
      </w:tr>
      <w:tr>
        <w:trPr>
          <w:cantSplit w:val="0"/>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val="0"/>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val="0"/>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val="0"/>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val="0"/>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val="0"/>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val="0"/>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val="0"/>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val="0"/>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Pr>
          <w:rtl w:val="0"/>
        </w:rPr>
        <w:t xml:space="preserve">Declarations</w:t>
      </w:r>
    </w:p>
    <w:p w:rsidR="00000000" w:rsidDel="00000000" w:rsidP="00000000" w:rsidRDefault="00000000" w:rsidRPr="00000000" w14:paraId="00000202">
      <w:pPr>
        <w:pStyle w:val="Heading2"/>
        <w:rPr/>
      </w:pPr>
      <w:r>
        <w:rPr>
          <w:rtl w:val="0"/>
        </w:rPr>
        <w:t xml:space="preserve">Ethics approval and consent to participate</w:t>
      </w:r>
    </w:p>
    <w:p w:rsidR="00000000" w:rsidDel="00000000" w:rsidP="00000000" w:rsidRDefault="00000000" w:rsidRPr="00000000" w14:paraId="00000203">
      <w:pPr>
        <w:rPr/>
      </w:pPr>
      <w:r>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Pr>
          <w:rtl w:val="0"/>
        </w:rPr>
        <w:t xml:space="preserve">Consent for publication</w:t>
      </w:r>
    </w:p>
    <w:p w:rsidR="00000000" w:rsidDel="00000000" w:rsidP="00000000" w:rsidRDefault="00000000" w:rsidRPr="00000000" w14:paraId="00000205">
      <w:pPr>
        <w:rPr/>
      </w:pPr>
      <w:r>
        <w:rPr>
          <w:rtl w:val="0"/>
        </w:rPr>
        <w:t xml:space="preserve">Not applicable.</w:t>
      </w:r>
    </w:p>
    <w:p w:rsidR="00000000" w:rsidDel="00000000" w:rsidP="00000000" w:rsidRDefault="00000000" w:rsidRPr="00000000" w14:paraId="00000206">
      <w:pPr>
        <w:pStyle w:val="Heading2"/>
        <w:rPr/>
      </w:pPr>
      <w:r>
        <w:rPr>
          <w:rtl w:val="0"/>
        </w:rPr>
        <w:t xml:space="preserve">Availability of data and materials</w:t>
      </w:r>
    </w:p>
    <w:p w:rsidR="00000000" w:rsidDel="00000000" w:rsidP="00000000" w:rsidRDefault="00000000" w:rsidRPr="00000000" w14:paraId="00000207">
      <w:pPr>
        <w:rPr/>
      </w:pPr>
      <w:r>
        <w:rPr>
          <w:rtl w:val="0"/>
        </w:rPr>
        <w:t xml:space="preserve">All public datasets are cited by accession number. The associated code, fold assignments, random seeds, selected-feature lists, and analysis outputs are available in the project GitHub repository, with a frozen, Zenodo-DOI-archivable release.</w:t>
      </w:r>
    </w:p>
    <w:p w:rsidR="00000000" w:rsidDel="00000000" w:rsidP="00000000" w:rsidRDefault="00000000" w:rsidRPr="00000000" w14:paraId="00000208">
      <w:pPr>
        <w:pStyle w:val="Heading2"/>
        <w:rPr/>
      </w:pPr>
      <w:r>
        <w:rPr>
          <w:rtl w:val="0"/>
        </w:rPr>
        <w:t xml:space="preserve">Competing interests</w:t>
      </w:r>
    </w:p>
    <w:p w:rsidR="00000000" w:rsidDel="00000000" w:rsidP="00000000" w:rsidRDefault="00000000" w:rsidRPr="00000000" w14:paraId="00000209">
      <w:pPr>
        <w:rPr/>
      </w:pPr>
      <w:r>
        <w:rPr>
          <w:rtl w:val="0"/>
        </w:rPr>
        <w:t xml:space="preserve">Competing interests will be declared by all authors prior to submission.</w:t>
      </w:r>
    </w:p>
    <w:p w:rsidR="00000000" w:rsidDel="00000000" w:rsidP="00000000" w:rsidRDefault="00000000" w:rsidRPr="00000000" w14:paraId="0000020A">
      <w:pPr>
        <w:pStyle w:val="Heading2"/>
        <w:rPr/>
      </w:pPr>
      <w:r>
        <w:rPr>
          <w:rtl w:val="0"/>
        </w:rPr>
        <w:t xml:space="preserve">Funding</w:t>
      </w:r>
    </w:p>
    <w:p w:rsidR="00000000" w:rsidDel="00000000" w:rsidP="00000000" w:rsidRDefault="00000000" w:rsidRPr="00000000" w14:paraId="0000020B">
      <w:pPr>
        <w:rPr/>
      </w:pPr>
      <w:r>
        <w:rPr>
          <w:rtl w:val="0"/>
        </w:rPr>
        <w:t xml:space="preserve">Funding sources will be declared prior to submission.</w:t>
      </w:r>
    </w:p>
    <w:p w:rsidR="00000000" w:rsidDel="00000000" w:rsidP="00000000" w:rsidRDefault="00000000" w:rsidRPr="00000000" w14:paraId="0000020C">
      <w:pPr>
        <w:pStyle w:val="Heading2"/>
        <w:rPr/>
      </w:pPr>
      <w:r>
        <w:rPr>
          <w:rtl w:val="0"/>
        </w:rPr>
        <w:t xml:space="preserve">Authors’ contributions</w:t>
      </w:r>
    </w:p>
    <w:p w:rsidR="00000000" w:rsidDel="00000000" w:rsidP="00000000" w:rsidRDefault="00000000" w:rsidRPr="00000000" w14:paraId="0000020D">
      <w:pPr>
        <w:rPr/>
      </w:pPr>
      <w:r>
        <w:rPr>
          <w:rtl w:val="0"/>
        </w:rPr>
        <w:t xml:space="preserve">Author contributions will be finalized prior to submission.</w:t>
      </w:r>
    </w:p>
    <w:p w:rsidR="00000000" w:rsidDel="00000000" w:rsidP="00000000" w:rsidRDefault="00000000" w:rsidRPr="00000000" w14:paraId="0000020E">
      <w:pPr>
        <w:pStyle w:val="Heading2"/>
        <w:rPr/>
      </w:pPr>
      <w:r>
        <w:rPr>
          <w:rtl w:val="0"/>
        </w:rPr>
        <w:t xml:space="preserve">Acknowledgements</w:t>
      </w:r>
    </w:p>
    <w:p w:rsidR="00000000" w:rsidDel="00000000" w:rsidP="00000000" w:rsidRDefault="00000000" w:rsidRPr="00000000" w14:paraId="0000020F">
      <w:pPr>
        <w:rPr/>
      </w:pPr>
      <w:r>
        <w:rPr>
          <w:rtl w:val="0"/>
        </w:rPr>
        <w:t xml:space="preserve">Acknowledgements will be added prior to submission.</w:t>
      </w:r>
    </w:p>
    <w:p w:rsidR="00000000" w:rsidDel="00000000" w:rsidP="00000000" w:rsidRDefault="00000000" w:rsidRPr="00000000" w14:paraId="00000210">
      <w:pPr>
        <w:pStyle w:val="Heading1"/>
        <w:rPr/>
      </w:pPr>
      <w:r>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 Id="rId14" Type="http://schemas.openxmlformats.org/officeDocument/2006/relationships/image" Target="media/image7.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