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A Reproducible Evidence-Audit Framework for Leakage, Feature Stability, and Transportability in Translational Omics Classification</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Iris Yang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tl w:val="0"/>
        </w:rPr>
        <w:t xml:space="preserve">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Chung-I Huang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tl w:val="0"/>
        </w:rPr>
        <w:t xml:space="preserve">b,*</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Paul Tan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tl w:val="0"/>
        </w:rPr>
        <w:t xml:space="preserve">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Jewel Wang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tl w:val="0"/>
        </w:rPr>
        <w:t xml:space="preserv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 Jung Chen</w:t>
      </w:r>
      <w:r w:rsidDel="00000000" w:rsidR="00000000" w:rsidRPr="00000000">
        <w:rPr>
          <w:vertAlign w:val="superscript"/>
          <w:rtl w:val="0"/>
        </w:rPr>
        <w:t xml:space="preserve">e</w:t>
      </w: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Wing-Keung Wong</w:t>
      </w:r>
      <w:r w:rsidDel="00000000" w:rsidR="00000000" w:rsidRPr="00000000">
        <w:rPr>
          <w:vertAlign w:val="superscript"/>
          <w:rtl w:val="0"/>
        </w:rPr>
        <w:t xml:space="preserve">f</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tl w:val="0"/>
        </w:rPr>
        <w:t xml:space="preserve">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California State University, Los Angeles, CA, USA; and Purdue University, West Lafayette, IN, USA;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tl w:val="0"/>
        </w:rPr>
        <w:t xml:space="preserve">b</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Department of Management Information Systems, National Chung Hsing University, Taichung, Taiwan; </w:t>
        <w:br w:type="textWrapping"/>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tl w:val="0"/>
        </w:rPr>
        <w:t xml:space="preserve">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Harvard Extension School, Harvard University, Cambridge, MA, USA; </w:t>
        <w:br w:type="textWrapping"/>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tl w:val="0"/>
        </w:rPr>
        <w:t xml:space="preserv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Brandeis University, Waltham, MA, USA; </w:t>
        <w:br w:type="textWrapping"/>
      </w:r>
      <w:r w:rsidDel="00000000" w:rsidR="00000000" w:rsidRPr="00000000">
        <w:rPr>
          <w:vertAlign w:val="superscript"/>
          <w:rtl w:val="0"/>
        </w:rPr>
        <w:t xml:space="preserve">e</w:t>
      </w:r>
      <w:r w:rsidDel="00000000" w:rsidR="00000000" w:rsidRPr="00000000">
        <w:rPr>
          <w:rtl w:val="0"/>
        </w:rPr>
        <w:t xml:space="preserve">University of Chicago, Chicago, IL, USA;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vertAlign w:val="superscript"/>
          <w:rtl w:val="0"/>
        </w:rPr>
        <w:t xml:space="preserve">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Department of Finance, Asia University, Taichung, Taiwan.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*Denotes co-corresponding authors.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Corresponding authors: Iris Yang, Department of Mathematics / Department of Information Systems, California State University, Los Angeles, Los Angeles, CA 90032, USA. Email: iyang5@calstatela.edu</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Chung-I Huang, Department of Management Information Systems, National Chung Hsing University, Taichung, Taiwan. Email: schumi@nchu.edu.tw</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Abstract</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Objective: High-dimensional omics classifiers can appear credible when leakage, unstable feature selection, class imbalance, and weak transportability remain hidden. We developed the Reproducible Omics Evidence Audit (ROEA), a reporting framework for evaluating the evidence supporting such claims.</w:t>
      </w:r>
      <w:r w:rsidDel="00000000" w:rsidR="00000000" w:rsidRPr="00000000">
        <w:rPr>
          <w:rtl w:val="0"/>
        </w:rPr>
      </w:r>
    </w:p>
    <w:p w:rsidR="00000000" w:rsidDel="00000000" w:rsidP="00000000" w:rsidRDefault="00000000" w:rsidRPr="00000000" w14:paraId="0000000A">
      <w:pPr>
        <w:spacing w:after="180" w:before="180" w:line="240" w:lineRule="auto"/>
        <w:rPr/>
      </w:pPr>
      <w:r w:rsidDel="00000000" w:rsidR="00000000" w:rsidRPr="00000000">
        <w:rPr>
          <w:b w:val="1"/>
          <w:bCs w:val="1"/>
          <w:rtl w:val="0"/>
        </w:rPr>
        <w:t xml:space="preserve">Methods: We contrasted an intentionally naive linear SVM workflow (global feature selection, fixed C = 1, and 5 × 5 repeated cross-validation) with a guarded nested workflow (training-fold feature selection and preprocessing, inner-loop C tuning, and five outer folds) in GSE25055, then projected a frozen discovery model to GSE25065 and GSE41998. The audit combined discrimination and operating-point metrics, bootstrap uncertainty, 1000 label permutations, 30 resampling seeds, feature stability, and external transportability.</w:t>
      </w:r>
      <w:r w:rsidDel="00000000" w:rsidR="00000000" w:rsidRPr="00000000">
        <w:rPr>
          <w:rtl w:val="0"/>
        </w:rPr>
      </w:r>
    </w:p>
    <w:p w:rsidR="00000000" w:rsidDel="00000000" w:rsidP="00000000" w:rsidRDefault="00000000" w:rsidRPr="00000000" w14:paraId="0000000B">
      <w:pPr>
        <w:spacing w:after="180" w:before="180" w:line="240" w:lineRule="auto"/>
        <w:rPr/>
      </w:pPr>
      <w:r w:rsidDel="00000000" w:rsidR="00000000" w:rsidRPr="00000000">
        <w:rPr>
          <w:b w:val="1"/>
          <w:bCs w:val="1"/>
          <w:rtl w:val="0"/>
        </w:rPr>
        <w:t xml:space="preserve">Results: On real GSE25055 labels, AUROC was 0.7830 for the naive workflow and 0.7032 for the guarded workflow (contrast +0.0799, 95% CI +0.0080 to +0.1514). With fixed ROC direction, the naive permutation null remained strongly above chance (mean 0.8778), whereas the guarded null centred near chance (mean 0.4917). Feature stability was moderate (Nogueira 0.5128). External AUROCs were 0.5633 (GSE25065) and 0.6922 (GSE41998), with markedly cohort- and scaling-dependent operating-point behavior.</w:t>
      </w:r>
      <w:r w:rsidDel="00000000" w:rsidR="00000000" w:rsidRPr="00000000">
        <w:rPr>
          <w:rtl w:val="0"/>
        </w:rPr>
      </w:r>
    </w:p>
    <w:p w:rsidR="00000000" w:rsidDel="00000000" w:rsidP="00000000" w:rsidRDefault="00000000" w:rsidRPr="00000000" w14:paraId="0000000C">
      <w:pPr>
        <w:spacing w:after="180" w:before="180" w:line="240" w:lineRule="auto"/>
        <w:rPr/>
      </w:pPr>
      <w:r w:rsidDel="00000000" w:rsidR="00000000" w:rsidRPr="00000000">
        <w:rPr>
          <w:b w:val="1"/>
          <w:bCs w:val="1"/>
          <w:rtl w:val="0"/>
        </w:rPr>
        <w:t xml:space="preserve">Conclusion: ROEA integrates established validation, permutation, stability, and external-validation methods into a reusable credibility audit. Because the compared workflows also differed in tuning and resampling, their observed performance contrast is descriptive and should not be interpreted as the causal effect of feature-selection leakage alone.</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Keywords: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data leakage; transcriptomics; omics evidence audit; support vector machine; nested cross-validation; feature selection; feature stability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1"/>
        <w:rPr/>
      </w:pPr>
      <w:r w:rsidDel="00000000" w:rsidR="00000000" w:rsidRPr="00000000">
        <w:rPr>
          <w:rtl w:val="0"/>
        </w:rPr>
        <w:t xml:space="preserve">1. Introduction</w:t>
      </w:r>
    </w:p>
    <w:p w:rsidR="00000000" w:rsidDel="00000000" w:rsidP="00000000" w:rsidRDefault="00000000" w:rsidRPr="00000000" w14:paraId="00000010">
      <w:pPr>
        <w:pStyle w:val="Heading2"/>
        <w:rPr/>
      </w:pPr>
      <w:r w:rsidDel="00000000" w:rsidR="00000000" w:rsidRPr="00000000">
        <w:rPr>
          <w:rtl w:val="0"/>
        </w:rPr>
        <w:t xml:space="preserve">1.1 Reproducibility challenge and study objective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Public transcriptomic repositories have enabled many machine-learning studies of cancer diagnosis, prognosis, treatment response, and biomarker discovery, letting historical expression data be reused to test computational hypotheses cheaply. This creates a difficult validation setting: thousands to tens of thousands of genes or probes are modeled using tens to hundreds of patient samples, so overfitting, unstable feature selection, and validation bias become central methodological risks rather than minor implementation details [1–3].</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These risks matter especially when a study reports a gene signature as a candidate biomarker: a classifier may achieve strong internal performance while selecting different genes as training data are perturbed, weakening biological interpretability. Prior molecular-signature research shows feature-selection methods influence not only accuracy but also stability and interpretability [3], so transcriptomic classification studies require evidence about validation rigor, feature reproducibility, and external transportability — not just a single discrimination metric.</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This manuscript is a methodological audit study using public breast cancer pathological complete response versus residual disease (pCR/RD) transcriptomic cohorts as a deliberately challenging stress test combining small sample size, high dimensionality, class imbalance, supervised feature selection, and external-cohort transportability constraints. The GEO cohorts GSE25055, GSE25065, and GSE41998 serve respectively as the discovery/internal-validation, same-study-family external-validation, and cross-platform transportability testbeds (Section 3.2).</w:t>
      </w:r>
    </w:p>
    <w:p w:rsidR="00000000" w:rsidDel="00000000" w:rsidP="00000000" w:rsidRDefault="00000000" w:rsidRPr="00000000" w14:paraId="00000016">
      <w:pPr>
        <w:pStyle w:val="Heading2"/>
        <w:rPr/>
      </w:pPr>
      <w:r w:rsidDel="00000000" w:rsidR="00000000" w:rsidRPr="00000000">
        <w:rPr>
          <w:rtl w:val="0"/>
        </w:rPr>
        <w:t xml:space="preserve">1.2 Study objective and contributions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The objective was to develop and demonstrate a reproducible audit framework for data leakage, feature-selection stability, and external-cohort transportability in public translational omics classification.</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The study makes five contributions: it contrasts an intentionally naive global-selection workflow with a guarded nested workflow; reports their performance contrast with uncertainty and label-shuffle negative controls; treats feature stability as a primary audit dimension; evaluates a frozen model on same-study-family and cross-platform cohorts; and consolidates these results into a reusable evidence-audit format. Because the workflows also differ in tuning and resampling, the comparison is descriptive rather than a one-factor estimate of leakage.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The intended contribution is ROEA, a reusable evidence-audit architecture for omics classifiers. This is not a new SVM algorithm, a clinically deployable prediction model, or a biomarker-discovery claim.</w:t>
      </w:r>
    </w:p>
    <w:p w:rsidR="00000000" w:rsidDel="00000000" w:rsidP="00000000" w:rsidRDefault="00000000" w:rsidRPr="00000000" w14:paraId="0000001C">
      <w:pPr>
        <w:pStyle w:val="Heading2"/>
        <w:rPr/>
      </w:pPr>
      <w:r w:rsidDel="00000000" w:rsidR="00000000" w:rsidRPr="00000000">
        <w:rPr>
          <w:rtl w:val="0"/>
        </w:rPr>
        <w:t xml:space="preserve">Statement of Significance</w:t>
      </w:r>
    </w:p>
    <w:p w:rsidR="00000000" w:rsidDel="00000000" w:rsidP="00000000" w:rsidRDefault="00000000" w:rsidRPr="00000000" w14:paraId="0000001D">
      <w:pPr>
        <w:rPr/>
      </w:pPr>
      <w:r w:rsidDel="00000000" w:rsidR="00000000" w:rsidRPr="00000000">
        <w:rPr>
          <w:b w:val="1"/>
          <w:bCs w:val="1"/>
          <w:rtl w:val="0"/>
        </w:rPr>
        <w:t xml:space="preserve">Problem.</w:t>
      </w:r>
      <w:r w:rsidDel="00000000" w:rsidR="00000000" w:rsidRPr="00000000">
        <w:rPr>
          <w:rtl w:val="0"/>
        </w:rPr>
        <w:t xml:space="preserve"> High-dimensional omics classifiers can appear credible when leakage, feature instability, class-imbalance behavior, and weak external transportability remain hidden.</w:t>
      </w:r>
    </w:p>
    <w:p w:rsidR="00000000" w:rsidDel="00000000" w:rsidP="00000000" w:rsidRDefault="00000000" w:rsidRPr="00000000" w14:paraId="0000001E">
      <w:pPr>
        <w:rPr/>
      </w:pPr>
      <w:r w:rsidDel="00000000" w:rsidR="00000000" w:rsidRPr="00000000">
        <w:rPr>
          <w:b w:val="1"/>
          <w:bCs w:val="1"/>
          <w:rtl w:val="0"/>
        </w:rPr>
        <w:t xml:space="preserve">Known context.</w:t>
      </w:r>
      <w:r w:rsidDel="00000000" w:rsidR="00000000" w:rsidRPr="00000000">
        <w:rPr>
          <w:rtl w:val="0"/>
        </w:rPr>
        <w:t xml:space="preserve"> Nested validation, leakage control, permutation controls, external validation, and stability metrics are established but are often reported separately.</w:t>
      </w:r>
    </w:p>
    <w:p w:rsidR="00000000" w:rsidDel="00000000" w:rsidP="00000000" w:rsidRDefault="00000000" w:rsidRPr="00000000" w14:paraId="0000001F">
      <w:pPr>
        <w:rPr/>
      </w:pPr>
      <w:r w:rsidDel="00000000" w:rsidR="00000000" w:rsidRPr="00000000">
        <w:rPr>
          <w:b w:val="1"/>
          <w:bCs w:val="1"/>
          <w:rtl w:val="0"/>
        </w:rPr>
        <w:t xml:space="preserve">Contribution.</w:t>
      </w:r>
      <w:r w:rsidDel="00000000" w:rsidR="00000000" w:rsidRPr="00000000">
        <w:rPr>
          <w:rtl w:val="0"/>
        </w:rPr>
        <w:t xml:space="preserve"> ROEA combines these elements in a measured evidence-audit format. In this study, the naive-versus-guarded result is a descriptive whole-workflow contrast because the arms also differ in tuning and resampling.</w:t>
      </w:r>
    </w:p>
    <w:p w:rsidR="00000000" w:rsidDel="00000000" w:rsidP="00000000" w:rsidRDefault="00000000" w:rsidRPr="00000000" w14:paraId="00000020">
      <w:pPr>
        <w:rPr/>
      </w:pPr>
      <w:r w:rsidDel="00000000" w:rsidR="00000000" w:rsidRPr="00000000">
        <w:rPr>
          <w:b w:val="1"/>
          <w:bCs w:val="1"/>
          <w:rtl w:val="0"/>
        </w:rPr>
        <w:t xml:space="preserve">Relevance.</w:t>
      </w:r>
      <w:r w:rsidDel="00000000" w:rsidR="00000000" w:rsidRPr="00000000">
        <w:rPr>
          <w:rtl w:val="0"/>
        </w:rPr>
        <w:t xml:space="preserve"> The framework is intended for researchers, reviewers, editors, and translational teams evaluating high-dimensional prediction claims.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1"/>
        <w:rPr/>
      </w:pPr>
      <w:bookmarkStart w:colFirst="0" w:colLast="0" w:name="_ni0lmsuq6e8q" w:id="0"/>
      <w:bookmarkEnd w:id="0"/>
      <w:r w:rsidDel="00000000" w:rsidR="00000000" w:rsidRPr="00000000">
        <w:rPr>
          <w:rtl w:val="0"/>
        </w:rPr>
        <w:t xml:space="preserve">2. Related Work</w:t>
      </w:r>
    </w:p>
    <w:p w:rsidR="00000000" w:rsidDel="00000000" w:rsidP="00000000" w:rsidRDefault="00000000" w:rsidRPr="00000000" w14:paraId="00000023">
      <w:pPr>
        <w:pStyle w:val="Heading2"/>
        <w:rPr/>
      </w:pPr>
      <w:r w:rsidDel="00000000" w:rsidR="00000000" w:rsidRPr="00000000">
        <w:rPr>
          <w:rtl w:val="0"/>
        </w:rPr>
        <w:t xml:space="preserve">2.1 Leakage-aware validation in high-dimensional biomedical modeling</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A recurring concern in high-dimensional biomedical prediction is that validation estimates become biased when information from nominally held-out samples enters model development. In transcriptomic classification, this risk is amplified because the number of measured probes greatly exceeds the number of patients, making feature selection itself a major source of overfitting. Ambroise and McLachlan [1] showed that selecting genes on the full dataset before cross-validation produces strongly optimistic error estimates, and subsequent work frames this as a general reproducibility problem affecting any transformation, selection, tuning, or calibration step that learns from all samples before validation [4,5]. Independent reanalyses and reviews have documented such failures in molecular classifiers [24–27]. More recent work emphasizes genomics-specific machine-learning pitfalls [28], limited validation and transportability in gene-expression classifiers [29], and widespread pre-cross-validation leakage in cancer drug-response prediction [30].</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Leakage control must therefore be embedded in the full validation architecture, not just the final classifier: scaling, imputation, filtering, class-imbalance handling, probability estimation, hyperparameter tuning, threshold selection, and feature selection can each become leakage pathways if fit outside the training partition. Nested cross-validation addresses this by separating inner-loop model selection from outer-loop performance estimation [6,7], and software such as nestedcv operationalises these principles for transcriptomic workflows [8].</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The literature also leaves open how best to quantify leakage. A leaky-versus-guarded comparison identifies the effect of leakage only when the arms are matched on folds, repeats, tuning, and every other modeling choice. The present comparison does not meet that one-factor condition and is therefore interpreted as a whole-workflow contrast.</w:t>
      </w:r>
    </w:p>
    <w:p w:rsidR="00000000" w:rsidDel="00000000" w:rsidP="00000000" w:rsidRDefault="00000000" w:rsidRPr="00000000" w14:paraId="00000029">
      <w:pPr>
        <w:pStyle w:val="Heading2"/>
        <w:rPr/>
      </w:pPr>
      <w:r w:rsidDel="00000000" w:rsidR="00000000" w:rsidRPr="00000000">
        <w:rPr>
          <w:rtl w:val="0"/>
        </w:rPr>
        <w:t xml:space="preserve">2.2 Feature-selection stability and interpretability of omics signatures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Leakage-free validation is necessary but not sufficient for credible omics biomarker claims: a classifier evaluated under an appropriate resampling design may still produce unstable feature lists that change substantially across folds or training-data perturbations. This matters because transcriptomic classifiers are often interpreted biologically through their selected genes, and prior work shows feature-selection methods affect not only predictive accuracy but also signature stability and interpretability [3]. Stability measures, including the framework of Nogueira et al. [9] and software such as stabm [10], quantify whether a selected feature set is reproducible rather than merely predictive in one split.</w:t>
      </w:r>
      <w:r w:rsidDel="00000000" w:rsidR="00000000" w:rsidRPr="00000000">
        <w:rPr>
          <w:rtl w:val="0"/>
        </w:rPr>
      </w:r>
    </w:p>
    <w:p w:rsidR="00000000" w:rsidDel="00000000" w:rsidP="00000000" w:rsidRDefault="00000000" w:rsidRPr="00000000" w14:paraId="0000002B">
      <w:pPr>
        <w:pStyle w:val="Heading2"/>
        <w:rPr/>
      </w:pPr>
      <w:r w:rsidDel="00000000" w:rsidR="00000000" w:rsidRPr="00000000">
        <w:rPr>
          <w:rtl w:val="0"/>
        </w:rPr>
        <w:t xml:space="preserve">2.3 From model-building tools and checklists to evidence-audit reporting</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Existing tools and guidance already provide many components needed for rigorous omics prediction studies. Linear support vector machines remain a useful baseline for high-dimensional gene-expression classification, operating in feature spaces much larger than the sample size and with a long history in cancer classification [11]. Omics-oriented packages such as nestedcv, stabm, and OmicSelector support leakage-resistant modelling, stability assessment, and automated feature-selection workflows [8,10,12].</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A parallel body of work provides reporting guidance: REFORMS offers 32 consensus-based recommendations for machine-learning-based science with explicit attention to leakage [13], TRIPOD+AI specifies transparent reporting expectations for clinical prediction models [14], PROBAST+AI provides a framework for assessing prediction-model quality, risk of bias, and applicability [15], and Bernett et al. [5] supply diagnostic questions targeted at biological data.</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The gap addressed here is not the absence of algorithms, software, or checklists, but that existing instruments commonly ask whether a safeguard was applied, whereas classifier credibility also turns on measured quantities: each workflow’s behavior under randomized labels, cross-fold feature reproducibility, performance under class imbalance, and loss of performance when a frozen model meets an independent cohort (Section 5.4).</w:t>
      </w:r>
    </w:p>
    <w:p w:rsidR="00000000" w:rsidDel="00000000" w:rsidP="00000000" w:rsidRDefault="00000000" w:rsidRPr="00000000" w14:paraId="00000031">
      <w:pPr>
        <w:pStyle w:val="Heading1"/>
        <w:rPr/>
      </w:pPr>
      <w:r w:rsidDel="00000000" w:rsidR="00000000" w:rsidRPr="00000000">
        <w:rPr>
          <w:rtl w:val="0"/>
        </w:rPr>
        <w:t xml:space="preserve">3. Methods</w:t>
      </w:r>
    </w:p>
    <w:p w:rsidR="00000000" w:rsidDel="00000000" w:rsidP="00000000" w:rsidRDefault="00000000" w:rsidRPr="00000000" w14:paraId="00000032">
      <w:pPr>
        <w:pStyle w:val="Heading2"/>
        <w:rPr/>
      </w:pPr>
      <w:r w:rsidDel="00000000" w:rsidR="00000000" w:rsidRPr="00000000">
        <w:rPr>
          <w:rtl w:val="0"/>
        </w:rPr>
        <w:t xml:space="preserve">3.1 Study design overview</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This public-data computational methodology study compared two linear SVM workflow families. The naive arm intentionally used global supervised feature selection, fixed C = 1, and 5 × 5 repeated cross-validation. The guarded arm confined feature selection, scaling, class weighting, and cost tuning to training data and used five outer folds with five-fold inner tuning. GSE25055 supported internal analysis; GSE25065 and GSE41998 supported frozen-model external assessment. Figure 1 contrasts the architectures. Because the arms differ in more than feature-selection placement, the comparison audits whole workflows rather than a matched ablation.</w:t>
      </w:r>
      <w:r w:rsidDel="00000000" w:rsidR="00000000" w:rsidRPr="00000000">
        <w:rPr>
          <w:rtl w:val="0"/>
        </w:rPr>
      </w:r>
    </w:p>
    <w:p w:rsidR="00000000" w:rsidDel="00000000" w:rsidP="00000000" w:rsidRDefault="00000000" w:rsidRPr="00000000" w14:paraId="00000034">
      <w:pPr>
        <w:pStyle w:val="Heading2"/>
        <w:rPr/>
      </w:pPr>
      <w:r w:rsidDel="00000000" w:rsidR="00000000" w:rsidRPr="00000000">
        <w:rPr>
          <w:rtl w:val="0"/>
        </w:rPr>
        <w:t xml:space="preserve">3.2 Public datasets and cohort eligibility</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Eligible datasets were required to contain pretreatment bulk transcriptomic expression profiles, interpretable pCR/RD labels, adequate sample metadata, and public access through GEO or a comparable repository. Cohorts were excluded when response labels were ambiguous, samples overlapped with another validation cohort, the treatment time point was incompatible with pretreatment prediction, or platform mapping was insufficient for external projection.</w:t>
      </w:r>
    </w:p>
    <w:p w:rsidR="00000000" w:rsidDel="00000000" w:rsidP="00000000" w:rsidRDefault="00000000" w:rsidRPr="00000000" w14:paraId="00000036">
      <w:pPr>
        <w:numPr>
          <w:ilvl w:val="0"/>
          <w:numId w:val="1"/>
        </w:numPr>
        <w:spacing w:after="36" w:before="36" w:line="240" w:lineRule="auto"/>
        <w:ind w:left="720" w:hanging="480"/>
        <w:rPr/>
      </w:pPr>
      <w:r w:rsidDel="00000000" w:rsidR="00000000" w:rsidRPr="00000000">
        <w:rPr>
          <w:rFonts w:ascii="Cambria" w:cs="Cambria" w:eastAsia="Cambria" w:hAnsi="Cambria"/>
          <w:b w:val="1"/>
          <w:bCs w:val="1"/>
          <w:i w:val="0"/>
          <w:iCs w:val="0"/>
          <w:smallCaps w:val="0"/>
          <w:strike w:val="0"/>
          <w:color w:val="000000"/>
          <w:sz w:val="24"/>
          <w:szCs w:val="24"/>
          <w:u w:val="none"/>
          <w:vertAlign w:val="baseline"/>
          <w:rtl w:val="0"/>
        </w:rPr>
        <w:t xml:space="preserve">Discovery / nested-CV cohort:</w:t>
      </w: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 GSE25055 [16], a cohort of patients with invasive breast cancer treated with neoadjuvant taxane-anthracycline chemotherapy (Hatzis et al. 2011), with 306 usable labelled samples after excluding 4 samples with missing response labels.</w:t>
      </w:r>
      <w:r w:rsidDel="00000000" w:rsidR="00000000" w:rsidRPr="00000000">
        <w:rPr>
          <w:rtl w:val="0"/>
        </w:rPr>
      </w:r>
    </w:p>
    <w:p w:rsidR="00000000" w:rsidDel="00000000" w:rsidP="00000000" w:rsidRDefault="00000000" w:rsidRPr="00000000" w14:paraId="00000037">
      <w:pPr>
        <w:numPr>
          <w:ilvl w:val="0"/>
          <w:numId w:val="1"/>
        </w:numPr>
        <w:spacing w:after="36" w:before="36" w:line="240" w:lineRule="auto"/>
        <w:ind w:left="720" w:hanging="480"/>
        <w:rPr/>
      </w:pPr>
      <w:r w:rsidDel="00000000" w:rsidR="00000000" w:rsidRPr="00000000">
        <w:rPr>
          <w:rFonts w:ascii="Cambria" w:cs="Cambria" w:eastAsia="Cambria" w:hAnsi="Cambria"/>
          <w:b w:val="1"/>
          <w:bCs w:val="1"/>
          <w:i w:val="0"/>
          <w:iCs w:val="0"/>
          <w:smallCaps w:val="0"/>
          <w:strike w:val="0"/>
          <w:color w:val="000000"/>
          <w:sz w:val="24"/>
          <w:szCs w:val="24"/>
          <w:u w:val="none"/>
          <w:vertAlign w:val="baseline"/>
          <w:rtl w:val="0"/>
        </w:rPr>
        <w:t xml:space="preserve">External validation cohort 1:</w:t>
      </w: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 GSE25065, the non-overlapping validation subseries from the same Hatzis et al. [16] study, with 182 usable labelled samples after excluding 16 samples with missing response labels.</w:t>
      </w:r>
      <w:r w:rsidDel="00000000" w:rsidR="00000000" w:rsidRPr="00000000">
        <w:rPr>
          <w:rtl w:val="0"/>
        </w:rPr>
      </w:r>
    </w:p>
    <w:p w:rsidR="00000000" w:rsidDel="00000000" w:rsidP="00000000" w:rsidRDefault="00000000" w:rsidRPr="00000000" w14:paraId="00000038">
      <w:pPr>
        <w:numPr>
          <w:ilvl w:val="0"/>
          <w:numId w:val="1"/>
        </w:numPr>
        <w:spacing w:after="36" w:before="36" w:line="240" w:lineRule="auto"/>
        <w:ind w:left="720" w:hanging="480"/>
        <w:rPr/>
      </w:pPr>
      <w:r w:rsidDel="00000000" w:rsidR="00000000" w:rsidRPr="00000000">
        <w:rPr>
          <w:rFonts w:ascii="Cambria" w:cs="Cambria" w:eastAsia="Cambria" w:hAnsi="Cambria"/>
          <w:b w:val="1"/>
          <w:bCs w:val="1"/>
          <w:i w:val="0"/>
          <w:iCs w:val="0"/>
          <w:smallCaps w:val="0"/>
          <w:strike w:val="0"/>
          <w:color w:val="000000"/>
          <w:sz w:val="24"/>
          <w:szCs w:val="24"/>
          <w:u w:val="none"/>
          <w:vertAlign w:val="baseline"/>
          <w:rtl w:val="0"/>
        </w:rPr>
        <w:t xml:space="preserve">Cross-platform sensitivity cohort:</w:t>
      </w: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 GSE41998 (GPL571; [17]), from Horak et al. (2013) involving early-stage breast cancer patients treated with neoadjuvant doxorubicin/cyclophosphamide combined with ixabepilone or paclitaxel in a Phase II trial, with 253 evaluable samples.</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Documented but not used: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GSE20194 and GSE20271, owing to MDACC-lineage patient-overlap risk.</w:t>
      </w:r>
      <w:r w:rsidDel="00000000" w:rsidR="00000000" w:rsidRPr="00000000">
        <w:rPr>
          <w:rtl w:val="0"/>
        </w:rPr>
      </w:r>
    </w:p>
    <w:p w:rsidR="00000000" w:rsidDel="00000000" w:rsidP="00000000" w:rsidRDefault="00000000" w:rsidRPr="00000000" w14:paraId="0000003A">
      <w:pPr>
        <w:pStyle w:val="Heading2"/>
        <w:rPr/>
      </w:pPr>
      <w:r w:rsidDel="00000000" w:rsidR="00000000" w:rsidRPr="00000000">
        <w:rPr>
          <w:rtl w:val="0"/>
        </w:rPr>
        <w:t xml:space="preserve">3.3 Outcome definition</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primary endpoint was pathological complete response versus residual invasive disease. Samples with missing, ambiguous, post-treatment-only, or non-comparable outcome labels were excluded before modelling. </w:t>
      </w:r>
      <w:r w:rsidDel="00000000" w:rsidR="00000000" w:rsidRPr="00000000">
        <w:rPr>
          <w:rtl w:val="0"/>
        </w:rPr>
        <w:t xml:space="preserve">In GSE41998, a live audit of the GEO Series Matrix confirmed 69 explicit Yes labels, 184 explicit No labels, 20 literal “0” values, and 6 missing values. Because the 20 zeros remained a distinct category in the parallel pcrrcb1 field and were not equivalent to explicit No, they and the 6 missing values were excluded before model evaluation.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Full harmonisation decisions are provided in Supplementary File S1.</w:t>
      </w:r>
    </w:p>
    <w:p w:rsidR="00000000" w:rsidDel="00000000" w:rsidP="00000000" w:rsidRDefault="00000000" w:rsidRPr="00000000" w14:paraId="0000003C">
      <w:pPr>
        <w:pStyle w:val="Heading2"/>
        <w:rPr/>
      </w:pPr>
      <w:r w:rsidDel="00000000" w:rsidR="00000000" w:rsidRPr="00000000">
        <w:rPr>
          <w:rtl w:val="0"/>
        </w:rPr>
        <w:t xml:space="preserve">3.4 Data preprocessing and leakage-control rules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central leakage-control rule was that any parameter estimated from data was fit on training data only and then applied unchanged to validation data. This covered scaling, filtering, class weighting, feature selection, hyperparameter tuning, thresholding, and probability estimation. External cohorts were not used for feature selection, threshold adjustment, hyperparameter choice, or batch correction.</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Author-processed GEO Series Matrix files were used without raw CEL reprocessing. Probe-level features were retained, near-zero-variance probes were removed, and z-scoring was fit within training partitions only. Labels were harmonised to pCR versus RD, excluding missing or ambiguous entries before modelling. Samples were sorted lexicographically by GEO sample accession before seeded folds were generated, making fold assignment independent of download order. The GPL96 (HG-U133A) platform provided 22,283 probe-level features; the near-zero-variance filter (variance cutoff 1 × 10⁻⁸) removed no probes, so all 22,283 remained eligible for supervised t-test feature selection in GSE25055.</w:t>
      </w:r>
      <w:r w:rsidDel="00000000" w:rsidR="00000000" w:rsidRPr="00000000">
        <w:rPr>
          <w:rtl w:val="0"/>
        </w:rPr>
      </w:r>
    </w:p>
    <w:p w:rsidR="00000000" w:rsidDel="00000000" w:rsidP="00000000" w:rsidRDefault="00000000" w:rsidRPr="00000000" w14:paraId="0000003F">
      <w:pPr>
        <w:pStyle w:val="Heading2"/>
        <w:rPr/>
      </w:pPr>
      <w:r w:rsidDel="00000000" w:rsidR="00000000" w:rsidRPr="00000000">
        <w:rPr>
          <w:rtl w:val="0"/>
        </w:rPr>
        <w:t xml:space="preserve">3.5 Pipeline A: naive/leaky baseline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The naive pipeline represents the flawed workflow this paper audits: t-test top-100 feature selection was performed once on the entire discovery cohort before any cross-validation split, after which a linear SVM (fixed cost = 1) was evaluated by 5 × 5 repeated cross-validation. It is not intended for valid inference; it quantifies the inflation a leaky analysis can produce.</w:t>
      </w:r>
      <w:r w:rsidDel="00000000" w:rsidR="00000000" w:rsidRPr="00000000">
        <w:rPr>
          <w:rtl w:val="0"/>
        </w:rPr>
      </w:r>
    </w:p>
    <w:p w:rsidR="00000000" w:rsidDel="00000000" w:rsidP="00000000" w:rsidRDefault="00000000" w:rsidRPr="00000000" w14:paraId="00000041">
      <w:pPr>
        <w:pStyle w:val="Heading2"/>
        <w:rPr/>
      </w:pPr>
      <w:r w:rsidDel="00000000" w:rsidR="00000000" w:rsidRPr="00000000">
        <w:rPr>
          <w:rtl w:val="0"/>
        </w:rPr>
        <w:t xml:space="preserve">3.6 Pipeline B: guarded nested linear SVM framework</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guarded pipeline used an outer loop for performance estimation and an inner loop for model selection. Within each outer split, all preprocessing, feature selection, class weighting, probability estimation, and SVM cost tuning were confined to the outer-training data; the outer test fold was evaluated once after the selected configuration was refit on the full outer-training set. The inner loop evaluated C ∈ {0.25, 1, 4} by mean balanced accuracy. Performance was estimated with 5-fold outer cross-validation and model selection with 5-fold inner cross-validation, with folds stratified by pCR/RD status.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The workflows shared the same linear SVM, class-weighting rule, probability-estimation method, and top-100 t-test selector, but differed in feature-selection scope, cost policy, nesting, folds, and repetition, as summarised in Figure 1.</w:t>
      </w:r>
      <w:r w:rsidDel="00000000" w:rsidR="00000000" w:rsidRPr="00000000">
        <w:rPr>
          <w:rtl w:val="0"/>
        </w:rPr>
      </w:r>
    </w:p>
    <w:p w:rsidR="00000000" w:rsidDel="00000000" w:rsidP="00000000" w:rsidRDefault="00000000" w:rsidRPr="00000000" w14:paraId="00000044">
      <w:pPr>
        <w:pStyle w:val="Heading2"/>
        <w:rPr/>
      </w:pPr>
      <w:r w:rsidDel="00000000" w:rsidR="00000000" w:rsidRPr="00000000">
        <w:rPr>
          <w:rtl w:val="0"/>
        </w:rPr>
        <w:t xml:space="preserve">3.7 Model specification (linear SVM)</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The primary classifier was a sequential-minimal-optimization-trained linear SVM [18], chosen as an interpretable workhorse for high-dimensional transcriptomic classification rather than a novel algorithm. Class weighting addressed pCR/RD imbalance and was recomputed within training partitions only (w = N / (K × n_c) for class c; balanced inverse-frequency weighting). SVM class-probability estimates were obtained by libsvm Platt scaling (e1071::svm, probability estimation enabled), fit within training partitions only; SMOTE [19,20] was not used.</w:t>
      </w:r>
      <w:r w:rsidDel="00000000" w:rsidR="00000000" w:rsidRPr="00000000">
        <w:rPr>
          <w:rtl w:val="0"/>
        </w:rPr>
      </w:r>
    </w:p>
    <w:p w:rsidR="00000000" w:rsidDel="00000000" w:rsidP="00000000" w:rsidRDefault="00000000" w:rsidRPr="00000000" w14:paraId="00000046">
      <w:pPr>
        <w:pStyle w:val="Heading2"/>
        <w:rPr/>
      </w:pPr>
      <w:r w:rsidDel="00000000" w:rsidR="00000000" w:rsidRPr="00000000">
        <w:rPr>
          <w:rtl w:val="0"/>
        </w:rPr>
        <w:t xml:space="preserve">3.8 Feature-selection methods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reported empirical analysis used a univariate t-test top-K feature-selection strategy, with K = 100 in the primary analysis and K ∈ {25, 50, 200} in a sensitivity sweep. Information gain or gain ratio, SVM recursive feature elimination, mRMR, CFS, and elastic-net embedded selection were not evaluated; Section 5.6 states the resulting scope limitation and Section 5.7 the planned extension.</w:t>
      </w:r>
    </w:p>
    <w:p w:rsidR="00000000" w:rsidDel="00000000" w:rsidP="00000000" w:rsidRDefault="00000000" w:rsidRPr="00000000" w14:paraId="00000048">
      <w:pPr>
        <w:pStyle w:val="Heading2"/>
        <w:rPr/>
      </w:pPr>
      <w:r w:rsidDel="00000000" w:rsidR="00000000" w:rsidRPr="00000000">
        <w:rPr>
          <w:rtl w:val="0"/>
        </w:rPr>
        <w:t xml:space="preserve">3.9 Performance, leakage, and stability metrics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Classification performance was reported using AUROC, PR-AUC, balanced accuracy, sensitivity, specificity, and Matthews correlation coefficient (MCC) [21]. </w:t>
      </w:r>
      <w:r w:rsidDel="00000000" w:rsidR="00000000" w:rsidRPr="00000000">
        <w:rPr>
          <w:rtl w:val="0"/>
        </w:rPr>
        <w:t xml:space="preserve">The naive-minus-guarded workflow contrast was calculated for each metric, with emphasis on ΔAUROC and ΔPR-AUC. Because the workflows differ in feature-selection scope, cost policy, and resampling design, this contrast is descriptive and is not a causal estimate of leakage alone.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Feature stability was measured using the Nogueira stability index, feature-selection frequencies, and Jaccard overlap as an intuitive secondary metric.</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For the guarded nested workflow, each metric was computed once on pooled out-of-fold predictions from the five outer folds. For the naive workflow, AUROC and PR-AUC were computed within each of five repeats and averaged, whereas operating-point metrics were computed from predictions pooled across the five repeats. Their difference is reported as a descriptive workflow contrast; the unequal repetition and fold structure preclude one-factor attribution.</w:t>
      </w:r>
      <w:r w:rsidDel="00000000" w:rsidR="00000000" w:rsidRPr="00000000">
        <w:rPr>
          <w:rtl w:val="0"/>
        </w:rPr>
      </w:r>
    </w:p>
    <w:p w:rsidR="00000000" w:rsidDel="00000000" w:rsidP="00000000" w:rsidRDefault="00000000" w:rsidRPr="00000000" w14:paraId="0000004B">
      <w:pPr>
        <w:spacing w:after="180" w:before="180" w:line="240" w:lineRule="auto"/>
        <w:rPr/>
      </w:pPr>
      <w:r w:rsidDel="00000000" w:rsidR="00000000" w:rsidRPr="00000000">
        <w:rPr>
          <w:b w:val="1"/>
          <w:bCs w:val="1"/>
          <w:rtl w:val="0"/>
        </w:rPr>
        <w:t xml:space="preserve">Metric implementation. Because PR-AUC estimators differ, the implementation is stated explicitly: PR-AUC was computed by trapezoidal integration of the precision–recall curve (PRROC::pr.curve(...)$auc.integral). Recomputing the same predictions with step-wise average precision (as in scikit-learn) yielded values higher by approximately 0.006–0.011 across the four analysis settings. AUROC was computed with pROC using class levels RD then pCR and direction “&lt;” fixed a priori, so larger pCR probabilities indicate pCR and ROC direction is not selected from the observed or permuted data. Table 5 therefore requires the PR-AUC estimator to be named.</w:t>
      </w:r>
      <w:r w:rsidDel="00000000" w:rsidR="00000000" w:rsidRPr="00000000">
        <w:rPr>
          <w:rtl w:val="0"/>
        </w:rPr>
      </w:r>
    </w:p>
    <w:p w:rsidR="00000000" w:rsidDel="00000000" w:rsidP="00000000" w:rsidRDefault="00000000" w:rsidRPr="00000000" w14:paraId="0000004C">
      <w:pPr>
        <w:pStyle w:val="Heading2"/>
        <w:rPr/>
      </w:pPr>
      <w:r w:rsidDel="00000000" w:rsidR="00000000" w:rsidRPr="00000000">
        <w:rPr>
          <w:rtl w:val="0"/>
        </w:rPr>
        <w:t xml:space="preserve">3.10 Uncertainty quantification, permutation control, and repeated cross-validation</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Uncertainty was quantified using stratified percentile bootstrap confidence intervals (B = 2000, stratified within the pCR and RD classes so that class prevalence is fixed) applied to stored out-of-fold or external predictions, without model refitting during resampling. The workflow contrast was evaluated as a paired naive-minus-guarded difference on the same resampled samples; the reported bootstrap p-value is two-sided, computed as 2 × min(Pr[Δ &gt; 0], Pr[Δ &lt; 0]) over the bootstrap replicates.</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As a secondary check, DeLong tests were computed per repeat (leaky repeat r vs. guarded nested), since the guarded pipeline yields one out-of-fold score per sample while the leaky baseline yields one per repeat, and collapsing repeats would not match the repeat-averaged estimate (Section 4.3).</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A label-shuffle negative control reran both complete workflows on 1000 permuted pCR/RD label sets, with permutation preceding every modeling step and ROC direction fixed a priori. The naive arm’s global feature selection was re-executed against each shuffled vector, so the null characterizes the behavior of each full workflow under randomized labels. Permutation p-values are Pr[null ≥ observed], computed as (#{null ≥ observed} + 1)/(B + 1). Robustness to fold assignment was assessed across 30 matched random seeds; the seed used for the primary single-split analyses (20260620) is the anchor seed throughout.</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52">
      <w:pPr>
        <w:pStyle w:val="Heading2"/>
        <w:spacing w:after="180" w:before="180" w:lineRule="auto"/>
        <w:rPr/>
      </w:pPr>
      <w:bookmarkStart w:colFirst="0" w:colLast="0" w:name="_etnvdc6ogijf" w:id="1"/>
      <w:bookmarkEnd w:id="1"/>
      <w:r w:rsidDel="00000000" w:rsidR="00000000" w:rsidRPr="00000000">
        <w:rPr>
          <w:rtl w:val="0"/>
        </w:rPr>
        <w:t xml:space="preserve">3.11 External validation protocol</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After discovery analysis, the final feature set, SVM cost, threshold, and scaling parameters were frozen before external projection: external labels were used only for final evaluation, with no feature re-selection, threshold tuning, model refitting, or supervised cross-cohort normalization performed.</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frozen model was constructed as follows. It was fit on the full GSE25055 discovery cohort using the prespecified top-100 t-test selector, </w:t>
      </w:r>
      <w:r w:rsidDel="00000000" w:rsidR="00000000" w:rsidRPr="00000000">
        <w:rPr>
          <w:rtl w:val="0"/>
        </w:rPr>
        <w:t xml:space="preserve">with C = 4 selected by a discovery-only five-fold cross-validation on the full cohort that maximized mean balanced accuracy over the grid {0.25, 1, 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This full-cohort selection was made independently of the nested outer-fold cost choices, which varied across folds; the nested analysis estimates performance, whereas this single fitted model is the </w:t>
      </w:r>
      <w:r w:rsidDel="00000000" w:rsidR="00000000" w:rsidRPr="00000000">
        <w:rPr>
          <w:rtl w:val="0"/>
        </w:rPr>
        <w:t xml:space="preserve">artifact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projected externally. External cohorts entered no model-development step.</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Cross-platform projection from GPL96 to GPL571 used a direct probe-identifier intersection (the exact GPL96 ∩ GPL571 overlap); all 100 frozen discovery probes were present on GPL571, and no outcome labels were used during platform mapping.</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For GSE25065, operating-point metrics (sensitivity, specificity, balanced accuracy, MCC) were computed from the default class labels returned by the trained SVM (e1071::predict); for GSE41998, the prespecified rule was P(pCR) ≥ 0.50 on the calibrated probability. AUROC and PR-AUC were computed from the corresponding libsvm probability scores. Both decision rules were fixed on discovery data and applied without Youden-index, balanced-accuracy, or external-cohort threshold optimization. Retaining prespecified rules was deliberate, since optimizing them would itself require fitting on external data and reintroduce the tuning the audit is designed to detect. The consequence — uniformly low pCR sensitivity — is reported as an audit finding rather than corrected away; Section 5.6 states the resulting limitation.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r>
      <w:r w:rsidDel="00000000" w:rsidR="00000000" w:rsidRPr="00000000">
        <w:rPr>
          <w:rtl w:val="0"/>
        </w:rPr>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r>
      <w:r w:rsidDel="00000000" w:rsidR="00000000" w:rsidRPr="00000000">
        <w:rPr>
          <w:rtl w:val="0"/>
        </w:rPr>
      </w:r>
      <w:r w:rsidDel="00000000" w:rsidR="00000000" w:rsidRPr="00000000">
        <w:rPr>
          <w:rtl w:val="0"/>
        </w:rPr>
      </w:r>
    </w:p>
    <w:p w:rsidR="00000000" w:rsidDel="00000000" w:rsidP="00000000" w:rsidRDefault="00000000" w:rsidRPr="00000000" w14:paraId="00000057">
      <w:pPr>
        <w:pStyle w:val="Heading2"/>
        <w:rPr/>
      </w:pPr>
      <w:r w:rsidDel="00000000" w:rsidR="00000000" w:rsidRPr="00000000">
        <w:rPr>
          <w:rtl w:val="0"/>
        </w:rPr>
        <w:t xml:space="preserve">3.12 Reproducibility and software availability</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The analysis was designed for reproducibility by recording data-accession sources, preprocessing decisions, random seeds, fold assignments, selected-feature lists, software environment information, and audit tables. A prior project snapshot is Zenodo DOI 10.5281/zenodo.21134086. The synchronized v1.2.1 code, results, metadata, figures, supplements, and manuscript are archived at Zenodo, version DOI 10.5281/zenodo.21840371 (concept DOI 10.5281/zenodo.21134085). The corrected permutation analysis refits both complete workflows after every label shuffle. Supplementary File S4 reports the software environment, and Supplementary File S5 provides the evidence-audit dashboard.</w:t>
      </w:r>
      <w:r w:rsidDel="00000000" w:rsidR="00000000" w:rsidRPr="00000000">
        <w:rPr>
          <w:rtl w:val="0"/>
        </w:rPr>
      </w:r>
    </w:p>
    <w:p w:rsidR="00000000" w:rsidDel="00000000" w:rsidP="00000000" w:rsidRDefault="00000000" w:rsidRPr="00000000" w14:paraId="00000059">
      <w:pPr>
        <w:spacing w:after="0" w:line="480" w:lineRule="auto"/>
        <w:jc w:val="center"/>
        <w:rPr>
          <w:i w:val="1"/>
          <w:iCs w:val="1"/>
        </w:rPr>
      </w:pPr>
      <w:r w:rsidDel="00000000" w:rsidR="00000000" w:rsidRPr="00000000">
        <w:rPr>
          <w:rFonts w:ascii="Times New Roman" w:cs="Times New Roman" w:eastAsia="Times New Roman" w:hAnsi="Times New Roman"/>
        </w:rPr>
        <w:drawing>
          <wp:inline distB="114300" distT="114300" distL="114300" distR="114300">
            <wp:extent cx="5393694" cy="288357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393694" cy="288357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Figure 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Conceptual comparison of the leaky (global) and guarded (nested) pipelines on GSE25055. </w:t>
      </w:r>
      <w:r w:rsidDel="00000000" w:rsidR="00000000" w:rsidRPr="00000000">
        <w:rPr>
          <w:rtl w:val="0"/>
        </w:rPr>
        <w:t xml:space="preserve">The naive baseline intentionally performs supervised feature selection on the full dataset before flat 5 × 5 repeated cross-validation with fixed C = 1. The guarded workflow nests feature selection, scaling, class weighting, and C tuning inside training data before five-fold outer evaluation. Both use a linear SVM and top-100 t-test selector, but the contrast is not a matched one-factor ablation.</w:t>
      </w:r>
      <w:r w:rsidDel="00000000" w:rsidR="00000000" w:rsidRPr="00000000">
        <w:rPr>
          <w:rtl w:val="0"/>
        </w:rPr>
      </w:r>
    </w:p>
    <w:p w:rsidR="00000000" w:rsidDel="00000000" w:rsidP="00000000" w:rsidRDefault="00000000" w:rsidRPr="00000000" w14:paraId="0000005B">
      <w:pPr>
        <w:pStyle w:val="Heading1"/>
        <w:rPr/>
      </w:pPr>
      <w:r w:rsidDel="00000000" w:rsidR="00000000" w:rsidRPr="00000000">
        <w:rPr>
          <w:rtl w:val="0"/>
        </w:rPr>
        <w:t xml:space="preserve">4. Results</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contribution reported here is methodological and audit-oriented: the analysis </w:t>
      </w:r>
      <w:r w:rsidDel="00000000" w:rsidR="00000000" w:rsidRPr="00000000">
        <w:rPr>
          <w:rtl w:val="0"/>
        </w:rPr>
        <w:t xml:space="preserve">characterizes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leakage sensitivity, feature reproducibility, class-imbalance </w:t>
      </w:r>
      <w:r w:rsidDel="00000000" w:rsidR="00000000" w:rsidRPr="00000000">
        <w:rPr>
          <w:rtl w:val="0"/>
        </w:rPr>
        <w:t xml:space="preserve">behavior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external-validation transportability for a leakage-aware linear SVM workflow. It does not claim clinical biomarker discovery.</w:t>
      </w:r>
    </w:p>
    <w:p w:rsidR="00000000" w:rsidDel="00000000" w:rsidP="00000000" w:rsidRDefault="00000000" w:rsidRPr="00000000" w14:paraId="0000005D">
      <w:pPr>
        <w:pStyle w:val="Heading2"/>
        <w:rPr/>
      </w:pPr>
      <w:r w:rsidDel="00000000" w:rsidR="00000000" w:rsidRPr="00000000">
        <w:rPr>
          <w:rtl w:val="0"/>
        </w:rPr>
        <w:t xml:space="preserve">4.1 Cohort construction and endpoint harmonization</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After label </w:t>
      </w:r>
      <w:r w:rsidDel="00000000" w:rsidR="00000000" w:rsidRPr="00000000">
        <w:rPr>
          <w:rtl w:val="0"/>
        </w:rPr>
        <w:t xml:space="preserve">harmonization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usable sample counts were 306 for GSE25055, 182 for GSE25065, and 253 for GSE41998. GSE20194 and GSE20271 were documented but not </w:t>
      </w:r>
      <w:r w:rsidDel="00000000" w:rsidR="00000000" w:rsidRPr="00000000">
        <w:rPr>
          <w:rtl w:val="0"/>
        </w:rPr>
        <w:t xml:space="preserve">analyzed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because of patient-overlap risk. Cohort details are summarised in Table 1.</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Table 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Cohort construction and endpoint </w:t>
      </w:r>
      <w:r w:rsidDel="00000000" w:rsidR="00000000" w:rsidRPr="00000000">
        <w:rPr>
          <w:rtl w:val="0"/>
        </w:rPr>
        <w:t xml:space="preserve">harmonization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tbl>
      <w:tblPr>
        <w:tblStyle w:val="Table1"/>
        <w:tblW w:w="9960.0" w:type="dxa"/>
        <w:jc w:val="left"/>
        <w:tblInd w:w="-10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1980"/>
        <w:gridCol w:w="1980"/>
        <w:gridCol w:w="4020"/>
        <w:tblGridChange w:id="0">
          <w:tblGrid>
            <w:gridCol w:w="1980"/>
            <w:gridCol w:w="1980"/>
            <w:gridCol w:w="1980"/>
            <w:gridCol w:w="4020"/>
          </w:tblGrid>
        </w:tblGridChange>
      </w:tblGrid>
      <w:tr>
        <w:trPr>
          <w:cantSplit w:val="0"/>
          <w:tblHeader w:val="1"/>
        </w:trPr>
        <w:tc>
          <w:tcPr/>
          <w:p w:rsidR="00000000" w:rsidDel="00000000" w:rsidP="00000000" w:rsidRDefault="00000000" w:rsidRPr="00000000" w14:paraId="00000060">
            <w:pPr>
              <w:spacing w:after="36" w:before="36" w:line="24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Cohort</w:t>
            </w:r>
            <w:r w:rsidDel="00000000" w:rsidR="00000000" w:rsidRPr="00000000">
              <w:rPr>
                <w:rtl w:val="0"/>
              </w:rPr>
            </w:r>
          </w:p>
        </w:tc>
        <w:tc>
          <w:tcPr/>
          <w:p w:rsidR="00000000" w:rsidDel="00000000" w:rsidP="00000000" w:rsidRDefault="00000000" w:rsidRPr="00000000" w14:paraId="00000061">
            <w:pPr>
              <w:spacing w:after="36" w:before="36" w:line="24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Role/use</w:t>
            </w:r>
            <w:r w:rsidDel="00000000" w:rsidR="00000000" w:rsidRPr="00000000">
              <w:rPr>
                <w:rtl w:val="0"/>
              </w:rPr>
            </w:r>
          </w:p>
        </w:tc>
        <w:tc>
          <w:tcPr/>
          <w:p w:rsidR="00000000" w:rsidDel="00000000" w:rsidP="00000000" w:rsidRDefault="00000000" w:rsidRPr="00000000" w14:paraId="00000062">
            <w:pPr>
              <w:spacing w:after="36" w:before="36" w:line="24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Usable labels</w:t>
            </w:r>
            <w:r w:rsidDel="00000000" w:rsidR="00000000" w:rsidRPr="00000000">
              <w:rPr>
                <w:rtl w:val="0"/>
              </w:rPr>
            </w:r>
          </w:p>
        </w:tc>
        <w:tc>
          <w:tcPr/>
          <w:p w:rsidR="00000000" w:rsidDel="00000000" w:rsidP="00000000" w:rsidRDefault="00000000" w:rsidRPr="00000000" w14:paraId="00000063">
            <w:pPr>
              <w:spacing w:after="36" w:before="36" w:line="24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Audit note</w:t>
            </w:r>
            <w:r w:rsidDel="00000000" w:rsidR="00000000" w:rsidRPr="00000000">
              <w:rPr>
                <w:rtl w:val="0"/>
              </w:rPr>
            </w:r>
          </w:p>
        </w:tc>
      </w:tr>
      <w:tr>
        <w:trPr>
          <w:cantSplit w:val="0"/>
          <w:tblHeader w:val="0"/>
        </w:trPr>
        <w:tc>
          <w:tcPr/>
          <w:p w:rsidR="00000000" w:rsidDel="00000000" w:rsidP="00000000" w:rsidRDefault="00000000" w:rsidRPr="00000000" w14:paraId="00000064">
            <w:pPr>
              <w:spacing w:after="36" w:before="36" w:line="24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GSE25055</w:t>
            </w:r>
            <w:r w:rsidDel="00000000" w:rsidR="00000000" w:rsidRPr="00000000">
              <w:rPr>
                <w:rtl w:val="0"/>
              </w:rPr>
            </w:r>
          </w:p>
        </w:tc>
        <w:tc>
          <w:tcPr/>
          <w:p w:rsidR="00000000" w:rsidDel="00000000" w:rsidP="00000000" w:rsidRDefault="00000000" w:rsidRPr="00000000" w14:paraId="00000065">
            <w:pPr>
              <w:spacing w:after="36" w:before="36" w:line="24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Discovery / internal validation</w:t>
            </w:r>
            <w:r w:rsidDel="00000000" w:rsidR="00000000" w:rsidRPr="00000000">
              <w:rPr>
                <w:rtl w:val="0"/>
              </w:rPr>
            </w:r>
          </w:p>
        </w:tc>
        <w:tc>
          <w:tcPr/>
          <w:p w:rsidR="00000000" w:rsidDel="00000000" w:rsidP="00000000" w:rsidRDefault="00000000" w:rsidRPr="00000000" w14:paraId="00000066">
            <w:pPr>
              <w:spacing w:after="36" w:before="36" w:line="24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306 (57 pCR, 249 RD)</w:t>
            </w:r>
            <w:r w:rsidDel="00000000" w:rsidR="00000000" w:rsidRPr="00000000">
              <w:rPr>
                <w:rtl w:val="0"/>
              </w:rPr>
            </w:r>
          </w:p>
        </w:tc>
        <w:tc>
          <w:tcPr/>
          <w:p w:rsidR="00000000" w:rsidDel="00000000" w:rsidP="00000000" w:rsidRDefault="00000000" w:rsidRPr="00000000" w14:paraId="00000067">
            <w:pPr>
              <w:spacing w:after="36" w:before="36" w:line="24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GPL96; 4 missing labels excluded.</w:t>
            </w:r>
            <w:r w:rsidDel="00000000" w:rsidR="00000000" w:rsidRPr="00000000">
              <w:rPr>
                <w:rtl w:val="0"/>
              </w:rPr>
            </w:r>
          </w:p>
        </w:tc>
      </w:tr>
      <w:tr>
        <w:trPr>
          <w:cantSplit w:val="0"/>
          <w:tblHeader w:val="0"/>
        </w:trPr>
        <w:tc>
          <w:tcPr/>
          <w:p w:rsidR="00000000" w:rsidDel="00000000" w:rsidP="00000000" w:rsidRDefault="00000000" w:rsidRPr="00000000" w14:paraId="00000068">
            <w:pPr>
              <w:spacing w:after="36" w:before="36" w:line="24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GSE25065</w:t>
            </w:r>
            <w:r w:rsidDel="00000000" w:rsidR="00000000" w:rsidRPr="00000000">
              <w:rPr>
                <w:rtl w:val="0"/>
              </w:rPr>
            </w:r>
          </w:p>
        </w:tc>
        <w:tc>
          <w:tcPr/>
          <w:p w:rsidR="00000000" w:rsidDel="00000000" w:rsidP="00000000" w:rsidRDefault="00000000" w:rsidRPr="00000000" w14:paraId="00000069">
            <w:pPr>
              <w:spacing w:after="36" w:before="36" w:line="24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Same-platform, same-study-family validation</w:t>
            </w:r>
            <w:r w:rsidDel="00000000" w:rsidR="00000000" w:rsidRPr="00000000">
              <w:rPr>
                <w:rtl w:val="0"/>
              </w:rPr>
            </w:r>
          </w:p>
        </w:tc>
        <w:tc>
          <w:tcPr/>
          <w:p w:rsidR="00000000" w:rsidDel="00000000" w:rsidP="00000000" w:rsidRDefault="00000000" w:rsidRPr="00000000" w14:paraId="0000006A">
            <w:pPr>
              <w:spacing w:after="36" w:before="36" w:line="24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182 (42 pCR, 140 RD)</w:t>
            </w:r>
            <w:r w:rsidDel="00000000" w:rsidR="00000000" w:rsidRPr="00000000">
              <w:rPr>
                <w:rtl w:val="0"/>
              </w:rPr>
            </w:r>
          </w:p>
        </w:tc>
        <w:tc>
          <w:tcPr/>
          <w:p w:rsidR="00000000" w:rsidDel="00000000" w:rsidP="00000000" w:rsidRDefault="00000000" w:rsidRPr="00000000" w14:paraId="0000006B">
            <w:pPr>
              <w:spacing w:after="36" w:before="36" w:line="24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GPL96; 16 missing labels excluded; non-overlapping with GSE25055.</w:t>
            </w:r>
            <w:r w:rsidDel="00000000" w:rsidR="00000000" w:rsidRPr="00000000">
              <w:rPr>
                <w:rtl w:val="0"/>
              </w:rPr>
            </w:r>
          </w:p>
        </w:tc>
      </w:tr>
      <w:tr>
        <w:trPr>
          <w:cantSplit w:val="0"/>
          <w:tblHeader w:val="0"/>
        </w:trPr>
        <w:tc>
          <w:tcPr/>
          <w:p w:rsidR="00000000" w:rsidDel="00000000" w:rsidP="00000000" w:rsidRDefault="00000000" w:rsidRPr="00000000" w14:paraId="0000006C">
            <w:pPr>
              <w:spacing w:after="36" w:before="36" w:line="24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GSE41998</w:t>
            </w:r>
            <w:r w:rsidDel="00000000" w:rsidR="00000000" w:rsidRPr="00000000">
              <w:rPr>
                <w:rtl w:val="0"/>
              </w:rPr>
            </w:r>
          </w:p>
        </w:tc>
        <w:tc>
          <w:tcPr/>
          <w:p w:rsidR="00000000" w:rsidDel="00000000" w:rsidP="00000000" w:rsidRDefault="00000000" w:rsidRPr="00000000" w14:paraId="0000006D">
            <w:pPr>
              <w:spacing w:after="36" w:before="36" w:line="24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Cross-platform transportability sensitivity</w:t>
            </w:r>
            <w:r w:rsidDel="00000000" w:rsidR="00000000" w:rsidRPr="00000000">
              <w:rPr>
                <w:rtl w:val="0"/>
              </w:rPr>
            </w:r>
          </w:p>
        </w:tc>
        <w:tc>
          <w:tcPr/>
          <w:p w:rsidR="00000000" w:rsidDel="00000000" w:rsidP="00000000" w:rsidRDefault="00000000" w:rsidRPr="00000000" w14:paraId="0000006E">
            <w:pPr>
              <w:spacing w:after="36" w:before="36" w:line="24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253 evaluable (69 pCR, 184 RD)</w:t>
            </w:r>
            <w:r w:rsidDel="00000000" w:rsidR="00000000" w:rsidRPr="00000000">
              <w:rPr>
                <w:rtl w:val="0"/>
              </w:rPr>
            </w:r>
          </w:p>
        </w:tc>
        <w:tc>
          <w:tcPr/>
          <w:p w:rsidR="00000000" w:rsidDel="00000000" w:rsidP="00000000" w:rsidRDefault="00000000" w:rsidRPr="00000000" w14:paraId="0000006F">
            <w:pPr>
              <w:spacing w:after="36" w:before="36" w:line="24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GPL571; 253 evaluable after excluding 20 undocumented “0” codes and 6 missing/unclear labels; exact GPL96 ∩ GPL571 projection; no retuning.</w:t>
            </w:r>
            <w:r w:rsidDel="00000000" w:rsidR="00000000" w:rsidRPr="00000000">
              <w:rPr>
                <w:rtl w:val="0"/>
              </w:rPr>
            </w:r>
          </w:p>
        </w:tc>
      </w:tr>
      <w:tr>
        <w:trPr>
          <w:cantSplit w:val="0"/>
          <w:tblHeader w:val="0"/>
        </w:trPr>
        <w:tc>
          <w:tcPr/>
          <w:p w:rsidR="00000000" w:rsidDel="00000000" w:rsidP="00000000" w:rsidRDefault="00000000" w:rsidRPr="00000000" w14:paraId="00000070">
            <w:pPr>
              <w:spacing w:after="36" w:before="36" w:line="24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GSE20194</w:t>
            </w:r>
            <w:r w:rsidDel="00000000" w:rsidR="00000000" w:rsidRPr="00000000">
              <w:rPr>
                <w:rtl w:val="0"/>
              </w:rPr>
            </w:r>
          </w:p>
        </w:tc>
        <w:tc>
          <w:tcPr/>
          <w:p w:rsidR="00000000" w:rsidDel="00000000" w:rsidP="00000000" w:rsidRDefault="00000000" w:rsidRPr="00000000" w14:paraId="00000071">
            <w:pPr>
              <w:spacing w:after="36" w:before="36" w:line="24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Sensitivity candidate</w:t>
            </w:r>
            <w:r w:rsidDel="00000000" w:rsidR="00000000" w:rsidRPr="00000000">
              <w:rPr>
                <w:rtl w:val="0"/>
              </w:rPr>
            </w:r>
          </w:p>
        </w:tc>
        <w:tc>
          <w:tcPr/>
          <w:p w:rsidR="00000000" w:rsidDel="00000000" w:rsidP="00000000" w:rsidRDefault="00000000" w:rsidRPr="00000000" w14:paraId="00000072">
            <w:pPr>
              <w:spacing w:after="36" w:before="36" w:line="24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278 (56 pCR, 222 RD)</w:t>
            </w:r>
            <w:r w:rsidDel="00000000" w:rsidR="00000000" w:rsidRPr="00000000">
              <w:rPr>
                <w:rtl w:val="0"/>
              </w:rPr>
            </w:r>
          </w:p>
        </w:tc>
        <w:tc>
          <w:tcPr/>
          <w:p w:rsidR="00000000" w:rsidDel="00000000" w:rsidP="00000000" w:rsidRDefault="00000000" w:rsidRPr="00000000" w14:paraId="00000073">
            <w:pPr>
              <w:spacing w:after="36" w:before="36" w:line="24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GPL96; held because of MDACC lineage overlap risk.</w:t>
            </w:r>
            <w:r w:rsidDel="00000000" w:rsidR="00000000" w:rsidRPr="00000000">
              <w:rPr>
                <w:rtl w:val="0"/>
              </w:rPr>
            </w:r>
          </w:p>
        </w:tc>
      </w:tr>
      <w:tr>
        <w:trPr>
          <w:cantSplit w:val="0"/>
          <w:tblHeader w:val="0"/>
        </w:trPr>
        <w:tc>
          <w:tcPr/>
          <w:p w:rsidR="00000000" w:rsidDel="00000000" w:rsidP="00000000" w:rsidRDefault="00000000" w:rsidRPr="00000000" w14:paraId="00000074">
            <w:pPr>
              <w:spacing w:after="36" w:before="36" w:line="24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GSE20271</w:t>
            </w:r>
            <w:r w:rsidDel="00000000" w:rsidR="00000000" w:rsidRPr="00000000">
              <w:rPr>
                <w:rtl w:val="0"/>
              </w:rPr>
            </w:r>
          </w:p>
        </w:tc>
        <w:tc>
          <w:tcPr/>
          <w:p w:rsidR="00000000" w:rsidDel="00000000" w:rsidP="00000000" w:rsidRDefault="00000000" w:rsidRPr="00000000" w14:paraId="00000075">
            <w:pPr>
              <w:spacing w:after="36" w:before="36" w:line="24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Sensitivity candidate</w:t>
            </w:r>
            <w:r w:rsidDel="00000000" w:rsidR="00000000" w:rsidRPr="00000000">
              <w:rPr>
                <w:rtl w:val="0"/>
              </w:rPr>
            </w:r>
          </w:p>
        </w:tc>
        <w:tc>
          <w:tcPr/>
          <w:p w:rsidR="00000000" w:rsidDel="00000000" w:rsidP="00000000" w:rsidRDefault="00000000" w:rsidRPr="00000000" w14:paraId="00000076">
            <w:pPr>
              <w:spacing w:after="36" w:before="36" w:line="24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178 (26 pCR, 152 RD)</w:t>
            </w:r>
            <w:r w:rsidDel="00000000" w:rsidR="00000000" w:rsidRPr="00000000">
              <w:rPr>
                <w:rtl w:val="0"/>
              </w:rPr>
            </w:r>
          </w:p>
        </w:tc>
        <w:tc>
          <w:tcPr/>
          <w:p w:rsidR="00000000" w:rsidDel="00000000" w:rsidP="00000000" w:rsidRDefault="00000000" w:rsidRPr="00000000" w14:paraId="00000077">
            <w:pPr>
              <w:spacing w:after="36" w:before="36" w:line="24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GPL96; held because of MDACC lineage overlap risk.</w:t>
            </w:r>
            <w:r w:rsidDel="00000000" w:rsidR="00000000" w:rsidRPr="00000000">
              <w:rPr>
                <w:rtl w:val="0"/>
              </w:rPr>
            </w:r>
          </w:p>
        </w:tc>
      </w:tr>
    </w:tbl>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Note.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GSE20194 and GSE20271 were documented for audit transparency but were not used. pCR = pathological complete response; RD = residual disease.</w:t>
      </w:r>
    </w:p>
    <w:p w:rsidR="00000000" w:rsidDel="00000000" w:rsidP="00000000" w:rsidRDefault="00000000" w:rsidRPr="00000000" w14:paraId="00000079">
      <w:pPr>
        <w:pStyle w:val="Heading2"/>
        <w:rPr/>
      </w:pPr>
      <w:r w:rsidDel="00000000" w:rsidR="00000000" w:rsidRPr="00000000">
        <w:rPr>
          <w:rtl w:val="0"/>
        </w:rPr>
        <w:t xml:space="preserve">4.2 Naive versus guarded linear SVM workflow performance</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On GSE25055 the naive workflow produced higher apparent threshold-independent discrimination than the guarded workflow: AUROC 0.7830 versus 0.7032 and PR-AUC 0.4257 versus 0.3476. The descriptive contrasts were +0.0799 for AUROC and +0.0781 for PR-AUC; operating-point metrics varied under class imbalance.</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Table 2. Naive versus guarded linear SVM workflow performance on GSE25055.</w:t>
      </w:r>
      <w:r w:rsidDel="00000000" w:rsidR="00000000" w:rsidRPr="00000000">
        <w:rPr>
          <w:rtl w:val="0"/>
        </w:rPr>
      </w:r>
    </w:p>
    <w:tbl>
      <w:tblPr>
        <w:tblStyle w:val="Table2"/>
        <w:tblW w:w="982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1980"/>
        <w:gridCol w:w="1980"/>
        <w:gridCol w:w="1980"/>
        <w:gridCol w:w="3885"/>
        <w:tblGridChange w:id="0">
          <w:tblGrid>
            <w:gridCol w:w="1980"/>
            <w:gridCol w:w="1980"/>
            <w:gridCol w:w="1980"/>
            <w:gridCol w:w="3885"/>
          </w:tblGrid>
        </w:tblGridChange>
      </w:tblGrid>
      <w:tr>
        <w:trPr>
          <w:cantSplit w:val="0"/>
          <w:tblHeader w:val="1"/>
        </w:trPr>
        <w:tc>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Metric</w:t>
            </w:r>
          </w:p>
        </w:tc>
        <w:tc>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Naive workflow</w:t>
            </w:r>
            <w:r w:rsidDel="00000000" w:rsidR="00000000" w:rsidRPr="00000000">
              <w:rPr>
                <w:rtl w:val="0"/>
              </w:rPr>
            </w:r>
          </w:p>
        </w:tc>
        <w:tc>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Guarded workflow</w:t>
            </w:r>
            <w:r w:rsidDel="00000000" w:rsidR="00000000" w:rsidRPr="00000000">
              <w:rPr>
                <w:rtl w:val="0"/>
              </w:rPr>
            </w:r>
          </w:p>
        </w:tc>
        <w:tc>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Naive − guarded contrast</w:t>
            </w:r>
            <w:r w:rsidDel="00000000" w:rsidR="00000000" w:rsidRPr="00000000">
              <w:rPr>
                <w:rtl w:val="0"/>
              </w:rPr>
            </w:r>
          </w:p>
        </w:tc>
      </w:tr>
      <w:tr>
        <w:trPr>
          <w:cantSplit w:val="0"/>
          <w:tblHeader w:val="0"/>
        </w:trPr>
        <w:tc>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AUROC</w:t>
            </w:r>
          </w:p>
        </w:tc>
        <w:tc>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0.7830 (0.728–0.836)</w:t>
            </w:r>
            <w:r w:rsidDel="00000000" w:rsidR="00000000" w:rsidRPr="00000000">
              <w:rPr>
                <w:rtl w:val="0"/>
              </w:rPr>
            </w:r>
          </w:p>
        </w:tc>
        <w:tc>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0.7032 (0.628–0.772)</w:t>
            </w:r>
            <w:r w:rsidDel="00000000" w:rsidR="00000000" w:rsidRPr="00000000">
              <w:rPr>
                <w:rtl w:val="0"/>
              </w:rPr>
            </w:r>
          </w:p>
        </w:tc>
        <w:tc>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+0.0799 (95% CI +0.0080 to +0.1514; bootstrap p = 0.026)</w:t>
            </w:r>
            <w:r w:rsidDel="00000000" w:rsidR="00000000" w:rsidRPr="00000000">
              <w:rPr>
                <w:rtl w:val="0"/>
              </w:rPr>
            </w:r>
          </w:p>
        </w:tc>
      </w:tr>
      <w:tr>
        <w:trPr>
          <w:cantSplit w:val="0"/>
          <w:tblHeader w:val="0"/>
        </w:trPr>
        <w:tc>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PR-AUC</w:t>
            </w:r>
          </w:p>
        </w:tc>
        <w:tc>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0.4257 (0.350–0.521)</w:t>
            </w:r>
            <w:r w:rsidDel="00000000" w:rsidR="00000000" w:rsidRPr="00000000">
              <w:rPr>
                <w:rtl w:val="0"/>
              </w:rPr>
            </w:r>
          </w:p>
        </w:tc>
        <w:tc>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0.3476 (0.267–0.467)</w:t>
            </w:r>
            <w:r w:rsidDel="00000000" w:rsidR="00000000" w:rsidRPr="00000000">
              <w:rPr>
                <w:rtl w:val="0"/>
              </w:rPr>
            </w:r>
          </w:p>
        </w:tc>
        <w:tc>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+0.0781 (−0.0423 to +0.1755; p = 0.192)</w:t>
            </w:r>
            <w:r w:rsidDel="00000000" w:rsidR="00000000" w:rsidRPr="00000000">
              <w:rPr>
                <w:rtl w:val="0"/>
              </w:rPr>
            </w:r>
          </w:p>
        </w:tc>
      </w:tr>
      <w:tr>
        <w:trPr>
          <w:cantSplit w:val="0"/>
          <w:tblHeader w:val="0"/>
        </w:trPr>
        <w:tc>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Balanced accuracy</w:t>
            </w:r>
          </w:p>
        </w:tc>
        <w:tc>
          <w:tcPr/>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0.5525 (0.525–0.582)</w:t>
            </w:r>
            <w:r w:rsidDel="00000000" w:rsidR="00000000" w:rsidRPr="00000000">
              <w:rPr>
                <w:rtl w:val="0"/>
              </w:rPr>
            </w:r>
          </w:p>
        </w:tc>
        <w:tc>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0.5724 (0.524–0.625)</w:t>
            </w:r>
            <w:r w:rsidDel="00000000" w:rsidR="00000000" w:rsidRPr="00000000">
              <w:rPr>
                <w:rtl w:val="0"/>
              </w:rPr>
            </w:r>
          </w:p>
        </w:tc>
        <w:tc>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−0.020</w:t>
            </w:r>
            <w:r w:rsidDel="00000000" w:rsidR="00000000" w:rsidRPr="00000000">
              <w:rPr>
                <w:rtl w:val="0"/>
              </w:rPr>
            </w:r>
          </w:p>
        </w:tc>
      </w:tr>
      <w:tr>
        <w:trPr>
          <w:cantSplit w:val="0"/>
          <w:tblHeader w:val="0"/>
        </w:trPr>
        <w:tc>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MCC</w:t>
            </w:r>
          </w:p>
        </w:tc>
        <w:tc>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0.1982 (0.102–0.287)</w:t>
            </w:r>
            <w:r w:rsidDel="00000000" w:rsidR="00000000" w:rsidRPr="00000000">
              <w:rPr>
                <w:rtl w:val="0"/>
              </w:rPr>
            </w:r>
          </w:p>
        </w:tc>
        <w:tc>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0.2138 (0.076–0.350)</w:t>
            </w:r>
            <w:r w:rsidDel="00000000" w:rsidR="00000000" w:rsidRPr="00000000">
              <w:rPr>
                <w:rtl w:val="0"/>
              </w:rPr>
            </w:r>
          </w:p>
        </w:tc>
        <w:tc>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−0.016</w:t>
            </w:r>
            <w:r w:rsidDel="00000000" w:rsidR="00000000" w:rsidRPr="00000000">
              <w:rPr>
                <w:rtl w:val="0"/>
              </w:rPr>
            </w:r>
          </w:p>
        </w:tc>
      </w:tr>
      <w:tr>
        <w:trPr>
          <w:cantSplit w:val="0"/>
          <w:tblHeader w:val="0"/>
        </w:trPr>
        <w:tc>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Sensitivity (pCR)</w:t>
            </w:r>
          </w:p>
        </w:tc>
        <w:tc>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0.1298 (0.077–0.190)</w:t>
            </w:r>
            <w:r w:rsidDel="00000000" w:rsidR="00000000" w:rsidRPr="00000000">
              <w:rPr>
                <w:rtl w:val="0"/>
              </w:rPr>
            </w:r>
          </w:p>
        </w:tc>
        <w:tc>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0.1930 (0.105–0.298)</w:t>
            </w:r>
            <w:r w:rsidDel="00000000" w:rsidR="00000000" w:rsidRPr="00000000">
              <w:rPr>
                <w:rtl w:val="0"/>
              </w:rPr>
            </w:r>
          </w:p>
        </w:tc>
        <w:tc>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−0.063</w:t>
            </w:r>
            <w:r w:rsidDel="00000000" w:rsidR="00000000" w:rsidRPr="00000000">
              <w:rPr>
                <w:rtl w:val="0"/>
              </w:rPr>
            </w:r>
          </w:p>
        </w:tc>
      </w:tr>
      <w:tr>
        <w:trPr>
          <w:cantSplit w:val="0"/>
          <w:tblHeader w:val="0"/>
        </w:trPr>
        <w:tc>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Specificity</w:t>
            </w:r>
          </w:p>
        </w:tc>
        <w:tc>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0.9751 (0.963–0.986)</w:t>
            </w:r>
            <w:r w:rsidDel="00000000" w:rsidR="00000000" w:rsidRPr="00000000">
              <w:rPr>
                <w:rtl w:val="0"/>
              </w:rPr>
            </w:r>
          </w:p>
        </w:tc>
        <w:tc>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0.9518 (0.924–0.976)</w:t>
            </w:r>
            <w:r w:rsidDel="00000000" w:rsidR="00000000" w:rsidRPr="00000000">
              <w:rPr>
                <w:rtl w:val="0"/>
              </w:rPr>
            </w:r>
          </w:p>
        </w:tc>
        <w:tc>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+0.023</w:t>
            </w:r>
            <w:r w:rsidDel="00000000" w:rsidR="00000000" w:rsidRPr="00000000">
              <w:rPr>
                <w:rtl w:val="0"/>
              </w:rPr>
            </w:r>
          </w:p>
        </w:tc>
      </w:tr>
    </w:tbl>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i w:val="1"/>
          <w:iCs w:val="1"/>
          <w:rtl w:val="0"/>
        </w:rPr>
        <w:t xml:space="preserve">Note. Values are point estimates with 95% stratified-bootstrap confidence intervals (B = 2000). The AUROC contrast excluded zero, whereas the PR-AUC contrast did not. Both remain descriptive whole-workflow comparisons because the arms differ in tuning and resampling. PR-AUC was computed by trapezoidal integration (Section 3.9); MCC = Matthews correlation coefficient.</w:t>
      </w:r>
      <w:r w:rsidDel="00000000" w:rsidR="00000000" w:rsidRPr="00000000">
        <w:rPr>
          <w:rtl w:val="0"/>
        </w:rPr>
      </w:r>
    </w:p>
    <w:p w:rsidR="00000000" w:rsidDel="00000000" w:rsidP="00000000" w:rsidRDefault="00000000" w:rsidRPr="00000000" w14:paraId="00000099">
      <w:pPr>
        <w:pStyle w:val="Heading2"/>
        <w:rPr/>
      </w:pPr>
      <w:r w:rsidDel="00000000" w:rsidR="00000000" w:rsidRPr="00000000">
        <w:rPr>
          <w:rtl w:val="0"/>
        </w:rPr>
        <w:t xml:space="preserve">4.3 Uncertainty quantification for the workflow contrast</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Bootstrap confidence intervals placed the real-label workflow contrast in context: ΔAUROC was +0.0799 (95% CI +0.0080 to +0.1514; p = 0.026), and ΔPR-AUC was +0.0781 (−0.0423 to +0.1755; p = 0.192). Per-repeat DeLong comparisons gave AUROC differences of +0.0661 to +0.0901 (p = 0.020–0.117), showing mixed repeat-level resolution.</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These results do not quantify the causal effect of feature-selection leakage, because the two workflows also differ in tuning and resampling. The permutation analysis instead asks how each complete workflow behaves when the labels contain no predictive information.</w:t>
      </w:r>
    </w:p>
    <w:p w:rsidR="00000000" w:rsidDel="00000000" w:rsidP="00000000" w:rsidRDefault="00000000" w:rsidRPr="00000000" w14:paraId="0000009C">
      <w:pPr>
        <w:pStyle w:val="Heading2"/>
        <w:rPr/>
      </w:pPr>
      <w:r w:rsidDel="00000000" w:rsidR="00000000" w:rsidRPr="00000000">
        <w:rPr>
          <w:rtl w:val="0"/>
        </w:rPr>
        <w:t xml:space="preserve">4.4 Sensitivity to the feature-selection budget (top-K sweep)</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Across K = 25, 50, 100, and 200 the naive workflow showed higher AUROC and PR-AUC than the guarded workflow at every budget, while feature-selection stability rose with larger K (Nogueira 0.3513 to 0.5752; full per-K estimates in Supplementary File S2, sheet “TopK Sweep Sensitivity”). This sensitivity analysis supports the direction of the whole-workflow contrast across feature budgets but does not isolate feature-selection placement or test other selectors or model classes.</w:t>
      </w:r>
      <w:r w:rsidDel="00000000" w:rsidR="00000000" w:rsidRPr="00000000">
        <w:rPr>
          <w:rtl w:val="0"/>
        </w:rPr>
      </w:r>
    </w:p>
    <w:p w:rsidR="00000000" w:rsidDel="00000000" w:rsidP="00000000" w:rsidRDefault="00000000" w:rsidRPr="00000000" w14:paraId="0000009E">
      <w:pPr>
        <w:pStyle w:val="Heading2"/>
        <w:rPr/>
      </w:pPr>
      <w:r w:rsidDel="00000000" w:rsidR="00000000" w:rsidRPr="00000000">
        <w:rPr>
          <w:rtl w:val="0"/>
        </w:rPr>
        <w:t xml:space="preserve">4.5 Permutation negative control of workflow behavior</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The label-shuffle control re-executed both complete workflows on 1000 permuted label vectors, repeating global feature selection in the naive arm against each shuffled vector. ROC direction was fixed before analysis.</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The guarded workflow’s AUROC null centred near chance (mean 0.4917, SD 0.0514, 2.5th–97.5th percentile 0.3902–0.5836), and its PR-AUC null centred at 0.1898 against a prevalence reference of 0.1863. Its real-label AUROC and PR-AUC exceeded their respective null distributions (permutation p = 0.001 for both), supporting non-random predictive structure in this dataset without establishing a biological mechanism or clinical utility.</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The naive workflow behaved differently: across 1000 shuffled label vectors its mean AUROC was 0.8778 (SD 0.0512, 2.5th–97.5th percentile 0.7566–0.9575), with all null values above 0.5, and its mean PR-AUC was 0.6623. Its real-label AUROC of 0.7830 was not exceptional relative to its own null (p = 0.951). Because supervised feature selection used the complete shuffled-label vector before cross-validation, these results show that the naive workflow does not provide a valid out-of-sample null benchmark.</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Under shuffled labels, the mean naive-minus-guarded workflow contrast was +0.3860 for AUROC (2.5th–97.5th percentile +0.2271 to +0.5209) and +0.4725 for PR-AUC, compared with +0.0799 and +0.0781 on real labels. Because the arms differ in feature-selection placement, tuning, folds, and repetition, neither the real-label nor shuffled-label contrast estimates the isolated causal effect of leakage. The permutation results instead characterize the behavior of the two complete workflows and motivate a future matched one-factor ablation (Table 3, Figure 2).</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The guarded AUROC null was centred close to 0.5, with 43% of permutations above chance (Table 3), as expected when ROC orientation is fixed a priori.</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Table 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Permutation negative control, 1000 label shuffles, GSE25055.</w:t>
      </w:r>
    </w:p>
    <w:tbl>
      <w:tblPr>
        <w:tblStyle w:val="Table3"/>
        <w:tblW w:w="94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1590"/>
        <w:gridCol w:w="1590"/>
        <w:gridCol w:w="1575"/>
        <w:gridCol w:w="1575"/>
        <w:gridCol w:w="1575"/>
        <w:gridCol w:w="1575"/>
        <w:tblGridChange w:id="0">
          <w:tblGrid>
            <w:gridCol w:w="1590"/>
            <w:gridCol w:w="1590"/>
            <w:gridCol w:w="1575"/>
            <w:gridCol w:w="1575"/>
            <w:gridCol w:w="1575"/>
            <w:gridCol w:w="1575"/>
          </w:tblGrid>
        </w:tblGridChange>
      </w:tblGrid>
      <w:tr>
        <w:trPr>
          <w:cantSplit w:val="0"/>
          <w:tblHeader w:val="1"/>
        </w:trPr>
        <w:tc>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Statistic</w:t>
            </w:r>
          </w:p>
        </w:tc>
        <w:tc>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Observed</w:t>
            </w:r>
          </w:p>
        </w:tc>
        <w:tc>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Chance reference</w:t>
            </w:r>
          </w:p>
        </w:tc>
        <w:tc>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Null mean (SD)</w:t>
            </w:r>
          </w:p>
        </w:tc>
        <w:tc>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Null 2.5th–97.5th pct</w:t>
            </w:r>
          </w:p>
        </w:tc>
        <w:tc>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 (null ≥ observed)</w:t>
            </w:r>
          </w:p>
        </w:tc>
      </w:tr>
      <w:tr>
        <w:trPr>
          <w:cantSplit w:val="0"/>
          <w:tblHeader w:val="0"/>
        </w:trPr>
        <w:tc>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Naive AUROC</w:t>
            </w:r>
            <w:r w:rsidDel="00000000" w:rsidR="00000000" w:rsidRPr="00000000">
              <w:rPr>
                <w:rtl w:val="0"/>
              </w:rPr>
            </w:r>
          </w:p>
        </w:tc>
        <w:tc>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0.7830</w:t>
            </w:r>
            <w:r w:rsidDel="00000000" w:rsidR="00000000" w:rsidRPr="00000000">
              <w:rPr>
                <w:rtl w:val="0"/>
              </w:rPr>
            </w:r>
          </w:p>
        </w:tc>
        <w:tc>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0.5000</w:t>
            </w:r>
          </w:p>
        </w:tc>
        <w:tc>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0.8778 (0.0512)</w:t>
            </w:r>
            <w:r w:rsidDel="00000000" w:rsidR="00000000" w:rsidRPr="00000000">
              <w:rPr>
                <w:rtl w:val="0"/>
              </w:rPr>
            </w:r>
          </w:p>
        </w:tc>
        <w:tc>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0.7566–0.9575</w:t>
            </w:r>
            <w:r w:rsidDel="00000000" w:rsidR="00000000" w:rsidRPr="00000000">
              <w:rPr>
                <w:rtl w:val="0"/>
              </w:rPr>
            </w:r>
          </w:p>
        </w:tc>
        <w:tc>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0.951</w:t>
            </w:r>
            <w:r w:rsidDel="00000000" w:rsidR="00000000" w:rsidRPr="00000000">
              <w:rPr>
                <w:rtl w:val="0"/>
              </w:rPr>
            </w:r>
          </w:p>
        </w:tc>
      </w:tr>
      <w:tr>
        <w:trPr>
          <w:cantSplit w:val="0"/>
          <w:tblHeader w:val="0"/>
        </w:trPr>
        <w:tc>
          <w:tcPr/>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Guarded AUROC</w:t>
            </w:r>
          </w:p>
        </w:tc>
        <w:tc>
          <w:tcPr/>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0.7032</w:t>
            </w:r>
            <w:r w:rsidDel="00000000" w:rsidR="00000000" w:rsidRPr="00000000">
              <w:rPr>
                <w:rtl w:val="0"/>
              </w:rPr>
            </w:r>
          </w:p>
        </w:tc>
        <w:tc>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0.5000</w:t>
            </w:r>
          </w:p>
        </w:tc>
        <w:tc>
          <w:tcPr/>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0.4917 (0.0514)</w:t>
            </w:r>
            <w:r w:rsidDel="00000000" w:rsidR="00000000" w:rsidRPr="00000000">
              <w:rPr>
                <w:rtl w:val="0"/>
              </w:rPr>
            </w:r>
          </w:p>
        </w:tc>
        <w:tc>
          <w:tcPr/>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0.3902–0.5836</w:t>
            </w:r>
            <w:r w:rsidDel="00000000" w:rsidR="00000000" w:rsidRPr="00000000">
              <w:rPr>
                <w:rtl w:val="0"/>
              </w:rPr>
            </w:r>
          </w:p>
        </w:tc>
        <w:tc>
          <w:tcPr/>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0.001</w:t>
            </w:r>
          </w:p>
        </w:tc>
      </w:tr>
      <w:tr>
        <w:trPr>
          <w:cantSplit w:val="0"/>
          <w:tblHeader w:val="0"/>
        </w:trPr>
        <w:tc>
          <w:tcPr/>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ΔAUROC (naive − guarded)</w:t>
            </w:r>
            <w:r w:rsidDel="00000000" w:rsidR="00000000" w:rsidRPr="00000000">
              <w:rPr>
                <w:rtl w:val="0"/>
              </w:rPr>
            </w:r>
          </w:p>
        </w:tc>
        <w:tc>
          <w:tcPr/>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+0.0799</w:t>
            </w:r>
            <w:r w:rsidDel="00000000" w:rsidR="00000000" w:rsidRPr="00000000">
              <w:rPr>
                <w:rtl w:val="0"/>
              </w:rPr>
            </w:r>
          </w:p>
        </w:tc>
        <w:tc>
          <w:tcPr/>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0.0000</w:t>
            </w:r>
          </w:p>
        </w:tc>
        <w:tc>
          <w:tcPr/>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+0.3860 (0.0753)</w:t>
            </w:r>
            <w:r w:rsidDel="00000000" w:rsidR="00000000" w:rsidRPr="00000000">
              <w:rPr>
                <w:rtl w:val="0"/>
              </w:rPr>
            </w:r>
          </w:p>
        </w:tc>
        <w:tc>
          <w:tcPr/>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+0.2271 to +0.5209</w:t>
            </w:r>
            <w:r w:rsidDel="00000000" w:rsidR="00000000" w:rsidRPr="00000000">
              <w:rPr>
                <w:rtl w:val="0"/>
              </w:rPr>
            </w:r>
          </w:p>
        </w:tc>
        <w:tc>
          <w:tcPr/>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1.000</w:t>
            </w:r>
          </w:p>
        </w:tc>
      </w:tr>
      <w:tr>
        <w:trPr>
          <w:cantSplit w:val="0"/>
          <w:tblHeader w:val="0"/>
        </w:trPr>
        <w:tc>
          <w:tcPr/>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Naive PR-AUC</w:t>
            </w:r>
            <w:r w:rsidDel="00000000" w:rsidR="00000000" w:rsidRPr="00000000">
              <w:rPr>
                <w:rtl w:val="0"/>
              </w:rPr>
            </w:r>
          </w:p>
        </w:tc>
        <w:tc>
          <w:tcPr/>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0.4257</w:t>
            </w:r>
            <w:r w:rsidDel="00000000" w:rsidR="00000000" w:rsidRPr="00000000">
              <w:rPr>
                <w:rtl w:val="0"/>
              </w:rPr>
            </w:r>
          </w:p>
        </w:tc>
        <w:tc>
          <w:tcPr/>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0.1863</w:t>
            </w:r>
          </w:p>
        </w:tc>
        <w:tc>
          <w:tcPr/>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0.6623 (0.1162)</w:t>
            </w:r>
            <w:r w:rsidDel="00000000" w:rsidR="00000000" w:rsidRPr="00000000">
              <w:rPr>
                <w:rtl w:val="0"/>
              </w:rPr>
            </w:r>
          </w:p>
        </w:tc>
        <w:tc>
          <w:tcPr/>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0.4087–0.8592</w:t>
            </w:r>
            <w:r w:rsidDel="00000000" w:rsidR="00000000" w:rsidRPr="00000000">
              <w:rPr>
                <w:rtl w:val="0"/>
              </w:rPr>
            </w:r>
          </w:p>
        </w:tc>
        <w:tc>
          <w:tcPr/>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0.966</w:t>
            </w:r>
            <w:r w:rsidDel="00000000" w:rsidR="00000000" w:rsidRPr="00000000">
              <w:rPr>
                <w:rtl w:val="0"/>
              </w:rPr>
            </w:r>
          </w:p>
        </w:tc>
      </w:tr>
      <w:tr>
        <w:trPr>
          <w:cantSplit w:val="0"/>
          <w:tblHeader w:val="0"/>
        </w:trPr>
        <w:tc>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Guarded PR-AUC</w:t>
            </w:r>
          </w:p>
        </w:tc>
        <w:tc>
          <w:tcPr/>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0.3476</w:t>
            </w:r>
            <w:r w:rsidDel="00000000" w:rsidR="00000000" w:rsidRPr="00000000">
              <w:rPr>
                <w:rtl w:val="0"/>
              </w:rPr>
            </w:r>
          </w:p>
        </w:tc>
        <w:tc>
          <w:tcPr/>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0.1863</w:t>
            </w:r>
          </w:p>
        </w:tc>
        <w:tc>
          <w:tcPr/>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0.1898 (0.0293)</w:t>
            </w:r>
            <w:r w:rsidDel="00000000" w:rsidR="00000000" w:rsidRPr="00000000">
              <w:rPr>
                <w:rtl w:val="0"/>
              </w:rPr>
            </w:r>
          </w:p>
        </w:tc>
        <w:tc>
          <w:tcPr/>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0.1465–0.2622</w:t>
            </w:r>
            <w:r w:rsidDel="00000000" w:rsidR="00000000" w:rsidRPr="00000000">
              <w:rPr>
                <w:rtl w:val="0"/>
              </w:rPr>
            </w:r>
          </w:p>
        </w:tc>
        <w:tc>
          <w:tcPr/>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0.001</w:t>
            </w:r>
          </w:p>
        </w:tc>
      </w:tr>
      <w:tr>
        <w:trPr>
          <w:cantSplit w:val="0"/>
          <w:tblHeader w:val="0"/>
        </w:trPr>
        <w:tc>
          <w:tcPr/>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ΔPR-AUC (naive − guarded)</w:t>
            </w:r>
            <w:r w:rsidDel="00000000" w:rsidR="00000000" w:rsidRPr="00000000">
              <w:rPr>
                <w:rtl w:val="0"/>
              </w:rPr>
            </w:r>
          </w:p>
        </w:tc>
        <w:tc>
          <w:tcPr/>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+0.0781</w:t>
            </w:r>
            <w:r w:rsidDel="00000000" w:rsidR="00000000" w:rsidRPr="00000000">
              <w:rPr>
                <w:rtl w:val="0"/>
              </w:rPr>
            </w:r>
          </w:p>
        </w:tc>
        <w:tc>
          <w:tcPr/>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0.0000</w:t>
            </w:r>
          </w:p>
        </w:tc>
        <w:tc>
          <w:tcPr/>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+0.4725 (0.1215)</w:t>
            </w:r>
            <w:r w:rsidDel="00000000" w:rsidR="00000000" w:rsidRPr="00000000">
              <w:rPr>
                <w:rtl w:val="0"/>
              </w:rPr>
            </w:r>
          </w:p>
        </w:tc>
        <w:tc>
          <w:tcPr/>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+0.2124 to +0.6819</w:t>
            </w:r>
            <w:r w:rsidDel="00000000" w:rsidR="00000000" w:rsidRPr="00000000">
              <w:rPr>
                <w:rtl w:val="0"/>
              </w:rPr>
            </w:r>
          </w:p>
        </w:tc>
        <w:tc>
          <w:tcPr/>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1.000</w:t>
            </w:r>
          </w:p>
        </w:tc>
      </w:tr>
    </w:tbl>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i w:val="1"/>
          <w:iCs w:val="1"/>
          <w:rtl w:val="0"/>
        </w:rPr>
        <w:t xml:space="preserve">Note. The chance reference is 0.5 for AUROC and the pCR prevalence (0.1863) for PR-AUC. A p-value near 1 indicates that the observed value is unexceptional or low relative to the complete workflow’s own null distribution. Permutation was applied before all modeling steps, so global feature selection was re-executed on every shuffled label vector.</w:t>
      </w:r>
      <w:r w:rsidDel="00000000" w:rsidR="00000000" w:rsidRPr="00000000">
        <w:rPr>
          <w:rtl w:val="0"/>
        </w:rPr>
      </w:r>
    </w:p>
    <w:p w:rsidR="00000000" w:rsidDel="00000000" w:rsidP="00000000" w:rsidRDefault="00000000" w:rsidRPr="00000000" w14:paraId="000000D0">
      <w:pPr>
        <w:spacing w:after="0" w:line="480" w:lineRule="auto"/>
        <w:jc w:val="center"/>
        <w:rPr>
          <w:i w:val="1"/>
          <w:iCs w:val="1"/>
        </w:rPr>
      </w:pPr>
      <w:r w:rsidDel="00000000" w:rsidR="00000000" w:rsidRPr="00000000">
        <w:rPr>
          <w:rFonts w:ascii="Times New Roman" w:cs="Times New Roman" w:eastAsia="Times New Roman" w:hAnsi="Times New Roman"/>
        </w:rPr>
        <w:drawing>
          <wp:inline distB="114300" distT="114300" distL="114300" distR="114300">
            <wp:extent cx="6492903" cy="295132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492903" cy="295132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i w:val="1"/>
          <w:iCs w:val="1"/>
          <w:rtl w:val="0"/>
        </w:rPr>
        <w:t xml:space="preserve">Figure 2. Fixed-direction AUROC null distributions from 1000 label permutations of the complete naive and guarded workflows on GSE25055. Vertical lines mark each workflow’s observed real-label AUROC. Every modeling step was rerun after label shuffling.</w:t>
      </w:r>
      <w:r w:rsidDel="00000000" w:rsidR="00000000" w:rsidRPr="00000000">
        <w:rPr>
          <w:rtl w:val="0"/>
        </w:rPr>
      </w:r>
    </w:p>
    <w:p w:rsidR="00000000" w:rsidDel="00000000" w:rsidP="00000000" w:rsidRDefault="00000000" w:rsidRPr="00000000" w14:paraId="000000D2">
      <w:pPr>
        <w:pStyle w:val="Heading2"/>
        <w:rPr/>
      </w:pPr>
      <w:r w:rsidDel="00000000" w:rsidR="00000000" w:rsidRPr="00000000">
        <w:rPr>
          <w:rtl w:val="0"/>
        </w:rPr>
        <w:t xml:space="preserve">4.6 Seed-level robustness across 30 repeated cross-validation runs</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Across 30 matched random seeds, the real-label workflow contrast was positive in 28 of 30 seeds for AUROC and 22 of 30 seeds for PR-AUC. Median contrasts were +0.0397 and +0.0473, respectively. These seed-level analyses evaluate robustness to fold assignment, not patient-level inference or the causal effect of feature-selection placement; full outputs are provided in Supplementary File S2.</w:t>
      </w:r>
      <w:r w:rsidDel="00000000" w:rsidR="00000000" w:rsidRPr="00000000">
        <w:rPr>
          <w:rtl w:val="0"/>
        </w:rPr>
      </w:r>
    </w:p>
    <w:p w:rsidR="00000000" w:rsidDel="00000000" w:rsidP="00000000" w:rsidRDefault="00000000" w:rsidRPr="00000000" w14:paraId="000000D4">
      <w:pPr>
        <w:pStyle w:val="Heading2"/>
        <w:rPr/>
      </w:pPr>
      <w:r w:rsidDel="00000000" w:rsidR="00000000" w:rsidRPr="00000000">
        <w:rPr>
          <w:rtl w:val="0"/>
        </w:rPr>
        <w:t xml:space="preserve">4.7 Feature-stability audit</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guarded nested pipeline showed moderate feature stability. The values in this section are from the anchor seed 20260620, the single split used for </w:t>
      </w:r>
      <w:r w:rsidDel="00000000" w:rsidR="00000000" w:rsidRPr="00000000">
        <w:rPr>
          <w:rtl w:val="0"/>
        </w:rPr>
        <w:t xml:space="preserve">the primary audit; Supplementary File S2 gives the corresponding distributions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across all 30 seeds.</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Across the five outer folds of the anchor seed, 229 unique probes were selected at least once; 26 appeared in all five folds, and 105 appeared in only one. Mean Jaccard overlap was 0.3487, and the Nogueira stability index was 0.5128. The 30-seed medians were 29 core probes, 105 single-fold probes, Jaccard 0.3765, and Nogueira 0.5435. Figure 3 summarises the stable core and unstable tail. Selected-feature lists and fold assignments are provided in Supplementary File S3.</w:t>
      </w:r>
      <w:r w:rsidDel="00000000" w:rsidR="00000000" w:rsidRPr="00000000">
        <w:rPr>
          <w:rtl w:val="0"/>
        </w:rPr>
      </w:r>
    </w:p>
    <w:p w:rsidR="00000000" w:rsidDel="00000000" w:rsidP="00000000" w:rsidRDefault="00000000" w:rsidRPr="00000000" w14:paraId="000000D7">
      <w:pPr>
        <w:spacing w:after="0" w:line="480" w:lineRule="auto"/>
        <w:ind w:firstLine="720"/>
        <w:jc w:val="center"/>
        <w:rPr>
          <w:i w:val="1"/>
          <w:iCs w:val="1"/>
        </w:rPr>
      </w:pPr>
      <w:r w:rsidDel="00000000" w:rsidR="00000000" w:rsidRPr="00000000">
        <w:rPr>
          <w:rFonts w:ascii="Times New Roman" w:cs="Times New Roman" w:eastAsia="Times New Roman" w:hAnsi="Times New Roman"/>
        </w:rPr>
        <w:drawing>
          <wp:inline distB="114300" distT="114300" distL="114300" distR="114300">
            <wp:extent cx="5669279" cy="3091647"/>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669279" cy="3091647"/>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i w:val="1"/>
          <w:iCs w:val="1"/>
          <w:rtl w:val="0"/>
        </w:rPr>
        <w:t xml:space="preserve">Figure 3. Feature-selection frequency across the five outer folds of the guarded workflow on GSE25055 (anchor seed 20260620). A stable core of 26 probes selected in all five folds coexists with an unstable tail of 105 probes selected in only one fold.</w:t>
      </w:r>
      <w:r w:rsidDel="00000000" w:rsidR="00000000" w:rsidRPr="00000000">
        <w:rPr>
          <w:rtl w:val="0"/>
        </w:rPr>
      </w:r>
    </w:p>
    <w:p w:rsidR="00000000" w:rsidDel="00000000" w:rsidP="00000000" w:rsidRDefault="00000000" w:rsidRPr="00000000" w14:paraId="000000D9">
      <w:pPr>
        <w:pStyle w:val="Heading2"/>
        <w:rPr/>
      </w:pPr>
      <w:r w:rsidDel="00000000" w:rsidR="00000000" w:rsidRPr="00000000">
        <w:rPr>
          <w:rtl w:val="0"/>
        </w:rPr>
        <w:t xml:space="preserve">4.8 Same-platform, same-study-family validation on GSE25065</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The frozen guarded model achieved AUROC 0.5633 and PR-AUC 0.2986 on GSE25065, with high specificity but low pCR sensitivity (5 true positives, 8 false positives, 132 true negatives, 37 false negatives). Relative to discovery nested validation, this represents an external transportability decline rather than a leakage effect. Results are integrated with the cross-platform cohort in Table 4.</w:t>
      </w:r>
      <w:r w:rsidDel="00000000" w:rsidR="00000000" w:rsidRPr="00000000">
        <w:rPr>
          <w:rtl w:val="0"/>
        </w:rPr>
      </w:r>
    </w:p>
    <w:p w:rsidR="00000000" w:rsidDel="00000000" w:rsidP="00000000" w:rsidRDefault="00000000" w:rsidRPr="00000000" w14:paraId="000000DB">
      <w:pPr>
        <w:pStyle w:val="Heading2"/>
        <w:rPr/>
      </w:pPr>
      <w:r w:rsidDel="00000000" w:rsidR="00000000" w:rsidRPr="00000000">
        <w:rPr>
          <w:rtl w:val="0"/>
        </w:rPr>
        <w:t xml:space="preserve">4.9 Cross-platform transportability sensitivity on GSE41998</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On the independent cross-platform cohort GSE41998, the same frozen GSE25055 model recovered all 100 probes and achieved AUROC 0.6922 and PR-AUC 0.4634 under discovery-derived scaling. At the fixed decision rule, sensitivity was 0.7971 and specificity was 0.5000, showing that discrimination and operating-point behavior conveyed different information.</w:t>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Because cross-platform projection requires a scaling decision, a prespecified sensitivity analysis repeated it using within-cohort z-scoring instead of frozen discovery-derived scaling (AUROC 0.7067, PR-AUC 0.4674, balanced accuracy 0.5317, MCC 0.1235, sensitivity 0.1014, specificity 0.9620). Threshold-independent discrimination was similar across scaling choices (AUROC 0.692 vs 0.707), but operating-point behavior reversed sharply, with sensitivity falling from 0.797 to 0.101 as specificity rose from 0.500 to 0.962. Frozen discovery-derived scaling is primary because it uses no external-cohort estimates; within-cohort z-scoring is a sensitivity analysis, not a tuning opportunity.</w:t>
      </w: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Table 4</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External transportability of the frozen GSE25055 model.</w:t>
      </w:r>
    </w:p>
    <w:tbl>
      <w:tblPr>
        <w:tblStyle w:val="Table4"/>
        <w:tblW w:w="976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2445"/>
        <w:gridCol w:w="2445"/>
        <w:gridCol w:w="2445"/>
        <w:gridCol w:w="2430"/>
        <w:tblGridChange w:id="0">
          <w:tblGrid>
            <w:gridCol w:w="2445"/>
            <w:gridCol w:w="2445"/>
            <w:gridCol w:w="2445"/>
            <w:gridCol w:w="2430"/>
          </w:tblGrid>
        </w:tblGridChange>
      </w:tblGrid>
      <w:tr>
        <w:trPr>
          <w:cantSplit w:val="0"/>
          <w:tblHeader w:val="1"/>
        </w:trPr>
        <w:tc>
          <w:tcPr/>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Metric</w:t>
            </w:r>
          </w:p>
        </w:tc>
        <w:tc>
          <w:tcPr/>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Discovery guarded CV (GSE25055)</w:t>
            </w:r>
          </w:p>
        </w:tc>
        <w:tc>
          <w:tcPr/>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GSE25065 (same-study-family)</w:t>
            </w:r>
          </w:p>
        </w:tc>
        <w:tc>
          <w:tcPr/>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GSE41998 (cross-platform sensitivity)</w:t>
            </w:r>
          </w:p>
        </w:tc>
      </w:tr>
      <w:tr>
        <w:trPr>
          <w:cantSplit w:val="0"/>
          <w:tblHeader w:val="0"/>
        </w:trPr>
        <w:tc>
          <w:tcPr/>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AUROC</w:t>
            </w:r>
          </w:p>
        </w:tc>
        <w:tc>
          <w:tcPr/>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0.7032</w:t>
            </w:r>
            <w:r w:rsidDel="00000000" w:rsidR="00000000" w:rsidRPr="00000000">
              <w:rPr>
                <w:rtl w:val="0"/>
              </w:rPr>
            </w:r>
          </w:p>
        </w:tc>
        <w:tc>
          <w:tcPr/>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0.5633 (0.463–0.661)</w:t>
            </w:r>
            <w:r w:rsidDel="00000000" w:rsidR="00000000" w:rsidRPr="00000000">
              <w:rPr>
                <w:rtl w:val="0"/>
              </w:rPr>
            </w:r>
          </w:p>
        </w:tc>
        <w:tc>
          <w:tcPr/>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0.6922 (0.619–0.766)</w:t>
            </w:r>
            <w:r w:rsidDel="00000000" w:rsidR="00000000" w:rsidRPr="00000000">
              <w:rPr>
                <w:rtl w:val="0"/>
              </w:rPr>
            </w:r>
          </w:p>
        </w:tc>
      </w:tr>
      <w:tr>
        <w:trPr>
          <w:cantSplit w:val="0"/>
          <w:tblHeader w:val="0"/>
        </w:trPr>
        <w:tc>
          <w:tcPr/>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PR-AUC</w:t>
            </w:r>
          </w:p>
        </w:tc>
        <w:tc>
          <w:tcPr/>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0.3476</w:t>
            </w:r>
            <w:r w:rsidDel="00000000" w:rsidR="00000000" w:rsidRPr="00000000">
              <w:rPr>
                <w:rtl w:val="0"/>
              </w:rPr>
            </w:r>
          </w:p>
        </w:tc>
        <w:tc>
          <w:tcPr/>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0.2986 (0.222–0.414)</w:t>
            </w:r>
            <w:r w:rsidDel="00000000" w:rsidR="00000000" w:rsidRPr="00000000">
              <w:rPr>
                <w:rtl w:val="0"/>
              </w:rPr>
            </w:r>
          </w:p>
        </w:tc>
        <w:tc>
          <w:tcPr/>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0.4634 (0.371–0.570)</w:t>
            </w:r>
            <w:r w:rsidDel="00000000" w:rsidR="00000000" w:rsidRPr="00000000">
              <w:rPr>
                <w:rtl w:val="0"/>
              </w:rPr>
            </w:r>
          </w:p>
        </w:tc>
      </w:tr>
      <w:tr>
        <w:trPr>
          <w:cantSplit w:val="0"/>
          <w:tblHeader w:val="0"/>
        </w:trPr>
        <w:tc>
          <w:tcPr/>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Balanced accuracy</w:t>
            </w:r>
          </w:p>
        </w:tc>
        <w:tc>
          <w:tcPr/>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0.5724</w:t>
            </w:r>
            <w:r w:rsidDel="00000000" w:rsidR="00000000" w:rsidRPr="00000000">
              <w:rPr>
                <w:rtl w:val="0"/>
              </w:rPr>
            </w:r>
          </w:p>
        </w:tc>
        <w:tc>
          <w:tcPr/>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0.5310 (0.482–0.588)</w:t>
            </w:r>
            <w:r w:rsidDel="00000000" w:rsidR="00000000" w:rsidRPr="00000000">
              <w:rPr>
                <w:rtl w:val="0"/>
              </w:rPr>
            </w:r>
          </w:p>
        </w:tc>
        <w:tc>
          <w:tcPr/>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0.6486 (0.590–0.710)</w:t>
            </w:r>
            <w:r w:rsidDel="00000000" w:rsidR="00000000" w:rsidRPr="00000000">
              <w:rPr>
                <w:rtl w:val="0"/>
              </w:rPr>
            </w:r>
          </w:p>
        </w:tc>
      </w:tr>
      <w:tr>
        <w:trPr>
          <w:cantSplit w:val="0"/>
          <w:tblHeader w:val="0"/>
        </w:trPr>
        <w:tc>
          <w:tcPr/>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MCC</w:t>
            </w:r>
          </w:p>
        </w:tc>
        <w:tc>
          <w:tcPr/>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0.2138</w:t>
            </w:r>
            <w:r w:rsidDel="00000000" w:rsidR="00000000" w:rsidRPr="00000000">
              <w:rPr>
                <w:rtl w:val="0"/>
              </w:rPr>
            </w:r>
          </w:p>
        </w:tc>
        <w:tc>
          <w:tcPr/>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0.1013 (−0.060–0.272)</w:t>
            </w:r>
            <w:r w:rsidDel="00000000" w:rsidR="00000000" w:rsidRPr="00000000">
              <w:rPr>
                <w:rtl w:val="0"/>
              </w:rPr>
            </w:r>
          </w:p>
        </w:tc>
        <w:tc>
          <w:tcPr/>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0.2682 (0.161–0.376)</w:t>
            </w:r>
            <w:r w:rsidDel="00000000" w:rsidR="00000000" w:rsidRPr="00000000">
              <w:rPr>
                <w:rtl w:val="0"/>
              </w:rPr>
            </w:r>
          </w:p>
        </w:tc>
      </w:tr>
      <w:tr>
        <w:trPr>
          <w:cantSplit w:val="0"/>
          <w:tblHeader w:val="0"/>
        </w:trPr>
        <w:tc>
          <w:tcPr/>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Sensitivity (pCR)</w:t>
            </w:r>
          </w:p>
        </w:tc>
        <w:tc>
          <w:tcPr/>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0.1930</w:t>
            </w:r>
            <w:r w:rsidDel="00000000" w:rsidR="00000000" w:rsidRPr="00000000">
              <w:rPr>
                <w:rtl w:val="0"/>
              </w:rPr>
            </w:r>
          </w:p>
        </w:tc>
        <w:tc>
          <w:tcPr/>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0.1190 (0.024–0.215)</w:t>
            </w:r>
            <w:r w:rsidDel="00000000" w:rsidR="00000000" w:rsidRPr="00000000">
              <w:rPr>
                <w:rtl w:val="0"/>
              </w:rPr>
            </w:r>
          </w:p>
        </w:tc>
        <w:tc>
          <w:tcPr/>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0.7971 (0.696–0.884)</w:t>
            </w:r>
            <w:r w:rsidDel="00000000" w:rsidR="00000000" w:rsidRPr="00000000">
              <w:rPr>
                <w:rtl w:val="0"/>
              </w:rPr>
            </w:r>
          </w:p>
        </w:tc>
      </w:tr>
      <w:tr>
        <w:trPr>
          <w:cantSplit w:val="0"/>
          <w:tblHeader w:val="0"/>
        </w:trPr>
        <w:tc>
          <w:tcPr/>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Specificity</w:t>
            </w:r>
          </w:p>
        </w:tc>
        <w:tc>
          <w:tcPr/>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0.9518</w:t>
            </w:r>
            <w:r w:rsidDel="00000000" w:rsidR="00000000" w:rsidRPr="00000000">
              <w:rPr>
                <w:rtl w:val="0"/>
              </w:rPr>
            </w:r>
          </w:p>
        </w:tc>
        <w:tc>
          <w:tcPr/>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0.9429 (0.900–0.979)</w:t>
            </w:r>
            <w:r w:rsidDel="00000000" w:rsidR="00000000" w:rsidRPr="00000000">
              <w:rPr>
                <w:rtl w:val="0"/>
              </w:rPr>
            </w:r>
          </w:p>
        </w:tc>
        <w:tc>
          <w:tcPr/>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0.5000 (0.429–0.571)</w:t>
            </w:r>
            <w:r w:rsidDel="00000000" w:rsidR="00000000" w:rsidRPr="00000000">
              <w:rPr>
                <w:rtl w:val="0"/>
              </w:rPr>
            </w:r>
          </w:p>
        </w:tc>
      </w:tr>
    </w:tbl>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Note.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Both external cohorts were projected once, with no refitting, retuning, threshold adjustment, or feature re-selection. Values in the external columns include 95% stratified percentile bootstrap confidence intervals (B = 2000) computed from stored frozen-model predictions, with no model refitting during resampling. </w:t>
      </w:r>
      <w:r w:rsidDel="00000000" w:rsidR="00000000" w:rsidRPr="00000000">
        <w:rPr>
          <w:rtl w:val="0"/>
        </w:rPr>
        <w:t xml:space="preserve">For GSE41998, the frozen model recovered 100 of 100 probes (z-scoring sensitivity variant: Section 4.9).</w:t>
      </w:r>
      <w:r w:rsidDel="00000000" w:rsidR="00000000" w:rsidRPr="00000000">
        <w:rPr>
          <w:rtl w:val="0"/>
        </w:rPr>
      </w:r>
    </w:p>
    <w:p w:rsidR="00000000" w:rsidDel="00000000" w:rsidP="00000000" w:rsidRDefault="00000000" w:rsidRPr="00000000" w14:paraId="000000FC">
      <w:pPr>
        <w:pStyle w:val="Heading2"/>
        <w:rPr/>
      </w:pPr>
      <w:r w:rsidDel="00000000" w:rsidR="00000000" w:rsidRPr="00000000">
        <w:rPr>
          <w:rtl w:val="0"/>
        </w:rPr>
        <w:t xml:space="preserve">4.10 Integrated Reproducible Omics Evidence Audit</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The analyses were consolidated into the Reproducible Omics Evidence Audit (ROEA, Table 5), covering dataset integrity, leakage sensitivity, guarded performance, feature stability, external transportability, class-imbalance behavior, reproducibility status, and unresolved risks. The domains are designed for reuse across biomedical modeling studies, but this empirical demonstration is limited to one classifier and one selector family (Section 5.6).</w:t>
      </w: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Table 5</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Reproducible Omics Evidence Audit (ROEA): a reusable reporting instrument.</w:t>
      </w:r>
    </w:p>
    <w:tbl>
      <w:tblPr>
        <w:tblStyle w:val="Table5"/>
        <w:tblW w:w="99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1980"/>
        <w:gridCol w:w="2655"/>
        <w:gridCol w:w="2745"/>
        <w:gridCol w:w="2595"/>
        <w:tblGridChange w:id="0">
          <w:tblGrid>
            <w:gridCol w:w="1980"/>
            <w:gridCol w:w="2655"/>
            <w:gridCol w:w="2745"/>
            <w:gridCol w:w="2595"/>
          </w:tblGrid>
        </w:tblGridChange>
      </w:tblGrid>
      <w:tr>
        <w:trPr>
          <w:cantSplit w:val="0"/>
          <w:tblHeader w:val="1"/>
        </w:trPr>
        <w:tc>
          <w:tcPr/>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Audit domain</w:t>
            </w:r>
          </w:p>
        </w:tc>
        <w:tc>
          <w:tcPr/>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to report and how to derive it</w:t>
            </w:r>
          </w:p>
        </w:tc>
        <w:tc>
          <w:tcPr/>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Reporting standard / red-flag trigger</w:t>
            </w:r>
          </w:p>
        </w:tc>
        <w:tc>
          <w:tcPr/>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study (worked example)</w:t>
            </w:r>
          </w:p>
        </w:tc>
      </w:tr>
      <w:tr>
        <w:trPr>
          <w:cantSplit w:val="0"/>
          <w:tblHeader w:val="0"/>
        </w:trPr>
        <w:tc>
          <w:tcPr/>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Dataset integrity</w:t>
            </w:r>
          </w:p>
        </w:tc>
        <w:tc>
          <w:tcPr/>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Usable N and class balance per cohort, platform (GPL), and all excluded/held datasets, derived by reconciling each accession to analysis-ready labels and documenting exclusions and patient-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or lineage-overlap risk.</w:t>
            </w:r>
          </w:p>
        </w:tc>
        <w:tc>
          <w:tcPr/>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Report N and class counts per cohort; disclose held datasets. Flag undocumented provenance, exclusions, or overlap risk.</w:t>
            </w:r>
            <w:r w:rsidDel="00000000" w:rsidR="00000000" w:rsidRPr="00000000">
              <w:rPr>
                <w:rtl w:val="0"/>
              </w:rPr>
            </w:r>
          </w:p>
        </w:tc>
        <w:tc>
          <w:tcPr/>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Discovery 306 (57 pCR, 249 RD), GPL96; GSE20194 and GSE20271 held for MDACC-lineage overlap.</w:t>
            </w:r>
          </w:p>
        </w:tc>
      </w:tr>
      <w:tr>
        <w:trPr>
          <w:cantSplit w:val="0"/>
          <w:tblHeader w:val="0"/>
        </w:trPr>
        <w:tc>
          <w:tcPr/>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Leakage sensitivity</w:t>
            </w:r>
          </w:p>
        </w:tc>
        <w:tc>
          <w:tcPr/>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Documented naive-versus-guarded contrast and empirical null for each workflow, with all modeling steps re-executed after label shuffling. Use matched folds, repeats, tuning, and preprocessing when the goal is causal attribution to a single leakage pathway.</w:t>
            </w:r>
            <w:r w:rsidDel="00000000" w:rsidR="00000000" w:rsidRPr="00000000">
              <w:rPr>
                <w:rtl w:val="0"/>
              </w:rPr>
            </w:r>
          </w:p>
        </w:tc>
        <w:tc>
          <w:tcPr/>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Report each workflow’s permutation null and the complete resampling design. Flag automatically oriented AUROC, an above-chance null, or causal attribution from unmatched workflow arms.</w:t>
            </w:r>
            <w:r w:rsidDel="00000000" w:rsidR="00000000" w:rsidRPr="00000000">
              <w:rPr>
                <w:rtl w:val="0"/>
              </w:rPr>
            </w:r>
          </w:p>
        </w:tc>
        <w:tc>
          <w:tcPr/>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Real-label ΔAUROC +0.0799 (95% CI +0.0080 to +0.1514); null-label ΔAUROC +0.3860. Naive observed AUROC 0.7830 was unexceptional relative to its null mean 0.8778 (p = 0.951); guarded observed 0.7032 exceeded its null mean 0.4917 (p = 0.001).</w:t>
            </w:r>
            <w:r w:rsidDel="00000000" w:rsidR="00000000" w:rsidRPr="00000000">
              <w:rPr>
                <w:rtl w:val="0"/>
              </w:rPr>
            </w:r>
          </w:p>
        </w:tc>
      </w:tr>
      <w:tr>
        <w:trPr>
          <w:cantSplit w:val="0"/>
          <w:tblHeader w:val="0"/>
        </w:trPr>
        <w:tc>
          <w:tcPr/>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Guarded (nested) validation performance</w:t>
            </w:r>
          </w:p>
        </w:tc>
        <w:tc>
          <w:tcPr/>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Threshold-independent and operating-point metrics from the leakage-controlled pipeline (AUROC, PR-AUC, balanced accuracy, MCC), with the estimator implementation named.</w:t>
            </w:r>
          </w:p>
        </w:tc>
        <w:tc>
          <w:tcPr/>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Report PR-AUC and MCC alongside AUROC, and name the PR-AUC estimator. Flag reliance on AUROC alone under class imbalance, or an unnamed PR-AUC implementation.</w:t>
            </w:r>
          </w:p>
        </w:tc>
        <w:tc>
          <w:tcPr/>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AUROC 0.7032; PR-AUC 0.3476 (trapezoidal integration; step-wise average precision 0.3590); balanced accuracy 0.5724; MCC 0.2138.</w:t>
            </w:r>
            <w:r w:rsidDel="00000000" w:rsidR="00000000" w:rsidRPr="00000000">
              <w:rPr>
                <w:rtl w:val="0"/>
              </w:rPr>
            </w:r>
          </w:p>
        </w:tc>
      </w:tr>
      <w:tr>
        <w:trPr>
          <w:cantSplit w:val="0"/>
          <w:tblHeader w:val="0"/>
        </w:trPr>
        <w:tc>
          <w:tcPr/>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Feature stability</w:t>
            </w:r>
          </w:p>
        </w:tc>
        <w:tc>
          <w:tcPr/>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Fold-level selection stability (Nogueira index, mean Jaccard) and the stable-core versus unstable-tail profile, with the seed or split identified.</w:t>
            </w:r>
          </w:p>
        </w:tc>
        <w:tc>
          <w:tcPr/>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Report stability alongside any gene list. Flag a single reported gene list with no fold-level stability evidence.</w:t>
            </w:r>
          </w:p>
        </w:tc>
        <w:tc>
          <w:tcPr/>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Anchor seed: Nogueira 0.5128, mean Jaccard 0.3487; 26 core probes versus 105 single-fold probes; 30-seed medians 0.5435, 0.3765, 29, and 105.</w:t>
            </w:r>
            <w:r w:rsidDel="00000000" w:rsidR="00000000" w:rsidRPr="00000000">
              <w:rPr>
                <w:rtl w:val="0"/>
              </w:rPr>
            </w:r>
          </w:p>
        </w:tc>
      </w:tr>
      <w:tr>
        <w:trPr>
          <w:cantSplit w:val="0"/>
          <w:tblHeader w:val="0"/>
        </w:trPr>
        <w:tc>
          <w:tcPr/>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External transportability</w:t>
            </w:r>
          </w:p>
        </w:tc>
        <w:tc>
          <w:tcPr/>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Frozen-model performance on independent same-platform and cross-platform cohorts, plus scaling/mapping sensitivity, derived by freezing features, scaling, threshold, and hyperparameters on discovery and projecting once.</w:t>
            </w:r>
            <w:r w:rsidDel="00000000" w:rsidR="00000000" w:rsidRPr="00000000">
              <w:rPr>
                <w:rtl w:val="0"/>
              </w:rPr>
            </w:r>
          </w:p>
        </w:tc>
        <w:tc>
          <w:tcPr/>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Report the external decline explicitly. Flag any retuning, threshold adjustment, or feature re-selection on external data.</w:t>
            </w:r>
          </w:p>
        </w:tc>
        <w:tc>
          <w:tcPr/>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GSE25065 AUROC </w:t>
            </w:r>
            <w:r w:rsidDel="00000000" w:rsidR="00000000" w:rsidRPr="00000000">
              <w:rPr>
                <w:rtl w:val="0"/>
              </w:rPr>
              <w:t xml:space="preserve">0.5633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GSE41998 AUROC </w:t>
            </w:r>
            <w:r w:rsidDel="00000000" w:rsidR="00000000" w:rsidRPr="00000000">
              <w:rPr>
                <w:rtl w:val="0"/>
              </w:rPr>
              <w:t xml:space="preserve">0.6922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0.7067</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under within-cohort scaling), frozen model projected once.</w:t>
            </w:r>
          </w:p>
        </w:tc>
      </w:tr>
      <w:tr>
        <w:trPr>
          <w:cantSplit w:val="0"/>
          <w:tblHeader w:val="0"/>
        </w:trPr>
        <w:tc>
          <w:tcPr/>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Class-imbalance </w:t>
            </w:r>
            <w:r w:rsidDel="00000000" w:rsidR="00000000" w:rsidRPr="00000000">
              <w:rPr>
                <w:rtl w:val="0"/>
              </w:rPr>
              <w:t xml:space="preserve">behavior</w:t>
            </w:r>
            <w:r w:rsidDel="00000000" w:rsidR="00000000" w:rsidRPr="00000000">
              <w:rPr>
                <w:rtl w:val="0"/>
              </w:rPr>
            </w:r>
          </w:p>
        </w:tc>
        <w:tc>
          <w:tcPr/>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Minority-class sensitivity and specificity at the operating point for each cohort, and how the operating point was chosen.</w:t>
            </w:r>
          </w:p>
        </w:tc>
        <w:tc>
          <w:tcPr/>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Flag high specificity paired with low minority-class sensitivity presented as strong performance, and any threshold selected on the evaluation cohort.</w:t>
            </w:r>
          </w:p>
        </w:tc>
        <w:tc>
          <w:tcPr/>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GSE25065 sensitivity 0.119 / specificity 0.943. In GSE41998, scaling changed sensitivity/specificity from 0.797/0.500 to 0.101/0.962; the decision rule was never re-tuned.</w:t>
            </w:r>
            <w:r w:rsidDel="00000000" w:rsidR="00000000" w:rsidRPr="00000000">
              <w:rPr>
                <w:rtl w:val="0"/>
              </w:rPr>
            </w:r>
          </w:p>
        </w:tc>
      </w:tr>
      <w:tr>
        <w:trPr>
          <w:cantSplit w:val="0"/>
          <w:tblHeader w:val="0"/>
        </w:trPr>
        <w:tc>
          <w:tcPr/>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Reproducibility status</w:t>
            </w:r>
          </w:p>
        </w:tc>
        <w:tc>
          <w:tcPr/>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Availability of code, data-accession lists, random seeds, fold assignments, selected-feature outputs, and result-generating scripts, assessed by whether a version-tagged, DOI-citable release can regenerate the reported analyses.</w:t>
            </w:r>
            <w:r w:rsidDel="00000000" w:rsidR="00000000" w:rsidRPr="00000000">
              <w:rPr>
                <w:rtl w:val="0"/>
              </w:rPr>
            </w:r>
          </w:p>
        </w:tc>
        <w:tc>
          <w:tcPr/>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Flag results that cannot be regenerated from an archived </w:t>
            </w:r>
            <w:r w:rsidDel="00000000" w:rsidR="00000000" w:rsidRPr="00000000">
              <w:rPr>
                <w:rtl w:val="0"/>
              </w:rPr>
              <w:t xml:space="preserve">artifact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Submission-aligned v1.2.1 is archived at Zenodo, version DOI 10.5281/zenodo.21840371 (concept DOI 10.5281/zenodo.21134085); DOI 10.5281/zenodo.21834590 is the previous v1.2.0 release and DOI 10.5281/zenodo.21134086 is an earlier snapshot.</w:t>
            </w:r>
            <w:r w:rsidDel="00000000" w:rsidR="00000000" w:rsidRPr="00000000">
              <w:rPr>
                <w:rtl w:val="0"/>
              </w:rPr>
            </w:r>
          </w:p>
        </w:tc>
      </w:tr>
      <w:tr>
        <w:trPr>
          <w:cantSplit w:val="0"/>
          <w:tblHeader w:val="0"/>
        </w:trPr>
        <w:tc>
          <w:tcPr/>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Limitations / unresolved risks</w:t>
            </w:r>
          </w:p>
        </w:tc>
        <w:tc>
          <w:tcPr/>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Explicit statement of validation scope, unresolved risks, and biomarker-claim status.</w:t>
            </w:r>
          </w:p>
        </w:tc>
        <w:tc>
          <w:tcPr/>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Flag any biomarker claim not backed by prospective or mechanistic validation.</w:t>
            </w:r>
          </w:p>
        </w:tc>
        <w:tc>
          <w:tcPr/>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Single discovery cohort; one model class and selector family; unmatched workflow arms; PR-AUC contrast CI includes zero; no clinical biomarker claim — recurrent probes are audit outputs, not validated biomarkers.</w:t>
            </w:r>
            <w:r w:rsidDel="00000000" w:rsidR="00000000" w:rsidRPr="00000000">
              <w:rPr>
                <w:rtl w:val="0"/>
              </w:rPr>
            </w:r>
          </w:p>
        </w:tc>
      </w:tr>
    </w:tbl>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Note.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This is a reusable reporting instrument, not a results summary; the same domains can be populated for other omics platforms, endpoints, selectors, and model classes.</w:t>
      </w:r>
    </w:p>
    <w:p w:rsidR="00000000" w:rsidDel="00000000" w:rsidP="00000000" w:rsidRDefault="00000000" w:rsidRPr="00000000" w14:paraId="00000124">
      <w:pPr>
        <w:pStyle w:val="Heading1"/>
        <w:rPr/>
      </w:pPr>
      <w:r w:rsidDel="00000000" w:rsidR="00000000" w:rsidRPr="00000000">
        <w:rPr>
          <w:rtl w:val="0"/>
        </w:rPr>
        <w:t xml:space="preserve">5. Discussion</w:t>
      </w:r>
    </w:p>
    <w:p w:rsidR="00000000" w:rsidDel="00000000" w:rsidP="00000000" w:rsidRDefault="00000000" w:rsidRPr="00000000" w14:paraId="00000125">
      <w:pPr>
        <w:pStyle w:val="Heading2"/>
        <w:rPr/>
      </w:pPr>
      <w:r w:rsidDel="00000000" w:rsidR="00000000" w:rsidRPr="00000000">
        <w:rPr>
          <w:rtl w:val="0"/>
        </w:rPr>
        <w:t xml:space="preserve">5.1 Principal findings</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Four findings calibrate the workflow comparison. First, the real-label AUROC contrast was +0.0799 (95% CI +0.0080 to +0.1514), whereas the PR-AUC contrast remained uncertain. Second, with ROC direction fixed a priori, the naive workflow’s null AUROC averaged 0.8778 under randomized labels, while the guarded null averaged 0.4917 and its real-label result exceeded that null (p = 0.001). Third, the direction of the descriptive contrast persisted across most seeds, although the arms were not matched one factor at a time. Finally, external projection revealed transportability and operating-point limitations distinct from internal validation bias.</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These findings support leakage-aware, uncertainty-bounded auditing over reliance on a single headline AUROC [22]. Interpreting the null behavior of each complete workflow, together with stability and external validation, is more informative than assigning a causal meaning to an unmatched between-workflow difference [23].</w:t>
      </w:r>
    </w:p>
    <w:p w:rsidR="00000000" w:rsidDel="00000000" w:rsidP="00000000" w:rsidRDefault="00000000" w:rsidRPr="00000000" w14:paraId="00000129">
      <w:pPr>
        <w:pStyle w:val="Heading2"/>
        <w:rPr/>
      </w:pPr>
      <w:r w:rsidDel="00000000" w:rsidR="00000000" w:rsidRPr="00000000">
        <w:rPr>
          <w:rtl w:val="0"/>
        </w:rPr>
        <w:t xml:space="preserve">5.2 Why leakage-aware validation changes omics signature interpretation</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The permutation results expose the failure mode of global supervised feature selection: information about samples later used for testing enters the selected feature set. With 22,283 candidate probes and 306 samples, the naive top-100 workflow produced strongly above-chance apparent discrimination even for randomized labels. Its real-label AUROC was unexceptional relative to that workflow-specific null, so the naive estimate cannot support a biological or clinical interpretation.</w:t>
      </w: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The reporting implication is to present the null distribution of each workflow, not only their difference. The shuffled-label contrast (+0.3860 AUROC) was larger than the real-label contrast (+0.0799), but it remains a comparison of complete workflows because the arms also differ in tuning and resampling. A matched ablation is required before assigning an effect size to feature-selection placement.</w:t>
      </w: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The guarded workflow’s fixed-direction null centred close to chance (Table 3). Reporting that empirical null remains valuable because it verifies the behavior of the implemented workflow rather than assuming that a design label alone guarantees unbiased execution.</w:t>
      </w:r>
      <w:r w:rsidDel="00000000" w:rsidR="00000000" w:rsidRPr="00000000">
        <w:rPr>
          <w:rtl w:val="0"/>
        </w:rPr>
      </w:r>
    </w:p>
    <w:p w:rsidR="00000000" w:rsidDel="00000000" w:rsidP="00000000" w:rsidRDefault="00000000" w:rsidRPr="00000000" w14:paraId="0000012D">
      <w:pPr>
        <w:pStyle w:val="Heading2"/>
        <w:rPr/>
      </w:pPr>
      <w:r w:rsidDel="00000000" w:rsidR="00000000" w:rsidRPr="00000000">
        <w:rPr>
          <w:rtl w:val="0"/>
        </w:rPr>
        <w:t xml:space="preserve">5.3 Feature stability versus predictive performance</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The stability audit shows that predictive performance and feature reproducibility answer different questions: the guarded pipeline selected a stable core across all folds but also a large unstable tail selected only once, so transcriptomic machine-learning papers should not report a single gene list without fold-level stability evidence. These features should be interpreted as audit outputs, not validated biomarkers; repeated-seed analysis confirmed the moderate stability was reproducible across seeds, reinforcing that the audit characterizes the selection procedure rather than a fixed gene panel.</w:t>
      </w:r>
      <w:r w:rsidDel="00000000" w:rsidR="00000000" w:rsidRPr="00000000">
        <w:rPr>
          <w:rtl w:val="0"/>
        </w:rPr>
      </w:r>
    </w:p>
    <w:p w:rsidR="00000000" w:rsidDel="00000000" w:rsidP="00000000" w:rsidRDefault="00000000" w:rsidRPr="00000000" w14:paraId="0000012F">
      <w:pPr>
        <w:pStyle w:val="Heading2"/>
        <w:rPr/>
      </w:pPr>
      <w:r w:rsidDel="00000000" w:rsidR="00000000" w:rsidRPr="00000000">
        <w:rPr>
          <w:rtl w:val="0"/>
        </w:rPr>
        <w:t xml:space="preserve">5.4 Relation to existing tools, checklists, and literature</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This work complements nestedcv [8], stabm [10], and OmicSelector [12]. ROEA focuses on the quantities that should be measured and the patterns that should raise concern, rather than replacing model-building or stability software.</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133">
      <w:pPr>
        <w:pStyle w:val="Heading2"/>
        <w:rPr/>
      </w:pPr>
      <w:r w:rsidDel="00000000" w:rsidR="00000000" w:rsidRPr="00000000">
        <w:rPr>
          <w:rtl w:val="0"/>
        </w:rPr>
        <w:t xml:space="preserve">5.5 Practical recommendations</w:t>
      </w:r>
    </w:p>
    <w:p w:rsidR="00000000" w:rsidDel="00000000" w:rsidP="00000000" w:rsidRDefault="00000000" w:rsidRPr="00000000" w14:paraId="000001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Never perform supervised feature selection before splitting.</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Fit scaling and preprocessing parameters on training data only.</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Perform feature selection and hyperparameter tuning inside nested cross-validation.</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tl w:val="0"/>
        </w:rPr>
        <w:t xml:space="preserve">If resampling or class-balancing (SMOTE, over/under-sampling, class weighting) is used, fit it inside training folds only, as done here with class weighting (no SMOTE).</w:t>
      </w:r>
    </w:p>
    <w:p w:rsidR="00000000" w:rsidDel="00000000" w:rsidP="00000000" w:rsidRDefault="00000000" w:rsidRPr="00000000" w14:paraId="000001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Report PR-AUC, MCC, balanced accuracy, sensitivity, and specificity for imbalanced endpoints, and name the PR-AUC estimator, </w:t>
      </w:r>
      <w:r w:rsidDel="00000000" w:rsidR="00000000" w:rsidRPr="00000000">
        <w:rPr>
          <w:rtl w:val="0"/>
        </w:rPr>
        <w:t xml:space="preserve">since implementations can differ by an amount comparable to the effects reported.</w:t>
      </w:r>
    </w:p>
    <w:p w:rsidR="00000000" w:rsidDel="00000000" w:rsidP="00000000" w:rsidRDefault="00000000" w:rsidRPr="00000000" w14:paraId="000001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tl w:val="0"/>
        </w:rPr>
        <w:t xml:space="preserve">Report a permutation null for every workflow compared, not just their difference, and treat a lower-tail observed value as a warning of biased workflow behavior.</w:t>
      </w:r>
    </w:p>
    <w:p w:rsidR="00000000" w:rsidDel="00000000" w:rsidP="00000000" w:rsidRDefault="00000000" w:rsidRPr="00000000" w14:paraId="000001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Report feature stability and feature-selection frequencies in biomarker studies, identifying the seed or split.</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Freeze features, thresholds, and hyperparameters before external validation, and report scaling-choice sensitivity for cross-platform projection.</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Release code, data-accession lists, random seeds, fold assignments, and selected-feature outputs.</w:t>
      </w:r>
      <w:r w:rsidDel="00000000" w:rsidR="00000000" w:rsidRPr="00000000">
        <w:rPr>
          <w:rtl w:val="0"/>
        </w:rPr>
      </w:r>
    </w:p>
    <w:p w:rsidR="00000000" w:rsidDel="00000000" w:rsidP="00000000" w:rsidRDefault="00000000" w:rsidRPr="00000000" w14:paraId="0000013D">
      <w:pPr>
        <w:pStyle w:val="Heading2"/>
        <w:rPr/>
      </w:pPr>
      <w:r w:rsidDel="00000000" w:rsidR="00000000" w:rsidRPr="00000000">
        <w:rPr>
          <w:rtl w:val="0"/>
        </w:rPr>
        <w:t xml:space="preserve">5.6 Limitations</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The discovery analysis rests on one cohort. The AUROC workflow-contrast confidence interval excluded zero, whereas the PR-AUC interval did not. More importantly, the naive and guarded arms differ in feature-selection scope, cost policy, nesting, folds, and repetition; their difference therefore cannot isolate the causal effect of feature-selection leakage.</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The audit domains are intended to be model- and selector-neutral, but the worked example uses only a linear SVM and t-test top-K selection. Generalization to embedded selectors, nonlinear models, and other outcomes remains untested. A matched ablation that holds folds, repeats, tuning, and all preprocessing constant except feature-selection placement is also needed to estimate the effect of that leakage pathway.</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The 30-seed analysis addresses fold-assignment robustness, not patient-level inference; external validation was limited to one same-study-family and one cross-platform cohort. Operating-point behavior was poor or unstable: GSE25065 had low pCR sensitivity, while GSE41998’s sensitivity-specificity trade-off changed sharply with scaling. Because the decision rule was not optimized externally, these results describe the frozen artifact rather than the best achievable clinical trade-off. GSE20194 and GSE20271 were held for patient-overlap risk; calibration was not assessed, and no prospective clinical, mechanistic, or wet-lab validation was performed. Recurrent probes are audit outputs, not validated biomarkers.</w:t>
      </w:r>
    </w:p>
    <w:p w:rsidR="00000000" w:rsidDel="00000000" w:rsidP="00000000" w:rsidRDefault="00000000" w:rsidRPr="00000000" w14:paraId="00000143">
      <w:pPr>
        <w:pStyle w:val="Heading2"/>
        <w:rPr/>
      </w:pPr>
      <w:r w:rsidDel="00000000" w:rsidR="00000000" w:rsidRPr="00000000">
        <w:rPr>
          <w:rtl w:val="0"/>
        </w:rPr>
        <w:t xml:space="preserve">5.7 Future work</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The immediate extensions are a matched one-factor leakage ablation and a second modeling family, such as elastic-net logistic regression, to test whether the observed null behavior and stability profile generalize beyond filter-based linear SVMs. Further work could address RNA-seq, multi-omics, survival endpoints, calibration, other cancers, and broader multi-cohort validation.</w:t>
      </w:r>
      <w:r w:rsidDel="00000000" w:rsidR="00000000" w:rsidRPr="00000000">
        <w:rPr>
          <w:rtl w:val="0"/>
        </w:rPr>
      </w:r>
    </w:p>
    <w:p w:rsidR="00000000" w:rsidDel="00000000" w:rsidP="00000000" w:rsidRDefault="00000000" w:rsidRPr="00000000" w14:paraId="000001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Style w:val="Heading1"/>
        <w:rPr/>
      </w:pPr>
      <w:r w:rsidDel="00000000" w:rsidR="00000000" w:rsidRPr="00000000">
        <w:rPr>
          <w:rtl w:val="0"/>
        </w:rPr>
        <w:t xml:space="preserve">6. Conclusion</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In high-dimensional translational omics classification, apparent performance can be distorted when supervised feature selection and model development escape strict validation separation. In GSE25055, the naive workflow reported higher AUROC and PR-AUC than the guarded nested workflow, while its fixed-direction permutation null remained strongly above chance; the guarded null centred near 0.5. These results identify invalid null behavior in the naive workflow. Because the two arms also differ in tuning and resampling, their contrasts are descriptive and do not estimate the causal magnitude of feature-selection leakage.</w:t>
      </w: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The Reproducible Omics Evidence Audit (Table 5) is proposed as a standardized communication format for high-dimensional biomedical prediction studies. Its domains — dataset integrity, leakage sensitivity, guarded validation performance, feature stability, external transportability, class-imbalance behavior, reproducibility status, and unresolved risks — are specified independently of breast cancer, pCR prediction, microarrays, and SVMs, and could extend to RNA-seq, multi-omics, imaging-derived features, EHR phenotypes, survival endpoints, alternative selectors, and other model classes; this study demonstrates the instrument for one model class only. Used prospectively, such an audit can help reviewers, editors, and investigators distinguish evidence that survives appropriate controls from validation artifacts and compare omics-classifier claims transparently.</w:t>
      </w:r>
      <w:r w:rsidDel="00000000" w:rsidR="00000000" w:rsidRPr="00000000">
        <w:rPr>
          <w:rtl w:val="0"/>
        </w:rPr>
      </w:r>
    </w:p>
    <w:p w:rsidR="00000000" w:rsidDel="00000000" w:rsidP="00000000" w:rsidRDefault="00000000" w:rsidRPr="00000000" w14:paraId="000001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1"/>
        <w:rPr/>
      </w:pPr>
      <w:r w:rsidDel="00000000" w:rsidR="00000000" w:rsidRPr="00000000">
        <w:rPr>
          <w:rtl w:val="0"/>
        </w:rPr>
        <w:t xml:space="preserve">List of Abbreviations</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AUROC, area under the receiver operating characteristic curve; GEO, Gene Expression Omnibus; MCC, Matthews correlation coefficient; NCV, nested cross-validation; pCR, pathological complete response; PR-AUC, area under the precision–recall curve; RD, residual disease; RFE, recursive feature elimination; ROEA, Reproducible Omics Evidence Audit; SMO, sequential minimal </w:t>
      </w:r>
      <w:r w:rsidDel="00000000" w:rsidR="00000000" w:rsidRPr="00000000">
        <w:rPr>
          <w:rtl w:val="0"/>
        </w:rPr>
        <w:t xml:space="preserve">optimization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SMOTE, synthetic minority over-sampling technique; SVM, support vector machine.</w:t>
      </w:r>
    </w:p>
    <w:p w:rsidR="00000000" w:rsidDel="00000000" w:rsidP="00000000" w:rsidRDefault="00000000" w:rsidRPr="00000000" w14:paraId="0000014C">
      <w:pPr>
        <w:pStyle w:val="Heading1"/>
        <w:rPr/>
      </w:pPr>
      <w:r w:rsidDel="00000000" w:rsidR="00000000" w:rsidRPr="00000000">
        <w:rPr>
          <w:rtl w:val="0"/>
        </w:rPr>
        <w:t xml:space="preserve">Declarations</w:t>
      </w:r>
    </w:p>
    <w:p w:rsidR="00000000" w:rsidDel="00000000" w:rsidP="00000000" w:rsidRDefault="00000000" w:rsidRPr="00000000" w14:paraId="0000014D">
      <w:pPr>
        <w:pStyle w:val="Heading2"/>
        <w:rPr/>
      </w:pPr>
      <w:r w:rsidDel="00000000" w:rsidR="00000000" w:rsidRPr="00000000">
        <w:rPr>
          <w:rtl w:val="0"/>
        </w:rPr>
        <w:t xml:space="preserve">Ethics approval and consent to participate</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study uses publicly available, de-identified transcriptomic datasets, for which no new human participants were recruited</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no separate ethical approval was required.</w:t>
      </w:r>
    </w:p>
    <w:p w:rsidR="00000000" w:rsidDel="00000000" w:rsidP="00000000" w:rsidRDefault="00000000" w:rsidRPr="00000000" w14:paraId="0000014F">
      <w:pPr>
        <w:pStyle w:val="Heading2"/>
        <w:rPr/>
      </w:pPr>
      <w:r w:rsidDel="00000000" w:rsidR="00000000" w:rsidRPr="00000000">
        <w:rPr>
          <w:rtl w:val="0"/>
        </w:rPr>
        <w:t xml:space="preserve">Consent for publication</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applicable.</w:t>
      </w:r>
    </w:p>
    <w:p w:rsidR="00000000" w:rsidDel="00000000" w:rsidP="00000000" w:rsidRDefault="00000000" w:rsidRPr="00000000" w14:paraId="00000151">
      <w:pPr>
        <w:pStyle w:val="Heading2"/>
        <w:rPr/>
      </w:pPr>
      <w:r w:rsidDel="00000000" w:rsidR="00000000" w:rsidRPr="00000000">
        <w:rPr>
          <w:rtl w:val="0"/>
        </w:rPr>
        <w:t xml:space="preserve">Availability of data and materials</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The datasets analyzed are publicly available from the NCBI Gene Expression Omnibus under accessions GSE25055, GSE25065, GSE41998, GSE20194, and GSE20271. Cohort roles and exclusion decisions are described in the Methods, Results, and Supplementary File S1. The submission-aligned analysis code, reproducibility materials, figures, tables, supplements, and manuscript are hosted in the public GitHub repository (https://github.com/iry496/leakage-aware-smo-svm-omics; code under the MIT license, manuscript-derived materials under CC-BY-4.0) and archived at Zenodo as version v1.2.1, DOI 10.5281/zenodo.21840371 (concept DOI 10.5281/zenodo.21134085). No new data were generated by this study.</w:t>
      </w:r>
      <w:r w:rsidDel="00000000" w:rsidR="00000000" w:rsidRPr="00000000">
        <w:rPr>
          <w:rtl w:val="0"/>
        </w:rPr>
      </w:r>
    </w:p>
    <w:p w:rsidR="00000000" w:rsidDel="00000000" w:rsidP="00000000" w:rsidRDefault="00000000" w:rsidRPr="00000000" w14:paraId="00000153">
      <w:pPr>
        <w:pStyle w:val="Heading2"/>
        <w:rPr/>
      </w:pPr>
      <w:r w:rsidDel="00000000" w:rsidR="00000000" w:rsidRPr="00000000">
        <w:rPr>
          <w:rtl w:val="0"/>
        </w:rPr>
        <w:t xml:space="preserve">Software availability</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Project name: Reproducible Omics Evidence Audit. Project home page: https://github.com/iry496/leakage-aware-smo-svm-omics. Versioned archive: v1.2.1, Zenodo DOI 10.5281/zenodo.21840371 (concept DOI 10.5281/zenodo.21134085). Programming language: R. License: MIT for code and CC-BY-4.0 for manuscript-derived materials. The executed software environment is reported in Supplementary File S4.</w:t>
      </w:r>
      <w:r w:rsidDel="00000000" w:rsidR="00000000" w:rsidRPr="00000000">
        <w:rPr>
          <w:rtl w:val="0"/>
        </w:rPr>
      </w:r>
    </w:p>
    <w:p w:rsidR="00000000" w:rsidDel="00000000" w:rsidP="00000000" w:rsidRDefault="00000000" w:rsidRPr="00000000" w14:paraId="00000155">
      <w:pPr>
        <w:pStyle w:val="Heading2"/>
        <w:rPr/>
      </w:pPr>
      <w:r w:rsidDel="00000000" w:rsidR="00000000" w:rsidRPr="00000000">
        <w:rPr>
          <w:rtl w:val="0"/>
        </w:rPr>
        <w:t xml:space="preserve">Supplementary material</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Supplementary File S1. Dataset harmonization decisions and held-cohort audit. Supplementary File S2. Submission-aligned audit outputs, including 30-seed robustness, gap tests, permutation summaries, and selector-K sensitivity. Supplementary File S3. Selected-feature lists and fold assignments. Supplementary File S4. Reproducibility environment report. Supplementary File S5. Evidence-audit dashboard.</w:t>
      </w:r>
      <w:r w:rsidDel="00000000" w:rsidR="00000000" w:rsidRPr="00000000">
        <w:rPr>
          <w:rtl w:val="0"/>
        </w:rPr>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r>
    </w:p>
    <w:p w:rsidR="00000000" w:rsidDel="00000000" w:rsidP="00000000" w:rsidRDefault="00000000" w:rsidRPr="00000000" w14:paraId="00000157">
      <w:pPr>
        <w:pStyle w:val="Heading2"/>
        <w:rPr/>
      </w:pPr>
      <w:r w:rsidDel="00000000" w:rsidR="00000000" w:rsidRPr="00000000">
        <w:rPr>
          <w:rtl w:val="0"/>
        </w:rPr>
        <w:t xml:space="preserve">Competing interests</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authors declare that they have no competing interests.</w:t>
      </w:r>
    </w:p>
    <w:p w:rsidR="00000000" w:rsidDel="00000000" w:rsidP="00000000" w:rsidRDefault="00000000" w:rsidRPr="00000000" w14:paraId="00000159">
      <w:pPr>
        <w:pStyle w:val="Heading2"/>
        <w:rPr/>
      </w:pPr>
      <w:r w:rsidDel="00000000" w:rsidR="00000000" w:rsidRPr="00000000">
        <w:rPr>
          <w:rtl w:val="0"/>
        </w:rPr>
        <w:t xml:space="preserve">Funding</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research received no external funding.</w:t>
      </w:r>
    </w:p>
    <w:p w:rsidR="00000000" w:rsidDel="00000000" w:rsidP="00000000" w:rsidRDefault="00000000" w:rsidRPr="00000000" w14:paraId="0000015B">
      <w:pPr>
        <w:pStyle w:val="Heading2"/>
        <w:rPr/>
      </w:pPr>
      <w:r w:rsidDel="00000000" w:rsidR="00000000" w:rsidRPr="00000000">
        <w:rPr>
          <w:rtl w:val="0"/>
        </w:rPr>
        <w:t xml:space="preserve">Author Contributions</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Iris Yang: Conceptualization, Methodology, Software, Formal analysis, Investigation, Data curation, Writing – Original Draft, Visualization, Project administration. Chung-I Huang: Methodology, Validation, Writing – Review &amp; Editing. Paul Tan: Validation, Writing – Review &amp; Editing. Jewel Wang: Resources, Writing – Review &amp; Editing. Jung Chen: Validation, Writing – Review &amp; Editing. Wing-Keung Wong: Supervision, Methodology, Writing – Review &amp; Editing.</w:t>
      </w:r>
      <w:r w:rsidDel="00000000" w:rsidR="00000000" w:rsidRPr="00000000">
        <w:rPr>
          <w:rtl w:val="0"/>
        </w:rPr>
      </w:r>
    </w:p>
    <w:p w:rsidR="00000000" w:rsidDel="00000000" w:rsidP="00000000" w:rsidRDefault="00000000" w:rsidRPr="00000000" w14:paraId="0000015D">
      <w:pPr>
        <w:pStyle w:val="Heading1"/>
        <w:rPr/>
      </w:pPr>
      <w:r w:rsidDel="00000000" w:rsidR="00000000" w:rsidRPr="00000000">
        <w:rPr>
          <w:rtl w:val="0"/>
        </w:rPr>
        <w:t xml:space="preserve">Acknowledgements</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applicable.</w:t>
      </w:r>
    </w:p>
    <w:p w:rsidR="00000000" w:rsidDel="00000000" w:rsidP="00000000" w:rsidRDefault="00000000" w:rsidRPr="00000000" w14:paraId="0000015F">
      <w:pPr>
        <w:pStyle w:val="Heading1"/>
        <w:rPr/>
      </w:pPr>
      <w:r w:rsidDel="00000000" w:rsidR="00000000" w:rsidRPr="00000000">
        <w:rPr>
          <w:rtl w:val="0"/>
        </w:rPr>
        <w:t xml:space="preserve">Declaration of generative AI and AI-assisted technologies in the manuscript preparation process</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During manuscript preparation, the authors used OpenAI ChatGPT and Codex to support organization, language editing, document formatting, and pre-submission compliance checking. These tools were not used to generate or alter the study data, analyses, submitted figures, or graphical abstract. The authors verified the scientific claims, numerical results, citations, and final wording and take full responsibility for the manuscript.</w:t>
      </w:r>
      <w:r w:rsidDel="00000000" w:rsidR="00000000" w:rsidRPr="00000000">
        <w:rPr>
          <w:rtl w:val="0"/>
        </w:rPr>
      </w:r>
    </w:p>
    <w:p w:rsidR="00000000" w:rsidDel="00000000" w:rsidP="00000000" w:rsidRDefault="00000000" w:rsidRPr="00000000" w14:paraId="00000161">
      <w:pPr>
        <w:pStyle w:val="Heading1"/>
        <w:rPr/>
      </w:pPr>
      <w:r w:rsidDel="00000000" w:rsidR="00000000" w:rsidRPr="00000000">
        <w:rPr>
          <w:rtl w:val="0"/>
        </w:rPr>
        <w:t xml:space="preserve">References</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C. Ambroise, G.J. McLachlan, Selection bias in gene extraction on the basis of microarray gene-expression data, Proc. Natl. Acad. Sci. 99 (2002) 6562–6566. https://doi.org/10.1073/pnas.102102699.</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A. Vabalas, E. Gowen, E. Poliakoff, A.J. Casson, Machine learning algorithm validation with a limited sample size, PLOS ONE 14 (2019) e0224365. https://doi.org/10.1371/journal.pone.0224365.</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 A.-C. Haury, P. Gestraud, J.-P. Vert, The influence of feature selection methods on accuracy, stability and interpretability of molecular signatures, PLoS ONE 6 (2011) e28210. https://doi.org/10.1371/journal.pone.0028210.</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 S. Kapoor, A. Narayanan, Leakage and the reproducibility crisis in machine-learning-based science, Patterns 4 (2023) 100804. https://doi.org/10.1016/j.patter.2023.100804.</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 J. Bernett, D.B. Blumenthal, D.G. Grimm, F. Haselbeck, R. Joeres, O.V. Kalinina, M. List, Guiding questions to avoid data leakage in biological machine learning applications, Nat. Methods 21 (2024) 1444–1453. https://doi.org/10.1038/s41592-024-02362-y.</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 S. Varma, R. Simon, Bias in error estimation when using cross-validation for model selection, BMC Bioinformatics 7 (2006) 91. https://doi.org/10.1186/1471-2105-7-91.</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 G.C. Cawley, N.L.C. Talbot, On over-fitting in model selection and subsequent selection bias in performance evaluation, J. Mach. Learn. Res. 11 (2010) 2079–2107.</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 M.J. Lewis, A. Spiliopoulou, K. Goldmann, C. Pitzalis, P. McKeigue, M.R. Barnes, nestedcv: an R package for fast implementation of nested cross-validation with embedded feature selection designed for transcriptomics and high-dimensional data, Bioinforma. Adv. 3 (2023) vbad048. https://doi.org/10.1093/bioadv/vbad048.</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 S. Nogueira, K. Sechidis, G. Brown, On the stability of feature selection algorithms, J. Mach. Learn. Res. 18 (2018) 1–54.</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 A. Bommert, M. Lang, stabm: stability measures for feature selection, J. Open Source Softw. 6 (2021) 3010. https://doi.org/10.21105/joss.03010.</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 I. Guyon, J. Weston, S. Barnhill, V. Vapnik, Gene selection for cancer classification using support vector machines, Mach. Learn. 46 (2002) 389–422. https://doi.org/10.1023/A:1012487302797.</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 K. Stawiski, M. Kaszkowiak, D. Mikulski, P. Hogendorf, A. Durczyński, J. Strzelczyk, D. Chowdhury, W. Fendler, OmicSelector: automatic feature selection and deep learning modeling for omic experiments, bioRxiv (2022), preprint. https://doi.org/10.1101/2022.06.01.494299.</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 S. Kapoor, E.M. Cantrell, K. Peng, T.H. Pham, C.A. Bail, O.E. Gundersen, J.M. Hofman, J. Hullman, M.A. Lones, M.M. Malik, P. Nanayakkara, R.A. Poldrack, I.D. Raji, M. Roberts, M.J. Salganik, M. Serra-Garcia, B.M. Stewart, G. Vandewiele, A. Narayanan, REFORMS: consensus-based recommendations for machine-learning-based science, Sci. Adv. 10 (2024) eadk3452. https://doi.org/10.1126/sciadv.adk3452.</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 G.S. Collins, K.G.M. Moons, P. Dhiman, R.D. Riley, A.L. Beam, B. Van Calster, M. Ghassemi, X. Liu, J.B. Reitsma, M. Van Smeden, A.-L. Boulesteix, J.C. Camaradou, L.A. Celi, S. Denaxas, A.K. Denniston, B. Glocker, R.M. Golub, H. Harvey, G. Heinze, M.M. Hoffman, A.P. Kengne, E. Lam, N. Lee, E.W. Loder, L. Maier-Hein, B.A. Mateen, M.D. McCradden, L. Oakden-Rayner, J. Ordish, R. Parnell, S. Rose, K. Singh, L. Wynants, P. Logullo, TRIPOD+AI statement: updated guidance for reporting clinical prediction models that use regression or machine learning methods, BMJ 385 (2024) e078378. https://doi.org/10.1136/bmj-2023-078378.</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 K.G.M. Moons, J.A.A. Damen, T. Kaul, L. Hooft, C. Andaur Navarro, P. Dhiman, A.L. Beam, B. Van Calster, L.A. Celi, S. Denaxas, A.K. Denniston, M. Ghassemi, G. Heinze, A.P. Kengne, L. Maier-Hein, X. Liu, P. Logullo, M.D. McCradden, N. Liu, L. Oakden-Rayner, K. Singh, D.S.W. Ting, L. Wynants, B. Yang, J.B. Reitsma, R.D. Riley, G.S. Collins, M. van Smeden, PROBAST+AI: an updated quality, risk of bias, and applicability assessment tool for prediction models using regression or artificial intelligence methods, BMJ 388 (2025) e082505. https://doi.org/10.1136/bmj-2024-082505.</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[16] C. Hatzis, L. Pusztai, V. Valero, D.J. Booser, L. Esserman, A. Lluch, et al., A genomic predictor of response and survival following taxane-anthracycline chemotherapy for invasive breast cancer, JAMA 305 (2011) 1873–1881. https://doi.org/10.1001/jama.2011.593.</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[17] C.E. Horak, L. Pusztai, G. Xing, O.C. Trifan, C. Saura, L.-M. Tseng, S. Chan, R. Welcher, D. Liu, Biomarker analysis of neoadjuvant doxorubicin/cyclophosphamide followed by ixabepilone or paclitaxel in early-stage breast cancer, Clin. Cancer Res. 19 (2013) 1587–1595. https://doi.org/10.1158/1078-0432.CCR-12-1359.</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[18] J.C. Platt, Fast training of support vector machines using sequential minimal optimization, in: B. Schölkopf, C.J.C. Burges, A.J. Smola (Eds.), Adv. Kernel Methods Support Vector Learn., MIT Press, 1999, pp. 185–208.</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[19] N.V. Chawla, K.W. Bowyer, L.O. Hall, W.P. Kegelmeyer, SMOTE: synthetic minority over-sampling technique, J. Artif. Intell. Res. 16 (2002) 321–357. https://doi.org/10.1613/jair.953.</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 R. Blagus, L. Lusa, SMOTE for high-dimensional class-imbalanced data, BMC Bioinformatics 14 (2013) 106. https://doi.org/10.1186/1471-2105-14-106.</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[21] D. Chicco, G. Jurman, The advantages of the Matthews correlation coefficient (MCC) over F1 score and accuracy in binary classification evaluation, BMC Genomics 21 (2020) 6. https://doi.org/10.1186/s12864-019-6413-7.</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[22] D. Berrar, P. Flach, Caveats and pitfalls of ROC analysis in clinical microarray research (and how to avoid them), Brief. Bioinform. 13 (2012) 83–97. https://doi.org/10.1093/bib/bbr008.</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[23] L. Marconi, F. Cabitza, Show and tell: a critical review on robustness and uncertainty for a more responsible medical AI, Int. J. Med. Inform. 202 (2025) 105970. https://doi.org/10.1016/j.ijmedinf.2025.105970.</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[24] R. Simon</w:t>
      </w:r>
      <w:r w:rsidDel="00000000" w:rsidR="00000000" w:rsidRPr="00000000">
        <w:rPr>
          <w:rtl w:val="0"/>
        </w:rPr>
        <w:t xml:space="preserve">, M.D. Radmacher, K. Dobbin, L.M. McShane, Pitfalls in the use of DNA microarray data for diagnostic and prognostic classification, J. Natl. Cancer Inst. 95 (2003) 14–18. </w:t>
      </w:r>
      <w:hyperlink r:id="rId9">
        <w:r w:rsidDel="00000000" w:rsidR="00000000" w:rsidRPr="00000000">
          <w:rPr>
            <w:color w:val="1155cc"/>
            <w:u w:val="single"/>
            <w:rtl w:val="0"/>
          </w:rPr>
          <w:t xml:space="preserve">https://doi.org/10.1093/jnci/95.1.14</w:t>
        </w:r>
      </w:hyperlink>
      <w:r w:rsidDel="00000000" w:rsidR="00000000" w:rsidRPr="00000000">
        <w:rPr>
          <w:rtl w:val="0"/>
        </w:rPr>
        <w:t xml:space="preserve">.</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[25] S. Michiels, S. Koscielny, C. Hill, Prediction of cancer outcome with microarrays: a multiple random validation strategy, Lancet 365 (2005) 488–492. </w:t>
      </w:r>
      <w:hyperlink r:id="rId10">
        <w:r w:rsidDel="00000000" w:rsidR="00000000" w:rsidRPr="00000000">
          <w:rPr>
            <w:color w:val="1155cc"/>
            <w:u w:val="single"/>
            <w:rtl w:val="0"/>
          </w:rPr>
          <w:t xml:space="preserve">https://doi.org/10.1016/S0140-6736(05)17866-0</w:t>
        </w:r>
      </w:hyperlink>
      <w:r w:rsidDel="00000000" w:rsidR="00000000" w:rsidRPr="00000000">
        <w:rPr>
          <w:rtl w:val="0"/>
        </w:rPr>
        <w:t xml:space="preserve">.</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[26] K.A. Baggerly, K.R. Coombes, Deriving chemosensitivity from cell lines: forensic bioinformatics and reproducible research in high-throughput biology, Ann. Appl. Stat. 3 (2009) 1309–1334. </w:t>
      </w:r>
      <w:hyperlink r:id="rId11">
        <w:r w:rsidDel="00000000" w:rsidR="00000000" w:rsidRPr="00000000">
          <w:rPr>
            <w:color w:val="1155cc"/>
            <w:u w:val="single"/>
            <w:rtl w:val="0"/>
          </w:rPr>
          <w:t xml:space="preserve">https://doi.org/10.1214/09-AOAS291</w:t>
        </w:r>
      </w:hyperlink>
      <w:r w:rsidDel="00000000" w:rsidR="00000000" w:rsidRPr="00000000">
        <w:rPr>
          <w:rtl w:val="0"/>
        </w:rPr>
        <w:t xml:space="preserve">.</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[27] P.J. Castaldi, I.J. Dahabreh, J.P.A. Ioannidis, An empirical assessment of validation practices for molecular classifiers, Brief. Bioinform. 12 (2011) 189–202. https://doi.org/10.1093/bib/bbq073.</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[28] S. Whalen, J. Schreiber, W.S. Noble, K.S. Pollard, Navigating the pitfalls of applying machine learning in genomics, Nat. Rev. Genet. 23 (2022) 169–181. </w:t>
      </w:r>
      <w:hyperlink r:id="rId12">
        <w:r w:rsidDel="00000000" w:rsidR="00000000" w:rsidRPr="00000000">
          <w:rPr>
            <w:rtl w:val="0"/>
          </w:rPr>
          <w:t xml:space="preserve">https://doi.org/10.1038/s41576-021-00434-9</w:t>
        </w:r>
      </w:hyperlink>
      <w:r w:rsidDel="00000000" w:rsidR="00000000" w:rsidRPr="00000000">
        <w:rPr>
          <w:rtl w:val="0"/>
        </w:rPr>
        <w:t xml:space="preserve">.</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[29] A. Razavi, B. Arensman, E.J. Barnett, L.A. Lee, S.V. Faraone, S.J. Glatt, J.L. Hess, Appraisal of gene expression-based classifiers for neuropsychiatric disorders: a meta-regression, Am. J. Med. Genet. B Neuropsychiatr. Genet. 201(2) (2026) 93–104. </w:t>
      </w:r>
      <w:hyperlink r:id="rId13">
        <w:r w:rsidDel="00000000" w:rsidR="00000000" w:rsidRPr="00000000">
          <w:rPr>
            <w:rtl w:val="0"/>
          </w:rPr>
          <w:t xml:space="preserve">https://doi.org/10.1002/ajmg.b.33055</w:t>
        </w:r>
      </w:hyperlink>
      <w:r w:rsidDel="00000000" w:rsidR="00000000" w:rsidRPr="00000000">
        <w:rPr>
          <w:rtl w:val="0"/>
        </w:rPr>
        <w:t xml:space="preserve">.</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[30] A. Asiaee, J. Strauch, L. Azinfar, S. Pal, H.H. Pua, J.P. Long, K.R. Coombes, Widespread data leakage inflates performance estimates in cancer drug response prediction, bioRxiv (2026), preprint. </w:t>
      </w:r>
      <w:hyperlink r:id="rId14">
        <w:r w:rsidDel="00000000" w:rsidR="00000000" w:rsidRPr="00000000">
          <w:rPr>
            <w:rtl w:val="0"/>
          </w:rPr>
          <w:t xml:space="preserve">https://doi.org/10.64898/2026.02.05.704016</w:t>
        </w:r>
      </w:hyperlink>
      <w:r w:rsidDel="00000000" w:rsidR="00000000" w:rsidRPr="00000000">
        <w:rPr>
          <w:rtl w:val="0"/>
        </w:rPr>
        <w:t xml:space="preserve">.</w:t>
      </w:r>
    </w:p>
    <w:sectPr>
      <w:footerReference r:id="rId15" w:type="default"/>
      <w:headerReference w:type="default" r:id="rId16"/>
      <w:pgSz w:h="15840" w:w="12240" w:orient="portrait"/>
      <w:pgMar w:bottom="1152" w:top="1152"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nsolas"/>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tblStylePr w:type="firstRow">
      <w:tcPr>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vAlign w:val="bottom"/>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1214/09-AOAS291" TargetMode="External"/><Relationship Id="rId10" Type="http://schemas.openxmlformats.org/officeDocument/2006/relationships/hyperlink" Target="https://doi.org/10.1016/S0140-6736(05)17866-0" TargetMode="External"/><Relationship Id="rId13" Type="http://schemas.openxmlformats.org/officeDocument/2006/relationships/hyperlink" Target="https://doi.org/10.1002/ajmg.b.33055" TargetMode="External"/><Relationship Id="rId12" Type="http://schemas.openxmlformats.org/officeDocument/2006/relationships/hyperlink" Target="https://doi.org/10.1038/s41576-021-00434-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93/jnci/95.1.14" TargetMode="External"/><Relationship Id="rId15" Type="http://schemas.openxmlformats.org/officeDocument/2006/relationships/footer" Target="footer1.xml"/><Relationship Id="rId14" Type="http://schemas.openxmlformats.org/officeDocument/2006/relationships/hyperlink" Target="https://doi.org/10.64898/2026.02.05.704016"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 Id="rId1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Word Document</dc:title>
  <cp:lastModifiedBy>python-docx</cp:lastModifiedBy>
  <cp:revision>1</cp:revision>
  <dcterms:modified xsi:type="dcterms:W3CDTF">2026-08-07T14:40:57Z</dcterms:modified>
  <dc:description>Submission-aligned manuscript v1.2.1</dc:description>
</cp:coreProperties>
</file>