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módulo-consejo-interno-siiaa-laravel-13"/>
    <w:p>
      <w:pPr>
        <w:pStyle w:val="Heading1"/>
      </w:pPr>
      <w:r>
        <w:t xml:space="preserve">Módulo Consejo Interno — SIIAA Laravel 13</w:t>
      </w:r>
    </w:p>
    <w:bookmarkStart w:id="2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/>
          <w:bCs/>
        </w:rPr>
        <w:t xml:space="preserve">Consejo Interno</w:t>
      </w:r>
      <w:r>
        <w:t xml:space="preserve"> </w:t>
      </w:r>
      <w:r>
        <w:t xml:space="preserve">forma parte de la actualización del SIIAA a Laravel 13 y tiene como objetivo administrar el proceso institucional mediante el cual el Consejo Interno del IRyA revisa solicitudes, evalúa asuntos internos, registra resoluciones, genera actas y publica documentos oficiales.</w:t>
      </w:r>
    </w:p>
    <w:p>
      <w:pPr>
        <w:pStyle w:val="BodyText"/>
      </w:pPr>
      <w:r>
        <w:t xml:space="preserve">Este módulo se conecta directamente con el módulo</w:t>
      </w:r>
      <w:r>
        <w:t xml:space="preserve"> </w:t>
      </w:r>
      <w:r>
        <w:rPr>
          <w:b/>
          <w:bCs/>
        </w:rPr>
        <w:t xml:space="preserve">Solicitudes</w:t>
      </w:r>
      <w:r>
        <w:t xml:space="preserve">, pero no lo sustituye. Su función es servir como espacio de revisión, evaluación y resolución institucional. Las solicitudes siguen viviendo en su propio módulo y Consejo Interno únicamente las consulta, evalúa y resuelve cuando corresponda.</w:t>
      </w:r>
    </w:p>
    <w:p>
      <w:pPr>
        <w:pStyle w:val="BodyText"/>
      </w:pPr>
      <w:r>
        <w:t xml:space="preserve">El módulo se diseña bajo la filosofía general del SIIAA: no como un CRUD simple, sino como un</w:t>
      </w:r>
      <w:r>
        <w:t xml:space="preserve"> </w:t>
      </w:r>
      <w:r>
        <w:rPr>
          <w:b/>
          <w:bCs/>
        </w:rPr>
        <w:t xml:space="preserve">expediente compuesto</w:t>
      </w:r>
      <w:r>
        <w:t xml:space="preserve">, organizado por secciones funcionales, con lógica clara, flexible y mantenible.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módulo"/>
    <w:p>
      <w:pPr>
        <w:pStyle w:val="Heading2"/>
      </w:pPr>
      <w:r>
        <w:t xml:space="preserve">2. Objetivo del módulo</w:t>
      </w:r>
    </w:p>
    <w:p>
      <w:pPr>
        <w:pStyle w:val="FirstParagraph"/>
      </w:pPr>
      <w:r>
        <w:t xml:space="preserve">El módulo permitirá a SACAD organizar reuniones del Consejo Interno, integrar solicitudes enviadas, agregar otros asuntos, adjuntar documentos, permitir la evaluación interna de los consejeros, registrar resoluciones finales y gestionar actas institucionales.</w:t>
      </w:r>
    </w:p>
    <w:p>
      <w:pPr>
        <w:pStyle w:val="BodyText"/>
      </w:pPr>
      <w:r>
        <w:t xml:space="preserve">Sus objetivos principales son:</w:t>
      </w:r>
    </w:p>
    <w:p>
      <w:pPr>
        <w:pStyle w:val="Compact"/>
        <w:numPr>
          <w:ilvl w:val="0"/>
          <w:numId w:val="1001"/>
        </w:numPr>
      </w:pPr>
      <w:r>
        <w:t xml:space="preserve">Centralizar la preparación de reuniones del Consejo Interno.</w:t>
      </w:r>
    </w:p>
    <w:p>
      <w:pPr>
        <w:pStyle w:val="Compact"/>
        <w:numPr>
          <w:ilvl w:val="0"/>
          <w:numId w:val="1001"/>
        </w:numPr>
      </w:pPr>
      <w:r>
        <w:t xml:space="preserve">Permitir la revisión de solicitudes enviadas.</w:t>
      </w:r>
    </w:p>
    <w:p>
      <w:pPr>
        <w:pStyle w:val="Compact"/>
        <w:numPr>
          <w:ilvl w:val="0"/>
          <w:numId w:val="1001"/>
        </w:numPr>
      </w:pPr>
      <w:r>
        <w:t xml:space="preserve">Registrar evaluaciones internas de consejeros.</w:t>
      </w:r>
    </w:p>
    <w:p>
      <w:pPr>
        <w:pStyle w:val="Compact"/>
        <w:numPr>
          <w:ilvl w:val="0"/>
          <w:numId w:val="1001"/>
        </w:numPr>
      </w:pPr>
      <w:r>
        <w:t xml:space="preserve">Registrar resoluciones finales por punto.</w:t>
      </w:r>
    </w:p>
    <w:p>
      <w:pPr>
        <w:pStyle w:val="Compact"/>
        <w:numPr>
          <w:ilvl w:val="0"/>
          <w:numId w:val="1001"/>
        </w:numPr>
      </w:pPr>
      <w:r>
        <w:t xml:space="preserve">Vincular resoluciones de solicitudes con el módulo Solicitudes.</w:t>
      </w:r>
    </w:p>
    <w:p>
      <w:pPr>
        <w:pStyle w:val="Compact"/>
        <w:numPr>
          <w:ilvl w:val="0"/>
          <w:numId w:val="1001"/>
        </w:numPr>
      </w:pPr>
      <w:r>
        <w:t xml:space="preserve">Crear, editar, evaluar y publicar actas.</w:t>
      </w:r>
    </w:p>
    <w:p>
      <w:pPr>
        <w:pStyle w:val="Compact"/>
        <w:numPr>
          <w:ilvl w:val="0"/>
          <w:numId w:val="1001"/>
        </w:numPr>
      </w:pPr>
      <w:r>
        <w:t xml:space="preserve">Permitir consulta institucional de actas publicadas.</w:t>
      </w:r>
    </w:p>
    <w:p>
      <w:pPr>
        <w:pStyle w:val="Compact"/>
        <w:numPr>
          <w:ilvl w:val="0"/>
          <w:numId w:val="1001"/>
        </w:numPr>
      </w:pPr>
      <w:r>
        <w:t xml:space="preserve">Mantener separación entre proceso interno del CI y documentos publicados.</w:t>
      </w:r>
    </w:p>
    <w:p>
      <w:pPr>
        <w:pStyle w:val="Compact"/>
        <w:numPr>
          <w:ilvl w:val="0"/>
          <w:numId w:val="1001"/>
        </w:numPr>
      </w:pPr>
      <w:r>
        <w:t xml:space="preserve">Evitar flujos excesivamente complejos o automatismos difíciles de mantener.</w:t>
      </w:r>
    </w:p>
    <w:p>
      <w:r>
        <w:pict>
          <v:rect style="width:0;height:1.5pt" o:hralign="center" o:hrstd="t" o:hr="t"/>
        </w:pict>
      </w:r>
    </w:p>
    <w:bookmarkEnd w:id="21"/>
    <w:bookmarkStart w:id="29" w:name="principios-de-diseño-aplicados"/>
    <w:p>
      <w:pPr>
        <w:pStyle w:val="Heading2"/>
      </w:pPr>
      <w:r>
        <w:t xml:space="preserve">3. Principios de diseño aplicados</w:t>
      </w:r>
    </w:p>
    <w:p>
      <w:pPr>
        <w:pStyle w:val="FirstParagraph"/>
      </w:pPr>
      <w:r>
        <w:t xml:space="preserve">El diseño sigue criterios generales definidos para SIIAA:</w:t>
      </w:r>
    </w:p>
    <w:bookmarkStart w:id="22" w:name="expedientes-compuestos"/>
    <w:p>
      <w:pPr>
        <w:pStyle w:val="Heading3"/>
      </w:pPr>
      <w:r>
        <w:t xml:space="preserve">3.1 Expedientes compuestos</w:t>
      </w:r>
    </w:p>
    <w:p>
      <w:pPr>
        <w:pStyle w:val="FirstParagraph"/>
      </w:pPr>
      <w:r>
        <w:t xml:space="preserve">Las reuniones y actas no se diseñan como CRUDs simples. Se tratan como expedientes compuestos.</w:t>
      </w:r>
    </w:p>
    <w:p>
      <w:pPr>
        <w:pStyle w:val="BodyText"/>
      </w:pPr>
      <w:r>
        <w:t xml:space="preserve">Una reunión agrupa:</w:t>
      </w:r>
    </w:p>
    <w:p>
      <w:pPr>
        <w:pStyle w:val="Compact"/>
        <w:numPr>
          <w:ilvl w:val="0"/>
          <w:numId w:val="1002"/>
        </w:numPr>
      </w:pPr>
      <w:r>
        <w:t xml:space="preserve">Datos generales.</w:t>
      </w:r>
    </w:p>
    <w:p>
      <w:pPr>
        <w:pStyle w:val="Compact"/>
        <w:numPr>
          <w:ilvl w:val="0"/>
          <w:numId w:val="1002"/>
        </w:numPr>
      </w:pPr>
      <w:r>
        <w:t xml:space="preserve">Participantes.</w:t>
      </w:r>
    </w:p>
    <w:p>
      <w:pPr>
        <w:pStyle w:val="Compact"/>
        <w:numPr>
          <w:ilvl w:val="0"/>
          <w:numId w:val="1002"/>
        </w:numPr>
      </w:pPr>
      <w:r>
        <w:t xml:space="preserve">Solicitudes.</w:t>
      </w:r>
    </w:p>
    <w:p>
      <w:pPr>
        <w:pStyle w:val="Compact"/>
        <w:numPr>
          <w:ilvl w:val="0"/>
          <w:numId w:val="1002"/>
        </w:numPr>
      </w:pPr>
      <w:r>
        <w:t xml:space="preserve">Otros puntos.</w:t>
      </w:r>
    </w:p>
    <w:p>
      <w:pPr>
        <w:pStyle w:val="Compact"/>
        <w:numPr>
          <w:ilvl w:val="0"/>
          <w:numId w:val="1002"/>
        </w:numPr>
      </w:pPr>
      <w:r>
        <w:t xml:space="preserve">Documentos.</w:t>
      </w:r>
    </w:p>
    <w:p>
      <w:pPr>
        <w:pStyle w:val="Compact"/>
        <w:numPr>
          <w:ilvl w:val="0"/>
          <w:numId w:val="1002"/>
        </w:numPr>
      </w:pPr>
      <w:r>
        <w:t xml:space="preserve">Evaluaciones.</w:t>
      </w:r>
    </w:p>
    <w:p>
      <w:pPr>
        <w:pStyle w:val="Compact"/>
        <w:numPr>
          <w:ilvl w:val="0"/>
          <w:numId w:val="1002"/>
        </w:numPr>
      </w:pPr>
      <w:r>
        <w:t xml:space="preserve">Resoluciones.</w:t>
      </w:r>
    </w:p>
    <w:p>
      <w:pPr>
        <w:pStyle w:val="FirstParagraph"/>
      </w:pPr>
      <w:r>
        <w:t xml:space="preserve">Un acta agrupa:</w:t>
      </w:r>
    </w:p>
    <w:p>
      <w:pPr>
        <w:pStyle w:val="Compact"/>
        <w:numPr>
          <w:ilvl w:val="0"/>
          <w:numId w:val="1003"/>
        </w:numPr>
      </w:pPr>
      <w:r>
        <w:t xml:space="preserve">Datos generales.</w:t>
      </w:r>
    </w:p>
    <w:p>
      <w:pPr>
        <w:pStyle w:val="Compact"/>
        <w:numPr>
          <w:ilvl w:val="0"/>
          <w:numId w:val="1003"/>
        </w:numPr>
      </w:pPr>
      <w:r>
        <w:t xml:space="preserve">Contenido.</w:t>
      </w:r>
    </w:p>
    <w:p>
      <w:pPr>
        <w:pStyle w:val="Compact"/>
        <w:numPr>
          <w:ilvl w:val="0"/>
          <w:numId w:val="1003"/>
        </w:numPr>
      </w:pPr>
      <w:r>
        <w:t xml:space="preserve">Evaluaciones internas.</w:t>
      </w:r>
    </w:p>
    <w:p>
      <w:pPr>
        <w:pStyle w:val="Compact"/>
        <w:numPr>
          <w:ilvl w:val="0"/>
          <w:numId w:val="1003"/>
        </w:numPr>
      </w:pPr>
      <w:r>
        <w:t xml:space="preserve">Publicación.</w:t>
      </w:r>
    </w:p>
    <w:p>
      <w:pPr>
        <w:pStyle w:val="Compact"/>
        <w:numPr>
          <w:ilvl w:val="0"/>
          <w:numId w:val="1003"/>
        </w:numPr>
      </w:pPr>
      <w:r>
        <w:t xml:space="preserve">Vista institucional.</w:t>
      </w:r>
    </w:p>
    <w:bookmarkEnd w:id="22"/>
    <w:bookmarkStart w:id="23" w:name="simplicidad-para-el-usuario"/>
    <w:p>
      <w:pPr>
        <w:pStyle w:val="Heading3"/>
      </w:pPr>
      <w:r>
        <w:t xml:space="preserve">3.2 Simplicidad para el usuario</w:t>
      </w:r>
    </w:p>
    <w:p>
      <w:pPr>
        <w:pStyle w:val="FirstParagraph"/>
      </w:pPr>
      <w:r>
        <w:t xml:space="preserve">Aunque internamente existan relaciones, permisos, catálogos y servicios, la interfaz debe ser clara y directa.</w:t>
      </w:r>
    </w:p>
    <w:p>
      <w:pPr>
        <w:pStyle w:val="BodyText"/>
      </w:pPr>
      <w:r>
        <w:t xml:space="preserve">El usuario debe ver secciones funcionales, resúmenes, acciones explícitas y la información necesaria para trabajar sin perder contexto.</w:t>
      </w:r>
    </w:p>
    <w:bookmarkEnd w:id="23"/>
    <w:bookmarkStart w:id="24" w:name="mostrar-información-y-permitir-filtrar"/>
    <w:p>
      <w:pPr>
        <w:pStyle w:val="Heading3"/>
      </w:pPr>
      <w:r>
        <w:t xml:space="preserve">3.3 Mostrar información y permitir filtrar</w:t>
      </w:r>
    </w:p>
    <w:p>
      <w:pPr>
        <w:pStyle w:val="FirstParagraph"/>
      </w:pPr>
      <w:r>
        <w:t xml:space="preserve">Se mantiene la regla:</w:t>
      </w:r>
    </w:p>
    <w:p>
      <w:pPr>
        <w:pStyle w:val="BlockText"/>
      </w:pPr>
      <w:r>
        <w:t xml:space="preserve">Mostrar todo lo relevante y dar herramientas para filtrar, ordenar y buscar.</w:t>
      </w:r>
    </w:p>
    <w:p>
      <w:pPr>
        <w:pStyle w:val="FirstParagraph"/>
      </w:pPr>
      <w:r>
        <w:t xml:space="preserve">En especial, para solicitudes dentro de reuniones, el sistema debe mostrar todas las solicitudes disponibles para Consejo Interno, incluyendo aquellas ya programadas en otra reunión, pero indicándolas claramente y deshabilitando su selección.</w:t>
      </w:r>
    </w:p>
    <w:bookmarkEnd w:id="24"/>
    <w:bookmarkStart w:id="25" w:name="lógica-explícita-y-mantenible"/>
    <w:p>
      <w:pPr>
        <w:pStyle w:val="Heading3"/>
      </w:pPr>
      <w:r>
        <w:t xml:space="preserve">3.4 Lógica explícita y mantenible</w:t>
      </w:r>
    </w:p>
    <w:p>
      <w:pPr>
        <w:pStyle w:val="FirstParagraph"/>
      </w:pPr>
      <w:r>
        <w:t xml:space="preserve">Se evitarán comportamientos mágicos, triggers complejos, observers excesivos, flujos ocultos o automatizaciones difíciles de rastrear.</w:t>
      </w:r>
    </w:p>
    <w:p>
      <w:pPr>
        <w:pStyle w:val="BodyText"/>
      </w:pPr>
      <w:r>
        <w:t xml:space="preserve">La lógica crítica debe vivir en servicios explícitos y reutilizables.</w:t>
      </w:r>
    </w:p>
    <w:bookmarkEnd w:id="25"/>
    <w:bookmarkStart w:id="26" w:name="flexibilidad-administrativa"/>
    <w:p>
      <w:pPr>
        <w:pStyle w:val="Heading3"/>
      </w:pPr>
      <w:r>
        <w:t xml:space="preserve">3.5 Flexibilidad administrativa</w:t>
      </w:r>
    </w:p>
    <w:p>
      <w:pPr>
        <w:pStyle w:val="FirstParagraph"/>
      </w:pPr>
      <w:r>
        <w:t xml:space="preserve">SACAD debe conservar capacidad de corrección posterior, incluso en reuniones concluidas o actas publicadas, siempre apoyándose en la auditoría existente del SIIAA.</w:t>
      </w:r>
    </w:p>
    <w:bookmarkEnd w:id="26"/>
    <w:bookmarkStart w:id="27" w:name="guardar-solo-cambios-reales"/>
    <w:p>
      <w:pPr>
        <w:pStyle w:val="Heading3"/>
      </w:pPr>
      <w:r>
        <w:t xml:space="preserve">3.6 Guardar solo cambios reales</w:t>
      </w:r>
    </w:p>
    <w:p>
      <w:pPr>
        <w:pStyle w:val="FirstParagraph"/>
      </w:pPr>
      <w:r>
        <w:t xml:space="preserve">El sistema debe evitar guardar si no existen cambios reales, para no generar timestamps, auditoría o ruido operativo innecesario.</w:t>
      </w:r>
    </w:p>
    <w:bookmarkEnd w:id="27"/>
    <w:bookmarkStart w:id="28" w:name="documentación-de-código"/>
    <w:p>
      <w:pPr>
        <w:pStyle w:val="Heading3"/>
      </w:pPr>
      <w:r>
        <w:t xml:space="preserve">3.7 Documentación de código</w:t>
      </w:r>
    </w:p>
    <w:p>
      <w:pPr>
        <w:pStyle w:val="FirstParagraph"/>
      </w:pPr>
      <w:r>
        <w:t xml:space="preserve">El código debe documentarse de forma breve, clara y elegante. Se deben comentar decisiones no obvias o lógica institucional relevante, evitando comentar lo evidente o llenar los archivos de texto innecesario.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lcance-funcional"/>
    <w:p>
      <w:pPr>
        <w:pStyle w:val="Heading2"/>
      </w:pPr>
      <w:r>
        <w:t xml:space="preserve">4. Alcance funcional</w:t>
      </w:r>
    </w:p>
    <w:p>
      <w:pPr>
        <w:pStyle w:val="FirstParagraph"/>
      </w:pPr>
      <w:r>
        <w:t xml:space="preserve">El módulo incluye:</w:t>
      </w:r>
    </w:p>
    <w:p>
      <w:pPr>
        <w:pStyle w:val="Compact"/>
        <w:numPr>
          <w:ilvl w:val="0"/>
          <w:numId w:val="1004"/>
        </w:numPr>
      </w:pPr>
      <w:r>
        <w:t xml:space="preserve">Gestión de reuniones del Consejo Interno.</w:t>
      </w:r>
    </w:p>
    <w:p>
      <w:pPr>
        <w:pStyle w:val="Compact"/>
        <w:numPr>
          <w:ilvl w:val="0"/>
          <w:numId w:val="1004"/>
        </w:numPr>
      </w:pPr>
      <w:r>
        <w:t xml:space="preserve">Selección de participantes.</w:t>
      </w:r>
    </w:p>
    <w:p>
      <w:pPr>
        <w:pStyle w:val="Compact"/>
        <w:numPr>
          <w:ilvl w:val="0"/>
          <w:numId w:val="1004"/>
        </w:numPr>
      </w:pPr>
      <w:r>
        <w:t xml:space="preserve">Integración de solicitudes enviadas.</w:t>
      </w:r>
    </w:p>
    <w:p>
      <w:pPr>
        <w:pStyle w:val="Compact"/>
        <w:numPr>
          <w:ilvl w:val="0"/>
          <w:numId w:val="1004"/>
        </w:numPr>
      </w:pPr>
      <w:r>
        <w:t xml:space="preserve">Captura de otros puntos.</w:t>
      </w:r>
    </w:p>
    <w:p>
      <w:pPr>
        <w:pStyle w:val="Compact"/>
        <w:numPr>
          <w:ilvl w:val="0"/>
          <w:numId w:val="1004"/>
        </w:numPr>
      </w:pPr>
      <w:r>
        <w:t xml:space="preserve">Carga de documentos anexos.</w:t>
      </w:r>
    </w:p>
    <w:p>
      <w:pPr>
        <w:pStyle w:val="Compact"/>
        <w:numPr>
          <w:ilvl w:val="0"/>
          <w:numId w:val="1004"/>
        </w:numPr>
      </w:pPr>
      <w:r>
        <w:t xml:space="preserve">Evaluación de puntos por consejeros.</w:t>
      </w:r>
    </w:p>
    <w:p>
      <w:pPr>
        <w:pStyle w:val="Compact"/>
        <w:numPr>
          <w:ilvl w:val="0"/>
          <w:numId w:val="1004"/>
        </w:numPr>
      </w:pPr>
      <w:r>
        <w:t xml:space="preserve">Registro de resolución final por SACAD.</w:t>
      </w:r>
    </w:p>
    <w:p>
      <w:pPr>
        <w:pStyle w:val="Compact"/>
        <w:numPr>
          <w:ilvl w:val="0"/>
          <w:numId w:val="1004"/>
        </w:numPr>
      </w:pPr>
      <w:r>
        <w:t xml:space="preserve">Integración de resolución con Solicitudes.</w:t>
      </w:r>
    </w:p>
    <w:p>
      <w:pPr>
        <w:pStyle w:val="Compact"/>
        <w:numPr>
          <w:ilvl w:val="0"/>
          <w:numId w:val="1004"/>
        </w:numPr>
      </w:pPr>
      <w:r>
        <w:t xml:space="preserve">Gestión de actas.</w:t>
      </w:r>
    </w:p>
    <w:p>
      <w:pPr>
        <w:pStyle w:val="Compact"/>
        <w:numPr>
          <w:ilvl w:val="0"/>
          <w:numId w:val="1004"/>
        </w:numPr>
      </w:pPr>
      <w:r>
        <w:t xml:space="preserve">Evaluación interna de actas.</w:t>
      </w:r>
    </w:p>
    <w:p>
      <w:pPr>
        <w:pStyle w:val="Compact"/>
        <w:numPr>
          <w:ilvl w:val="0"/>
          <w:numId w:val="1004"/>
        </w:numPr>
      </w:pPr>
      <w:r>
        <w:t xml:space="preserve">Publicación de actas.</w:t>
      </w:r>
    </w:p>
    <w:p>
      <w:pPr>
        <w:pStyle w:val="Compact"/>
        <w:numPr>
          <w:ilvl w:val="0"/>
          <w:numId w:val="1004"/>
        </w:numPr>
      </w:pPr>
      <w:r>
        <w:t xml:space="preserve">Consulta institucional de actas publicadas.</w:t>
      </w:r>
    </w:p>
    <w:p>
      <w:pPr>
        <w:pStyle w:val="Compact"/>
        <w:numPr>
          <w:ilvl w:val="0"/>
          <w:numId w:val="1004"/>
        </w:numPr>
      </w:pPr>
      <w:r>
        <w:t xml:space="preserve">Vista imprimible para generar PDF desde navegador.</w:t>
      </w:r>
    </w:p>
    <w:p>
      <w:r>
        <w:pict>
          <v:rect style="width:0;height:1.5pt" o:hralign="center" o:hrstd="t" o:hr="t"/>
        </w:pict>
      </w:r>
    </w:p>
    <w:bookmarkEnd w:id="30"/>
    <w:bookmarkStart w:id="31" w:name="fuera-del-alcance-inicial"/>
    <w:p>
      <w:pPr>
        <w:pStyle w:val="Heading2"/>
      </w:pPr>
      <w:r>
        <w:t xml:space="preserve">5. Fuera del alcance inicial</w:t>
      </w:r>
    </w:p>
    <w:p>
      <w:pPr>
        <w:pStyle w:val="FirstParagraph"/>
      </w:pPr>
      <w:r>
        <w:t xml:space="preserve">No se incluirá inicialmente:</w:t>
      </w:r>
    </w:p>
    <w:p>
      <w:pPr>
        <w:pStyle w:val="Compact"/>
        <w:numPr>
          <w:ilvl w:val="0"/>
          <w:numId w:val="1005"/>
        </w:numPr>
      </w:pPr>
      <w:r>
        <w:t xml:space="preserve">Numeración automática de actas.</w:t>
      </w:r>
    </w:p>
    <w:p>
      <w:pPr>
        <w:pStyle w:val="Compact"/>
        <w:numPr>
          <w:ilvl w:val="0"/>
          <w:numId w:val="1005"/>
        </w:numPr>
      </w:pPr>
      <w:r>
        <w:t xml:space="preserve">Folios de reuniones.</w:t>
      </w:r>
    </w:p>
    <w:p>
      <w:pPr>
        <w:pStyle w:val="Compact"/>
        <w:numPr>
          <w:ilvl w:val="0"/>
          <w:numId w:val="1005"/>
        </w:numPr>
      </w:pPr>
      <w:r>
        <w:t xml:space="preserve">Versionado visible de actas.</w:t>
      </w:r>
    </w:p>
    <w:p>
      <w:pPr>
        <w:pStyle w:val="Compact"/>
        <w:numPr>
          <w:ilvl w:val="0"/>
          <w:numId w:val="1005"/>
        </w:numPr>
      </w:pPr>
      <w:r>
        <w:t xml:space="preserve">Historial visual de evaluaciones o comentarios.</w:t>
      </w:r>
    </w:p>
    <w:p>
      <w:pPr>
        <w:pStyle w:val="Compact"/>
        <w:numPr>
          <w:ilvl w:val="0"/>
          <w:numId w:val="1005"/>
        </w:numPr>
      </w:pPr>
      <w:r>
        <w:t xml:space="preserve">Comentarios generales de reunión.</w:t>
      </w:r>
    </w:p>
    <w:p>
      <w:pPr>
        <w:pStyle w:val="Compact"/>
        <w:numPr>
          <w:ilvl w:val="0"/>
          <w:numId w:val="1005"/>
        </w:numPr>
      </w:pPr>
      <w:r>
        <w:t xml:space="preserve">Categorías complejas para otros puntos.</w:t>
      </w:r>
    </w:p>
    <w:p>
      <w:pPr>
        <w:pStyle w:val="Compact"/>
        <w:numPr>
          <w:ilvl w:val="0"/>
          <w:numId w:val="1005"/>
        </w:numPr>
      </w:pPr>
      <w:r>
        <w:t xml:space="preserve">Bandeja especial para Administración.</w:t>
      </w:r>
    </w:p>
    <w:p>
      <w:pPr>
        <w:pStyle w:val="Compact"/>
        <w:numPr>
          <w:ilvl w:val="0"/>
          <w:numId w:val="1005"/>
        </w:numPr>
      </w:pPr>
      <w:r>
        <w:t xml:space="preserve">Reasignación de solicitudes entre reuniones.</w:t>
      </w:r>
    </w:p>
    <w:p>
      <w:pPr>
        <w:pStyle w:val="Compact"/>
        <w:numPr>
          <w:ilvl w:val="0"/>
          <w:numId w:val="1005"/>
        </w:numPr>
      </w:pPr>
      <w:r>
        <w:t xml:space="preserve">Módulo propio de integrantes del CI.</w:t>
      </w:r>
    </w:p>
    <w:p>
      <w:pPr>
        <w:pStyle w:val="Compact"/>
        <w:numPr>
          <w:ilvl w:val="0"/>
          <w:numId w:val="1005"/>
        </w:numPr>
      </w:pPr>
      <w:r>
        <w:t xml:space="preserve">Generación automática de PDF en servidor.</w:t>
      </w:r>
    </w:p>
    <w:p>
      <w:pPr>
        <w:pStyle w:val="Compact"/>
        <w:numPr>
          <w:ilvl w:val="0"/>
          <w:numId w:val="1005"/>
        </w:numPr>
      </w:pPr>
      <w:r>
        <w:t xml:space="preserve">Notificaciones por correo para reuniones, actas u otros puntos.</w:t>
      </w:r>
    </w:p>
    <w:p>
      <w:pPr>
        <w:pStyle w:val="Compact"/>
        <w:numPr>
          <w:ilvl w:val="0"/>
          <w:numId w:val="1005"/>
        </w:numPr>
      </w:pPr>
      <w:r>
        <w:t xml:space="preserve">Flujos rígidos o asistentes tipo wizard.</w:t>
      </w:r>
    </w:p>
    <w:p>
      <w:r>
        <w:pict>
          <v:rect style="width:0;height:1.5pt" o:hralign="center" o:hrstd="t" o:hr="t"/>
        </w:pict>
      </w:r>
    </w:p>
    <w:bookmarkEnd w:id="31"/>
    <w:bookmarkStart w:id="36" w:name="permisos"/>
    <w:p>
      <w:pPr>
        <w:pStyle w:val="Heading2"/>
      </w:pPr>
      <w:r>
        <w:t xml:space="preserve">6. Permisos</w:t>
      </w:r>
    </w:p>
    <w:bookmarkStart w:id="32" w:name="ci.acces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ci.access</w:t>
      </w:r>
    </w:p>
    <w:p>
      <w:pPr>
        <w:pStyle w:val="FirstParagraph"/>
      </w:pPr>
      <w:r>
        <w:t xml:space="preserve">Permite acceso base al módulo operativo de Consejo Interno.</w:t>
      </w:r>
    </w:p>
    <w:bookmarkEnd w:id="32"/>
    <w:bookmarkStart w:id="33" w:name="ci.evaluate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ci.evaluate</w:t>
      </w:r>
    </w:p>
    <w:p>
      <w:pPr>
        <w:pStyle w:val="FirstParagraph"/>
      </w:pPr>
      <w:r>
        <w:t xml:space="preserve">Permite a miembros activos del Consejo Interno:</w:t>
      </w:r>
    </w:p>
    <w:p>
      <w:pPr>
        <w:pStyle w:val="Compact"/>
        <w:numPr>
          <w:ilvl w:val="0"/>
          <w:numId w:val="1006"/>
        </w:numPr>
      </w:pPr>
      <w:r>
        <w:t xml:space="preserve">Ver reuniones donde participan.</w:t>
      </w:r>
    </w:p>
    <w:p>
      <w:pPr>
        <w:pStyle w:val="Compact"/>
        <w:numPr>
          <w:ilvl w:val="0"/>
          <w:numId w:val="1006"/>
        </w:numPr>
      </w:pPr>
      <w:r>
        <w:t xml:space="preserve">Evaluar puntos.</w:t>
      </w:r>
    </w:p>
    <w:p>
      <w:pPr>
        <w:pStyle w:val="Compact"/>
        <w:numPr>
          <w:ilvl w:val="0"/>
          <w:numId w:val="1006"/>
        </w:numPr>
      </w:pPr>
      <w:r>
        <w:t xml:space="preserve">Ver evaluaciones de otros participantes.</w:t>
      </w:r>
    </w:p>
    <w:p>
      <w:pPr>
        <w:pStyle w:val="Compact"/>
        <w:numPr>
          <w:ilvl w:val="0"/>
          <w:numId w:val="1006"/>
        </w:numPr>
      </w:pPr>
      <w:r>
        <w:t xml:space="preserve">Evaluar actas en borrador según las reglas de acceso.</w:t>
      </w:r>
    </w:p>
    <w:p>
      <w:pPr>
        <w:pStyle w:val="FirstParagraph"/>
      </w:pPr>
      <w:r>
        <w:t xml:space="preserve">No permite editar reuniones, cambiar resoluciones finales ni ver reuniones donde no participan.</w:t>
      </w:r>
    </w:p>
    <w:bookmarkEnd w:id="33"/>
    <w:bookmarkStart w:id="34" w:name="ci.manage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ci.manage</w:t>
      </w:r>
    </w:p>
    <w:p>
      <w:pPr>
        <w:pStyle w:val="FirstParagraph"/>
      </w:pPr>
      <w:r>
        <w:t xml:space="preserve">Permite a SACAD, superadministradores o usuarios autorizados:</w:t>
      </w:r>
    </w:p>
    <w:p>
      <w:pPr>
        <w:pStyle w:val="Compact"/>
        <w:numPr>
          <w:ilvl w:val="0"/>
          <w:numId w:val="1007"/>
        </w:numPr>
      </w:pPr>
      <w:r>
        <w:t xml:space="preserve">Crear y editar reuniones.</w:t>
      </w:r>
    </w:p>
    <w:p>
      <w:pPr>
        <w:pStyle w:val="Compact"/>
        <w:numPr>
          <w:ilvl w:val="0"/>
          <w:numId w:val="1007"/>
        </w:numPr>
      </w:pPr>
      <w:r>
        <w:t xml:space="preserve">Concluir reuniones.</w:t>
      </w:r>
    </w:p>
    <w:p>
      <w:pPr>
        <w:pStyle w:val="Compact"/>
        <w:numPr>
          <w:ilvl w:val="0"/>
          <w:numId w:val="1007"/>
        </w:numPr>
      </w:pPr>
      <w:r>
        <w:t xml:space="preserve">Editar reuniones concluidas.</w:t>
      </w:r>
    </w:p>
    <w:p>
      <w:pPr>
        <w:pStyle w:val="Compact"/>
        <w:numPr>
          <w:ilvl w:val="0"/>
          <w:numId w:val="1007"/>
        </w:numPr>
      </w:pPr>
      <w:r>
        <w:t xml:space="preserve">Gestionar participantes.</w:t>
      </w:r>
    </w:p>
    <w:p>
      <w:pPr>
        <w:pStyle w:val="Compact"/>
        <w:numPr>
          <w:ilvl w:val="0"/>
          <w:numId w:val="1007"/>
        </w:numPr>
      </w:pPr>
      <w:r>
        <w:t xml:space="preserve">Gestionar puntos.</w:t>
      </w:r>
    </w:p>
    <w:p>
      <w:pPr>
        <w:pStyle w:val="Compact"/>
        <w:numPr>
          <w:ilvl w:val="0"/>
          <w:numId w:val="1007"/>
        </w:numPr>
      </w:pPr>
      <w:r>
        <w:t xml:space="preserve">Gestionar documentos.</w:t>
      </w:r>
    </w:p>
    <w:p>
      <w:pPr>
        <w:pStyle w:val="Compact"/>
        <w:numPr>
          <w:ilvl w:val="0"/>
          <w:numId w:val="1007"/>
        </w:numPr>
      </w:pPr>
      <w:r>
        <w:t xml:space="preserve">Registrar resoluciones finales.</w:t>
      </w:r>
    </w:p>
    <w:p>
      <w:pPr>
        <w:pStyle w:val="Compact"/>
        <w:numPr>
          <w:ilvl w:val="0"/>
          <w:numId w:val="1007"/>
        </w:numPr>
      </w:pPr>
      <w:r>
        <w:t xml:space="preserve">Crear, editar y publicar actas.</w:t>
      </w:r>
    </w:p>
    <w:p>
      <w:pPr>
        <w:pStyle w:val="Compact"/>
        <w:numPr>
          <w:ilvl w:val="0"/>
          <w:numId w:val="1007"/>
        </w:numPr>
      </w:pPr>
      <w:r>
        <w:t xml:space="preserve">Editar actas publicadas.</w:t>
      </w:r>
    </w:p>
    <w:p>
      <w:pPr>
        <w:pStyle w:val="Compact"/>
        <w:numPr>
          <w:ilvl w:val="0"/>
          <w:numId w:val="1007"/>
        </w:numPr>
      </w:pPr>
      <w:r>
        <w:t xml:space="preserve">Ver evaluaciones y comentarios internos.</w:t>
      </w:r>
    </w:p>
    <w:p>
      <w:pPr>
        <w:pStyle w:val="Compact"/>
        <w:numPr>
          <w:ilvl w:val="0"/>
          <w:numId w:val="1007"/>
        </w:numPr>
      </w:pPr>
      <w:r>
        <w:t xml:space="preserve">Corregir o eliminar datos si fuera necesario.</w:t>
      </w:r>
    </w:p>
    <w:bookmarkEnd w:id="34"/>
    <w:bookmarkStart w:id="35" w:name="actas.view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actas.view</w:t>
      </w:r>
    </w:p>
    <w:p>
      <w:pPr>
        <w:pStyle w:val="FirstParagraph"/>
      </w:pPr>
      <w:r>
        <w:t xml:space="preserve">Permiso independiente del módulo CI.</w:t>
      </w:r>
    </w:p>
    <w:p>
      <w:pPr>
        <w:pStyle w:val="BodyText"/>
      </w:pPr>
      <w:r>
        <w:t xml:space="preserve">Permite a usuarios autenticados autorizados:</w:t>
      </w:r>
    </w:p>
    <w:p>
      <w:pPr>
        <w:pStyle w:val="Compact"/>
        <w:numPr>
          <w:ilvl w:val="0"/>
          <w:numId w:val="1008"/>
        </w:numPr>
      </w:pPr>
      <w:r>
        <w:t xml:space="preserve">Consultar actas publicadas.</w:t>
      </w:r>
    </w:p>
    <w:p>
      <w:pPr>
        <w:pStyle w:val="Compact"/>
        <w:numPr>
          <w:ilvl w:val="0"/>
          <w:numId w:val="1008"/>
        </w:numPr>
      </w:pPr>
      <w:r>
        <w:t xml:space="preserve">Buscar actas.</w:t>
      </w:r>
    </w:p>
    <w:p>
      <w:pPr>
        <w:pStyle w:val="Compact"/>
        <w:numPr>
          <w:ilvl w:val="0"/>
          <w:numId w:val="1008"/>
        </w:numPr>
      </w:pPr>
      <w:r>
        <w:t xml:space="preserve">Filtrar por año o fecha.</w:t>
      </w:r>
    </w:p>
    <w:p>
      <w:pPr>
        <w:pStyle w:val="Compact"/>
        <w:numPr>
          <w:ilvl w:val="0"/>
          <w:numId w:val="1008"/>
        </w:numPr>
      </w:pPr>
      <w:r>
        <w:t xml:space="preserve">Ver actas en HTML.</w:t>
      </w:r>
    </w:p>
    <w:p>
      <w:pPr>
        <w:pStyle w:val="Compact"/>
        <w:numPr>
          <w:ilvl w:val="0"/>
          <w:numId w:val="1008"/>
        </w:numPr>
      </w:pPr>
      <w:r>
        <w:t xml:space="preserve">Usar vista imprimible.</w:t>
      </w:r>
    </w:p>
    <w:p>
      <w:pPr>
        <w:pStyle w:val="FirstParagraph"/>
      </w:pPr>
      <w:r>
        <w:t xml:space="preserve">No permite ver reuniones, evaluaciones, comentarios, solicitudes asociadas ni entrar al módulo operativo de CI.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glas-de-acceso"/>
    <w:p>
      <w:pPr>
        <w:pStyle w:val="Heading2"/>
      </w:pPr>
      <w:r>
        <w:t xml:space="preserve">7. Reglas de acceso</w:t>
      </w:r>
    </w:p>
    <w:bookmarkStart w:id="37" w:name="reuniones"/>
    <w:p>
      <w:pPr>
        <w:pStyle w:val="Heading3"/>
      </w:pPr>
      <w:r>
        <w:t xml:space="preserve">7.1 Reuniones</w:t>
      </w:r>
    </w:p>
    <w:p>
      <w:pPr>
        <w:pStyle w:val="FirstParagraph"/>
      </w:pPr>
      <w:r>
        <w:t xml:space="preserve">Un consejero puede ver una reunión únicamente si:</w:t>
      </w:r>
    </w:p>
    <w:p>
      <w:pPr>
        <w:pStyle w:val="Compact"/>
        <w:numPr>
          <w:ilvl w:val="0"/>
          <w:numId w:val="1009"/>
        </w:numPr>
      </w:pPr>
      <w:r>
        <w:t xml:space="preserve">Tiene</w:t>
      </w:r>
      <w:r>
        <w:t xml:space="preserve"> </w:t>
      </w:r>
      <w:r>
        <w:rPr>
          <w:rStyle w:val="VerbatimChar"/>
        </w:rPr>
        <w:t xml:space="preserve">ci.evaluate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Está registrado en</w:t>
      </w:r>
      <w:r>
        <w:t xml:space="preserve"> </w:t>
      </w:r>
      <w:r>
        <w:rPr>
          <w:rStyle w:val="VerbatimChar"/>
        </w:rPr>
        <w:t xml:space="preserve">ci_reuniones_participantes</w:t>
      </w:r>
      <w:r>
        <w:t xml:space="preserve">.</w:t>
      </w:r>
    </w:p>
    <w:p>
      <w:pPr>
        <w:pStyle w:val="FirstParagraph"/>
      </w:pPr>
      <w:r>
        <w:t xml:space="preserve">Si deja de tener el rol o permiso de CI, pierde acceso al módulo operativo.</w:t>
      </w:r>
    </w:p>
    <w:p>
      <w:pPr>
        <w:pStyle w:val="BodyText"/>
      </w:pPr>
      <w:r>
        <w:t xml:space="preserve">Si vuelve a tener rol CI posteriormente, recupera acceso únicamente a las reuniones donde participó.</w:t>
      </w:r>
    </w:p>
    <w:bookmarkEnd w:id="37"/>
    <w:bookmarkStart w:id="38" w:name="actas-en-borrador"/>
    <w:p>
      <w:pPr>
        <w:pStyle w:val="Heading3"/>
      </w:pPr>
      <w:r>
        <w:t xml:space="preserve">7.2 Actas en borrador</w:t>
      </w:r>
    </w:p>
    <w:p>
      <w:pPr>
        <w:pStyle w:val="FirstParagraph"/>
      </w:pPr>
      <w:r>
        <w:t xml:space="preserve">Si el acta está ligada a una reunión, solo pueden evaluarla los participantes de esa reunión que tengan</w:t>
      </w:r>
      <w:r>
        <w:t xml:space="preserve"> </w:t>
      </w:r>
      <w:r>
        <w:rPr>
          <w:rStyle w:val="VerbatimChar"/>
        </w:rPr>
        <w:t xml:space="preserve">ci.evaluate</w:t>
      </w:r>
      <w:r>
        <w:t xml:space="preserve">.</w:t>
      </w:r>
    </w:p>
    <w:p>
      <w:pPr>
        <w:pStyle w:val="BodyText"/>
      </w:pPr>
      <w:r>
        <w:t xml:space="preserve">Si el acta no está ligada a reunión, pueden evaluarla todos los miembros activos del CI con</w:t>
      </w:r>
      <w:r>
        <w:t xml:space="preserve"> </w:t>
      </w:r>
      <w:r>
        <w:rPr>
          <w:rStyle w:val="VerbatimChar"/>
        </w:rPr>
        <w:t xml:space="preserve">ci.evaluate</w:t>
      </w:r>
      <w:r>
        <w:t xml:space="preserve">.</w:t>
      </w:r>
    </w:p>
    <w:bookmarkEnd w:id="38"/>
    <w:bookmarkStart w:id="39" w:name="actas-publicadas"/>
    <w:p>
      <w:pPr>
        <w:pStyle w:val="Heading3"/>
      </w:pPr>
      <w:r>
        <w:t xml:space="preserve">7.3 Actas publicadas</w:t>
      </w:r>
    </w:p>
    <w:p>
      <w:pPr>
        <w:pStyle w:val="FirstParagraph"/>
      </w:pPr>
      <w:r>
        <w:t xml:space="preserve">Una vez publicada el acta:</w:t>
      </w:r>
    </w:p>
    <w:p>
      <w:pPr>
        <w:pStyle w:val="Compact"/>
        <w:numPr>
          <w:ilvl w:val="0"/>
          <w:numId w:val="1010"/>
        </w:numPr>
      </w:pPr>
      <w:r>
        <w:t xml:space="preserve">Los miembros CI ya no ven comentarios ni evaluaciones internas.</w:t>
      </w:r>
    </w:p>
    <w:p>
      <w:pPr>
        <w:pStyle w:val="Compact"/>
        <w:numPr>
          <w:ilvl w:val="0"/>
          <w:numId w:val="1010"/>
        </w:numPr>
      </w:pPr>
      <w:r>
        <w:t xml:space="preserve">Acceden únicamente mediante la vista institucional con</w:t>
      </w:r>
      <w:r>
        <w:t xml:space="preserve"> </w:t>
      </w:r>
      <w:r>
        <w:rPr>
          <w:rStyle w:val="VerbatimChar"/>
        </w:rPr>
        <w:t xml:space="preserve">actas.view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SACAD conserva acceso operativo completo mediante</w:t>
      </w:r>
      <w:r>
        <w:t xml:space="preserve"> </w:t>
      </w:r>
      <w:r>
        <w:rPr>
          <w:rStyle w:val="VerbatimChar"/>
        </w:rPr>
        <w:t xml:space="preserve">ci.manage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reuniones-1"/>
    <w:p>
      <w:pPr>
        <w:pStyle w:val="Heading2"/>
      </w:pPr>
      <w:r>
        <w:t xml:space="preserve">8. Reuniones</w:t>
      </w:r>
    </w:p>
    <w:bookmarkStart w:id="41" w:name="estados"/>
    <w:p>
      <w:pPr>
        <w:pStyle w:val="Heading3"/>
      </w:pPr>
      <w:r>
        <w:t xml:space="preserve">8.1 Estados</w:t>
      </w:r>
    </w:p>
    <w:p>
      <w:pPr>
        <w:pStyle w:val="FirstParagraph"/>
      </w:pPr>
      <w:r>
        <w:t xml:space="preserve">Las reuniones tendrán solo dos estados: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EN_PROCESO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CONCLUIDA</w:t>
      </w:r>
    </w:p>
    <w:bookmarkEnd w:id="41"/>
    <w:bookmarkStart w:id="42" w:name="valores-por-defecto-al-crear"/>
    <w:p>
      <w:pPr>
        <w:pStyle w:val="Heading3"/>
      </w:pPr>
      <w:r>
        <w:t xml:space="preserve">8.2 Valores por defecto al crear</w:t>
      </w:r>
    </w:p>
    <w:p>
      <w:pPr>
        <w:pStyle w:val="FirstParagraph"/>
      </w:pPr>
      <w:r>
        <w:t xml:space="preserve">Al crear una reunión: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tipo_reunion = ORDINARIA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modalidad = PRESENCIAL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estatus = EN_PROCESO</w:t>
      </w:r>
    </w:p>
    <w:p>
      <w:pPr>
        <w:pStyle w:val="FirstParagraph"/>
      </w:pPr>
      <w:r>
        <w:t xml:space="preserve">Estos campos estarán visibles desde el inicio y podrán modificarse.</w:t>
      </w:r>
    </w:p>
    <w:bookmarkEnd w:id="42"/>
    <w:bookmarkStart w:id="46" w:name="estructura-de-la-pantalla-de-reunión"/>
    <w:p>
      <w:pPr>
        <w:pStyle w:val="Heading3"/>
      </w:pPr>
      <w:r>
        <w:t xml:space="preserve">8.3 Estructura de la pantalla de reunión</w:t>
      </w:r>
    </w:p>
    <w:p>
      <w:pPr>
        <w:pStyle w:val="FirstParagraph"/>
      </w:pPr>
      <w:r>
        <w:t xml:space="preserve">La reunión se organizará en tres secciones:</w:t>
      </w:r>
    </w:p>
    <w:bookmarkStart w:id="43" w:name="sección-1-datos-y-participantes"/>
    <w:p>
      <w:pPr>
        <w:pStyle w:val="Heading4"/>
      </w:pPr>
      <w:r>
        <w:t xml:space="preserve">Sección 1: Datos y participantes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Título.</w:t>
      </w:r>
    </w:p>
    <w:p>
      <w:pPr>
        <w:pStyle w:val="Compact"/>
        <w:numPr>
          <w:ilvl w:val="0"/>
          <w:numId w:val="1013"/>
        </w:numPr>
      </w:pPr>
      <w:r>
        <w:t xml:space="preserve">Fecha.</w:t>
      </w:r>
    </w:p>
    <w:p>
      <w:pPr>
        <w:pStyle w:val="Compact"/>
        <w:numPr>
          <w:ilvl w:val="0"/>
          <w:numId w:val="1013"/>
        </w:numPr>
      </w:pPr>
      <w:r>
        <w:t xml:space="preserve">Tipo de reunión.</w:t>
      </w:r>
    </w:p>
    <w:p>
      <w:pPr>
        <w:pStyle w:val="Compact"/>
        <w:numPr>
          <w:ilvl w:val="0"/>
          <w:numId w:val="1013"/>
        </w:numPr>
      </w:pPr>
      <w:r>
        <w:t xml:space="preserve">Modalidad.</w:t>
      </w:r>
    </w:p>
    <w:p>
      <w:pPr>
        <w:pStyle w:val="Compact"/>
        <w:numPr>
          <w:ilvl w:val="0"/>
          <w:numId w:val="1013"/>
        </w:numPr>
      </w:pPr>
      <w:r>
        <w:t xml:space="preserve">Estatus.</w:t>
      </w:r>
    </w:p>
    <w:p>
      <w:pPr>
        <w:pStyle w:val="Compact"/>
        <w:numPr>
          <w:ilvl w:val="0"/>
          <w:numId w:val="1013"/>
        </w:numPr>
      </w:pPr>
      <w:r>
        <w:t xml:space="preserve">Participantes.</w:t>
      </w:r>
    </w:p>
    <w:p>
      <w:pPr>
        <w:pStyle w:val="FirstParagraph"/>
      </w:pPr>
      <w:r>
        <w:t xml:space="preserve">Los participantes se mostrarán como lista simple de checkboxes con el nombre del consejero.</w:t>
      </w:r>
    </w:p>
    <w:p>
      <w:pPr>
        <w:pStyle w:val="BodyText"/>
      </w:pPr>
      <w:r>
        <w:t xml:space="preserve">No se mostrarán correos, cargos ni datos adicionales, porque no aportan valor en ese contexto.</w:t>
      </w:r>
    </w:p>
    <w:bookmarkEnd w:id="43"/>
    <w:bookmarkStart w:id="44" w:name="sección-2-solicitudes"/>
    <w:p>
      <w:pPr>
        <w:pStyle w:val="Heading4"/>
      </w:pPr>
      <w:r>
        <w:t xml:space="preserve">Sección 2: Solicitudes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4"/>
        </w:numPr>
      </w:pPr>
      <w:r>
        <w:t xml:space="preserve">Resumen de solicitudes.</w:t>
      </w:r>
    </w:p>
    <w:p>
      <w:pPr>
        <w:pStyle w:val="Compact"/>
        <w:numPr>
          <w:ilvl w:val="0"/>
          <w:numId w:val="1014"/>
        </w:numPr>
      </w:pPr>
      <w:r>
        <w:t xml:space="preserve">Filtros.</w:t>
      </w:r>
    </w:p>
    <w:p>
      <w:pPr>
        <w:pStyle w:val="Compact"/>
        <w:numPr>
          <w:ilvl w:val="0"/>
          <w:numId w:val="1014"/>
        </w:numPr>
      </w:pPr>
      <w:r>
        <w:t xml:space="preserve">Listado único con checkboxes.</w:t>
      </w:r>
    </w:p>
    <w:p>
      <w:pPr>
        <w:pStyle w:val="Compact"/>
        <w:numPr>
          <w:ilvl w:val="0"/>
          <w:numId w:val="1014"/>
        </w:numPr>
      </w:pPr>
      <w:r>
        <w:t xml:space="preserve">Scroll interno.</w:t>
      </w:r>
    </w:p>
    <w:p>
      <w:pPr>
        <w:pStyle w:val="Compact"/>
        <w:numPr>
          <w:ilvl w:val="0"/>
          <w:numId w:val="1014"/>
        </w:numPr>
      </w:pPr>
      <w:r>
        <w:t xml:space="preserve">Indicadores visuales para solicitudes seleccionadas o ya programadas.</w:t>
      </w:r>
    </w:p>
    <w:p>
      <w:pPr>
        <w:pStyle w:val="Compact"/>
        <w:numPr>
          <w:ilvl w:val="0"/>
          <w:numId w:val="1014"/>
        </w:numPr>
      </w:pPr>
      <w:r>
        <w:t xml:space="preserve">Botón para ver solicitud en modal.</w:t>
      </w:r>
    </w:p>
    <w:p>
      <w:pPr>
        <w:pStyle w:val="FirstParagraph"/>
      </w:pPr>
      <w:r>
        <w:t xml:space="preserve">El listado debe mostrar todas las solicitudes disponibles para evaluación por CI.</w:t>
      </w:r>
    </w:p>
    <w:bookmarkEnd w:id="44"/>
    <w:bookmarkStart w:id="45" w:name="Xa8c17a8402fa752057316b78bcec941e99550d9"/>
    <w:p>
      <w:pPr>
        <w:pStyle w:val="Heading4"/>
      </w:pPr>
      <w:r>
        <w:t xml:space="preserve">Sección 3: Otros puntos y documentos adicionales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5"/>
        </w:numPr>
      </w:pPr>
      <w:r>
        <w:t xml:space="preserve">Captura de otros puntos.</w:t>
      </w:r>
    </w:p>
    <w:p>
      <w:pPr>
        <w:pStyle w:val="Compact"/>
        <w:numPr>
          <w:ilvl w:val="0"/>
          <w:numId w:val="1015"/>
        </w:numPr>
      </w:pPr>
      <w:r>
        <w:t xml:space="preserve">Ordenamiento de otros puntos.</w:t>
      </w:r>
    </w:p>
    <w:p>
      <w:pPr>
        <w:pStyle w:val="Compact"/>
        <w:numPr>
          <w:ilvl w:val="0"/>
          <w:numId w:val="1015"/>
        </w:numPr>
      </w:pPr>
      <w:r>
        <w:t xml:space="preserve">Carga de documentos adicionales.</w:t>
      </w:r>
    </w:p>
    <w:p>
      <w:pPr>
        <w:pStyle w:val="Compact"/>
        <w:numPr>
          <w:ilvl w:val="0"/>
          <w:numId w:val="1015"/>
        </w:numPr>
      </w:pPr>
      <w:r>
        <w:t xml:space="preserve">Lista de documentos cargados.</w:t>
      </w:r>
    </w:p>
    <w:bookmarkEnd w:id="45"/>
    <w:bookmarkEnd w:id="46"/>
    <w:bookmarkStart w:id="47" w:name="index-de-reuniones"/>
    <w:p>
      <w:pPr>
        <w:pStyle w:val="Heading3"/>
      </w:pPr>
      <w:r>
        <w:t xml:space="preserve">8.4 Index de reuniones</w:t>
      </w:r>
    </w:p>
    <w:p>
      <w:pPr>
        <w:pStyle w:val="FirstParagraph"/>
      </w:pPr>
      <w:r>
        <w:t xml:space="preserve">Columnas:</w:t>
      </w:r>
    </w:p>
    <w:p>
      <w:pPr>
        <w:pStyle w:val="Compact"/>
        <w:numPr>
          <w:ilvl w:val="0"/>
          <w:numId w:val="1016"/>
        </w:numPr>
      </w:pPr>
      <w:r>
        <w:t xml:space="preserve">Fecha.</w:t>
      </w:r>
    </w:p>
    <w:p>
      <w:pPr>
        <w:pStyle w:val="Compact"/>
        <w:numPr>
          <w:ilvl w:val="0"/>
          <w:numId w:val="1016"/>
        </w:numPr>
      </w:pPr>
      <w:r>
        <w:t xml:space="preserve">Título.</w:t>
      </w:r>
    </w:p>
    <w:p>
      <w:pPr>
        <w:pStyle w:val="Compact"/>
        <w:numPr>
          <w:ilvl w:val="0"/>
          <w:numId w:val="1016"/>
        </w:numPr>
      </w:pPr>
      <w:r>
        <w:t xml:space="preserve">Tipo.</w:t>
      </w:r>
    </w:p>
    <w:p>
      <w:pPr>
        <w:pStyle w:val="Compact"/>
        <w:numPr>
          <w:ilvl w:val="0"/>
          <w:numId w:val="1016"/>
        </w:numPr>
      </w:pPr>
      <w:r>
        <w:t xml:space="preserve">Modalidad.</w:t>
      </w:r>
    </w:p>
    <w:p>
      <w:pPr>
        <w:pStyle w:val="Compact"/>
        <w:numPr>
          <w:ilvl w:val="0"/>
          <w:numId w:val="1016"/>
        </w:numPr>
      </w:pPr>
      <w:r>
        <w:t xml:space="preserve">Estatus.</w:t>
      </w:r>
    </w:p>
    <w:p>
      <w:pPr>
        <w:pStyle w:val="Compact"/>
        <w:numPr>
          <w:ilvl w:val="0"/>
          <w:numId w:val="1016"/>
        </w:numPr>
      </w:pPr>
      <w:r>
        <w:t xml:space="preserve">Resumen.</w:t>
      </w:r>
    </w:p>
    <w:p>
      <w:pPr>
        <w:pStyle w:val="Compact"/>
        <w:numPr>
          <w:ilvl w:val="0"/>
          <w:numId w:val="1016"/>
        </w:numPr>
      </w:pPr>
      <w:r>
        <w:t xml:space="preserve">Acciones.</w:t>
      </w:r>
    </w:p>
    <w:p>
      <w:pPr>
        <w:pStyle w:val="FirstParagraph"/>
      </w:pPr>
      <w:r>
        <w:t xml:space="preserve">El resumen mostrará contadores con iconos:</w:t>
      </w:r>
    </w:p>
    <w:p>
      <w:pPr>
        <w:pStyle w:val="Compact"/>
        <w:numPr>
          <w:ilvl w:val="0"/>
          <w:numId w:val="1017"/>
        </w:numPr>
      </w:pPr>
      <w:r>
        <w:t xml:space="preserve">Participantes.</w:t>
      </w:r>
    </w:p>
    <w:p>
      <w:pPr>
        <w:pStyle w:val="Compact"/>
        <w:numPr>
          <w:ilvl w:val="0"/>
          <w:numId w:val="1017"/>
        </w:numPr>
      </w:pPr>
      <w:r>
        <w:t xml:space="preserve">Solicitudes.</w:t>
      </w:r>
    </w:p>
    <w:p>
      <w:pPr>
        <w:pStyle w:val="Compact"/>
        <w:numPr>
          <w:ilvl w:val="0"/>
          <w:numId w:val="1017"/>
        </w:numPr>
      </w:pPr>
      <w:r>
        <w:t xml:space="preserve">Otros puntos.</w:t>
      </w:r>
    </w:p>
    <w:p>
      <w:pPr>
        <w:pStyle w:val="Compact"/>
        <w:numPr>
          <w:ilvl w:val="0"/>
          <w:numId w:val="1017"/>
        </w:numPr>
      </w:pPr>
      <w:r>
        <w:t xml:space="preserve">Documentos.</w:t>
      </w:r>
    </w:p>
    <w:p>
      <w:pPr>
        <w:pStyle w:val="FirstParagraph"/>
      </w:pPr>
      <w:r>
        <w:t xml:space="preserve">No se mostrará acta como columna principal, porque las actas no están obligadas a depender de reuniones.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olicitudes-dentro-de-reuniones"/>
    <w:p>
      <w:pPr>
        <w:pStyle w:val="Heading2"/>
      </w:pPr>
      <w:r>
        <w:t xml:space="preserve">9. Solicitudes dentro de reuniones</w:t>
      </w:r>
    </w:p>
    <w:bookmarkStart w:id="49" w:name="listado"/>
    <w:p>
      <w:pPr>
        <w:pStyle w:val="Heading3"/>
      </w:pPr>
      <w:r>
        <w:t xml:space="preserve">9.1 Listado</w:t>
      </w:r>
    </w:p>
    <w:p>
      <w:pPr>
        <w:pStyle w:val="FirstParagraph"/>
      </w:pPr>
      <w:r>
        <w:t xml:space="preserve">El listado de solicitudes debe mostrar datos ligeros:</w:t>
      </w:r>
    </w:p>
    <w:p>
      <w:pPr>
        <w:pStyle w:val="Compact"/>
        <w:numPr>
          <w:ilvl w:val="0"/>
          <w:numId w:val="1018"/>
        </w:numPr>
      </w:pPr>
      <w:r>
        <w:t xml:space="preserve">Checkbox.</w:t>
      </w:r>
    </w:p>
    <w:p>
      <w:pPr>
        <w:pStyle w:val="Compact"/>
        <w:numPr>
          <w:ilvl w:val="0"/>
          <w:numId w:val="1018"/>
        </w:numPr>
      </w:pPr>
      <w:r>
        <w:t xml:space="preserve">Folio.</w:t>
      </w:r>
    </w:p>
    <w:p>
      <w:pPr>
        <w:pStyle w:val="Compact"/>
        <w:numPr>
          <w:ilvl w:val="0"/>
          <w:numId w:val="1018"/>
        </w:numPr>
      </w:pPr>
      <w:r>
        <w:t xml:space="preserve">Solicitante.</w:t>
      </w:r>
    </w:p>
    <w:p>
      <w:pPr>
        <w:pStyle w:val="Compact"/>
        <w:numPr>
          <w:ilvl w:val="0"/>
          <w:numId w:val="1018"/>
        </w:numPr>
      </w:pPr>
      <w:r>
        <w:t xml:space="preserve">Tipo.</w:t>
      </w:r>
    </w:p>
    <w:p>
      <w:pPr>
        <w:pStyle w:val="Compact"/>
        <w:numPr>
          <w:ilvl w:val="0"/>
          <w:numId w:val="1018"/>
        </w:numPr>
      </w:pPr>
      <w:r>
        <w:t xml:space="preserve">Motivo.</w:t>
      </w:r>
    </w:p>
    <w:p>
      <w:pPr>
        <w:pStyle w:val="Compact"/>
        <w:numPr>
          <w:ilvl w:val="0"/>
          <w:numId w:val="1018"/>
        </w:numPr>
      </w:pPr>
      <w:r>
        <w:t xml:space="preserve">Fechas.</w:t>
      </w:r>
    </w:p>
    <w:p>
      <w:pPr>
        <w:pStyle w:val="Compact"/>
        <w:numPr>
          <w:ilvl w:val="0"/>
          <w:numId w:val="1018"/>
        </w:numPr>
      </w:pPr>
      <w:r>
        <w:t xml:space="preserve">Indicador de recursos.</w:t>
      </w:r>
    </w:p>
    <w:p>
      <w:pPr>
        <w:pStyle w:val="Compact"/>
        <w:numPr>
          <w:ilvl w:val="0"/>
          <w:numId w:val="1018"/>
        </w:numPr>
      </w:pPr>
      <w:r>
        <w:t xml:space="preserve">Botón Ver.</w:t>
      </w:r>
    </w:p>
    <w:p>
      <w:pPr>
        <w:pStyle w:val="FirstParagraph"/>
      </w:pPr>
      <w:r>
        <w:t xml:space="preserve">No debe mostrar estatus, porque el listado ya estará filtrado a solicitudes enviadas y pendientes de resolución por CI.</w:t>
      </w:r>
    </w:p>
    <w:bookmarkEnd w:id="49"/>
    <w:bookmarkStart w:id="50" w:name="solicitudes-ya-programadas"/>
    <w:p>
      <w:pPr>
        <w:pStyle w:val="Heading3"/>
      </w:pPr>
      <w:r>
        <w:t xml:space="preserve">9.2 Solicitudes ya programadas</w:t>
      </w:r>
    </w:p>
    <w:p>
      <w:pPr>
        <w:pStyle w:val="FirstParagraph"/>
      </w:pPr>
      <w:r>
        <w:t xml:space="preserve">Si una solicitud ya está incluida en otra reunión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Se muestra en el listado.</w:t>
      </w:r>
    </w:p>
    <w:p>
      <w:pPr>
        <w:pStyle w:val="Compact"/>
        <w:numPr>
          <w:ilvl w:val="0"/>
          <w:numId w:val="1019"/>
        </w:numPr>
      </w:pPr>
      <w:r>
        <w:t xml:space="preserve">Se indica visualmente.</w:t>
      </w:r>
    </w:p>
    <w:p>
      <w:pPr>
        <w:pStyle w:val="Compact"/>
        <w:numPr>
          <w:ilvl w:val="0"/>
          <w:numId w:val="1019"/>
        </w:numPr>
      </w:pPr>
      <w:r>
        <w:t xml:space="preserve">El checkbox queda deshabilitado.</w:t>
      </w:r>
    </w:p>
    <w:p>
      <w:pPr>
        <w:pStyle w:val="Compact"/>
        <w:numPr>
          <w:ilvl w:val="0"/>
          <w:numId w:val="1019"/>
        </w:numPr>
      </w:pPr>
      <w:r>
        <w:t xml:space="preserve">No se permite moverla ni reasignarla desde esta pantalla.</w:t>
      </w:r>
    </w:p>
    <w:bookmarkEnd w:id="50"/>
    <w:bookmarkStart w:id="51" w:name="filtros"/>
    <w:p>
      <w:pPr>
        <w:pStyle w:val="Heading3"/>
      </w:pPr>
      <w:r>
        <w:t xml:space="preserve">9.3 Filtros</w:t>
      </w:r>
    </w:p>
    <w:p>
      <w:pPr>
        <w:pStyle w:val="FirstParagraph"/>
      </w:pPr>
      <w:r>
        <w:t xml:space="preserve">Se podrán filtrar o buscar solicitudes por:</w:t>
      </w:r>
    </w:p>
    <w:p>
      <w:pPr>
        <w:pStyle w:val="Compact"/>
        <w:numPr>
          <w:ilvl w:val="0"/>
          <w:numId w:val="1020"/>
        </w:numPr>
      </w:pPr>
      <w:r>
        <w:t xml:space="preserve">Folio.</w:t>
      </w:r>
    </w:p>
    <w:p>
      <w:pPr>
        <w:pStyle w:val="Compact"/>
        <w:numPr>
          <w:ilvl w:val="0"/>
          <w:numId w:val="1020"/>
        </w:numPr>
      </w:pPr>
      <w:r>
        <w:t xml:space="preserve">Solicitante.</w:t>
      </w:r>
    </w:p>
    <w:p>
      <w:pPr>
        <w:pStyle w:val="Compact"/>
        <w:numPr>
          <w:ilvl w:val="0"/>
          <w:numId w:val="1020"/>
        </w:numPr>
      </w:pPr>
      <w:r>
        <w:t xml:space="preserve">Tipo de solicitud.</w:t>
      </w:r>
    </w:p>
    <w:p>
      <w:pPr>
        <w:pStyle w:val="Compact"/>
        <w:numPr>
          <w:ilvl w:val="0"/>
          <w:numId w:val="1020"/>
        </w:numPr>
      </w:pPr>
      <w:r>
        <w:t xml:space="preserve">Motivo.</w:t>
      </w:r>
    </w:p>
    <w:p>
      <w:pPr>
        <w:pStyle w:val="Compact"/>
        <w:numPr>
          <w:ilvl w:val="0"/>
          <w:numId w:val="1020"/>
        </w:numPr>
      </w:pPr>
      <w:r>
        <w:t xml:space="preserve">Requiere recursos.</w:t>
      </w:r>
    </w:p>
    <w:p>
      <w:pPr>
        <w:pStyle w:val="FirstParagraph"/>
      </w:pPr>
      <w:r>
        <w:t xml:space="preserve">La filosofía es mostrar toda la información y permitir que SACAD filtre según su necesidad.</w:t>
      </w:r>
    </w:p>
    <w:bookmarkEnd w:id="51"/>
    <w:bookmarkStart w:id="52" w:name="modal-de-solicitud"/>
    <w:p>
      <w:pPr>
        <w:pStyle w:val="Heading3"/>
      </w:pPr>
      <w:r>
        <w:t xml:space="preserve">9.4 Modal de solicitud</w:t>
      </w:r>
    </w:p>
    <w:p>
      <w:pPr>
        <w:pStyle w:val="FirstParagraph"/>
      </w:pPr>
      <w:r>
        <w:t xml:space="preserve">El modal de solicitud dentro de CI debe mostrar la solicitud completa en modo solo lectura, equivalente a la vista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del módulo Solicitudes.</w:t>
      </w:r>
    </w:p>
    <w:p>
      <w:pPr>
        <w:pStyle w:val="BodyText"/>
      </w:pPr>
      <w:r>
        <w:t xml:space="preserve">Debe incluir:</w:t>
      </w:r>
    </w:p>
    <w:p>
      <w:pPr>
        <w:pStyle w:val="Compact"/>
        <w:numPr>
          <w:ilvl w:val="0"/>
          <w:numId w:val="1021"/>
        </w:numPr>
      </w:pPr>
      <w:r>
        <w:t xml:space="preserve">Datos generales.</w:t>
      </w:r>
    </w:p>
    <w:p>
      <w:pPr>
        <w:pStyle w:val="Compact"/>
        <w:numPr>
          <w:ilvl w:val="0"/>
          <w:numId w:val="1021"/>
        </w:numPr>
      </w:pPr>
      <w:r>
        <w:t xml:space="preserve">Solicitante.</w:t>
      </w:r>
    </w:p>
    <w:p>
      <w:pPr>
        <w:pStyle w:val="Compact"/>
        <w:numPr>
          <w:ilvl w:val="0"/>
          <w:numId w:val="1021"/>
        </w:numPr>
      </w:pPr>
      <w:r>
        <w:t xml:space="preserve">Tipo y motivo.</w:t>
      </w:r>
    </w:p>
    <w:p>
      <w:pPr>
        <w:pStyle w:val="Compact"/>
        <w:numPr>
          <w:ilvl w:val="0"/>
          <w:numId w:val="1021"/>
        </w:numPr>
      </w:pPr>
      <w:r>
        <w:t xml:space="preserve">Fechas.</w:t>
      </w:r>
    </w:p>
    <w:p>
      <w:pPr>
        <w:pStyle w:val="Compact"/>
        <w:numPr>
          <w:ilvl w:val="0"/>
          <w:numId w:val="1021"/>
        </w:numPr>
      </w:pPr>
      <w:r>
        <w:t xml:space="preserve">Lugar, institución o destino.</w:t>
      </w:r>
    </w:p>
    <w:p>
      <w:pPr>
        <w:pStyle w:val="Compact"/>
        <w:numPr>
          <w:ilvl w:val="0"/>
          <w:numId w:val="1021"/>
        </w:numPr>
      </w:pPr>
      <w:r>
        <w:t xml:space="preserve">Recursos.</w:t>
      </w:r>
    </w:p>
    <w:p>
      <w:pPr>
        <w:pStyle w:val="Compact"/>
        <w:numPr>
          <w:ilvl w:val="0"/>
          <w:numId w:val="1021"/>
        </w:numPr>
      </w:pPr>
      <w:r>
        <w:t xml:space="preserve">Visitante, si aplica.</w:t>
      </w:r>
    </w:p>
    <w:p>
      <w:pPr>
        <w:pStyle w:val="Compact"/>
        <w:numPr>
          <w:ilvl w:val="0"/>
          <w:numId w:val="1021"/>
        </w:numPr>
      </w:pPr>
      <w:r>
        <w:t xml:space="preserve">Documentos.</w:t>
      </w:r>
    </w:p>
    <w:p>
      <w:pPr>
        <w:pStyle w:val="Compact"/>
        <w:numPr>
          <w:ilvl w:val="0"/>
          <w:numId w:val="1021"/>
        </w:numPr>
      </w:pPr>
      <w:r>
        <w:t xml:space="preserve">Observaciones.</w:t>
      </w:r>
    </w:p>
    <w:p>
      <w:pPr>
        <w:pStyle w:val="Compact"/>
        <w:numPr>
          <w:ilvl w:val="0"/>
          <w:numId w:val="1021"/>
        </w:numPr>
      </w:pPr>
      <w:r>
        <w:t xml:space="preserve">Estado actual.</w:t>
      </w:r>
    </w:p>
    <w:p>
      <w:pPr>
        <w:pStyle w:val="FirstParagraph"/>
      </w:pPr>
      <w:r>
        <w:t xml:space="preserve">CI no edita solicitudes.</w:t>
      </w:r>
    </w:p>
    <w:p>
      <w:pPr>
        <w:pStyle w:val="BodyText"/>
      </w:pPr>
      <w:r>
        <w:t xml:space="preserve">SACAD podrá editar</w:t>
      </w:r>
      <w:r>
        <w:t xml:space="preserve"> </w:t>
      </w:r>
      <w:r>
        <w:rPr>
          <w:rStyle w:val="VerbatimChar"/>
        </w:rPr>
        <w:t xml:space="preserve">observaciones_sacad</w:t>
      </w:r>
      <w:r>
        <w:t xml:space="preserve"> </w:t>
      </w:r>
      <w:r>
        <w:t xml:space="preserve">desde el modal si se requiere, pero cualquier edición completa de la solicitud debe realizarse en el módulo Solicitudes.</w:t>
      </w:r>
    </w:p>
    <w:p>
      <w:pPr>
        <w:pStyle w:val="BodyText"/>
      </w:pPr>
      <w:r>
        <w:t xml:space="preserve">El modal puede incluir un botón:</w:t>
      </w:r>
    </w:p>
    <w:p>
      <w:pPr>
        <w:pStyle w:val="Compact"/>
        <w:numPr>
          <w:ilvl w:val="0"/>
          <w:numId w:val="1022"/>
        </w:numPr>
      </w:pPr>
      <w:r>
        <w:t xml:space="preserve">Abrir en Solicitudes.</w:t>
      </w:r>
    </w:p>
    <w:p>
      <w:pPr>
        <w:pStyle w:val="FirstParagraph"/>
      </w:pPr>
      <w:r>
        <w:t xml:space="preserve">Al cerrar el modal, la interfaz debe mantener foco visual sobre la última solicitud consultada.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puntos-del-orden-del-día"/>
    <w:p>
      <w:pPr>
        <w:pStyle w:val="Heading2"/>
      </w:pPr>
      <w:r>
        <w:t xml:space="preserve">10. Puntos del orden del día</w:t>
      </w:r>
    </w:p>
    <w:p>
      <w:pPr>
        <w:pStyle w:val="FirstParagraph"/>
      </w:pPr>
      <w:r>
        <w:t xml:space="preserve">Las solicitudes y otros asuntos viven juntos conceptualmente como puntos del orden del día, almacenados en</w:t>
      </w:r>
      <w:r>
        <w:t xml:space="preserve"> </w:t>
      </w:r>
      <w:r>
        <w:rPr>
          <w:rStyle w:val="VerbatimChar"/>
        </w:rPr>
        <w:t xml:space="preserve">ci_puntos</w:t>
      </w:r>
      <w:r>
        <w:t xml:space="preserve">.</w:t>
      </w:r>
    </w:p>
    <w:bookmarkStart w:id="54" w:name="tipos-de-punto"/>
    <w:p>
      <w:pPr>
        <w:pStyle w:val="Heading3"/>
      </w:pPr>
      <w:r>
        <w:t xml:space="preserve">10.1 Tipos de punto</w:t>
      </w:r>
    </w:p>
    <w:p>
      <w:pPr>
        <w:pStyle w:val="FirstParagraph"/>
      </w:pPr>
      <w:r>
        <w:t xml:space="preserve">El tipo de punto usará catálogo:</w:t>
      </w:r>
    </w:p>
    <w:p>
      <w:pPr>
        <w:pStyle w:val="BodyText"/>
      </w:pPr>
      <w:r>
        <w:t xml:space="preserve">Catálogo: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C_RCI_TP</w:t>
      </w:r>
    </w:p>
    <w:p>
      <w:pPr>
        <w:pStyle w:val="FirstParagraph"/>
      </w:pPr>
      <w:r>
        <w:t xml:space="preserve">Valores: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TP_SOL</w:t>
      </w:r>
      <w:r>
        <w:t xml:space="preserve"> </w:t>
      </w:r>
      <w:r>
        <w:t xml:space="preserve">— Solicitudes.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TP_OTRO</w:t>
      </w:r>
      <w:r>
        <w:t xml:space="preserve"> </w:t>
      </w:r>
      <w:r>
        <w:t xml:space="preserve">— Otro.</w:t>
      </w:r>
    </w:p>
    <w:bookmarkEnd w:id="54"/>
    <w:bookmarkStart w:id="55" w:name="solicitudes"/>
    <w:p>
      <w:pPr>
        <w:pStyle w:val="Heading3"/>
      </w:pPr>
      <w:r>
        <w:t xml:space="preserve">10.2 Solicitudes</w:t>
      </w:r>
    </w:p>
    <w:p>
      <w:pPr>
        <w:pStyle w:val="FirstParagraph"/>
      </w:pPr>
      <w:r>
        <w:t xml:space="preserve">Para puntos de tipo solicitud: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solicitud_id</w:t>
      </w:r>
      <w:r>
        <w:t xml:space="preserve"> </w:t>
      </w:r>
      <w:r>
        <w:t xml:space="preserve">es obligatorio.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titulo</w:t>
      </w:r>
      <w:r>
        <w:t xml:space="preserve"> </w:t>
      </w:r>
      <w:r>
        <w:t xml:space="preserve">es nullable.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descripcion</w:t>
      </w:r>
      <w:r>
        <w:t xml:space="preserve"> </w:t>
      </w:r>
      <w:r>
        <w:t xml:space="preserve">es nullable.</w:t>
      </w:r>
    </w:p>
    <w:p>
      <w:pPr>
        <w:pStyle w:val="FirstParagraph"/>
      </w:pPr>
      <w:r>
        <w:t xml:space="preserve">La información se toma desde la solicitud.</w:t>
      </w:r>
    </w:p>
    <w:bookmarkEnd w:id="55"/>
    <w:bookmarkStart w:id="56" w:name="otros-puntos"/>
    <w:p>
      <w:pPr>
        <w:pStyle w:val="Heading3"/>
      </w:pPr>
      <w:r>
        <w:t xml:space="preserve">10.3 Otros puntos</w:t>
      </w:r>
    </w:p>
    <w:p>
      <w:pPr>
        <w:pStyle w:val="FirstParagraph"/>
      </w:pPr>
      <w:r>
        <w:t xml:space="preserve">Para puntos de tipo otro: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solicitud_id</w:t>
      </w:r>
      <w:r>
        <w:t xml:space="preserve"> </w:t>
      </w:r>
      <w:r>
        <w:t xml:space="preserve">es null.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titulo</w:t>
      </w:r>
      <w:r>
        <w:t xml:space="preserve"> </w:t>
      </w:r>
      <w:r>
        <w:t xml:space="preserve">es obligatorio.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descripcion</w:t>
      </w:r>
      <w:r>
        <w:t xml:space="preserve"> </w:t>
      </w:r>
      <w:r>
        <w:t xml:space="preserve">es obligatoria.</w:t>
      </w:r>
    </w:p>
    <w:bookmarkEnd w:id="56"/>
    <w:bookmarkStart w:id="57" w:name="orden"/>
    <w:p>
      <w:pPr>
        <w:pStyle w:val="Heading3"/>
      </w:pPr>
      <w:r>
        <w:t xml:space="preserve">10.4 Orden</w:t>
      </w:r>
    </w:p>
    <w:p>
      <w:pPr>
        <w:pStyle w:val="FirstParagraph"/>
      </w:pPr>
      <w:r>
        <w:t xml:space="preserve">El orden se maneja por tipo de punto.</w:t>
      </w:r>
    </w:p>
    <w:p>
      <w:pPr>
        <w:pStyle w:val="BodyText"/>
      </w:pPr>
      <w:r>
        <w:t xml:space="preserve">Las solicitudes se ordenan dentro del grupo de solicitudes.</w:t>
      </w:r>
    </w:p>
    <w:p>
      <w:pPr>
        <w:pStyle w:val="BodyText"/>
      </w:pPr>
      <w:r>
        <w:t xml:space="preserve">Los otros puntos se ordenan dentro del grupo de otros puntos.</w:t>
      </w:r>
    </w:p>
    <w:p>
      <w:pPr>
        <w:pStyle w:val="BodyText"/>
      </w:pPr>
      <w:r>
        <w:t xml:space="preserve">La UX debe permitir drag &amp; drop dentro de cada grupo, sin mezclar solicitudes con otros puntos.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evaluaciones-de-puntos"/>
    <w:p>
      <w:pPr>
        <w:pStyle w:val="Heading2"/>
      </w:pPr>
      <w:r>
        <w:t xml:space="preserve">11. Evaluaciones de puntos</w:t>
      </w:r>
    </w:p>
    <w:bookmarkStart w:id="59" w:name="naturaleza-de-la-evaluación"/>
    <w:p>
      <w:pPr>
        <w:pStyle w:val="Heading3"/>
      </w:pPr>
      <w:r>
        <w:t xml:space="preserve">11.1 Naturaleza de la evaluación</w:t>
      </w:r>
    </w:p>
    <w:p>
      <w:pPr>
        <w:pStyle w:val="FirstParagraph"/>
      </w:pPr>
      <w:r>
        <w:t xml:space="preserve">La evaluación es una opinión interna de cada consejero. Ayuda a tomar decisiones, pero no equivale a la resolución final.</w:t>
      </w:r>
    </w:p>
    <w:bookmarkEnd w:id="59"/>
    <w:bookmarkStart w:id="60" w:name="catálogo-de-evaluación"/>
    <w:p>
      <w:pPr>
        <w:pStyle w:val="Heading3"/>
      </w:pPr>
      <w:r>
        <w:t xml:space="preserve">11.2 Catálogo de evaluación</w:t>
      </w:r>
    </w:p>
    <w:p>
      <w:pPr>
        <w:pStyle w:val="FirstParagraph"/>
      </w:pPr>
      <w:r>
        <w:t xml:space="preserve">Catálogo: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C_RCI_EVA</w:t>
      </w:r>
    </w:p>
    <w:p>
      <w:pPr>
        <w:pStyle w:val="FirstParagraph"/>
      </w:pPr>
      <w:r>
        <w:t xml:space="preserve">Valores: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EV_A</w:t>
      </w:r>
      <w:r>
        <w:t xml:space="preserve"> </w:t>
      </w:r>
      <w:r>
        <w:t xml:space="preserve">— Aceptar.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EV_DIS</w:t>
      </w:r>
      <w:r>
        <w:t xml:space="preserve"> </w:t>
      </w:r>
      <w:r>
        <w:t xml:space="preserve">— Discutir.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EV_RE</w:t>
      </w:r>
      <w:r>
        <w:t xml:space="preserve"> </w:t>
      </w:r>
      <w:r>
        <w:t xml:space="preserve">— Rechazar.</w:t>
      </w:r>
    </w:p>
    <w:bookmarkEnd w:id="60"/>
    <w:bookmarkStart w:id="61" w:name="datos-de-evaluación"/>
    <w:p>
      <w:pPr>
        <w:pStyle w:val="Heading3"/>
      </w:pPr>
      <w:r>
        <w:t xml:space="preserve">11.3 Datos de evaluación</w:t>
      </w:r>
    </w:p>
    <w:p>
      <w:pPr>
        <w:pStyle w:val="FirstParagraph"/>
      </w:pPr>
      <w:r>
        <w:t xml:space="preserve">Cada evaluación incluye:</w:t>
      </w:r>
    </w:p>
    <w:p>
      <w:pPr>
        <w:pStyle w:val="Compact"/>
        <w:numPr>
          <w:ilvl w:val="0"/>
          <w:numId w:val="1029"/>
        </w:numPr>
      </w:pPr>
      <w:r>
        <w:t xml:space="preserve">Punto.</w:t>
      </w:r>
    </w:p>
    <w:p>
      <w:pPr>
        <w:pStyle w:val="Compact"/>
        <w:numPr>
          <w:ilvl w:val="0"/>
          <w:numId w:val="1029"/>
        </w:numPr>
      </w:pPr>
      <w:r>
        <w:t xml:space="preserve">Consejero.</w:t>
      </w:r>
    </w:p>
    <w:p>
      <w:pPr>
        <w:pStyle w:val="Compact"/>
        <w:numPr>
          <w:ilvl w:val="0"/>
          <w:numId w:val="1029"/>
        </w:numPr>
      </w:pPr>
      <w:r>
        <w:t xml:space="preserve">Evaluación.</w:t>
      </w:r>
    </w:p>
    <w:p>
      <w:pPr>
        <w:pStyle w:val="Compact"/>
        <w:numPr>
          <w:ilvl w:val="0"/>
          <w:numId w:val="1029"/>
        </w:numPr>
      </w:pPr>
      <w:r>
        <w:t xml:space="preserve">Comentario opcional.</w:t>
      </w:r>
    </w:p>
    <w:p>
      <w:pPr>
        <w:pStyle w:val="FirstParagraph"/>
      </w:pPr>
      <w:r>
        <w:t xml:space="preserve">No habrá</w:t>
      </w:r>
      <w:r>
        <w:t xml:space="preserve"> </w:t>
      </w:r>
      <w:r>
        <w:rPr>
          <w:rStyle w:val="VerbatimChar"/>
        </w:rPr>
        <w:t xml:space="preserve">evaluated_at</w:t>
      </w:r>
      <w:r>
        <w:t xml:space="preserve">, porque la fecha se obtiene 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61"/>
    <w:bookmarkStart w:id="62" w:name="visualización"/>
    <w:p>
      <w:pPr>
        <w:pStyle w:val="Heading3"/>
      </w:pPr>
      <w:r>
        <w:t xml:space="preserve">11.4 Visualización</w:t>
      </w:r>
    </w:p>
    <w:p>
      <w:pPr>
        <w:pStyle w:val="FirstParagraph"/>
      </w:pPr>
      <w:r>
        <w:t xml:space="preserve">Siempre se muestra:</w:t>
      </w:r>
    </w:p>
    <w:p>
      <w:pPr>
        <w:pStyle w:val="Compact"/>
        <w:numPr>
          <w:ilvl w:val="0"/>
          <w:numId w:val="1030"/>
        </w:numPr>
      </w:pPr>
      <w:r>
        <w:t xml:space="preserve">Autor.</w:t>
      </w:r>
    </w:p>
    <w:p>
      <w:pPr>
        <w:pStyle w:val="Compact"/>
        <w:numPr>
          <w:ilvl w:val="0"/>
          <w:numId w:val="1030"/>
        </w:numPr>
      </w:pPr>
      <w:r>
        <w:t xml:space="preserve">Evaluación.</w:t>
      </w:r>
    </w:p>
    <w:p>
      <w:pPr>
        <w:pStyle w:val="FirstParagraph"/>
      </w:pPr>
      <w:r>
        <w:t xml:space="preserve">Si existe comentario, se muestra también.</w:t>
      </w:r>
    </w:p>
    <w:p>
      <w:pPr>
        <w:pStyle w:val="BodyText"/>
      </w:pPr>
      <w:r>
        <w:t xml:space="preserve">Si no existe comentario, solo se muestra autor y evaluación.</w:t>
      </w:r>
    </w:p>
    <w:p>
      <w:pPr>
        <w:pStyle w:val="BodyText"/>
      </w:pPr>
      <w:r>
        <w:t xml:space="preserve">No habrá anonimato.</w:t>
      </w:r>
    </w:p>
    <w:bookmarkEnd w:id="62"/>
    <w:bookmarkStart w:id="63" w:name="edición"/>
    <w:p>
      <w:pPr>
        <w:pStyle w:val="Heading3"/>
      </w:pPr>
      <w:r>
        <w:t xml:space="preserve">11.5 Edición</w:t>
      </w:r>
    </w:p>
    <w:p>
      <w:pPr>
        <w:pStyle w:val="FirstParagraph"/>
      </w:pPr>
      <w:r>
        <w:t xml:space="preserve">Mientras la reunión esté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cada consejero puede modificar su evaluación y comentario.</w:t>
      </w:r>
    </w:p>
    <w:p>
      <w:pPr>
        <w:pStyle w:val="BodyText"/>
      </w:pPr>
      <w:r>
        <w:t xml:space="preserve">Cuando la reunión esté</w:t>
      </w:r>
      <w:r>
        <w:t xml:space="preserve"> </w:t>
      </w:r>
      <w:r>
        <w:rPr>
          <w:rStyle w:val="VerbatimChar"/>
        </w:rPr>
        <w:t xml:space="preserve">CONCLUIDA</w:t>
      </w:r>
      <w:r>
        <w:t xml:space="preserve">, los consejeros ya no pueden editar.</w:t>
      </w:r>
    </w:p>
    <w:p>
      <w:pPr>
        <w:pStyle w:val="BodyText"/>
      </w:pPr>
      <w:r>
        <w:t xml:space="preserve">SACAD puede modificar o eliminar evaluaciones si fuera necesario, con auditoría.</w:t>
      </w:r>
    </w:p>
    <w:bookmarkEnd w:id="63"/>
    <w:bookmarkStart w:id="64" w:name="sin-historial-visual"/>
    <w:p>
      <w:pPr>
        <w:pStyle w:val="Heading3"/>
      </w:pPr>
      <w:r>
        <w:t xml:space="preserve">11.6 Sin historial visual</w:t>
      </w:r>
    </w:p>
    <w:p>
      <w:pPr>
        <w:pStyle w:val="FirstParagraph"/>
      </w:pPr>
      <w:r>
        <w:t xml:space="preserve">No se mostrará historial de cambios de evaluaciones ni comentarios.</w:t>
      </w:r>
    </w:p>
    <w:p>
      <w:pPr>
        <w:pStyle w:val="BodyText"/>
      </w:pPr>
      <w:r>
        <w:t xml:space="preserve">Solo se muestra la evaluación vigente.</w:t>
      </w:r>
    </w:p>
    <w:p>
      <w:pPr>
        <w:pStyle w:val="BodyText"/>
      </w:pPr>
      <w:r>
        <w:t xml:space="preserve">La trazabilidad se delega a la auditoría general del SIIAA.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solución-final-de-puntos"/>
    <w:p>
      <w:pPr>
        <w:pStyle w:val="Heading2"/>
      </w:pPr>
      <w:r>
        <w:t xml:space="preserve">12. Resolución final de puntos</w:t>
      </w:r>
    </w:p>
    <w:p>
      <w:pPr>
        <w:pStyle w:val="FirstParagraph"/>
      </w:pPr>
      <w:r>
        <w:t xml:space="preserve">La resolución vive en</w:t>
      </w:r>
      <w:r>
        <w:t xml:space="preserve"> </w:t>
      </w:r>
      <w:r>
        <w:rPr>
          <w:rStyle w:val="VerbatimChar"/>
        </w:rPr>
        <w:t xml:space="preserve">ci_puntos</w:t>
      </w:r>
      <w:r>
        <w:t xml:space="preserve">.</w:t>
      </w:r>
    </w:p>
    <w:p>
      <w:pPr>
        <w:pStyle w:val="BodyText"/>
      </w:pPr>
      <w:r>
        <w:t xml:space="preserve">Representa el veredicto final del Consejo Interno, independientemente de las evaluaciones individuales.</w:t>
      </w:r>
    </w:p>
    <w:p>
      <w:pPr>
        <w:pStyle w:val="BodyText"/>
      </w:pPr>
      <w:r>
        <w:t xml:space="preserve">La resolución será texto, no catálogo.</w:t>
      </w:r>
    </w:p>
    <w:p>
      <w:pPr>
        <w:pStyle w:val="BodyText"/>
      </w:pPr>
      <w:r>
        <w:t xml:space="preserve">Valores esperados: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ACEPTAR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DISCUTIR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RECHAZAR</w:t>
      </w:r>
    </w:p>
    <w:p>
      <w:pPr>
        <w:pStyle w:val="FirstParagraph"/>
      </w:pPr>
      <w:r>
        <w:t xml:space="preserve">SACAD registra la resolución final.</w:t>
      </w:r>
    </w:p>
    <w:p>
      <w:pPr>
        <w:pStyle w:val="BodyText"/>
      </w:pPr>
      <w:r>
        <w:t xml:space="preserve">No habrá observaciones generales en</w:t>
      </w:r>
      <w:r>
        <w:t xml:space="preserve"> </w:t>
      </w:r>
      <w:r>
        <w:rPr>
          <w:rStyle w:val="VerbatimChar"/>
        </w:rPr>
        <w:t xml:space="preserve">ci_puntos</w:t>
      </w:r>
      <w:r>
        <w:t xml:space="preserve">; los comentarios viven exclusivamente en evaluaciones.</w:t>
      </w:r>
    </w:p>
    <w:p>
      <w:r>
        <w:pict>
          <v:rect style="width:0;height:1.5pt" o:hralign="center" o:hrstd="t" o:hr="t"/>
        </w:pict>
      </w:r>
    </w:p>
    <w:bookmarkEnd w:id="66"/>
    <w:bookmarkStart w:id="71" w:name="integración-con-solicitudes"/>
    <w:p>
      <w:pPr>
        <w:pStyle w:val="Heading2"/>
      </w:pPr>
      <w:r>
        <w:t xml:space="preserve">13. Integración con Solicitudes</w:t>
      </w:r>
    </w:p>
    <w:p>
      <w:pPr>
        <w:pStyle w:val="FirstParagraph"/>
      </w:pPr>
      <w:r>
        <w:t xml:space="preserve">Cuando SACAD registra resolución final sobre un punto de tipo solicitud:</w:t>
      </w:r>
    </w:p>
    <w:bookmarkStart w:id="67" w:name="si-se-acepta-una-solicitud-sin-recursos"/>
    <w:p>
      <w:pPr>
        <w:pStyle w:val="Heading3"/>
      </w:pPr>
      <w:r>
        <w:t xml:space="preserve">13.1 Si se acepta una solicitud sin recursos</w:t>
      </w:r>
    </w:p>
    <w:p>
      <w:pPr>
        <w:pStyle w:val="FirstParagraph"/>
      </w:pPr>
      <w:r>
        <w:t xml:space="preserve">Flujo: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ENVIADA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APROBADA_CI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CERRADA</w:t>
      </w:r>
    </w:p>
    <w:bookmarkEnd w:id="67"/>
    <w:bookmarkStart w:id="68" w:name="si-se-acepta-una-solicitud-con-recursos"/>
    <w:p>
      <w:pPr>
        <w:pStyle w:val="Heading3"/>
      </w:pPr>
      <w:r>
        <w:t xml:space="preserve">13.2 Si se acepta una solicitud con recursos</w:t>
      </w:r>
    </w:p>
    <w:p>
      <w:pPr>
        <w:pStyle w:val="FirstParagraph"/>
      </w:pPr>
      <w:r>
        <w:t xml:space="preserve">Flujo: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ENVIADA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APROBADA_CI</w:t>
      </w:r>
    </w:p>
    <w:p>
      <w:pPr>
        <w:pStyle w:val="FirstParagraph"/>
      </w:pPr>
      <w:r>
        <w:t xml:space="preserve">Después continúa el proceso en Solicitudes, con intervención administrativa si aplica.</w:t>
      </w:r>
    </w:p>
    <w:bookmarkEnd w:id="68"/>
    <w:bookmarkStart w:id="69" w:name="si-se-rechaza-una-solicitud"/>
    <w:p>
      <w:pPr>
        <w:pStyle w:val="Heading3"/>
      </w:pPr>
      <w:r>
        <w:t xml:space="preserve">13.3 Si se rechaza una solicitud</w:t>
      </w:r>
    </w:p>
    <w:p>
      <w:pPr>
        <w:pStyle w:val="FirstParagraph"/>
      </w:pPr>
      <w:r>
        <w:t xml:space="preserve">Flujo: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ENVIADA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RECHAZADA_CI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CERRADA</w:t>
      </w:r>
    </w:p>
    <w:bookmarkEnd w:id="69"/>
    <w:bookmarkStart w:id="70" w:name="correos"/>
    <w:p>
      <w:pPr>
        <w:pStyle w:val="Heading3"/>
      </w:pPr>
      <w:r>
        <w:t xml:space="preserve">13.4 Correos</w:t>
      </w:r>
    </w:p>
    <w:p>
      <w:pPr>
        <w:pStyle w:val="FirstParagraph"/>
      </w:pPr>
      <w:r>
        <w:t xml:space="preserve">Solo se enviarán correos relacionados con solicitudes:</w:t>
      </w:r>
    </w:p>
    <w:p>
      <w:pPr>
        <w:pStyle w:val="Compact"/>
        <w:numPr>
          <w:ilvl w:val="0"/>
          <w:numId w:val="1035"/>
        </w:numPr>
      </w:pPr>
      <w:r>
        <w:t xml:space="preserve">Al enviar solicitud.</w:t>
      </w:r>
    </w:p>
    <w:p>
      <w:pPr>
        <w:pStyle w:val="Compact"/>
        <w:numPr>
          <w:ilvl w:val="0"/>
          <w:numId w:val="1035"/>
        </w:numPr>
      </w:pPr>
      <w:r>
        <w:t xml:space="preserve">Al registrar resolución de CI.</w:t>
      </w:r>
    </w:p>
    <w:p>
      <w:pPr>
        <w:pStyle w:val="FirstParagraph"/>
      </w:pPr>
      <w:r>
        <w:t xml:space="preserve">El correo de resolución incluirá:</w:t>
      </w:r>
    </w:p>
    <w:p>
      <w:pPr>
        <w:pStyle w:val="Compact"/>
        <w:numPr>
          <w:ilvl w:val="0"/>
          <w:numId w:val="1036"/>
        </w:numPr>
      </w:pPr>
      <w:r>
        <w:t xml:space="preserve">Folio.</w:t>
      </w:r>
    </w:p>
    <w:p>
      <w:pPr>
        <w:pStyle w:val="Compact"/>
        <w:numPr>
          <w:ilvl w:val="0"/>
          <w:numId w:val="1036"/>
        </w:numPr>
      </w:pPr>
      <w:r>
        <w:t xml:space="preserve">Resumen de solicitud.</w:t>
      </w:r>
    </w:p>
    <w:p>
      <w:pPr>
        <w:pStyle w:val="Compact"/>
        <w:numPr>
          <w:ilvl w:val="0"/>
          <w:numId w:val="1036"/>
        </w:numPr>
      </w:pPr>
      <w:r>
        <w:t xml:space="preserve">Resolución.</w:t>
      </w:r>
    </w:p>
    <w:p>
      <w:pPr>
        <w:pStyle w:val="Compact"/>
        <w:numPr>
          <w:ilvl w:val="0"/>
          <w:numId w:val="1036"/>
        </w:numPr>
      </w:pPr>
      <w:r>
        <w:t xml:space="preserve">Observaciones SACAD si existen.</w:t>
      </w:r>
    </w:p>
    <w:p>
      <w:pPr>
        <w:pStyle w:val="Compact"/>
        <w:numPr>
          <w:ilvl w:val="0"/>
          <w:numId w:val="1036"/>
        </w:numPr>
      </w:pPr>
      <w:r>
        <w:t xml:space="preserve">Observaciones Administración si existen.</w:t>
      </w:r>
    </w:p>
    <w:p>
      <w:pPr>
        <w:pStyle w:val="FirstParagraph"/>
      </w:pPr>
      <w:r>
        <w:t xml:space="preserve">No se enviarán correos por reuniones, otros puntos, actas, documentos o evaluaciones.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actas"/>
    <w:p>
      <w:pPr>
        <w:pStyle w:val="Heading2"/>
      </w:pPr>
      <w:r>
        <w:t xml:space="preserve">14. Actas</w:t>
      </w:r>
    </w:p>
    <w:p>
      <w:pPr>
        <w:pStyle w:val="FirstParagraph"/>
      </w:pPr>
      <w:r>
        <w:t xml:space="preserve">Las actas son parte del módulo Consejo Interno, pero deben tratarse como entidad autónoma. No deben sentirse forzadas a pertenecer a una reunión.</w:t>
      </w:r>
    </w:p>
    <w:bookmarkStart w:id="72" w:name="relación-con-reunión"/>
    <w:p>
      <w:pPr>
        <w:pStyle w:val="Heading3"/>
      </w:pPr>
      <w:r>
        <w:t xml:space="preserve">14.1 Relación con reunión</w:t>
      </w:r>
    </w:p>
    <w:p>
      <w:pPr>
        <w:pStyle w:val="FirstParagraph"/>
      </w:pPr>
      <w:r>
        <w:rPr>
          <w:rStyle w:val="VerbatimChar"/>
        </w:rPr>
        <w:t xml:space="preserve">ci_actas.reunion_id</w:t>
      </w:r>
      <w:r>
        <w:t xml:space="preserve"> </w:t>
      </w:r>
      <w:r>
        <w:t xml:space="preserve">será nullable.</w:t>
      </w:r>
    </w:p>
    <w:p>
      <w:pPr>
        <w:pStyle w:val="BodyText"/>
      </w:pPr>
      <w:r>
        <w:t xml:space="preserve">Una acta puede estar ligada a una reunión o existir de forma independiente.</w:t>
      </w:r>
    </w:p>
    <w:bookmarkEnd w:id="72"/>
    <w:bookmarkStart w:id="73" w:name="estados-1"/>
    <w:p>
      <w:pPr>
        <w:pStyle w:val="Heading3"/>
      </w:pPr>
      <w:r>
        <w:t xml:space="preserve">14.2 Estados</w:t>
      </w:r>
    </w:p>
    <w:p>
      <w:pPr>
        <w:pStyle w:val="FirstParagraph"/>
      </w:pPr>
      <w:r>
        <w:t xml:space="preserve">Las actas tendrán solo dos estados: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BORRADOR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PUBLICADA</w:t>
      </w:r>
    </w:p>
    <w:bookmarkEnd w:id="73"/>
    <w:bookmarkStart w:id="74" w:name="número-de-acta"/>
    <w:p>
      <w:pPr>
        <w:pStyle w:val="Heading3"/>
      </w:pPr>
      <w:r>
        <w:t xml:space="preserve">14.3 Número de acta</w:t>
      </w:r>
    </w:p>
    <w:p>
      <w:pPr>
        <w:pStyle w:val="FirstParagraph"/>
      </w:pPr>
      <w:r>
        <w:t xml:space="preserve">Se conservará</w:t>
      </w:r>
      <w:r>
        <w:t xml:space="preserve"> </w:t>
      </w:r>
      <w:r>
        <w:rPr>
          <w:rStyle w:val="VerbatimChar"/>
        </w:rPr>
        <w:t xml:space="preserve">numero_acta</w:t>
      </w:r>
      <w:r>
        <w:t xml:space="preserve">.</w:t>
      </w:r>
    </w:p>
    <w:p>
      <w:pPr>
        <w:pStyle w:val="BodyText"/>
      </w:pPr>
      <w:r>
        <w:t xml:space="preserve">Este campo será manual.</w:t>
      </w:r>
    </w:p>
    <w:p>
      <w:pPr>
        <w:pStyle w:val="BodyText"/>
      </w:pPr>
      <w:r>
        <w:t xml:space="preserve">No habrá numeración automática ni validación de consecutivos.</w:t>
      </w:r>
    </w:p>
    <w:bookmarkEnd w:id="74"/>
    <w:bookmarkStart w:id="75" w:name="fecha-y-año"/>
    <w:p>
      <w:pPr>
        <w:pStyle w:val="Heading3"/>
      </w:pPr>
      <w:r>
        <w:t xml:space="preserve">14.4 Fecha y año</w:t>
      </w:r>
    </w:p>
    <w:p>
      <w:pPr>
        <w:pStyle w:val="FirstParagraph"/>
      </w:pPr>
      <w:r>
        <w:t xml:space="preserve">Las actas tendrán: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fecha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year</w:t>
      </w:r>
      <w:r>
        <w:t xml:space="preserve">.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se deriva automáticamente desde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y se usará para filtros.</w:t>
      </w:r>
    </w:p>
    <w:bookmarkEnd w:id="75"/>
    <w:bookmarkStart w:id="76" w:name="contenido"/>
    <w:p>
      <w:pPr>
        <w:pStyle w:val="Heading3"/>
      </w:pPr>
      <w:r>
        <w:t xml:space="preserve">14.5 Contenido</w:t>
      </w:r>
    </w:p>
    <w:p>
      <w:pPr>
        <w:pStyle w:val="FirstParagraph"/>
      </w:pPr>
      <w:r>
        <w:t xml:space="preserve">Las actas tendrán: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contenido_json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contenido_html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search_text</w:t>
      </w:r>
      <w:r>
        <w:t xml:space="preserve">.</w:t>
      </w:r>
    </w:p>
    <w:p>
      <w:pPr>
        <w:pStyle w:val="FirstParagraph"/>
      </w:pPr>
      <w:r>
        <w:t xml:space="preserve">Estos campos serán opcionales mientras el acta esté en borrador.</w:t>
      </w:r>
    </w:p>
    <w:p>
      <w:pPr>
        <w:pStyle w:val="BodyText"/>
      </w:pPr>
      <w:r>
        <w:t xml:space="preserve">Para publicar, el acta debe tener contenido.</w:t>
      </w:r>
    </w:p>
    <w:bookmarkEnd w:id="76"/>
    <w:bookmarkStart w:id="77" w:name="editor"/>
    <w:p>
      <w:pPr>
        <w:pStyle w:val="Heading3"/>
      </w:pPr>
      <w:r>
        <w:t xml:space="preserve">14.6 Editor</w:t>
      </w:r>
    </w:p>
    <w:p>
      <w:pPr>
        <w:pStyle w:val="FirstParagraph"/>
      </w:pPr>
      <w:r>
        <w:t xml:space="preserve">El editor recomendado es Tiptap.</w:t>
      </w:r>
    </w:p>
    <w:p>
      <w:pPr>
        <w:pStyle w:val="BodyText"/>
      </w:pPr>
      <w:r>
        <w:t xml:space="preserve">Se usará una configuración simple y estable, enfocada en documentos institucionales:</w:t>
      </w:r>
    </w:p>
    <w:p>
      <w:pPr>
        <w:pStyle w:val="Compact"/>
        <w:numPr>
          <w:ilvl w:val="0"/>
          <w:numId w:val="1040"/>
        </w:numPr>
      </w:pPr>
      <w:r>
        <w:t xml:space="preserve">Negritas.</w:t>
      </w:r>
    </w:p>
    <w:p>
      <w:pPr>
        <w:pStyle w:val="Compact"/>
        <w:numPr>
          <w:ilvl w:val="0"/>
          <w:numId w:val="1040"/>
        </w:numPr>
      </w:pPr>
      <w:r>
        <w:t xml:space="preserve">Itálicas.</w:t>
      </w:r>
    </w:p>
    <w:p>
      <w:pPr>
        <w:pStyle w:val="Compact"/>
        <w:numPr>
          <w:ilvl w:val="0"/>
          <w:numId w:val="1040"/>
        </w:numPr>
      </w:pPr>
      <w:r>
        <w:t xml:space="preserve">Encabezados.</w:t>
      </w:r>
    </w:p>
    <w:p>
      <w:pPr>
        <w:pStyle w:val="Compact"/>
        <w:numPr>
          <w:ilvl w:val="0"/>
          <w:numId w:val="1040"/>
        </w:numPr>
      </w:pPr>
      <w:r>
        <w:t xml:space="preserve">Listas.</w:t>
      </w:r>
    </w:p>
    <w:p>
      <w:pPr>
        <w:pStyle w:val="Compact"/>
        <w:numPr>
          <w:ilvl w:val="0"/>
          <w:numId w:val="1040"/>
        </w:numPr>
      </w:pPr>
      <w:r>
        <w:t xml:space="preserve">Tablas.</w:t>
      </w:r>
    </w:p>
    <w:p>
      <w:pPr>
        <w:pStyle w:val="Compact"/>
        <w:numPr>
          <w:ilvl w:val="0"/>
          <w:numId w:val="1040"/>
        </w:numPr>
      </w:pPr>
      <w:r>
        <w:t xml:space="preserve">Enlaces.</w:t>
      </w:r>
    </w:p>
    <w:p>
      <w:pPr>
        <w:pStyle w:val="FirstParagraph"/>
      </w:pPr>
      <w:r>
        <w:t xml:space="preserve">No se deben incluir herramientas innecesarias como videos, embeds o componentes complejos.</w:t>
      </w:r>
    </w:p>
    <w:bookmarkEnd w:id="77"/>
    <w:bookmarkStart w:id="78" w:name="generación-de-contenido-inicial"/>
    <w:p>
      <w:pPr>
        <w:pStyle w:val="Heading3"/>
      </w:pPr>
      <w:r>
        <w:t xml:space="preserve">14.7 Generación de contenido inicial</w:t>
      </w:r>
    </w:p>
    <w:p>
      <w:pPr>
        <w:pStyle w:val="FirstParagraph"/>
      </w:pPr>
      <w:r>
        <w:t xml:space="preserve">Si el acta se crea ligada a una reunión y el contenido está vacío, el sistema puede generar un texto mínimo editable con:</w:t>
      </w:r>
    </w:p>
    <w:p>
      <w:pPr>
        <w:pStyle w:val="Compact"/>
        <w:numPr>
          <w:ilvl w:val="0"/>
          <w:numId w:val="1041"/>
        </w:numPr>
      </w:pPr>
      <w:r>
        <w:t xml:space="preserve">Encabezado básico.</w:t>
      </w:r>
    </w:p>
    <w:p>
      <w:pPr>
        <w:pStyle w:val="Compact"/>
        <w:numPr>
          <w:ilvl w:val="0"/>
          <w:numId w:val="1041"/>
        </w:numPr>
      </w:pPr>
      <w:r>
        <w:t xml:space="preserve">Fecha.</w:t>
      </w:r>
    </w:p>
    <w:p>
      <w:pPr>
        <w:pStyle w:val="Compact"/>
        <w:numPr>
          <w:ilvl w:val="0"/>
          <w:numId w:val="1041"/>
        </w:numPr>
      </w:pPr>
      <w:r>
        <w:t xml:space="preserve">Tipo de reunión.</w:t>
      </w:r>
    </w:p>
    <w:p>
      <w:pPr>
        <w:pStyle w:val="Compact"/>
        <w:numPr>
          <w:ilvl w:val="0"/>
          <w:numId w:val="1041"/>
        </w:numPr>
      </w:pPr>
      <w:r>
        <w:t xml:space="preserve">Modalidad.</w:t>
      </w:r>
    </w:p>
    <w:p>
      <w:pPr>
        <w:pStyle w:val="Compact"/>
        <w:numPr>
          <w:ilvl w:val="0"/>
          <w:numId w:val="1041"/>
        </w:numPr>
      </w:pPr>
      <w:r>
        <w:t xml:space="preserve">Participantes.</w:t>
      </w:r>
    </w:p>
    <w:p>
      <w:pPr>
        <w:pStyle w:val="Compact"/>
        <w:numPr>
          <w:ilvl w:val="0"/>
          <w:numId w:val="1041"/>
        </w:numPr>
      </w:pPr>
      <w:r>
        <w:t xml:space="preserve">Espacio para acuerdos.</w:t>
      </w:r>
    </w:p>
    <w:p>
      <w:pPr>
        <w:pStyle w:val="FirstParagraph"/>
      </w:pPr>
      <w:r>
        <w:t xml:space="preserve">Si el acta se crea sin reunión, el editor inicia vacío.</w:t>
      </w:r>
    </w:p>
    <w:p>
      <w:pPr>
        <w:pStyle w:val="BodyText"/>
      </w:pPr>
      <w:r>
        <w:t xml:space="preserve">Si un acta ya tiene contenido y luego se liga a una reunión, el contenido no se modifica ni se sobrescribe.</w:t>
      </w:r>
    </w:p>
    <w:bookmarkEnd w:id="78"/>
    <w:bookmarkStart w:id="79" w:name="búsqueda"/>
    <w:p>
      <w:pPr>
        <w:pStyle w:val="Heading3"/>
      </w:pPr>
      <w:r>
        <w:t xml:space="preserve">14.8 Búsqueda</w:t>
      </w:r>
    </w:p>
    <w:p>
      <w:pPr>
        <w:pStyle w:val="FirstParagraph"/>
      </w:pPr>
      <w:r>
        <w:rPr>
          <w:rStyle w:val="VerbatimChar"/>
        </w:rPr>
        <w:t xml:space="preserve">search_text</w:t>
      </w:r>
      <w:r>
        <w:t xml:space="preserve"> </w:t>
      </w:r>
      <w:r>
        <w:t xml:space="preserve">se genera automáticamente a partir de: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numero_acta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titulo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contenido_html</w:t>
      </w:r>
      <w:r>
        <w:t xml:space="preserve">.</w:t>
      </w:r>
    </w:p>
    <w:p>
      <w:pPr>
        <w:pStyle w:val="FirstParagraph"/>
      </w:pPr>
      <w:r>
        <w:t xml:space="preserve">Se eliminan etiquetas HTML y se normaliza el texto.</w:t>
      </w:r>
    </w:p>
    <w:p>
      <w:pPr>
        <w:pStyle w:val="BodyText"/>
      </w:pPr>
      <w:r>
        <w:t xml:space="preserve">El usuario nunca editará</w:t>
      </w:r>
      <w:r>
        <w:t xml:space="preserve"> </w:t>
      </w:r>
      <w:r>
        <w:rPr>
          <w:rStyle w:val="VerbatimChar"/>
        </w:rPr>
        <w:t xml:space="preserve">search_text</w:t>
      </w:r>
      <w:r>
        <w:t xml:space="preserve"> </w:t>
      </w:r>
      <w:r>
        <w:t xml:space="preserve">manualmente.</w:t>
      </w:r>
    </w:p>
    <w:bookmarkEnd w:id="79"/>
    <w:bookmarkStart w:id="80" w:name="publicación"/>
    <w:p>
      <w:pPr>
        <w:pStyle w:val="Heading3"/>
      </w:pPr>
      <w:r>
        <w:t xml:space="preserve">14.9 Publicación</w:t>
      </w:r>
    </w:p>
    <w:p>
      <w:pPr>
        <w:pStyle w:val="FirstParagraph"/>
      </w:pPr>
      <w:r>
        <w:t xml:space="preserve">Al publicar: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estatus = PUBLICADA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publicada_at = now()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El acta aparece en la consulta institucional para usuarios con</w:t>
      </w:r>
      <w:r>
        <w:t xml:space="preserve"> </w:t>
      </w:r>
      <w:r>
        <w:rPr>
          <w:rStyle w:val="VerbatimChar"/>
        </w:rPr>
        <w:t xml:space="preserve">actas.view</w:t>
      </w:r>
      <w:r>
        <w:t xml:space="preserve">.</w:t>
      </w:r>
    </w:p>
    <w:p>
      <w:pPr>
        <w:pStyle w:val="FirstParagraph"/>
      </w:pPr>
      <w:r>
        <w:t xml:space="preserve">La publicación no requiere unanimidad ni validación obligatoria de evaluaciones.</w:t>
      </w:r>
    </w:p>
    <w:p>
      <w:pPr>
        <w:pStyle w:val="BodyText"/>
      </w:pPr>
      <w:r>
        <w:t xml:space="preserve">SACAD publica cuando considere que existe consenso suficiente.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evaluación-de-actas"/>
    <w:p>
      <w:pPr>
        <w:pStyle w:val="Heading2"/>
      </w:pPr>
      <w:r>
        <w:t xml:space="preserve">15. Evaluación de actas</w:t>
      </w:r>
    </w:p>
    <w:p>
      <w:pPr>
        <w:pStyle w:val="FirstParagraph"/>
      </w:pPr>
      <w:r>
        <w:t xml:space="preserve">Las actas también pueden ser evaluadas por miembros del Consejo Interno.</w:t>
      </w:r>
    </w:p>
    <w:bookmarkStart w:id="82" w:name="X7e2092949f6997ca997914a2ebbdf28e7b49aae"/>
    <w:p>
      <w:pPr>
        <w:pStyle w:val="Heading3"/>
      </w:pPr>
      <w:r>
        <w:t xml:space="preserve">15.1 Evaluación de acta vs evaluación de puntos</w:t>
      </w:r>
    </w:p>
    <w:p>
      <w:pPr>
        <w:pStyle w:val="FirstParagraph"/>
      </w:pPr>
      <w:r>
        <w:t xml:space="preserve">Son dos procesos distintos.</w:t>
      </w:r>
    </w:p>
    <w:p>
      <w:pPr>
        <w:pStyle w:val="BodyText"/>
      </w:pPr>
      <w:r>
        <w:t xml:space="preserve">La evaluación de puntos corresponde a solicitudes u otros asuntos de una reunión.</w:t>
      </w:r>
    </w:p>
    <w:p>
      <w:pPr>
        <w:pStyle w:val="BodyText"/>
      </w:pPr>
      <w:r>
        <w:t xml:space="preserve">La evaluación de acta corresponde al contenido redactado del acta.</w:t>
      </w:r>
    </w:p>
    <w:bookmarkEnd w:id="82"/>
    <w:bookmarkStart w:id="83" w:name="valores"/>
    <w:p>
      <w:pPr>
        <w:pStyle w:val="Heading3"/>
      </w:pPr>
      <w:r>
        <w:t xml:space="preserve">15.2 Valores</w:t>
      </w:r>
    </w:p>
    <w:p>
      <w:pPr>
        <w:pStyle w:val="FirstParagraph"/>
      </w:pPr>
      <w:r>
        <w:t xml:space="preserve">Se usará el mismo catálogo</w:t>
      </w:r>
      <w:r>
        <w:t xml:space="preserve"> </w:t>
      </w:r>
      <w:r>
        <w:rPr>
          <w:rStyle w:val="VerbatimChar"/>
        </w:rPr>
        <w:t xml:space="preserve">C_RCI_EVA</w:t>
      </w:r>
      <w:r>
        <w:t xml:space="preserve"> </w:t>
      </w:r>
      <w:r>
        <w:t xml:space="preserve">o la equivalencia funcional correspondiente:</w:t>
      </w:r>
    </w:p>
    <w:p>
      <w:pPr>
        <w:pStyle w:val="Compact"/>
        <w:numPr>
          <w:ilvl w:val="0"/>
          <w:numId w:val="1044"/>
        </w:numPr>
      </w:pPr>
      <w:r>
        <w:t xml:space="preserve">Aceptada.</w:t>
      </w:r>
    </w:p>
    <w:p>
      <w:pPr>
        <w:pStyle w:val="Compact"/>
        <w:numPr>
          <w:ilvl w:val="0"/>
          <w:numId w:val="1044"/>
        </w:numPr>
      </w:pPr>
      <w:r>
        <w:t xml:space="preserve">Rechazada.</w:t>
      </w:r>
    </w:p>
    <w:p>
      <w:pPr>
        <w:pStyle w:val="Compact"/>
        <w:numPr>
          <w:ilvl w:val="0"/>
          <w:numId w:val="1044"/>
        </w:numPr>
      </w:pPr>
      <w:r>
        <w:t xml:space="preserve">Aceptada con comentarios.</w:t>
      </w:r>
    </w:p>
    <w:p>
      <w:pPr>
        <w:pStyle w:val="FirstParagraph"/>
      </w:pPr>
      <w:r>
        <w:t xml:space="preserve">A nivel operativo, la evaluación del acta no bloquea publicación.</w:t>
      </w:r>
    </w:p>
    <w:bookmarkEnd w:id="83"/>
    <w:bookmarkStart w:id="84" w:name="acta-ligada-a-reunión"/>
    <w:p>
      <w:pPr>
        <w:pStyle w:val="Heading3"/>
      </w:pPr>
      <w:r>
        <w:t xml:space="preserve">15.3 Acta ligada a reunión</w:t>
      </w:r>
    </w:p>
    <w:p>
      <w:pPr>
        <w:pStyle w:val="FirstParagraph"/>
      </w:pPr>
      <w:r>
        <w:t xml:space="preserve">Solo pueden evaluar los participantes de la reunión asociada que tengan</w:t>
      </w:r>
      <w:r>
        <w:t xml:space="preserve"> </w:t>
      </w:r>
      <w:r>
        <w:rPr>
          <w:rStyle w:val="VerbatimChar"/>
        </w:rPr>
        <w:t xml:space="preserve">ci.evaluate</w:t>
      </w:r>
      <w:r>
        <w:t xml:space="preserve">.</w:t>
      </w:r>
    </w:p>
    <w:bookmarkEnd w:id="84"/>
    <w:bookmarkStart w:id="85" w:name="acta-sin-reunión"/>
    <w:p>
      <w:pPr>
        <w:pStyle w:val="Heading3"/>
      </w:pPr>
      <w:r>
        <w:t xml:space="preserve">15.4 Acta sin reunión</w:t>
      </w:r>
    </w:p>
    <w:p>
      <w:pPr>
        <w:pStyle w:val="FirstParagraph"/>
      </w:pPr>
      <w:r>
        <w:t xml:space="preserve">Pueden evaluar todos los miembros activos del CI con</w:t>
      </w:r>
      <w:r>
        <w:t xml:space="preserve"> </w:t>
      </w:r>
      <w:r>
        <w:rPr>
          <w:rStyle w:val="VerbatimChar"/>
        </w:rPr>
        <w:t xml:space="preserve">ci.evaluate</w:t>
      </w:r>
      <w:r>
        <w:t xml:space="preserve">.</w:t>
      </w:r>
    </w:p>
    <w:bookmarkEnd w:id="85"/>
    <w:bookmarkStart w:id="86" w:name="acta-publicada"/>
    <w:p>
      <w:pPr>
        <w:pStyle w:val="Heading3"/>
      </w:pPr>
      <w:r>
        <w:t xml:space="preserve">15.5 Acta publicada</w:t>
      </w:r>
    </w:p>
    <w:p>
      <w:pPr>
        <w:pStyle w:val="FirstParagraph"/>
      </w:pPr>
      <w:r>
        <w:t xml:space="preserve">Una vez publicada:</w:t>
      </w:r>
    </w:p>
    <w:p>
      <w:pPr>
        <w:pStyle w:val="Compact"/>
        <w:numPr>
          <w:ilvl w:val="0"/>
          <w:numId w:val="1045"/>
        </w:numPr>
      </w:pPr>
      <w:r>
        <w:t xml:space="preserve">CI ya no ve evaluaciones ni comentarios.</w:t>
      </w:r>
    </w:p>
    <w:p>
      <w:pPr>
        <w:pStyle w:val="Compact"/>
        <w:numPr>
          <w:ilvl w:val="0"/>
          <w:numId w:val="1045"/>
        </w:numPr>
      </w:pPr>
      <w:r>
        <w:t xml:space="preserve">CI accede por la vista institucional si tiene</w:t>
      </w:r>
      <w:r>
        <w:t xml:space="preserve"> </w:t>
      </w:r>
      <w:r>
        <w:rPr>
          <w:rStyle w:val="VerbatimChar"/>
        </w:rPr>
        <w:t xml:space="preserve">actas.view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SACAD conserva acceso a evaluaciones y comentarios internos.</w:t>
      </w:r>
    </w:p>
    <w:bookmarkEnd w:id="86"/>
    <w:bookmarkStart w:id="87" w:name="sin-historial-visual-1"/>
    <w:p>
      <w:pPr>
        <w:pStyle w:val="Heading3"/>
      </w:pPr>
      <w:r>
        <w:t xml:space="preserve">15.6 Sin historial visual</w:t>
      </w:r>
    </w:p>
    <w:p>
      <w:pPr>
        <w:pStyle w:val="FirstParagraph"/>
      </w:pPr>
      <w:r>
        <w:t xml:space="preserve">Igual que en puntos, solo se muestra la evaluación vigente.</w:t>
      </w:r>
    </w:p>
    <w:p>
      <w:pPr>
        <w:pStyle w:val="BodyText"/>
      </w:pPr>
      <w:r>
        <w:t xml:space="preserve">No se implementa historial visual de cambios.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publicación-impresión-y-pdf"/>
    <w:p>
      <w:pPr>
        <w:pStyle w:val="Heading2"/>
      </w:pPr>
      <w:r>
        <w:t xml:space="preserve">16. Publicación, impresión y PDF</w:t>
      </w:r>
    </w:p>
    <w:p>
      <w:pPr>
        <w:pStyle w:val="FirstParagraph"/>
      </w:pPr>
      <w:r>
        <w:t xml:space="preserve">El sistema no generará PDF automático desde servidor en la primera versión.</w:t>
      </w:r>
    </w:p>
    <w:p>
      <w:pPr>
        <w:pStyle w:val="BodyText"/>
      </w:pPr>
      <w:r>
        <w:t xml:space="preserve">La ruta aprobada es:</w:t>
      </w:r>
    </w:p>
    <w:p>
      <w:pPr>
        <w:pStyle w:val="Compact"/>
        <w:numPr>
          <w:ilvl w:val="0"/>
          <w:numId w:val="1046"/>
        </w:numPr>
      </w:pPr>
      <w:r>
        <w:t xml:space="preserve">HTML institucional.</w:t>
      </w:r>
    </w:p>
    <w:p>
      <w:pPr>
        <w:pStyle w:val="Compact"/>
        <w:numPr>
          <w:ilvl w:val="0"/>
          <w:numId w:val="1046"/>
        </w:numPr>
      </w:pPr>
      <w:r>
        <w:t xml:space="preserve">Vista imprimible.</w:t>
      </w:r>
    </w:p>
    <w:p>
      <w:pPr>
        <w:pStyle w:val="Compact"/>
        <w:numPr>
          <w:ilvl w:val="0"/>
          <w:numId w:val="1046"/>
        </w:numPr>
      </w:pPr>
      <w:r>
        <w:t xml:space="preserve">Guardar como PDF desde navegador.</w:t>
      </w:r>
    </w:p>
    <w:p>
      <w:pPr>
        <w:pStyle w:val="FirstParagraph"/>
      </w:pPr>
      <w:r>
        <w:t xml:space="preserve">La vista imprimible debe contener únicamente:</w:t>
      </w:r>
    </w:p>
    <w:p>
      <w:pPr>
        <w:pStyle w:val="Compact"/>
        <w:numPr>
          <w:ilvl w:val="0"/>
          <w:numId w:val="1047"/>
        </w:numPr>
      </w:pPr>
      <w:r>
        <w:t xml:space="preserve">Número de acta.</w:t>
      </w:r>
    </w:p>
    <w:p>
      <w:pPr>
        <w:pStyle w:val="Compact"/>
        <w:numPr>
          <w:ilvl w:val="0"/>
          <w:numId w:val="1047"/>
        </w:numPr>
      </w:pPr>
      <w:r>
        <w:t xml:space="preserve">Título.</w:t>
      </w:r>
    </w:p>
    <w:p>
      <w:pPr>
        <w:pStyle w:val="Compact"/>
        <w:numPr>
          <w:ilvl w:val="0"/>
          <w:numId w:val="1047"/>
        </w:numPr>
      </w:pPr>
      <w:r>
        <w:t xml:space="preserve">Fecha.</w:t>
      </w:r>
    </w:p>
    <w:p>
      <w:pPr>
        <w:pStyle w:val="Compact"/>
        <w:numPr>
          <w:ilvl w:val="0"/>
          <w:numId w:val="1047"/>
        </w:numPr>
      </w:pPr>
      <w:r>
        <w:t xml:space="preserve">Contenido del acta.</w:t>
      </w:r>
    </w:p>
    <w:p>
      <w:pPr>
        <w:pStyle w:val="FirstParagraph"/>
      </w:pPr>
      <w:r>
        <w:t xml:space="preserve">Nunca debe incluir:</w:t>
      </w:r>
    </w:p>
    <w:p>
      <w:pPr>
        <w:pStyle w:val="Compact"/>
        <w:numPr>
          <w:ilvl w:val="0"/>
          <w:numId w:val="1048"/>
        </w:numPr>
      </w:pPr>
      <w:r>
        <w:t xml:space="preserve">Evaluaciones.</w:t>
      </w:r>
    </w:p>
    <w:p>
      <w:pPr>
        <w:pStyle w:val="Compact"/>
        <w:numPr>
          <w:ilvl w:val="0"/>
          <w:numId w:val="1048"/>
        </w:numPr>
      </w:pPr>
      <w:r>
        <w:t xml:space="preserve">Comentarios.</w:t>
      </w:r>
    </w:p>
    <w:p>
      <w:pPr>
        <w:pStyle w:val="Compact"/>
        <w:numPr>
          <w:ilvl w:val="0"/>
          <w:numId w:val="1048"/>
        </w:numPr>
      </w:pPr>
      <w:r>
        <w:t xml:space="preserve">Solicitudes asociadas.</w:t>
      </w:r>
    </w:p>
    <w:p>
      <w:pPr>
        <w:pStyle w:val="Compact"/>
        <w:numPr>
          <w:ilvl w:val="0"/>
          <w:numId w:val="1048"/>
        </w:numPr>
      </w:pPr>
      <w:r>
        <w:t xml:space="preserve">Datos operativos internos.</w:t>
      </w:r>
    </w:p>
    <w:p>
      <w:pPr>
        <w:pStyle w:val="Compact"/>
        <w:numPr>
          <w:ilvl w:val="0"/>
          <w:numId w:val="1048"/>
        </w:numPr>
      </w:pPr>
      <w:r>
        <w:t xml:space="preserve">Información no publicada.</w:t>
      </w:r>
    </w:p>
    <w:p>
      <w:pPr>
        <w:pStyle w:val="FirstParagraph"/>
      </w:pPr>
      <w:r>
        <w:t xml:space="preserve">Esto aplica para todos los usuarios, incluyendo SACAD.</w:t>
      </w:r>
    </w:p>
    <w:p>
      <w:pPr>
        <w:pStyle w:val="BodyText"/>
      </w:pPr>
      <w:r>
        <w:t xml:space="preserve">Se incluirá una mini guía en modal para explicar cómo guardar el PDF sin encabezados, pies o marcas del navegador.</w:t>
      </w:r>
    </w:p>
    <w:p>
      <w:r>
        <w:pict>
          <v:rect style="width:0;height:1.5pt" o:hralign="center" o:hrstd="t" o:hr="t"/>
        </w:pict>
      </w:r>
    </w:p>
    <w:bookmarkEnd w:id="89"/>
    <w:bookmarkStart w:id="90" w:name="consulta-institucional-de-actas"/>
    <w:p>
      <w:pPr>
        <w:pStyle w:val="Heading2"/>
      </w:pPr>
      <w:r>
        <w:t xml:space="preserve">17. Consulta institucional de actas</w:t>
      </w:r>
    </w:p>
    <w:p>
      <w:pPr>
        <w:pStyle w:val="FirstParagraph"/>
      </w:pPr>
      <w:r>
        <w:t xml:space="preserve">La consulta institucional será independiente del módulo operativo de CI.</w:t>
      </w:r>
    </w:p>
    <w:p>
      <w:pPr>
        <w:pStyle w:val="BodyText"/>
      </w:pPr>
      <w:r>
        <w:t xml:space="preserve">Ruta sugerida: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/actas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/actas/{acta}</w:t>
      </w:r>
    </w:p>
    <w:p>
      <w:pPr>
        <w:pStyle w:val="FirstParagraph"/>
      </w:pPr>
      <w:r>
        <w:t xml:space="preserve">Solo muestra actas publicadas.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50"/>
        </w:numPr>
      </w:pPr>
      <w:r>
        <w:t xml:space="preserve">Buscar por texto.</w:t>
      </w:r>
    </w:p>
    <w:p>
      <w:pPr>
        <w:pStyle w:val="Compact"/>
        <w:numPr>
          <w:ilvl w:val="0"/>
          <w:numId w:val="1050"/>
        </w:numPr>
      </w:pPr>
      <w:r>
        <w:t xml:space="preserve">Filtrar por año.</w:t>
      </w:r>
    </w:p>
    <w:p>
      <w:pPr>
        <w:pStyle w:val="Compact"/>
        <w:numPr>
          <w:ilvl w:val="0"/>
          <w:numId w:val="1050"/>
        </w:numPr>
      </w:pPr>
      <w:r>
        <w:t xml:space="preserve">Filtrar por rango de fechas.</w:t>
      </w:r>
    </w:p>
    <w:p>
      <w:pPr>
        <w:pStyle w:val="Compact"/>
        <w:numPr>
          <w:ilvl w:val="0"/>
          <w:numId w:val="1050"/>
        </w:numPr>
      </w:pPr>
      <w:r>
        <w:t xml:space="preserve">Ver acta.</w:t>
      </w:r>
    </w:p>
    <w:p>
      <w:pPr>
        <w:pStyle w:val="Compact"/>
        <w:numPr>
          <w:ilvl w:val="0"/>
          <w:numId w:val="1050"/>
        </w:numPr>
      </w:pPr>
      <w:r>
        <w:t xml:space="preserve">Usar vista imprimible.</w:t>
      </w:r>
    </w:p>
    <w:p>
      <w:pPr>
        <w:pStyle w:val="FirstParagraph"/>
      </w:pPr>
      <w:r>
        <w:t xml:space="preserve">No permite:</w:t>
      </w:r>
    </w:p>
    <w:p>
      <w:pPr>
        <w:pStyle w:val="Compact"/>
        <w:numPr>
          <w:ilvl w:val="0"/>
          <w:numId w:val="1051"/>
        </w:numPr>
      </w:pPr>
      <w:r>
        <w:t xml:space="preserve">Ver evaluaciones.</w:t>
      </w:r>
    </w:p>
    <w:p>
      <w:pPr>
        <w:pStyle w:val="Compact"/>
        <w:numPr>
          <w:ilvl w:val="0"/>
          <w:numId w:val="1051"/>
        </w:numPr>
      </w:pPr>
      <w:r>
        <w:t xml:space="preserve">Ver comentarios.</w:t>
      </w:r>
    </w:p>
    <w:p>
      <w:pPr>
        <w:pStyle w:val="Compact"/>
        <w:numPr>
          <w:ilvl w:val="0"/>
          <w:numId w:val="1051"/>
        </w:numPr>
      </w:pPr>
      <w:r>
        <w:t xml:space="preserve">Ver reuniones internas.</w:t>
      </w:r>
    </w:p>
    <w:p>
      <w:pPr>
        <w:pStyle w:val="Compact"/>
        <w:numPr>
          <w:ilvl w:val="0"/>
          <w:numId w:val="1051"/>
        </w:numPr>
      </w:pPr>
      <w:r>
        <w:t xml:space="preserve">Ver solicitudes asociadas.</w:t>
      </w:r>
    </w:p>
    <w:p>
      <w:pPr>
        <w:pStyle w:val="Compact"/>
        <w:numPr>
          <w:ilvl w:val="0"/>
          <w:numId w:val="1051"/>
        </w:numPr>
      </w:pPr>
      <w:r>
        <w:t xml:space="preserve">Editar contenido.</w:t>
      </w:r>
    </w:p>
    <w:p>
      <w:r>
        <w:pict>
          <v:rect style="width:0;height:1.5pt" o:hralign="center" o:hrstd="t" o:hr="t"/>
        </w:pict>
      </w:r>
    </w:p>
    <w:bookmarkEnd w:id="90"/>
    <w:bookmarkStart w:id="92" w:name="tablas-conceptuales"/>
    <w:p>
      <w:pPr>
        <w:pStyle w:val="Heading2"/>
      </w:pPr>
      <w:r>
        <w:t xml:space="preserve">18. Tablas conceptuales</w:t>
      </w:r>
    </w:p>
    <w:p>
      <w:pPr>
        <w:pStyle w:val="FirstParagraph"/>
      </w:pPr>
      <w:r>
        <w:t xml:space="preserve">Las tablas usarán prefijo</w:t>
      </w:r>
      <w:r>
        <w:t xml:space="preserve"> </w:t>
      </w:r>
      <w:r>
        <w:rPr>
          <w:rStyle w:val="VerbatimChar"/>
        </w:rPr>
        <w:t xml:space="preserve">ci_</w:t>
      </w:r>
      <w:r>
        <w:t xml:space="preserve"> </w:t>
      </w:r>
      <w:r>
        <w:t xml:space="preserve">y nombres en plural, incluyendo tablas de relación.</w:t>
      </w:r>
    </w:p>
    <w:bookmarkStart w:id="91" w:name="tablas"/>
    <w:p>
      <w:pPr>
        <w:pStyle w:val="Heading3"/>
      </w:pPr>
      <w:r>
        <w:t xml:space="preserve">18.1 Tablas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ci_reuniones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ci_reuniones_participantes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ci_puntos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ci_puntos_evaluaciones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ci_documentos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ci_actas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ci_actas_evaluaciones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campos-conceptuales"/>
    <w:p>
      <w:pPr>
        <w:pStyle w:val="Heading2"/>
      </w:pPr>
      <w:r>
        <w:t xml:space="preserve">19. Campos conceptuales</w:t>
      </w:r>
    </w:p>
    <w:bookmarkStart w:id="93" w:name="ci_reuniones"/>
    <w:p>
      <w:pPr>
        <w:pStyle w:val="Heading3"/>
      </w:pPr>
      <w:r>
        <w:t xml:space="preserve">19.1</w:t>
      </w:r>
      <w:r>
        <w:t xml:space="preserve"> </w:t>
      </w:r>
      <w:r>
        <w:rPr>
          <w:rStyle w:val="VerbatimChar"/>
        </w:rPr>
        <w:t xml:space="preserve">ci_reuniones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titulo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fecha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tipo_reunion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modalidad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estatus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created_by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updated_by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concluida_at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concluida_by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updated_at</w:t>
      </w:r>
    </w:p>
    <w:bookmarkEnd w:id="93"/>
    <w:bookmarkStart w:id="94" w:name="ci_reuniones_participantes"/>
    <w:p>
      <w:pPr>
        <w:pStyle w:val="Heading3"/>
      </w:pPr>
      <w:r>
        <w:t xml:space="preserve">19.2</w:t>
      </w:r>
      <w:r>
        <w:t xml:space="preserve"> </w:t>
      </w:r>
      <w:r>
        <w:rPr>
          <w:rStyle w:val="VerbatimChar"/>
        </w:rPr>
        <w:t xml:space="preserve">ci_reuniones_participantes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reunion_id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identity_link_id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updated_at</w:t>
      </w:r>
    </w:p>
    <w:bookmarkEnd w:id="94"/>
    <w:bookmarkStart w:id="95" w:name="ci_puntos"/>
    <w:p>
      <w:pPr>
        <w:pStyle w:val="Heading3"/>
      </w:pPr>
      <w:r>
        <w:t xml:space="preserve">19.3</w:t>
      </w:r>
      <w:r>
        <w:t xml:space="preserve"> </w:t>
      </w:r>
      <w:r>
        <w:rPr>
          <w:rStyle w:val="VerbatimChar"/>
        </w:rPr>
        <w:t xml:space="preserve">ci_puntos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reunion_id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tipo_punto_id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solicitud_id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titulo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descripcion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orden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resolucion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resolved_at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resolved_by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updated_at</w:t>
      </w:r>
    </w:p>
    <w:bookmarkEnd w:id="95"/>
    <w:bookmarkStart w:id="96" w:name="ci_puntos_evaluaciones"/>
    <w:p>
      <w:pPr>
        <w:pStyle w:val="Heading3"/>
      </w:pPr>
      <w:r>
        <w:t xml:space="preserve">19.4</w:t>
      </w:r>
      <w:r>
        <w:t xml:space="preserve"> </w:t>
      </w:r>
      <w:r>
        <w:rPr>
          <w:rStyle w:val="VerbatimChar"/>
        </w:rPr>
        <w:t xml:space="preserve">ci_puntos_evaluaciones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punto_id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identity_link_id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evaluacion_id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comentarios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updated_at</w:t>
      </w:r>
    </w:p>
    <w:bookmarkEnd w:id="96"/>
    <w:bookmarkStart w:id="97" w:name="ci_documentos"/>
    <w:p>
      <w:pPr>
        <w:pStyle w:val="Heading3"/>
      </w:pPr>
      <w:r>
        <w:t xml:space="preserve">19.5</w:t>
      </w:r>
      <w:r>
        <w:t xml:space="preserve"> </w:t>
      </w:r>
      <w:r>
        <w:rPr>
          <w:rStyle w:val="VerbatimChar"/>
        </w:rPr>
        <w:t xml:space="preserve">ci_documentos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reunion_id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filename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original_name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mime_type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uploaded_by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updated_at</w:t>
      </w:r>
    </w:p>
    <w:bookmarkEnd w:id="97"/>
    <w:bookmarkStart w:id="98" w:name="ci_actas"/>
    <w:p>
      <w:pPr>
        <w:pStyle w:val="Heading3"/>
      </w:pPr>
      <w:r>
        <w:t xml:space="preserve">19.6</w:t>
      </w:r>
      <w:r>
        <w:t xml:space="preserve"> </w:t>
      </w:r>
      <w:r>
        <w:rPr>
          <w:rStyle w:val="VerbatimChar"/>
        </w:rPr>
        <w:t xml:space="preserve">ci_actas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reunion_id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numero_acta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titulo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fecha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year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estatus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contenido_json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contenido_html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search_text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publicada_at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created_by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updated_by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updated_at</w:t>
      </w:r>
    </w:p>
    <w:bookmarkEnd w:id="98"/>
    <w:bookmarkStart w:id="99" w:name="ci_actas_evaluaciones"/>
    <w:p>
      <w:pPr>
        <w:pStyle w:val="Heading3"/>
      </w:pPr>
      <w:r>
        <w:t xml:space="preserve">19.7</w:t>
      </w:r>
      <w:r>
        <w:t xml:space="preserve"> </w:t>
      </w:r>
      <w:r>
        <w:rPr>
          <w:rStyle w:val="VerbatimChar"/>
        </w:rPr>
        <w:t xml:space="preserve">ci_actas_evaluaciones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acta_id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identity_link_id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evaluacion_id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comentarios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identidad-y-autoría"/>
    <w:p>
      <w:pPr>
        <w:pStyle w:val="Heading2"/>
      </w:pPr>
      <w:r>
        <w:t xml:space="preserve">20. Identidad y autoría</w:t>
      </w:r>
    </w:p>
    <w:p>
      <w:pPr>
        <w:pStyle w:val="FirstParagraph"/>
      </w:pPr>
      <w:r>
        <w:t xml:space="preserve">Todos los campos de autoría, evaluación, resolución o acción deben apuntar conceptualmente a: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identity_links.id</w:t>
      </w:r>
    </w:p>
    <w:p>
      <w:pPr>
        <w:pStyle w:val="FirstParagraph"/>
      </w:pPr>
      <w:r>
        <w:t xml:space="preserve">Esto aplica a: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created_by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updated_by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concluida_by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resolved_by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uploaded_by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identity_link_id</w:t>
      </w:r>
    </w:p>
    <w:p>
      <w:pPr>
        <w:pStyle w:val="FirstParagraph"/>
      </w:pPr>
      <w:r>
        <w:t xml:space="preserve">No se debe usar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salvo excepción explícitamente documentada.</w:t>
      </w:r>
    </w:p>
    <w:p>
      <w:r>
        <w:pict>
          <v:rect style="width:0;height:1.5pt" o:hralign="center" o:hrstd="t" o:hr="t"/>
        </w:pict>
      </w:r>
    </w:p>
    <w:bookmarkEnd w:id="101"/>
    <w:bookmarkStart w:id="105" w:name="catálogos"/>
    <w:p>
      <w:pPr>
        <w:pStyle w:val="Heading2"/>
      </w:pPr>
      <w:r>
        <w:t xml:space="preserve">21. Catálogos</w:t>
      </w:r>
    </w:p>
    <w:bookmarkStart w:id="102" w:name="tipo-de-punto"/>
    <w:p>
      <w:pPr>
        <w:pStyle w:val="Heading3"/>
      </w:pPr>
      <w:r>
        <w:t xml:space="preserve">21.1 Tipo de punto</w:t>
      </w:r>
    </w:p>
    <w:p>
      <w:pPr>
        <w:pStyle w:val="FirstParagraph"/>
      </w:pPr>
      <w:r>
        <w:t xml:space="preserve">Catálogo: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C_RCI_TP</w:t>
      </w:r>
    </w:p>
    <w:p>
      <w:pPr>
        <w:pStyle w:val="FirstParagraph"/>
      </w:pPr>
      <w:r>
        <w:t xml:space="preserve">Valores: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TP_SOL</w:t>
      </w:r>
      <w:r>
        <w:t xml:space="preserve"> </w:t>
      </w:r>
      <w:r>
        <w:t xml:space="preserve">— Solicitudes.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TP_OTRO</w:t>
      </w:r>
      <w:r>
        <w:t xml:space="preserve"> </w:t>
      </w:r>
      <w:r>
        <w:t xml:space="preserve">— Otro.</w:t>
      </w:r>
    </w:p>
    <w:bookmarkEnd w:id="102"/>
    <w:bookmarkStart w:id="103" w:name="evaluaciones"/>
    <w:p>
      <w:pPr>
        <w:pStyle w:val="Heading3"/>
      </w:pPr>
      <w:r>
        <w:t xml:space="preserve">21.2 Evaluaciones</w:t>
      </w:r>
    </w:p>
    <w:p>
      <w:pPr>
        <w:pStyle w:val="FirstParagraph"/>
      </w:pPr>
      <w:r>
        <w:t xml:space="preserve">Catálogo: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C_RCI_EVA</w:t>
      </w:r>
    </w:p>
    <w:p>
      <w:pPr>
        <w:pStyle w:val="FirstParagraph"/>
      </w:pPr>
      <w:r>
        <w:t xml:space="preserve">Valores: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EV_A</w:t>
      </w:r>
      <w:r>
        <w:t xml:space="preserve"> </w:t>
      </w:r>
      <w:r>
        <w:t xml:space="preserve">— Aceptar.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EV_DIS</w:t>
      </w:r>
      <w:r>
        <w:t xml:space="preserve"> </w:t>
      </w:r>
      <w:r>
        <w:t xml:space="preserve">— Discutir.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EV_RE</w:t>
      </w:r>
      <w:r>
        <w:t xml:space="preserve"> </w:t>
      </w:r>
      <w:r>
        <w:t xml:space="preserve">— Rechazar.</w:t>
      </w:r>
    </w:p>
    <w:bookmarkEnd w:id="103"/>
    <w:bookmarkStart w:id="104" w:name="texto-constantes-internas"/>
    <w:p>
      <w:pPr>
        <w:pStyle w:val="Heading3"/>
      </w:pPr>
      <w:r>
        <w:t xml:space="preserve">21.3 Texto / constantes internas</w:t>
      </w:r>
    </w:p>
    <w:p>
      <w:pPr>
        <w:pStyle w:val="FirstParagraph"/>
      </w:pPr>
      <w:r>
        <w:t xml:space="preserve">Se manejarán como texto: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tipo_reunion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modalidad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estatus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resolucion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servicios-recomendados"/>
    <w:p>
      <w:pPr>
        <w:pStyle w:val="Heading2"/>
      </w:pPr>
      <w:r>
        <w:t xml:space="preserve">22. Servicios recomendados</w:t>
      </w:r>
    </w:p>
    <w:bookmarkStart w:id="106" w:name="cireunionservice"/>
    <w:p>
      <w:pPr>
        <w:pStyle w:val="Heading3"/>
      </w:pPr>
      <w:r>
        <w:t xml:space="preserve">22.1</w:t>
      </w:r>
      <w:r>
        <w:t xml:space="preserve"> </w:t>
      </w:r>
      <w:r>
        <w:rPr>
          <w:rStyle w:val="VerbatimChar"/>
        </w:rPr>
        <w:t xml:space="preserve">CiReunionService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67"/>
        </w:numPr>
      </w:pPr>
      <w:r>
        <w:t xml:space="preserve">Crear reunión.</w:t>
      </w:r>
    </w:p>
    <w:p>
      <w:pPr>
        <w:pStyle w:val="Compact"/>
        <w:numPr>
          <w:ilvl w:val="0"/>
          <w:numId w:val="1067"/>
        </w:numPr>
      </w:pPr>
      <w:r>
        <w:t xml:space="preserve">Actualizar reunión.</w:t>
      </w:r>
    </w:p>
    <w:p>
      <w:pPr>
        <w:pStyle w:val="Compact"/>
        <w:numPr>
          <w:ilvl w:val="0"/>
          <w:numId w:val="1067"/>
        </w:numPr>
      </w:pPr>
      <w:r>
        <w:t xml:space="preserve">Sincronizar participantes.</w:t>
      </w:r>
    </w:p>
    <w:p>
      <w:pPr>
        <w:pStyle w:val="Compact"/>
        <w:numPr>
          <w:ilvl w:val="0"/>
          <w:numId w:val="1067"/>
        </w:numPr>
      </w:pPr>
      <w:r>
        <w:t xml:space="preserve">Incluir/quitar solicitudes.</w:t>
      </w:r>
    </w:p>
    <w:p>
      <w:pPr>
        <w:pStyle w:val="Compact"/>
        <w:numPr>
          <w:ilvl w:val="0"/>
          <w:numId w:val="1067"/>
        </w:numPr>
      </w:pPr>
      <w:r>
        <w:t xml:space="preserve">Crear/actualizar otros puntos.</w:t>
      </w:r>
    </w:p>
    <w:p>
      <w:pPr>
        <w:pStyle w:val="Compact"/>
        <w:numPr>
          <w:ilvl w:val="0"/>
          <w:numId w:val="1067"/>
        </w:numPr>
      </w:pPr>
      <w:r>
        <w:t xml:space="preserve">Reordenar puntos.</w:t>
      </w:r>
    </w:p>
    <w:p>
      <w:pPr>
        <w:pStyle w:val="Compact"/>
        <w:numPr>
          <w:ilvl w:val="0"/>
          <w:numId w:val="1067"/>
        </w:numPr>
      </w:pPr>
      <w:r>
        <w:t xml:space="preserve">Concluir reunión.</w:t>
      </w:r>
    </w:p>
    <w:p>
      <w:pPr>
        <w:pStyle w:val="Compact"/>
        <w:numPr>
          <w:ilvl w:val="0"/>
          <w:numId w:val="1067"/>
        </w:numPr>
      </w:pPr>
      <w:r>
        <w:t xml:space="preserve">Evitar guardar sin cambios reales.</w:t>
      </w:r>
    </w:p>
    <w:bookmarkEnd w:id="106"/>
    <w:bookmarkStart w:id="107" w:name="cievaluacionservice"/>
    <w:p>
      <w:pPr>
        <w:pStyle w:val="Heading3"/>
      </w:pPr>
      <w:r>
        <w:t xml:space="preserve">22.2</w:t>
      </w:r>
      <w:r>
        <w:t xml:space="preserve"> </w:t>
      </w:r>
      <w:r>
        <w:rPr>
          <w:rStyle w:val="VerbatimChar"/>
        </w:rPr>
        <w:t xml:space="preserve">CiEvaluacionService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68"/>
        </w:numPr>
      </w:pPr>
      <w:r>
        <w:t xml:space="preserve">Guardar evaluación de punto.</w:t>
      </w:r>
    </w:p>
    <w:p>
      <w:pPr>
        <w:pStyle w:val="Compact"/>
        <w:numPr>
          <w:ilvl w:val="0"/>
          <w:numId w:val="1068"/>
        </w:numPr>
      </w:pPr>
      <w:r>
        <w:t xml:space="preserve">Actualizar comentario vigente.</w:t>
      </w:r>
    </w:p>
    <w:p>
      <w:pPr>
        <w:pStyle w:val="Compact"/>
        <w:numPr>
          <w:ilvl w:val="0"/>
          <w:numId w:val="1068"/>
        </w:numPr>
      </w:pPr>
      <w:r>
        <w:t xml:space="preserve">Validar si el usuario puede evaluar.</w:t>
      </w:r>
    </w:p>
    <w:p>
      <w:pPr>
        <w:pStyle w:val="Compact"/>
        <w:numPr>
          <w:ilvl w:val="0"/>
          <w:numId w:val="1068"/>
        </w:numPr>
      </w:pPr>
      <w:r>
        <w:t xml:space="preserve">Bloquear edición para CI en reuniones concluidas.</w:t>
      </w:r>
    </w:p>
    <w:p>
      <w:pPr>
        <w:pStyle w:val="Compact"/>
        <w:numPr>
          <w:ilvl w:val="0"/>
          <w:numId w:val="1068"/>
        </w:numPr>
      </w:pPr>
      <w:r>
        <w:t xml:space="preserve">Permitir intervención de SACAD.</w:t>
      </w:r>
    </w:p>
    <w:bookmarkEnd w:id="107"/>
    <w:bookmarkStart w:id="108" w:name="ciresolucionservice"/>
    <w:p>
      <w:pPr>
        <w:pStyle w:val="Heading3"/>
      </w:pPr>
      <w:r>
        <w:t xml:space="preserve">22.3</w:t>
      </w:r>
      <w:r>
        <w:t xml:space="preserve"> </w:t>
      </w:r>
      <w:r>
        <w:rPr>
          <w:rStyle w:val="VerbatimChar"/>
        </w:rPr>
        <w:t xml:space="preserve">CiResolucionService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69"/>
        </w:numPr>
      </w:pPr>
      <w:r>
        <w:t xml:space="preserve">Registrar resolución de punto.</w:t>
      </w:r>
    </w:p>
    <w:p>
      <w:pPr>
        <w:pStyle w:val="Compact"/>
        <w:numPr>
          <w:ilvl w:val="0"/>
          <w:numId w:val="1069"/>
        </w:numPr>
      </w:pPr>
      <w:r>
        <w:t xml:space="preserve">Si el punto es solicitud, actualizar la solicitud.</w:t>
      </w:r>
    </w:p>
    <w:p>
      <w:pPr>
        <w:pStyle w:val="Compact"/>
        <w:numPr>
          <w:ilvl w:val="0"/>
          <w:numId w:val="1069"/>
        </w:numPr>
      </w:pPr>
      <w:r>
        <w:t xml:space="preserve">Coordinar correo de resolución.</w:t>
      </w:r>
    </w:p>
    <w:p>
      <w:pPr>
        <w:pStyle w:val="Compact"/>
        <w:numPr>
          <w:ilvl w:val="0"/>
          <w:numId w:val="1069"/>
        </w:numPr>
      </w:pPr>
      <w:r>
        <w:t xml:space="preserve">Integrarse con</w:t>
      </w:r>
      <w:r>
        <w:t xml:space="preserve"> </w:t>
      </w:r>
      <w:r>
        <w:rPr>
          <w:rStyle w:val="VerbatimChar"/>
        </w:rPr>
        <w:t xml:space="preserve">SolicitudService</w:t>
      </w:r>
      <w:r>
        <w:t xml:space="preserve">.</w:t>
      </w:r>
    </w:p>
    <w:bookmarkEnd w:id="108"/>
    <w:bookmarkStart w:id="109" w:name="ciactaservice"/>
    <w:p>
      <w:pPr>
        <w:pStyle w:val="Heading3"/>
      </w:pPr>
      <w:r>
        <w:t xml:space="preserve">22.4</w:t>
      </w:r>
      <w:r>
        <w:t xml:space="preserve"> </w:t>
      </w:r>
      <w:r>
        <w:rPr>
          <w:rStyle w:val="VerbatimChar"/>
        </w:rPr>
        <w:t xml:space="preserve">CiActaService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70"/>
        </w:numPr>
      </w:pPr>
      <w:r>
        <w:t xml:space="preserve">Crear acta.</w:t>
      </w:r>
    </w:p>
    <w:p>
      <w:pPr>
        <w:pStyle w:val="Compact"/>
        <w:numPr>
          <w:ilvl w:val="0"/>
          <w:numId w:val="1070"/>
        </w:numPr>
      </w:pPr>
      <w:r>
        <w:t xml:space="preserve">Asociar opcionalmente reunión.</w:t>
      </w:r>
    </w:p>
    <w:p>
      <w:pPr>
        <w:pStyle w:val="Compact"/>
        <w:numPr>
          <w:ilvl w:val="0"/>
          <w:numId w:val="1070"/>
        </w:numPr>
      </w:pPr>
      <w:r>
        <w:t xml:space="preserve">Generar contenido inicial si aplica.</w:t>
      </w:r>
    </w:p>
    <w:p>
      <w:pPr>
        <w:pStyle w:val="Compact"/>
        <w:numPr>
          <w:ilvl w:val="0"/>
          <w:numId w:val="1070"/>
        </w:numPr>
      </w:pPr>
      <w:r>
        <w:t xml:space="preserve">Guardar contenido.</w:t>
      </w:r>
    </w:p>
    <w:p>
      <w:pPr>
        <w:pStyle w:val="Compact"/>
        <w:numPr>
          <w:ilvl w:val="0"/>
          <w:numId w:val="1070"/>
        </w:numPr>
      </w:pPr>
      <w:r>
        <w:t xml:space="preserve">Generar</w:t>
      </w:r>
      <w:r>
        <w:t xml:space="preserve"> </w:t>
      </w:r>
      <w:r>
        <w:rPr>
          <w:rStyle w:val="VerbatimChar"/>
        </w:rPr>
        <w:t xml:space="preserve">search_text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Publicar acta.</w:t>
      </w:r>
    </w:p>
    <w:p>
      <w:pPr>
        <w:pStyle w:val="Compact"/>
        <w:numPr>
          <w:ilvl w:val="0"/>
          <w:numId w:val="1070"/>
        </w:numPr>
      </w:pPr>
      <w:r>
        <w:t xml:space="preserve">Validar evaluadores.</w:t>
      </w:r>
    </w:p>
    <w:bookmarkEnd w:id="109"/>
    <w:bookmarkStart w:id="110" w:name="servicios-transversales"/>
    <w:p>
      <w:pPr>
        <w:pStyle w:val="Heading3"/>
      </w:pPr>
      <w:r>
        <w:t xml:space="preserve">22.5 Servicios transversales</w:t>
      </w:r>
    </w:p>
    <w:p>
      <w:pPr>
        <w:pStyle w:val="FirstParagraph"/>
      </w:pPr>
      <w:r>
        <w:t xml:space="preserve">Se contempla usar servicios reutilizables: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SolicitudService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NotificationService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MailService</w:t>
      </w:r>
    </w:p>
    <w:p>
      <w:pPr>
        <w:pStyle w:val="FirstParagraph"/>
      </w:pPr>
      <w:r>
        <w:t xml:space="preserve">Los correos deben pasar por configuración centralizada para distinguir entorno local/testing/producción.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correos-1"/>
    <w:p>
      <w:pPr>
        <w:pStyle w:val="Heading2"/>
      </w:pPr>
      <w:r>
        <w:t xml:space="preserve">23. Correos</w:t>
      </w:r>
    </w:p>
    <w:p>
      <w:pPr>
        <w:pStyle w:val="FirstParagraph"/>
      </w:pPr>
      <w:r>
        <w:t xml:space="preserve">Solo se enviarán correos para solicitudes.</w:t>
      </w:r>
    </w:p>
    <w:bookmarkStart w:id="112" w:name="al-enviar-solicitud"/>
    <w:p>
      <w:pPr>
        <w:pStyle w:val="Heading3"/>
      </w:pPr>
      <w:r>
        <w:t xml:space="preserve">23.1 Al enviar solicitud</w:t>
      </w:r>
    </w:p>
    <w:p>
      <w:pPr>
        <w:pStyle w:val="FirstParagraph"/>
      </w:pPr>
      <w:r>
        <w:t xml:space="preserve">Correo de recepción con:</w:t>
      </w:r>
    </w:p>
    <w:p>
      <w:pPr>
        <w:pStyle w:val="Compact"/>
        <w:numPr>
          <w:ilvl w:val="0"/>
          <w:numId w:val="1072"/>
        </w:numPr>
      </w:pPr>
      <w:r>
        <w:t xml:space="preserve">Folio.</w:t>
      </w:r>
    </w:p>
    <w:p>
      <w:pPr>
        <w:pStyle w:val="Compact"/>
        <w:numPr>
          <w:ilvl w:val="0"/>
          <w:numId w:val="1072"/>
        </w:numPr>
      </w:pPr>
      <w:r>
        <w:t xml:space="preserve">Resumen.</w:t>
      </w:r>
    </w:p>
    <w:p>
      <w:pPr>
        <w:pStyle w:val="Compact"/>
        <w:numPr>
          <w:ilvl w:val="0"/>
          <w:numId w:val="1072"/>
        </w:numPr>
      </w:pPr>
      <w:r>
        <w:t xml:space="preserve">Confirmación de recepción.</w:t>
      </w:r>
    </w:p>
    <w:p>
      <w:pPr>
        <w:pStyle w:val="Compact"/>
        <w:numPr>
          <w:ilvl w:val="0"/>
          <w:numId w:val="1072"/>
        </w:numPr>
      </w:pPr>
      <w:r>
        <w:t xml:space="preserve">Aviso de espera de revisión.</w:t>
      </w:r>
    </w:p>
    <w:bookmarkEnd w:id="112"/>
    <w:bookmarkStart w:id="113" w:name="al-resolver-solicitud-en-ci"/>
    <w:p>
      <w:pPr>
        <w:pStyle w:val="Heading3"/>
      </w:pPr>
      <w:r>
        <w:t xml:space="preserve">23.2 Al resolver solicitud en CI</w:t>
      </w:r>
    </w:p>
    <w:p>
      <w:pPr>
        <w:pStyle w:val="FirstParagraph"/>
      </w:pPr>
      <w:r>
        <w:t xml:space="preserve">Correo con:</w:t>
      </w:r>
    </w:p>
    <w:p>
      <w:pPr>
        <w:pStyle w:val="Compact"/>
        <w:numPr>
          <w:ilvl w:val="0"/>
          <w:numId w:val="1073"/>
        </w:numPr>
      </w:pPr>
      <w:r>
        <w:t xml:space="preserve">Folio.</w:t>
      </w:r>
    </w:p>
    <w:p>
      <w:pPr>
        <w:pStyle w:val="Compact"/>
        <w:numPr>
          <w:ilvl w:val="0"/>
          <w:numId w:val="1073"/>
        </w:numPr>
      </w:pPr>
      <w:r>
        <w:t xml:space="preserve">Resumen.</w:t>
      </w:r>
    </w:p>
    <w:p>
      <w:pPr>
        <w:pStyle w:val="Compact"/>
        <w:numPr>
          <w:ilvl w:val="0"/>
          <w:numId w:val="1073"/>
        </w:numPr>
      </w:pPr>
      <w:r>
        <w:t xml:space="preserve">Resolución.</w:t>
      </w:r>
    </w:p>
    <w:p>
      <w:pPr>
        <w:pStyle w:val="Compact"/>
        <w:numPr>
          <w:ilvl w:val="0"/>
          <w:numId w:val="1073"/>
        </w:numPr>
      </w:pPr>
      <w:r>
        <w:t xml:space="preserve">Observaciones SACAD si existen.</w:t>
      </w:r>
    </w:p>
    <w:p>
      <w:pPr>
        <w:pStyle w:val="Compact"/>
        <w:numPr>
          <w:ilvl w:val="0"/>
          <w:numId w:val="1073"/>
        </w:numPr>
      </w:pPr>
      <w:r>
        <w:t xml:space="preserve">Observaciones Administración si existen.</w:t>
      </w:r>
    </w:p>
    <w:p>
      <w:pPr>
        <w:pStyle w:val="FirstParagraph"/>
      </w:pPr>
      <w:r>
        <w:t xml:space="preserve">No habrá correos para:</w:t>
      </w:r>
    </w:p>
    <w:p>
      <w:pPr>
        <w:pStyle w:val="Compact"/>
        <w:numPr>
          <w:ilvl w:val="0"/>
          <w:numId w:val="1074"/>
        </w:numPr>
      </w:pPr>
      <w:r>
        <w:t xml:space="preserve">Reuniones.</w:t>
      </w:r>
    </w:p>
    <w:p>
      <w:pPr>
        <w:pStyle w:val="Compact"/>
        <w:numPr>
          <w:ilvl w:val="0"/>
          <w:numId w:val="1074"/>
        </w:numPr>
      </w:pPr>
      <w:r>
        <w:t xml:space="preserve">Actas.</w:t>
      </w:r>
    </w:p>
    <w:p>
      <w:pPr>
        <w:pStyle w:val="Compact"/>
        <w:numPr>
          <w:ilvl w:val="0"/>
          <w:numId w:val="1074"/>
        </w:numPr>
      </w:pPr>
      <w:r>
        <w:t xml:space="preserve">Otros puntos.</w:t>
      </w:r>
    </w:p>
    <w:p>
      <w:pPr>
        <w:pStyle w:val="Compact"/>
        <w:numPr>
          <w:ilvl w:val="0"/>
          <w:numId w:val="1074"/>
        </w:numPr>
      </w:pPr>
      <w:r>
        <w:t xml:space="preserve">Evaluaciones.</w:t>
      </w:r>
    </w:p>
    <w:p>
      <w:pPr>
        <w:pStyle w:val="Compact"/>
        <w:numPr>
          <w:ilvl w:val="0"/>
          <w:numId w:val="1074"/>
        </w:numPr>
      </w:pPr>
      <w:r>
        <w:t xml:space="preserve">Documentos.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entornos-de-correo"/>
    <w:p>
      <w:pPr>
        <w:pStyle w:val="Heading2"/>
      </w:pPr>
      <w:r>
        <w:t xml:space="preserve">24. Entornos de correo</w:t>
      </w:r>
    </w:p>
    <w:p>
      <w:pPr>
        <w:pStyle w:val="FirstParagraph"/>
      </w:pPr>
      <w:r>
        <w:t xml:space="preserve">El envío de correos debe estar centralizado.</w:t>
      </w:r>
    </w:p>
    <w:p>
      <w:pPr>
        <w:pStyle w:val="BodyText"/>
      </w:pPr>
      <w:r>
        <w:t xml:space="preserve">En local/testing no deben enviarse correos reales.</w:t>
      </w:r>
    </w:p>
    <w:p>
      <w:pPr>
        <w:pStyle w:val="BodyText"/>
      </w:pPr>
      <w:r>
        <w:t xml:space="preserve">Opciones:</w:t>
      </w:r>
    </w:p>
    <w:p>
      <w:pPr>
        <w:pStyle w:val="Compact"/>
        <w:numPr>
          <w:ilvl w:val="0"/>
          <w:numId w:val="1075"/>
        </w:numPr>
      </w:pPr>
      <w:r>
        <w:t xml:space="preserve">Log.</w:t>
      </w:r>
    </w:p>
    <w:p>
      <w:pPr>
        <w:pStyle w:val="Compact"/>
        <w:numPr>
          <w:ilvl w:val="0"/>
          <w:numId w:val="1075"/>
        </w:numPr>
      </w:pPr>
      <w:r>
        <w:t xml:space="preserve">Mailpit.</w:t>
      </w:r>
    </w:p>
    <w:p>
      <w:pPr>
        <w:pStyle w:val="Compact"/>
        <w:numPr>
          <w:ilvl w:val="0"/>
          <w:numId w:val="1075"/>
        </w:numPr>
      </w:pPr>
      <w:r>
        <w:t xml:space="preserve">Mailhog.</w:t>
      </w:r>
    </w:p>
    <w:p>
      <w:pPr>
        <w:pStyle w:val="Compact"/>
        <w:numPr>
          <w:ilvl w:val="0"/>
          <w:numId w:val="1075"/>
        </w:numPr>
      </w:pPr>
      <w:r>
        <w:t xml:space="preserve">Array.</w:t>
      </w:r>
    </w:p>
    <w:p>
      <w:pPr>
        <w:pStyle w:val="Compact"/>
        <w:numPr>
          <w:ilvl w:val="0"/>
          <w:numId w:val="1075"/>
        </w:numPr>
      </w:pPr>
      <w:r>
        <w:t xml:space="preserve">Buzón de pruebas.</w:t>
      </w:r>
    </w:p>
    <w:p>
      <w:pPr>
        <w:pStyle w:val="FirstParagraph"/>
      </w:pPr>
      <w:r>
        <w:t xml:space="preserve">En producción se habilita envío real.</w:t>
      </w:r>
    </w:p>
    <w:p>
      <w:pPr>
        <w:pStyle w:val="BodyText"/>
      </w:pPr>
      <w:r>
        <w:t xml:space="preserve">La regla es:</w:t>
      </w:r>
    </w:p>
    <w:p>
      <w:pPr>
        <w:pStyle w:val="BlockText"/>
      </w:pPr>
      <w:r>
        <w:t xml:space="preserve">Ningún módulo debe enviar correos directamente ni asumir que puede contactar usuarios reales.</w:t>
      </w:r>
    </w:p>
    <w:p>
      <w:r>
        <w:pict>
          <v:rect style="width:0;height:1.5pt" o:hralign="center" o:hrstd="t" o:hr="t"/>
        </w:pict>
      </w:r>
    </w:p>
    <w:bookmarkEnd w:id="115"/>
    <w:bookmarkStart w:id="126" w:name="orden-de-implementación-recomendado"/>
    <w:p>
      <w:pPr>
        <w:pStyle w:val="Heading2"/>
      </w:pPr>
      <w:r>
        <w:t xml:space="preserve">25. Orden de implementación recomendado</w:t>
      </w:r>
    </w:p>
    <w:bookmarkStart w:id="116" w:name="migraciones"/>
    <w:p>
      <w:pPr>
        <w:pStyle w:val="Heading3"/>
      </w:pPr>
      <w:r>
        <w:t xml:space="preserve">25.1 Migraciones</w:t>
      </w:r>
    </w:p>
    <w:p>
      <w:pPr>
        <w:pStyle w:val="FirstParagraph"/>
      </w:pPr>
      <w:r>
        <w:t xml:space="preserve">Crear las tablas del módulo y verificar catálogos.</w:t>
      </w:r>
    </w:p>
    <w:bookmarkEnd w:id="116"/>
    <w:bookmarkStart w:id="117" w:name="modelos"/>
    <w:p>
      <w:pPr>
        <w:pStyle w:val="Heading3"/>
      </w:pPr>
      <w:r>
        <w:t xml:space="preserve">25.2 Modelos</w:t>
      </w:r>
    </w:p>
    <w:p>
      <w:pPr>
        <w:pStyle w:val="FirstParagraph"/>
      </w:pPr>
      <w:r>
        <w:t xml:space="preserve">Crear modelos y relaciones.</w:t>
      </w:r>
    </w:p>
    <w:bookmarkEnd w:id="117"/>
    <w:bookmarkStart w:id="118" w:name="permisos-1"/>
    <w:p>
      <w:pPr>
        <w:pStyle w:val="Heading3"/>
      </w:pPr>
      <w:r>
        <w:t xml:space="preserve">25.3 Permisos</w:t>
      </w:r>
    </w:p>
    <w:p>
      <w:pPr>
        <w:pStyle w:val="FirstParagraph"/>
      </w:pPr>
      <w:r>
        <w:t xml:space="preserve">Registrar permisos: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ci.access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ci.evaluate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ci.manage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actas.view</w:t>
      </w:r>
    </w:p>
    <w:bookmarkEnd w:id="118"/>
    <w:bookmarkStart w:id="119" w:name="servicios"/>
    <w:p>
      <w:pPr>
        <w:pStyle w:val="Heading3"/>
      </w:pPr>
      <w:r>
        <w:t xml:space="preserve">25.4 Servicios</w:t>
      </w:r>
    </w:p>
    <w:p>
      <w:pPr>
        <w:pStyle w:val="FirstParagraph"/>
      </w:pPr>
      <w:r>
        <w:t xml:space="preserve">Crear servicios base del módulo.</w:t>
      </w:r>
    </w:p>
    <w:bookmarkEnd w:id="119"/>
    <w:bookmarkStart w:id="120" w:name="reuniones-2"/>
    <w:p>
      <w:pPr>
        <w:pStyle w:val="Heading3"/>
      </w:pPr>
      <w:r>
        <w:t xml:space="preserve">25.5 Reuniones</w:t>
      </w:r>
    </w:p>
    <w:p>
      <w:pPr>
        <w:pStyle w:val="FirstParagraph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</w:t>
      </w:r>
    </w:p>
    <w:bookmarkEnd w:id="120"/>
    <w:bookmarkStart w:id="121" w:name="evaluaciones-1"/>
    <w:p>
      <w:pPr>
        <w:pStyle w:val="Heading3"/>
      </w:pPr>
      <w:r>
        <w:t xml:space="preserve">25.6 Evaluaciones</w:t>
      </w:r>
    </w:p>
    <w:p>
      <w:pPr>
        <w:pStyle w:val="FirstParagraph"/>
      </w:pPr>
      <w:r>
        <w:t xml:space="preserve">Implementar evaluación de puntos.</w:t>
      </w:r>
    </w:p>
    <w:bookmarkEnd w:id="121"/>
    <w:bookmarkStart w:id="122" w:name="resoluciones"/>
    <w:p>
      <w:pPr>
        <w:pStyle w:val="Heading3"/>
      </w:pPr>
      <w:r>
        <w:t xml:space="preserve">25.7 Resoluciones</w:t>
      </w:r>
    </w:p>
    <w:p>
      <w:pPr>
        <w:pStyle w:val="FirstParagraph"/>
      </w:pPr>
      <w:r>
        <w:t xml:space="preserve">Integrar resolución de solicitudes con Solicitudes.</w:t>
      </w:r>
    </w:p>
    <w:bookmarkEnd w:id="122"/>
    <w:bookmarkStart w:id="123" w:name="actas-1"/>
    <w:p>
      <w:pPr>
        <w:pStyle w:val="Heading3"/>
      </w:pPr>
      <w:r>
        <w:t xml:space="preserve">25.8 Actas</w:t>
      </w:r>
    </w:p>
    <w:p>
      <w:pPr>
        <w:pStyle w:val="FirstParagraph"/>
      </w:pPr>
      <w:r>
        <w:t xml:space="preserve">Implementar actas, editor, búsqueda y publicación.</w:t>
      </w:r>
    </w:p>
    <w:bookmarkEnd w:id="123"/>
    <w:bookmarkStart w:id="124" w:name="consulta-institucional"/>
    <w:p>
      <w:pPr>
        <w:pStyle w:val="Heading3"/>
      </w:pPr>
      <w:r>
        <w:t xml:space="preserve">25.9 Consulta institucional</w:t>
      </w:r>
    </w:p>
    <w:p>
      <w:pPr>
        <w:pStyle w:val="FirstParagraph"/>
      </w:pPr>
      <w:r>
        <w:t xml:space="preserve">Implementar vista pública/institucional de actas publicadas.</w:t>
      </w:r>
    </w:p>
    <w:bookmarkEnd w:id="124"/>
    <w:bookmarkStart w:id="125" w:name="pulido-ux"/>
    <w:p>
      <w:pPr>
        <w:pStyle w:val="Heading3"/>
      </w:pPr>
      <w:r>
        <w:t xml:space="preserve">25.10 Pulido UX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77"/>
        </w:numPr>
      </w:pPr>
      <w:r>
        <w:t xml:space="preserve">Resúmenes.</w:t>
      </w:r>
    </w:p>
    <w:p>
      <w:pPr>
        <w:pStyle w:val="Compact"/>
        <w:numPr>
          <w:ilvl w:val="0"/>
          <w:numId w:val="1077"/>
        </w:numPr>
      </w:pPr>
      <w:r>
        <w:t xml:space="preserve">Iconos con cantidades.</w:t>
      </w:r>
    </w:p>
    <w:p>
      <w:pPr>
        <w:pStyle w:val="Compact"/>
        <w:numPr>
          <w:ilvl w:val="0"/>
          <w:numId w:val="1077"/>
        </w:numPr>
      </w:pPr>
      <w:r>
        <w:t xml:space="preserve">Scroll interno.</w:t>
      </w:r>
    </w:p>
    <w:p>
      <w:pPr>
        <w:pStyle w:val="Compact"/>
        <w:numPr>
          <w:ilvl w:val="0"/>
          <w:numId w:val="1077"/>
        </w:numPr>
      </w:pPr>
      <w:r>
        <w:t xml:space="preserve">Foco visual tras cerrar modal.</w:t>
      </w:r>
    </w:p>
    <w:p>
      <w:pPr>
        <w:pStyle w:val="Compact"/>
        <w:numPr>
          <w:ilvl w:val="0"/>
          <w:numId w:val="1077"/>
        </w:numPr>
      </w:pPr>
      <w:r>
        <w:t xml:space="preserve">Guía para impresión PDF.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convenciones-livewire"/>
    <w:p>
      <w:pPr>
        <w:pStyle w:val="Heading2"/>
      </w:pPr>
      <w:r>
        <w:t xml:space="preserve">26. Convenciones Livewire</w:t>
      </w:r>
    </w:p>
    <w:p>
      <w:pPr>
        <w:pStyle w:val="FirstParagraph"/>
      </w:pPr>
      <w:r>
        <w:t xml:space="preserve">Se usará la convención: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Show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Edit</w:t>
      </w:r>
    </w:p>
    <w:p>
      <w:pPr>
        <w:pStyle w:val="FirstParagraph"/>
      </w:pPr>
      <w:r>
        <w:t xml:space="preserve">No se crearán componentes separados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si la pantalla de creación y edición es la misma.</w:t>
      </w:r>
    </w:p>
    <w:p>
      <w:pPr>
        <w:pStyle w:val="BodyText"/>
      </w:pPr>
      <w:r>
        <w:t xml:space="preserve">Rutas distintas pueden apuntar al mismo componente</w:t>
      </w:r>
      <w:r>
        <w:t xml:space="preserve"> </w:t>
      </w:r>
      <w:r>
        <w:rPr>
          <w:rStyle w:val="VerbatimChar"/>
        </w:rPr>
        <w:t xml:space="preserve">Edit</w:t>
      </w:r>
      <w:r>
        <w:t xml:space="preserve">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/ci/reuniones/crear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/ci/reuniones/{reunion}/editar</w:t>
      </w:r>
    </w:p>
    <w:p>
      <w:pPr>
        <w:pStyle w:val="FirstParagraph"/>
      </w:pPr>
      <w:r>
        <w:t xml:space="preserve">Ambas usan</w:t>
      </w:r>
      <w:r>
        <w:t xml:space="preserve"> </w:t>
      </w:r>
      <w:r>
        <w:rPr>
          <w:rStyle w:val="VerbatimChar"/>
        </w:rPr>
        <w:t xml:space="preserve">Reuniones/Edit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conclusión"/>
    <w:p>
      <w:pPr>
        <w:pStyle w:val="Heading2"/>
      </w:pPr>
      <w:r>
        <w:t xml:space="preserve">27. Conclusión</w:t>
      </w:r>
    </w:p>
    <w:p>
      <w:pPr>
        <w:pStyle w:val="FirstParagraph"/>
      </w:pPr>
      <w:r>
        <w:t xml:space="preserve">El módulo Consejo Interno queda definido como un expediente institucional compuesto, flexible y mantenible, orientado al flujo real de SACAD y del Consejo Interno.</w:t>
      </w:r>
    </w:p>
    <w:p>
      <w:pPr>
        <w:pStyle w:val="BodyText"/>
      </w:pPr>
      <w:r>
        <w:t xml:space="preserve">Su diseño evita duplicar responsabilidades con Solicitudes, mantiene independencia operativa de Actas, protege comentarios y evaluaciones internas, permite consulta institucional de documentos publicados y conserva la flexibilidad administrativa necesaria para el trabajo cotidiano.</w:t>
      </w:r>
    </w:p>
    <w:p>
      <w:pPr>
        <w:pStyle w:val="BodyText"/>
      </w:pPr>
      <w:r>
        <w:t xml:space="preserve">La arquitectura propuesta mantiene el estilo general de SIIAA Laravel 13: interfaces claras, lógica explícita, servicios reutilizables, catálogos institucionales cuando aportan valor, identidad mediante</w:t>
      </w:r>
      <w:r>
        <w:t xml:space="preserve"> </w:t>
      </w:r>
      <w:r>
        <w:rPr>
          <w:rStyle w:val="VerbatimChar"/>
        </w:rPr>
        <w:t xml:space="preserve">identity_links</w:t>
      </w:r>
      <w:r>
        <w:t xml:space="preserve"> </w:t>
      </w:r>
      <w:r>
        <w:t xml:space="preserve">y mínima complejidad accidental.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2026-06-08T16:38:41Z</dcterms:created>
  <dcterms:modified xsi:type="dcterms:W3CDTF">2026-06-08T16:38:41Z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