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KnowSnout — UX/UI Аудит і Брендбук v2</w:t>
      </w:r>
    </w:p>
    <w:p>
      <w:pPr>
        <w:spacing w:after="150"/>
      </w:pPr>
      <w:r>
        <w:rPr>
          <w:i/>
          <w:iCs/>
          <w:color w:val="5B6B76"/>
          <w:sz w:val="20"/>
          <w:szCs w:val="20"/>
        </w:rPr>
        <w:t xml:space="preserve">Дата: 27 липня 2026 · Огляд на основі 60 екранів застосунку (наданих скріншотів)</w:t>
      </w:r>
    </w:p>
    <w:p>
      <w:pPr>
        <w:spacing w:after="300"/>
      </w:pPr>
    </w:p>
    <w:p>
      <w:pPr>
        <w:pStyle w:val="Heading2"/>
        <w:spacing w:after="150" w:before="300"/>
      </w:pPr>
      <w:r>
        <w:t xml:space="preserve">Executive Summary</w:t>
      </w:r>
    </w:p>
    <w:p>
      <w:pPr>
        <w:spacing w:after="150"/>
      </w:pPr>
      <w:r>
        <w:t xml:space="preserve">KnowSnout — вже зараз функціонально багатий і візуально послідовний застосунок: система кольорів, картки, модалки та інформаційні банери витримані в одному стилі по всіх 60 екранах. Основна робота, яка стоїть перед дизайном — не «побудувати з нуля», а прибрати шум (тестові дані, дублювання логіки), уніфікувати кілька компонентів, які зараз реалізовані по-різному в різних місцях, і підсилити перше враження (вхід, порожні стани).</w:t>
      </w:r>
    </w:p>
    <w:p>
      <w:pPr>
        <w:spacing w:after="150"/>
      </w:pPr>
      <w:r>
        <w:rPr>
          <w:b/>
          <w:bCs/>
          <w:color w:val="111B2F"/>
        </w:rPr>
        <w:t xml:space="preserve">Головний висновок: </w:t>
      </w:r>
      <w:r>
        <w:t xml:space="preserve">продукт має сильний фундамент (Trust · Clarity · Care · Modern витримані на рівні контенту й тону), але потребує «прибирання» перед тим, як додавати нове (форум, блог, нові види тварин).</w:t>
      </w:r>
    </w:p>
    <w:p>
      <w:pPr>
        <w:spacing w:after="150"/>
      </w:pPr>
      <w:r>
        <w:t xml:space="preserve">Документ має дві частини: (1) UX/UI аудит — зведення спостережень по модулях і наскрізні проблеми з пріоритетами; (2) Брендбук v2 — уточнення поточної системи плюс три альтернативні кольорові напрями для експериментів.</w:t>
      </w:r>
    </w:p>
    <w:p>
      <w:pPr>
        <w:pStyle w:val="Heading1"/>
        <w:spacing w:after="200" w:before="400"/>
      </w:pPr>
      <w:r>
        <w:t xml:space="preserve">Частина 1. UX/UI Аудит</w:t>
      </w:r>
    </w:p>
    <w:p>
      <w:pPr>
        <w:pStyle w:val="Heading2"/>
        <w:spacing w:after="150" w:before="300"/>
      </w:pPr>
      <w:r>
        <w:t xml:space="preserve">Методологія</w:t>
      </w:r>
    </w:p>
    <w:p>
      <w:pPr>
        <w:spacing w:after="150"/>
      </w:pPr>
      <w:r>
        <w:t xml:space="preserve">Огляд охопив усі основні модулі застосунку: Вхід, Перевір (Корм · Рослина · Порода) з результатами сканів, Журнал, Улюбленці (профіль, догляд, щеплення, подорожі, документи, ліки, ігри), Квіз, Стрічка (SnoutStories) і SnoutSpotlight, Мої дані. Кожен екран оцінювався за трьома критеріями: відповідність заявленим брендовим атрибутам (Trust · Clarity · Care · Modern), внутрішня узгодженість з іншими екранами застосунку, і базові UX-евристики (Nielsen: видимість статусу, відповідність реальному світу, консистентність, запобігання помилкам, розпізнавання замість пригадування).</w:t>
      </w:r>
    </w:p>
    <w:p>
      <w:pPr>
        <w:pStyle w:val="Heading2"/>
        <w:spacing w:after="150" w:before="300"/>
      </w:pPr>
      <w:r>
        <w:t xml:space="preserve">Зведення по модулях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400"/>
        <w:gridCol w:w="1200"/>
      </w:tblGrid>
      <w:tr>
        <w:trPr>
          <w:tblHeader/>
        </w:trPr>
        <w:tc>
          <w:tcPr>
            <w:tcW w:type="dxa" w:w="1600"/>
            <w:shd w:fill="111B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3400"/>
            <w:shd w:fill="111B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Сильні сторони</w:t>
            </w:r>
          </w:p>
        </w:tc>
        <w:tc>
          <w:tcPr>
            <w:tcW w:type="dxa" w:w="3400"/>
            <w:shd w:fill="111B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Проблеми</w:t>
            </w:r>
          </w:p>
        </w:tc>
        <w:tc>
          <w:tcPr>
            <w:tcW w:type="dxa" w:w="1200"/>
            <w:shd w:fill="111B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Пріоритет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Вхід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Чіткий brand-first лого-лок-ап; мінімум полів; сильний перший заголовок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Величезний порожній простір між формою і кнопкою — враження недобудованого екрану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Перевір (хаб)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Ідеальний приклад «один екран — один вибір»; іконки зрозумілі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Корм: скан і результат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Найсильніший екран застосунку: score-кільце, Pros/Cons, прозоре пояснення джерел англомовних даних, мітка «демо» для Allegro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Рослина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Чесний empty state («Фото не збережено»), зрозумілий вердикт з % впевненості і CTA до клініки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Порода / квіз «Вгадай породу»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Багатий, якісний контент результату (група, темперамент, походження)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Мітка «ОРИГІНАЛ АНГЛІЙСЬКОЮ» виглядає як debug-артефакт, без пояснення (на відміну від екрану результату скану корму)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Журнал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Зрозумілі вкладки Корм/Рослини/Породи, фільтри по виду тварини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Порожні teal-плитки замість фото читаються як зламаний стан; повторні однакові записи не групуються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Профіль улюбленця (перегляд)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Гарна секційність: Основне / Зовнішність / Здоров'я / Спосіб життя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Профіль улюбленця (форма)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Дружні кольорові аватари-emoji — один з найтепліших штрихів бренду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Одна суцільна довга форма без секцій/кроків — легко загубити контекст під час заповнення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Догляд сьогодні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Чіткий прогрес «1 з 3», логічний flow до підмодулів (вода/гра/годування)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Щеплення / Ліки та візити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Послідовний патерн bottom-sheet модалок для додавання записів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Типи записів (ліки/візит/нотатка) не розрізняються візуально в списку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Nice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Подорожі / Документи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Детальні, корисні чекліст-пункти з поясненнями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Два окремі модулі з майже ідентичним змістом і однаковим патерном перемикача — плутанина «де правда»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Квіз (хаб і результати)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Streak, рекорд, статистика по категоріях, прозорість джерел — сильний, довірливий UX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Підсумковий екран раунду має багато невикористаного простору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Nice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Стрічка / SnoutSpotlight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Гарні фільтри, перемикач сітка/список, чесна мітка «демо»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 наданих скрінах — тестовий контент (код у пості) замість реального; ще один period-switcher компонент, не уніфікований з іншими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/ Should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Мої дані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Просто і зрозуміло; синхронізація з профілями тварин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Секція вибору аватара за статтю неочевидна за призначенням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Nice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t xml:space="preserve">Наскрізні проблеми (впливають на кілька модулів одразу)</w:t>
      </w:r>
    </w:p>
    <w:p>
      <w:pPr>
        <w:pStyle w:val="Heading3"/>
        <w:spacing w:after="100" w:before="200"/>
      </w:pPr>
      <w:r>
        <w:t xml:space="preserve">1. Дублювання даних і логіки чеклістів</w:t>
      </w:r>
    </w:p>
    <w:p>
      <w:pPr>
        <w:spacing w:after="150"/>
      </w:pPr>
      <w:r>
        <w:t xml:space="preserve">«Документи» і «Подорожі» — окремі модулі, але їхній зміст (мікрочип, сказ/щеплення, паспорт, ветсертифікат) майже повністю перетинається, і обидва мають структуру перемикача «вдома/перед виїздом» відповідно «Schengen/поза Schengen». Дані про документи ще раз вводяться вручну в формі профілю тварини. Користувач може не розуміти, де саме «правда» — у профілі, у чеклісті документів чи в чеклісті подорожей.</w:t>
      </w:r>
    </w:p>
    <w:p>
      <w:pPr>
        <w:spacing w:after="150"/>
      </w:pPr>
      <w:r>
        <w:rPr>
          <w:b/>
          <w:bCs/>
          <w:color w:val="111B2F"/>
        </w:rPr>
        <w:t xml:space="preserve">Рекомендація: </w:t>
      </w:r>
      <w:r>
        <w:t xml:space="preserve">об'єднати два модулі в один з чіткою двоступеневою структурою (Постійні документи → Підготовка до конкретної поїздки) або явно зв'язати дані («підтягнено з профілю» замість повторного ручного вводу).</w:t>
      </w:r>
    </w:p>
    <w:p>
      <w:pPr>
        <w:pStyle w:val="Heading3"/>
        <w:spacing w:after="100" w:before="200"/>
      </w:pPr>
      <w:r>
        <w:t xml:space="preserve">2. Тестовий/debug-контент, що просочився в UI</w:t>
      </w:r>
    </w:p>
    <w:p>
      <w:pPr>
        <w:spacing w:after="150"/>
      </w:pPr>
      <w:r>
        <w:t xml:space="preserve">У наданих скріншотах трапляються артефакти розробки: пост у стрічці з фрагментом програмного коду замість фото тварини; порожні суцільні teal-плитки на місці зображень; технічна мітка «ОРИГІНАЛ АНГЛІЙСЬКОЮ» без пояснення в квізі; 4 з 5 записів журналу рослин — одна й та сама рослина, перевірена кілька разів поспіль. Це не проблема дизайну як такого, але створює враження недоробленого продукту при показі будь-кому за межами команди.</w:t>
      </w:r>
    </w:p>
    <w:p>
      <w:pPr>
        <w:spacing w:after="150"/>
      </w:pPr>
      <w:r>
        <w:rPr>
          <w:b/>
          <w:bCs/>
          <w:color w:val="111B2F"/>
        </w:rPr>
        <w:t xml:space="preserve">Рекомендація: </w:t>
      </w:r>
      <w:r>
        <w:t xml:space="preserve">почистити демо-дані перед будь-яким зовнішнім показом; це не дизайнерська задача, а checklist перед демонстрацією.</w:t>
      </w:r>
    </w:p>
    <w:p>
      <w:pPr>
        <w:pStyle w:val="Heading3"/>
        <w:spacing w:after="100" w:before="200"/>
      </w:pPr>
      <w:r>
        <w:t xml:space="preserve">3. Немає єдиного стандарту порожнього стану зображення</w:t>
      </w:r>
    </w:p>
    <w:p>
      <w:pPr>
        <w:spacing w:after="150"/>
      </w:pPr>
      <w:r>
        <w:t xml:space="preserve">Порожній/незавантажений стан фото виглядає по-різному в різних модулях: то суцільна teal-заливка (Журнал, Стрічка), то пунктирна рамка з текстом (Рослина, Порода — це найкращий варіант). Немає одного стандартного компонента.</w:t>
      </w:r>
    </w:p>
    <w:p>
      <w:pPr>
        <w:spacing w:after="150"/>
      </w:pPr>
      <w:r>
        <w:rPr>
          <w:b/>
          <w:bCs/>
          <w:color w:val="111B2F"/>
        </w:rPr>
        <w:t xml:space="preserve">Рекомендація: </w:t>
      </w:r>
      <w:r>
        <w:t xml:space="preserve">зафіксувати один компонент «empty photo state» (іконка-заглушка + короткий підпис) і застосувати його всюди, де може бракувати зображення.</w:t>
      </w:r>
    </w:p>
    <w:p>
      <w:pPr>
        <w:pStyle w:val="Heading3"/>
        <w:spacing w:after="100" w:before="200"/>
      </w:pPr>
      <w:r>
        <w:t xml:space="preserve">4. Довгі форми без сегментації</w:t>
      </w:r>
    </w:p>
    <w:p>
      <w:pPr>
        <w:spacing w:after="150"/>
      </w:pPr>
      <w:r>
        <w:t xml:space="preserve">Форма профілю улюбленця і форма «Мої дані» — суцільна вертикальна прокрутка через багато розділів (Основне → Зовнішність → Здоров'я → Спосіб життя → Документи) без якорів чи індикатора прогресу. Це контрастує з екраном перегляду профілю, де ті самі дані акуратно розбиті на картки-секції.</w:t>
      </w:r>
    </w:p>
    <w:p>
      <w:pPr>
        <w:spacing w:after="150"/>
      </w:pPr>
      <w:r>
        <w:rPr>
          <w:b/>
          <w:bCs/>
          <w:color w:val="111B2F"/>
        </w:rPr>
        <w:t xml:space="preserve">Рекомендація: </w:t>
      </w:r>
      <w:r>
        <w:t xml:space="preserve">перенести секційність з екрану перегляду і в форму редагування — акордеон-секції або покроковий візард із прогресом.</w:t>
      </w:r>
    </w:p>
    <w:p>
      <w:pPr>
        <w:pStyle w:val="Heading3"/>
        <w:spacing w:after="100" w:before="200"/>
      </w:pPr>
      <w:r>
        <w:t xml:space="preserve">5. Компонент «перемикач періоду/режиму» реалізований по-різному</w:t>
      </w:r>
    </w:p>
    <w:p>
      <w:pPr>
        <w:spacing w:after="150"/>
      </w:pPr>
      <w:r>
        <w:t xml:space="preserve">Один і той самий UX-патерн — двоопційний або чотириопційний перемикач (Schengen/поза Schengen; Вдома/Перед виїздом; День/Тиждень/Місяць/Рік; Собаки/Коти) — зустрічається щонайменше у п'яти місцях із дещо відмінною версткою й поведінкою.</w:t>
      </w:r>
    </w:p>
    <w:p>
      <w:pPr>
        <w:spacing w:after="150"/>
      </w:pPr>
      <w:r>
        <w:rPr>
          <w:b/>
          <w:bCs/>
          <w:color w:val="111B2F"/>
        </w:rPr>
        <w:t xml:space="preserve">Рекомендація: </w:t>
      </w:r>
      <w:r>
        <w:t xml:space="preserve">уніфікувати в один перевикористовуваний UI-компонент (сегментований контрол) з фіксованими станами active/inactive.</w:t>
      </w:r>
    </w:p>
    <w:p>
      <w:pPr>
        <w:pStyle w:val="Heading3"/>
        <w:spacing w:after="100" w:before="200"/>
      </w:pPr>
      <w:r>
        <w:t xml:space="preserve">6. Прогрес показаний тільки текстом там, де просить візуалізації</w:t>
      </w:r>
    </w:p>
    <w:p>
      <w:pPr>
        <w:spacing w:after="150"/>
      </w:pPr>
      <w:r>
        <w:t xml:space="preserve">«Готово 0 з 9» у чеклістах подорожей/документів — це лише текст, без прогрес-бару чи кільця. Легко пропустити на швидкому перегляді, особливо контрастуючи зі score-кільцем на екрані результату корму, яке працює дуже наочно.</w:t>
      </w:r>
    </w:p>
    <w:p>
      <w:pPr>
        <w:spacing w:after="150"/>
      </w:pPr>
      <w:r>
        <w:rPr>
          <w:b/>
          <w:bCs/>
          <w:color w:val="111B2F"/>
        </w:rPr>
        <w:t xml:space="preserve">Рекомендація: </w:t>
      </w:r>
      <w:r>
        <w:t xml:space="preserve">додати легкий візуальний індикатор прогресу (тонка смужка чи невеликий лічильник-кільце) до всіх чеклістів.</w:t>
      </w:r>
    </w:p>
    <w:p>
      <w:pPr>
        <w:pStyle w:val="Heading3"/>
        <w:spacing w:after="100" w:before="200"/>
      </w:pPr>
      <w:r>
        <w:t xml:space="preserve">7. Слабке перше враження — екран входу</w:t>
      </w:r>
    </w:p>
    <w:p>
      <w:pPr>
        <w:spacing w:after="150"/>
      </w:pPr>
      <w:r>
        <w:t xml:space="preserve">Великий незаповнений простір на екрані входу створює враження недобудованого UI саме в той момент, коли формується перше враження про продукт.</w:t>
      </w:r>
    </w:p>
    <w:p>
      <w:pPr>
        <w:spacing w:after="150"/>
      </w:pPr>
      <w:r>
        <w:rPr>
          <w:b/>
          <w:bCs/>
          <w:color w:val="111B2F"/>
        </w:rPr>
        <w:t xml:space="preserve">Рекомендація: </w:t>
      </w:r>
      <w:r>
        <w:t xml:space="preserve">або компактніше скомпонувати форму, або заповнити простір змістовним брендовим візуалом чи соціальним доказом.</w:t>
      </w:r>
    </w:p>
    <w:p>
      <w:pPr>
        <w:pStyle w:val="Heading2"/>
        <w:spacing w:after="150" w:before="300"/>
      </w:pPr>
      <w:r>
        <w:t xml:space="preserve">Пріоритети виправлень</w:t>
      </w:r>
    </w:p>
    <w:p>
      <w:pPr>
        <w:pStyle w:val="Heading3"/>
        <w:spacing w:after="100" w:before="200"/>
      </w:pPr>
      <w:r>
        <w:t xml:space="preserve">Must — перед будь-яким зовнішнім показом чи наступним спринтом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Прибрати тестові/debug дані з демо-акаунта (пост з кодом, дублікати сканів рослин)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Зафіксувати і застосувати єдиний компонент порожнього стану фото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Вирішити дублювання модулів «Документи» і «Подорожі» — об'єднати або чітко розмежувати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Виправити порожнечу композиції на екрані входу</w:t>
      </w:r>
    </w:p>
    <w:p>
      <w:pPr>
        <w:spacing w:after="200"/>
      </w:pPr>
    </w:p>
    <w:p>
      <w:pPr>
        <w:pStyle w:val="Heading3"/>
        <w:spacing w:after="100" w:before="200"/>
      </w:pPr>
      <w:r>
        <w:t xml:space="preserve">Should — найближчі ітерації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Розбити довгі форми (профіль улюбленця, мої дані) на секції/кроки з прогресом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Уніфікувати компонент «перемикач періоду/режиму» в один перевикористовуваний елемент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Додати візуальний індикатор прогресу до всіх чеклістів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Перенести формулювання-пояснення нелокалізованого контенту з екрану результату корму в екран «Вгадай породу»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Візуально розрізнити типи записів (ліки/візит/нотатка) у списку «Ліки та візити»</w:t>
      </w:r>
    </w:p>
    <w:p>
      <w:pPr>
        <w:spacing w:after="200"/>
      </w:pPr>
    </w:p>
    <w:p>
      <w:pPr>
        <w:pStyle w:val="Heading3"/>
        <w:spacing w:after="100" w:before="200"/>
      </w:pPr>
      <w:r>
        <w:t xml:space="preserve">Nice to have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Живіші, тепліші варіанти аватара користувача (за прикладом аватарів тварин)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Мотиваційний контент на порожньому підсумковому екрані квізу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Групування повторних сканів однакового об'єкта в Журналі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Уточнити призначення секції вибору аватара «за статтю» в Моїх даних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Частина 2. Брендбук v2</w:t>
      </w:r>
    </w:p>
    <w:p>
      <w:pPr>
        <w:spacing w:after="150"/>
      </w:pPr>
      <w:r>
        <w:t xml:space="preserve">Ця частина доповнює наявний BRANDBOOK.md, не замінює його. Мета — зафіксувати те, що вже добре працює, і дати матеріал для експериментів із кольором, як було погоджено.</w:t>
      </w:r>
    </w:p>
    <w:p>
      <w:pPr>
        <w:pStyle w:val="Heading2"/>
        <w:spacing w:after="150" w:before="300"/>
      </w:pPr>
      <w:r>
        <w:t xml:space="preserve">Бренд-атрибути (без змін)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Trust — чесні перевірки, без страху-маркетингу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Clarity — одна головна дія на екран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Care — тепло до тварин, точність до складу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Modern — tech-clean, не clinic-cold</w:t>
      </w:r>
    </w:p>
    <w:p>
      <w:pPr>
        <w:spacing w:after="150"/>
      </w:pPr>
      <w:r>
        <w:t xml:space="preserve">Аудит підтверджує: контент і тон голосу вже точно влучають у ці атрибути. Основна робота з брендом зараз — на рівні візуальної системи (кольори, компоненти), не меседжингу.</w:t>
      </w:r>
    </w:p>
    <w:p>
      <w:pPr>
        <w:pStyle w:val="Heading2"/>
        <w:spacing w:after="150" w:before="300"/>
      </w:pPr>
      <w:r>
        <w:t xml:space="preserve">Поточна база (для порівняння)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600"/>
        <w:gridCol w:w="4700"/>
      </w:tblGrid>
      <w:tr>
        <w:trPr>
          <w:tblHeader/>
        </w:trPr>
        <w:tc>
          <w:tcPr>
            <w:tcW w:type="dxa" w:w="900"/>
            <w:shd w:fill="111B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111B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Токен</w:t>
            </w:r>
          </w:p>
        </w:tc>
        <w:tc>
          <w:tcPr>
            <w:tcW w:type="dxa" w:w="1600"/>
            <w:shd w:fill="111B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700"/>
            <w:shd w:fill="111B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900"/>
            <w:shd w:fill="72ED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Snout Lime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#72ED2F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Градієнт-старт, енергія, success-акценти</w:t>
            </w:r>
          </w:p>
        </w:tc>
      </w:tr>
      <w:tr>
        <w:tc>
          <w:tcPr>
            <w:tcW w:type="dxa" w:w="900"/>
            <w:shd w:fill="00E0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Snout Teal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#00E0C7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Градієнт-фініш, основний інтерактив</w:t>
            </w:r>
          </w:p>
        </w:tc>
      </w:tr>
      <w:tr>
        <w:tc>
          <w:tcPr>
            <w:tcW w:type="dxa" w:w="900"/>
            <w:shd w:fill="111B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Snout Ink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#111B2F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Текст, вордмарк</w:t>
            </w:r>
          </w:p>
        </w:tc>
      </w:tr>
      <w:tr>
        <w:tc>
          <w:tcPr>
            <w:tcW w:type="dxa" w:w="900"/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Surface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#F7FAF9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Фон застосунку</w:t>
            </w:r>
          </w:p>
        </w:tc>
      </w:tr>
      <w:tr>
        <w:tc>
          <w:tcPr>
            <w:tcW w:type="dxa" w:w="900"/>
            <w:shd w:fill="DFF7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Mist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#DFF7F1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М'які чіпи, вторинні заливки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Оцінка: технологічно свіжа, добре читається, але лайм + яскравий бірюзовий разом можуть зчитуватись ближче до «finance/crypto-app» чи «juice brand», ніж до теплого pet-care бренду. Нижче — три альтернативні напрями для експериментів.</w:t>
      </w:r>
    </w:p>
    <w:p>
      <w:pPr>
        <w:pStyle w:val="Heading3"/>
        <w:spacing w:after="100" w:before="200"/>
      </w:pPr>
      <w:r>
        <w:t xml:space="preserve">Альтернатива A — «Тепла турбота» (теракота + шавлія)</w:t>
      </w:r>
    </w:p>
    <w:p>
      <w:pPr>
        <w:spacing w:after="150"/>
      </w:pPr>
      <w:r>
        <w:rPr>
          <w:i/>
          <w:iCs/>
          <w:color w:val="5B6B76"/>
        </w:rPr>
        <w:t xml:space="preserve">Зсув від «tech-стартап» до «домашнє тепло», найближче до атрибута Care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600"/>
        <w:gridCol w:w="4700"/>
      </w:tblGrid>
      <w:tr>
        <w:trPr>
          <w:tblHeader/>
        </w:trPr>
        <w:tc>
          <w:tcPr>
            <w:tcW w:type="dxa" w:w="900"/>
            <w:shd w:fill="111B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111B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Токен</w:t>
            </w:r>
          </w:p>
        </w:tc>
        <w:tc>
          <w:tcPr>
            <w:tcW w:type="dxa" w:w="1600"/>
            <w:shd w:fill="111B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700"/>
            <w:shd w:fill="111B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900"/>
            <w:shd w:fill="E279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Terracotta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#E2795A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Основний інтерактив, CTA-кнопки</w:t>
            </w:r>
          </w:p>
        </w:tc>
      </w:tr>
      <w:tr>
        <w:tc>
          <w:tcPr>
            <w:tcW w:type="dxa" w:w="900"/>
            <w:shd w:fill="6E9C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Sage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#6E9C82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Вторинний акцент, success-стани</w:t>
            </w:r>
          </w:p>
        </w:tc>
      </w:tr>
      <w:tr>
        <w:tc>
          <w:tcPr>
            <w:tcW w:type="dxa" w:w="900"/>
            <w:shd w:fill="2B211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Warm Ink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#2B211C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Текст, вордмарк</w:t>
            </w:r>
          </w:p>
        </w:tc>
      </w:tr>
      <w:tr>
        <w:tc>
          <w:tcPr>
            <w:tcW w:type="dxa" w:w="900"/>
            <w:shd w:fill="FAF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Warm Surface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#FAF6F1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Фон застосунку</w:t>
            </w:r>
          </w:p>
        </w:tc>
      </w:tr>
      <w:tr>
        <w:tc>
          <w:tcPr>
            <w:tcW w:type="dxa" w:w="900"/>
            <w:shd w:fill="EFE6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Warm Mist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#EFE6DD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М'які чіпи, вторинні заливки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b/>
          <w:bCs/>
          <w:color w:val="111B2F"/>
        </w:rPr>
        <w:t xml:space="preserve">Чому це може працювати: </w:t>
      </w:r>
      <w:r>
        <w:t xml:space="preserve">Тепліша, «домашня» палітра одразу зчитується як турбота і затишок — сильно підкреслює Care, вирізняється на фоні типових бірюзових pet-tech застосунків.</w:t>
      </w:r>
    </w:p>
    <w:p>
      <w:pPr>
        <w:spacing w:after="150"/>
      </w:pPr>
      <w:r>
        <w:rPr>
          <w:b/>
          <w:bCs/>
          <w:color w:val="111B2F"/>
        </w:rPr>
        <w:t xml:space="preserve">Ризик: </w:t>
      </w:r>
      <w:r>
        <w:t xml:space="preserve">Менш «tech-clean»; потребує обережності з контрастом (теракота на світлому фоні для дрібного тексту).</w:t>
      </w:r>
    </w:p>
    <w:p>
      <w:pPr>
        <w:spacing w:after="250"/>
      </w:pPr>
    </w:p>
    <w:p>
      <w:pPr>
        <w:pStyle w:val="Heading3"/>
        <w:spacing w:after="100" w:before="200"/>
      </w:pPr>
      <w:r>
        <w:t xml:space="preserve">Альтернатива B — «Сучасний контраст» (глибокий тіл + корал)</w:t>
      </w:r>
    </w:p>
    <w:p>
      <w:pPr>
        <w:spacing w:after="150"/>
      </w:pPr>
      <w:r>
        <w:rPr>
          <w:i/>
          <w:iCs/>
          <w:color w:val="5B6B76"/>
        </w:rPr>
        <w:t xml:space="preserve">Еволюція поточної палітри, а не революція — тримає teal-ДНК бренду, прибирає неоновий лайм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600"/>
        <w:gridCol w:w="4700"/>
      </w:tblGrid>
      <w:tr>
        <w:trPr>
          <w:tblHeader/>
        </w:trPr>
        <w:tc>
          <w:tcPr>
            <w:tcW w:type="dxa" w:w="900"/>
            <w:shd w:fill="111B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111B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Токен</w:t>
            </w:r>
          </w:p>
        </w:tc>
        <w:tc>
          <w:tcPr>
            <w:tcW w:type="dxa" w:w="1600"/>
            <w:shd w:fill="111B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700"/>
            <w:shd w:fill="111B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900"/>
            <w:shd w:fill="0B7A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Deep Ocean Teal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#0B7A73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Основний інтерактив, primary buttons</w:t>
            </w:r>
          </w:p>
        </w:tc>
      </w:tr>
      <w:tr>
        <w:tc>
          <w:tcPr>
            <w:tcW w:type="dxa" w:w="900"/>
            <w:shd w:fill="FF6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Coral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#FF6B4A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Акцент/CTA-енергія замість лайму</w:t>
            </w:r>
          </w:p>
        </w:tc>
      </w:tr>
      <w:tr>
        <w:tc>
          <w:tcPr>
            <w:tcW w:type="dxa" w:w="900"/>
            <w:shd w:fill="1014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Ink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#10141F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Текст, вордмарк</w:t>
            </w:r>
          </w:p>
        </w:tc>
      </w:tr>
      <w:tr>
        <w:tc>
          <w:tcPr>
            <w:tcW w:type="dxa" w:w="900"/>
            <w:shd w:fill="F5F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Surface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#F5F8F7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Фон застосунку</w:t>
            </w:r>
          </w:p>
        </w:tc>
      </w:tr>
      <w:tr>
        <w:tc>
          <w:tcPr>
            <w:tcW w:type="dxa" w:w="900"/>
            <w:shd w:fill="DCE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Mist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#DCEEEA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М'які чіпи, вторинні заливки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b/>
          <w:bCs/>
          <w:color w:val="111B2F"/>
        </w:rPr>
        <w:t xml:space="preserve">Чому це може працювати: </w:t>
      </w:r>
      <w:r>
        <w:t xml:space="preserve">Найбезпечніший експеримент: зберігає впізнаваність teal-бренду й лого-градієнт, але глибший відтінок виглядає преміальніше, а корал тепліший і живіший за лайм для людського ока.</w:t>
      </w:r>
    </w:p>
    <w:p>
      <w:pPr>
        <w:spacing w:after="150"/>
      </w:pPr>
      <w:r>
        <w:rPr>
          <w:b/>
          <w:bCs/>
          <w:color w:val="111B2F"/>
        </w:rPr>
        <w:t xml:space="preserve">Ризик: </w:t>
      </w:r>
      <w:r>
        <w:t xml:space="preserve">Найменш «сміливий» варіант із трьох — якщо мета показати контраст із поточним станом, може здатись замало відмінним.</w:t>
      </w:r>
    </w:p>
    <w:p>
      <w:pPr>
        <w:spacing w:after="250"/>
      </w:pPr>
    </w:p>
    <w:p>
      <w:pPr>
        <w:pStyle w:val="Heading3"/>
        <w:spacing w:after="100" w:before="200"/>
      </w:pPr>
      <w:r>
        <w:t xml:space="preserve">Альтернатива C — «Природна довіра» (ліс + бурштин)</w:t>
      </w:r>
    </w:p>
    <w:p>
      <w:pPr>
        <w:spacing w:after="150"/>
      </w:pPr>
      <w:r>
        <w:rPr>
          <w:i/>
          <w:iCs/>
          <w:color w:val="5B6B76"/>
        </w:rPr>
        <w:t xml:space="preserve">Найбільш «органічний»/vet-adjacent напрям, ближче до природи й довіри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600"/>
        <w:gridCol w:w="4700"/>
      </w:tblGrid>
      <w:tr>
        <w:trPr>
          <w:tblHeader/>
        </w:trPr>
        <w:tc>
          <w:tcPr>
            <w:tcW w:type="dxa" w:w="900"/>
            <w:shd w:fill="111B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111B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Токен</w:t>
            </w:r>
          </w:p>
        </w:tc>
        <w:tc>
          <w:tcPr>
            <w:tcW w:type="dxa" w:w="1600"/>
            <w:shd w:fill="111B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700"/>
            <w:shd w:fill="111B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900"/>
            <w:shd w:fill="2F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Forest Green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#2F6B4F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Основний інтерактив</w:t>
            </w:r>
          </w:p>
        </w:tc>
      </w:tr>
      <w:tr>
        <w:tc>
          <w:tcPr>
            <w:tcW w:type="dxa" w:w="900"/>
            <w:shd w:fill="E3A7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Amber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#E3A72E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Акцент/CTA-енергія</w:t>
            </w:r>
          </w:p>
        </w:tc>
      </w:tr>
      <w:tr>
        <w:tc>
          <w:tcPr>
            <w:tcW w:type="dxa" w:w="900"/>
            <w:shd w:fill="1420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Deep Ink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#14201B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Текст, вордмарк</w:t>
            </w:r>
          </w:p>
        </w:tc>
      </w:tr>
      <w:tr>
        <w:tc>
          <w:tcPr>
            <w:tcW w:type="dxa" w:w="900"/>
            <w:shd w:fill="F6F7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Natural Surface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#F6F7F2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Фон застосунку</w:t>
            </w:r>
          </w:p>
        </w:tc>
      </w:tr>
      <w:tr>
        <w:tc>
          <w:tcPr>
            <w:tcW w:type="dxa" w:w="900"/>
            <w:shd w:fill="E4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Soft Mist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#E4EFE6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М'які чіпи, вторинні заливки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b/>
          <w:bCs/>
          <w:color w:val="111B2F"/>
        </w:rPr>
        <w:t xml:space="preserve">Чому це може працювати: </w:t>
      </w:r>
      <w:r>
        <w:t xml:space="preserve">Лісовий зелений одразу читається як «природно, безпечно, довірливо» — добре резонує з модулем перевірки рослин і кормів; бурштин теплий і апетитний для CTA.</w:t>
      </w:r>
    </w:p>
    <w:p>
      <w:pPr>
        <w:spacing w:after="150"/>
      </w:pPr>
      <w:r>
        <w:rPr>
          <w:b/>
          <w:bCs/>
          <w:color w:val="111B2F"/>
        </w:rPr>
        <w:t xml:space="preserve">Ризик: </w:t>
      </w:r>
      <w:r>
        <w:t xml:space="preserve">Найближче до «типового eco/organic» візуального коду — ризик злитися з іншими зеленими wellness-брендами, менш унікально.</w:t>
      </w:r>
    </w:p>
    <w:p>
      <w:pPr>
        <w:spacing w:after="250"/>
      </w:pPr>
    </w:p>
    <w:p>
      <w:pPr>
        <w:pStyle w:val="Heading2"/>
        <w:spacing w:after="150" w:before="300"/>
      </w:pPr>
      <w:r>
        <w:t xml:space="preserve">Типографіка</w:t>
      </w:r>
    </w:p>
    <w:p>
      <w:pPr>
        <w:spacing w:after="150"/>
      </w:pPr>
      <w:r>
        <w:t xml:space="preserve">Поточний вибір (DM Sans для UI, опційно Fraunces для маркетингу) — залишається доречним і не потребує заміни. Рекомендації щодо уточнення: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Зафіксувати чітку вагову шкалу: Regular (400) для body, Medium (500) для лейблів полів, Bold (700) лише для заголовків і сум/цифр (score, ціни, лічильники) — зараз це вже інтуїтивно витримано, варто задокументувати як правило.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Для довгих форм — розглянути єдиний стиль заголовка секції (розмір, вага, колір), що повторюється в перегляді й редагуванні профілю тварини.</w:t>
      </w:r>
    </w:p>
    <w:p>
      <w:pPr>
        <w:pStyle w:val="Heading2"/>
        <w:spacing w:after="150" w:before="300"/>
      </w:pPr>
      <w:r>
        <w:t xml:space="preserve">Компоненти для уніфікації (UI kit v2)</w:t>
      </w:r>
    </w:p>
    <w:p>
      <w:pPr>
        <w:spacing w:after="150"/>
      </w:pPr>
      <w:r>
        <w:t xml:space="preserve">Ці елементи вже існують у продукті в кількох варіаціях. Мета UI kit v2 — звести кожен до одного перевикористовуваного компонента: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Сегментований перемикач (2–4 опції) — зараз: Schengen/поза Schengen, Вдома/Виїзд, День/Тиждень/Місяць/Рік, Собаки/Коти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Порожній стан фото — іконка-заглушка + короткий підпис замість суцільної заливки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Прогрес чекліста — текст + тонка візуальна смужка або кільце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Bottom-sheet модалка для додавання запису — вже добре уніфікована (щеплення, ліки, годування), зафіксувати як стандарт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Секційна картка профілю — використати той самий патерн і в режимі перегляду, і в режимі редагування</w:t>
      </w:r>
    </w:p>
    <w:p>
      <w:pPr>
        <w:pStyle w:val="Heading1"/>
        <w:spacing w:after="200" w:before="400"/>
      </w:pPr>
      <w:r>
        <w:t xml:space="preserve">Наступні кроки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Погодити обрану кольорову альтернативу (або комбінацію ідей із кількох) — база для UI kit v2.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Прибрати тестові дані з демо-акаунта перед будь-яким показом за межі команди.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Звести UI kit v2: кольори, типографіка, уніфіковані компоненти зі списку вище.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Оновити ключові макети (mobile-first): Вхід · Перевір · Результат корму · Профіль улюбленця · Догляд · Стрічка · Квіз — за списком deliverables із креативного брифу.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Закласти в IA місце для Форуму і Блогу (must/should на горизонті) — без фінальних макетів, але з узгодженим візуальним патерном.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B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2026-07-27T21:03:43.335Z</dcterms:created>
  <dcterms:modified xsi:type="dcterms:W3CDTF">2026-07-27T21:03:43.348Z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