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97D"/>
          <w:sz w:val="28"/>
        </w:rPr>
        <w:t>ЮНІТЕКС</w:t>
      </w:r>
    </w:p>
    <w:p>
      <w:pPr>
        <w:jc w:val="center"/>
      </w:pPr>
      <w:r>
        <w:rPr>
          <w:rFonts w:ascii="Arial" w:hAnsi="Arial"/>
          <w:b/>
          <w:sz w:val="24"/>
        </w:rPr>
        <w:t>Регламент роботи Фінансового менеджера</w:t>
      </w:r>
    </w:p>
    <w:p/>
    <w:p>
      <w:r>
        <w:rPr>
          <w:rFonts w:ascii="Arial" w:hAnsi="Arial"/>
          <w:b/>
          <w:color w:val="1F497D"/>
          <w:sz w:val="20"/>
        </w:rPr>
        <w:t>Розділ 1. Обробка витратних рахунків та формування заявок на оплату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454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567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Крок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Назва дії</w:t>
            </w:r>
          </w:p>
        </w:tc>
        <w:tc>
          <w:tcPr>
            <w:tcW w:type="dxa" w:w="5386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Детальний опис дій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Строк / Регулярність</w:t>
            </w:r>
          </w:p>
        </w:tc>
        <w:tc>
          <w:tcPr>
            <w:tcW w:type="dxa" w:w="1984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Система / Інструмент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Взаємодія з</w:t>
            </w:r>
          </w:p>
        </w:tc>
      </w:tr>
      <w:tr>
        <w:tc>
          <w:tcPr>
            <w:tcW w:type="dxa" w:w="454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567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B</w:t>
            </w:r>
          </w:p>
        </w:tc>
        <w:tc>
          <w:tcPr>
            <w:tcW w:type="dxa" w:w="2268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Отримання витратного рахунку від менеджера / контрагента</w:t>
            </w:r>
          </w:p>
        </w:tc>
        <w:tc>
          <w:tcPr>
            <w:tcW w:type="dxa" w:w="5386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Фінансист отримує рахунок від менеджера або безпосередньо від контрагента.</w:t>
            </w:r>
          </w:p>
          <w:p>
            <w:r>
              <w:rPr>
                <w:rFonts w:ascii="Arial" w:hAnsi="Arial"/>
                <w:sz w:val="18"/>
              </w:rPr>
              <w:t>Звіряє отриману суму з плановою калькуляцією угоди.</w:t>
            </w:r>
          </w:p>
        </w:tc>
        <w:tc>
          <w:tcPr>
            <w:tcW w:type="dxa" w:w="1701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За фактом надходження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Email / Месенджер</w:t>
            </w:r>
          </w:p>
        </w:tc>
        <w:tc>
          <w:tcPr>
            <w:tcW w:type="dxa" w:w="2268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Менеджер з продажу,</w:t>
            </w:r>
          </w:p>
          <w:p>
            <w:r>
              <w:rPr>
                <w:rFonts w:ascii="Arial" w:hAnsi="Arial"/>
                <w:sz w:val="18"/>
              </w:rPr>
              <w:t>Контрагент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56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B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Внесення витратного рахунку в Експедитор Про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Вносить рахунок у відповідну угоду в Експедитор Про із зазначенням:</w:t>
            </w:r>
          </w:p>
          <w:p>
            <w:pPr>
              <w:ind w:left="113"/>
            </w:pPr>
            <w:r>
              <w:rPr>
                <w:rFonts w:ascii="Arial" w:hAnsi="Arial"/>
                <w:sz w:val="18"/>
              </w:rPr>
              <w:t>• Вид оплати</w:t>
            </w:r>
          </w:p>
          <w:p>
            <w:pPr>
              <w:ind w:left="113"/>
            </w:pPr>
            <w:r>
              <w:rPr>
                <w:rFonts w:ascii="Arial" w:hAnsi="Arial"/>
                <w:sz w:val="18"/>
              </w:rPr>
              <w:t>• Послуга</w:t>
            </w:r>
          </w:p>
          <w:p>
            <w:pPr>
              <w:ind w:left="113"/>
            </w:pPr>
            <w:r>
              <w:rPr>
                <w:rFonts w:ascii="Arial" w:hAnsi="Arial"/>
                <w:sz w:val="18"/>
              </w:rPr>
              <w:t>• Валюта</w:t>
            </w:r>
          </w:p>
          <w:p>
            <w:pPr>
              <w:ind w:left="113"/>
            </w:pPr>
            <w:r>
              <w:rPr>
                <w:rFonts w:ascii="Arial" w:hAnsi="Arial"/>
                <w:sz w:val="18"/>
              </w:rPr>
              <w:t>• Сума</w:t>
            </w:r>
          </w:p>
          <w:p>
            <w:pPr>
              <w:ind w:left="113"/>
            </w:pPr>
            <w:r>
              <w:rPr>
                <w:rFonts w:ascii="Arial" w:hAnsi="Arial"/>
                <w:sz w:val="18"/>
              </w:rPr>
              <w:t>• Дата оплати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Одразу після отримання рахунку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Експедитор Про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Менеджер з продажу</w:t>
            </w:r>
          </w:p>
        </w:tc>
      </w:tr>
      <w:tr>
        <w:tc>
          <w:tcPr>
            <w:tcW w:type="dxa" w:w="454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567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C</w:t>
            </w:r>
          </w:p>
        </w:tc>
        <w:tc>
          <w:tcPr>
            <w:tcW w:type="dxa" w:w="2268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Узгодження оплати з Керівником</w:t>
            </w:r>
          </w:p>
        </w:tc>
        <w:tc>
          <w:tcPr>
            <w:tcW w:type="dxa" w:w="5386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Погоджує необхідність та терміни оплати рахунку з Керівником (Директор / Гл. Бухгалтер / Фінансист).</w:t>
            </w:r>
          </w:p>
        </w:tc>
        <w:tc>
          <w:tcPr>
            <w:tcW w:type="dxa" w:w="1701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До формування заявки на оплату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Email / Особисто</w:t>
            </w:r>
          </w:p>
        </w:tc>
        <w:tc>
          <w:tcPr>
            <w:tcW w:type="dxa" w:w="2268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Керівник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56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C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Формування заявки на оплату та відправка бухгалтеру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Після узгодження з Керівником формує лист-заявку на оплату:</w:t>
            </w:r>
          </w:p>
          <w:p>
            <w:pPr>
              <w:ind w:left="113"/>
            </w:pPr>
            <w:r>
              <w:rPr>
                <w:rFonts w:ascii="Arial" w:hAnsi="Arial"/>
                <w:sz w:val="18"/>
              </w:rPr>
              <w:t>• Тема: [Номер угоди] / Заявка на оплату рахунка</w:t>
            </w:r>
          </w:p>
          <w:p>
            <w:pPr>
              <w:ind w:left="113"/>
            </w:pPr>
            <w:r>
              <w:rPr>
                <w:rFonts w:ascii="Arial" w:hAnsi="Arial"/>
                <w:sz w:val="18"/>
              </w:rPr>
              <w:t>• Тіло листа: контрагент, сума, валюта</w:t>
            </w:r>
          </w:p>
          <w:p>
            <w:pPr>
              <w:ind w:left="113"/>
            </w:pPr>
            <w:r>
              <w:rPr>
                <w:rFonts w:ascii="Arial" w:hAnsi="Arial"/>
                <w:sz w:val="18"/>
              </w:rPr>
              <w:t>• Вкладений файл: рахунок від контрагента</w:t>
            </w:r>
          </w:p>
          <w:p>
            <w:r>
              <w:rPr>
                <w:rFonts w:ascii="Arial" w:hAnsi="Arial"/>
                <w:sz w:val="18"/>
              </w:rPr>
              <w:t>Відправляє на: lliliyaat@gmail.com, alexandr.cherny@gmail.com</w:t>
            </w:r>
          </w:p>
          <w:p>
            <w:r>
              <w:rPr>
                <w:rFonts w:ascii="Arial" w:hAnsi="Arial"/>
                <w:sz w:val="18"/>
              </w:rPr>
              <w:t>Керівник — у копії.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Після узгодження з Керівником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Email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Бухгалтер, Керівник</w:t>
            </w:r>
          </w:p>
        </w:tc>
      </w:tr>
      <w:tr>
        <w:tc>
          <w:tcPr>
            <w:tcW w:type="dxa" w:w="454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5</w:t>
            </w:r>
          </w:p>
        </w:tc>
        <w:tc>
          <w:tcPr>
            <w:tcW w:type="dxa" w:w="567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F</w:t>
            </w:r>
          </w:p>
        </w:tc>
        <w:tc>
          <w:tcPr>
            <w:tcW w:type="dxa" w:w="2268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Відображення оплати в Експедитор Про</w:t>
            </w:r>
          </w:p>
        </w:tc>
        <w:tc>
          <w:tcPr>
            <w:tcW w:type="dxa" w:w="5386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Після отримання підтвердження оплати від бухгалтера — відображає проведений платіж у відповідній угоді в Експедитор Про.</w:t>
            </w:r>
          </w:p>
        </w:tc>
        <w:tc>
          <w:tcPr>
            <w:tcW w:type="dxa" w:w="1701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Після підтвердження оплати бухгалтером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Експедитор Про</w:t>
            </w:r>
          </w:p>
        </w:tc>
        <w:tc>
          <w:tcPr>
            <w:tcW w:type="dxa" w:w="2268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Бухгалтер</w:t>
            </w:r>
          </w:p>
        </w:tc>
      </w:tr>
    </w:tbl>
    <w:p/>
    <w:p>
      <w:r>
        <w:rPr>
          <w:rFonts w:ascii="Arial" w:hAnsi="Arial"/>
          <w:b/>
          <w:sz w:val="18"/>
        </w:rPr>
        <w:t xml:space="preserve">⚠ Особлива умова (автоперевезення): </w:t>
      </w:r>
      <w:r>
        <w:rPr>
          <w:rFonts w:ascii="Arial" w:hAnsi="Arial"/>
          <w:sz w:val="18"/>
        </w:rPr>
        <w:t>При оплаті за автоперевезення — утримується 4 000 грн до отримання оригіналів актів та CMR. Після отримання оригіналів бухгалтер проводить доплату за заявкою менеджера.</w:t>
      </w:r>
    </w:p>
    <w:p/>
    <w:p>
      <w:r>
        <w:rPr>
          <w:rFonts w:ascii="Arial" w:hAnsi="Arial"/>
          <w:b/>
          <w:color w:val="1F497D"/>
          <w:sz w:val="20"/>
        </w:rPr>
        <w:t>Розділ 2. Контроль та моніторинг угод у Експедитор Про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454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567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Крок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Назва дії</w:t>
            </w:r>
          </w:p>
        </w:tc>
        <w:tc>
          <w:tcPr>
            <w:tcW w:type="dxa" w:w="5386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Детальний опис дій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Строк / Регулярність</w:t>
            </w:r>
          </w:p>
        </w:tc>
        <w:tc>
          <w:tcPr>
            <w:tcW w:type="dxa" w:w="1984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Система / Інструмент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Взаємодія з</w:t>
            </w:r>
          </w:p>
        </w:tc>
      </w:tr>
      <w:tr>
        <w:tc>
          <w:tcPr>
            <w:tcW w:type="dxa" w:w="454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567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268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Контроль актуальності планової калькуляції</w:t>
            </w:r>
          </w:p>
        </w:tc>
        <w:tc>
          <w:tcPr>
            <w:tcW w:type="dxa" w:w="5386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Регулярно перевіряє планові витрати по відкритих угодах в Експедитор Про.</w:t>
            </w:r>
          </w:p>
          <w:p>
            <w:r>
              <w:rPr>
                <w:rFonts w:ascii="Arial" w:hAnsi="Arial"/>
                <w:sz w:val="18"/>
              </w:rPr>
              <w:t>При отриманні нових рахунків звіряє фактичні суми з плановими та за необхідності корегує калькуляцію.</w:t>
            </w:r>
          </w:p>
        </w:tc>
        <w:tc>
          <w:tcPr>
            <w:tcW w:type="dxa" w:w="1701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По мірі надходження рахунків / за потребою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Експедитор Про</w:t>
            </w:r>
          </w:p>
        </w:tc>
        <w:tc>
          <w:tcPr>
            <w:tcW w:type="dxa" w:w="2268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Менеджер з продажу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56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Моніторинг статусу оплат по угодах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Відстежує стан оплат (сплачено / очікує оплати / прострочено) по всіх відкритих угодах.</w:t>
            </w:r>
          </w:p>
          <w:p>
            <w:r>
              <w:rPr>
                <w:rFonts w:ascii="Arial" w:hAnsi="Arial"/>
                <w:sz w:val="18"/>
              </w:rPr>
              <w:t>При наближенні терміну оплати — нагадує відповідальним особам.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Регулярно (за потребою)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Експедитор Про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Бухгалтер, Менеджер, Керівник</w:t>
            </w:r>
          </w:p>
        </w:tc>
      </w:tr>
      <w:tr>
        <w:tc>
          <w:tcPr>
            <w:tcW w:type="dxa" w:w="454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567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268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Актуалізація дат оплати в Експедитор Про</w:t>
            </w:r>
          </w:p>
        </w:tc>
        <w:tc>
          <w:tcPr>
            <w:tcW w:type="dxa" w:w="5386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У разі зміни термінів оплати або домовленостей з контрагентом — оновлює дату оплати в угоді.</w:t>
            </w:r>
          </w:p>
        </w:tc>
        <w:tc>
          <w:tcPr>
            <w:tcW w:type="dxa" w:w="1701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За фактом зміни домовленостей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Експедитор Про</w:t>
            </w:r>
          </w:p>
        </w:tc>
        <w:tc>
          <w:tcPr>
            <w:tcW w:type="dxa" w:w="2268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Менеджер з продажу, Контрагент</w:t>
            </w:r>
          </w:p>
        </w:tc>
      </w:tr>
    </w:tbl>
    <w:p/>
    <w:p>
      <w:r>
        <w:rPr>
          <w:rFonts w:ascii="Arial" w:hAnsi="Arial"/>
          <w:b/>
          <w:color w:val="1F497D"/>
          <w:sz w:val="20"/>
        </w:rPr>
        <w:t>Розділ 3. Комунікація та звітність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c>
          <w:tcPr>
            <w:tcW w:type="dxa" w:w="454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№</w:t>
            </w:r>
          </w:p>
        </w:tc>
        <w:tc>
          <w:tcPr>
            <w:tcW w:type="dxa" w:w="567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Крок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Назва дії</w:t>
            </w:r>
          </w:p>
        </w:tc>
        <w:tc>
          <w:tcPr>
            <w:tcW w:type="dxa" w:w="5386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Детальний опис дій</w:t>
            </w:r>
          </w:p>
        </w:tc>
        <w:tc>
          <w:tcPr>
            <w:tcW w:type="dxa" w:w="1701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Строк / Регулярність</w:t>
            </w:r>
          </w:p>
        </w:tc>
        <w:tc>
          <w:tcPr>
            <w:tcW w:type="dxa" w:w="1984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Система / Інструмент</w:t>
            </w:r>
          </w:p>
        </w:tc>
        <w:tc>
          <w:tcPr>
            <w:tcW w:type="dxa" w:w="2268"/>
            <w:shd w:val="clear" w:color="auto" w:fill="1F497D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Взаємодія з</w:t>
            </w:r>
          </w:p>
        </w:tc>
      </w:tr>
      <w:tr>
        <w:tc>
          <w:tcPr>
            <w:tcW w:type="dxa" w:w="454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567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268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Підтвердження отримання заявок на оплату</w:t>
            </w:r>
          </w:p>
        </w:tc>
        <w:tc>
          <w:tcPr>
            <w:tcW w:type="dxa" w:w="5386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Після отримання заявки від менеджера — підтверджує отримання та повідомляє про орієнтовний термін обробки.</w:t>
            </w:r>
          </w:p>
        </w:tc>
        <w:tc>
          <w:tcPr>
            <w:tcW w:type="dxa" w:w="1701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Одразу після отримання заявки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Email</w:t>
            </w:r>
          </w:p>
        </w:tc>
        <w:tc>
          <w:tcPr>
            <w:tcW w:type="dxa" w:w="2268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Менеджер з продажу</w:t>
            </w:r>
          </w:p>
        </w:tc>
      </w:tr>
      <w:tr>
        <w:tc>
          <w:tcPr>
            <w:tcW w:type="dxa" w:w="45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567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Повідомлення про проведену оплату</w:t>
            </w:r>
          </w:p>
        </w:tc>
        <w:tc>
          <w:tcPr>
            <w:tcW w:type="dxa" w:w="5386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Після отримання підтвердження від бухгалтера — інформує менеджера про факт оплати контрагенту.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Після підтвердження бухгалтером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Email / Месенджер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Менеджер з продажу, Бухгалтер</w:t>
            </w:r>
          </w:p>
        </w:tc>
      </w:tr>
      <w:tr>
        <w:tc>
          <w:tcPr>
            <w:tcW w:type="dxa" w:w="454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567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268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Звіт керівництву за поточними платежами</w:t>
            </w:r>
          </w:p>
        </w:tc>
        <w:tc>
          <w:tcPr>
            <w:tcW w:type="dxa" w:w="5386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За запитом керівництва або за встановленим графіком — надає інформацію про поточний стан платежів, очікувані виплати та відхилення від плану.</w:t>
            </w:r>
          </w:p>
        </w:tc>
        <w:tc>
          <w:tcPr>
            <w:tcW w:type="dxa" w:w="1701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За запитом / за графіком</w:t>
            </w:r>
          </w:p>
        </w:tc>
        <w:tc>
          <w:tcPr>
            <w:tcW w:type="dxa" w:w="1984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Експедитор Про, Email</w:t>
            </w:r>
          </w:p>
        </w:tc>
        <w:tc>
          <w:tcPr>
            <w:tcW w:type="dxa" w:w="2268"/>
            <w:shd w:val="clear" w:color="auto" w:fill="DEEA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top"/>
          </w:tcPr>
          <w:p>
            <w:r>
              <w:rPr>
                <w:rFonts w:ascii="Arial" w:hAnsi="Arial"/>
                <w:sz w:val="18"/>
              </w:rPr>
              <w:t>Керівник (Директор / Гл. Бухгалтер)</w:t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