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pacing w:lineRule="auto" w:line="360" w:before="240"/>
        <w:rPr>
          <w:rFonts w:ascii="Times New Roman" w:hAnsi="Times New Roman" w:cs="Times New Roman"/>
          <w:b/>
          <w:sz w:val="36"/>
          <w:highlight w:val="none"/>
        </w:rPr>
      </w:pPr>
      <w:r>
        <w:rPr>
          <w:rFonts w:ascii="Times New Roman" w:hAnsi="Times New Roman" w:cs="Times New Roman"/>
          <w:b/>
          <w:sz w:val="36"/>
          <w:szCs w:val="36"/>
        </w:rPr>
      </w:r>
      <w:r>
        <w:rPr>
          <w:rFonts w:ascii="Times New Roman" w:hAnsi="Times New Roman" w:cs="Times New Roman"/>
          <w:b/>
          <w:sz w:val="36"/>
          <w:szCs w:val="36"/>
        </w:rPr>
        <w:t xml:space="preserve">Development of a data-container to efficiently manage subsets of scRNA-Seq data</w:t>
      </w:r>
      <w:r>
        <w:rPr>
          <w:rFonts w:ascii="Times New Roman" w:hAnsi="Times New Roman" w:cs="Times New Roman"/>
          <w:b/>
          <w:sz w:val="36"/>
          <w:szCs w:val="36"/>
        </w:rPr>
      </w:r>
      <w:r/>
    </w:p>
    <w:p>
      <w:pPr>
        <w:jc w:val="center"/>
        <w:spacing w:lineRule="auto" w:line="360" w:before="240"/>
        <w:rPr>
          <w:rFonts w:ascii="Times New Roman" w:hAnsi="Times New Roman" w:cs="Times New Roman"/>
          <w:b/>
          <w:sz w:val="28"/>
          <w:szCs w:val="36"/>
        </w:rPr>
      </w:pPr>
      <w:r>
        <w:rPr>
          <w:rFonts w:ascii="Times New Roman" w:hAnsi="Times New Roman" w:cs="Times New Roman"/>
          <w:b/>
          <w:sz w:val="28"/>
          <w:szCs w:val="36"/>
          <w:highlight w:val="none"/>
        </w:rPr>
        <w:t xml:space="preserve">ExperimentSubset</w:t>
      </w:r>
      <w:r>
        <w:rPr>
          <w:rFonts w:ascii="Times New Roman" w:hAnsi="Times New Roman" w:cs="Times New Roman"/>
          <w:b/>
          <w:sz w:val="28"/>
          <w:szCs w:val="36"/>
          <w:highlight w:val="none"/>
        </w:rPr>
      </w:r>
    </w:p>
    <w:p>
      <w:pPr>
        <w:jc w:val="center"/>
        <w:spacing w:lineRule="auto" w:line="360" w:before="240"/>
        <w:tabs>
          <w:tab w:val="left" w:pos="1725" w:leader="none"/>
          <w:tab w:val="center" w:pos="4680" w:leader="none"/>
        </w:tabs>
        <w:rPr>
          <w:rFonts w:ascii="Times New Roman" w:hAnsi="Times New Roman" w:cs="Times New Roman"/>
        </w:rPr>
      </w:pPr>
      <w:r>
        <w:rPr>
          <w:rFonts w:ascii="Times New Roman" w:hAnsi="Times New Roman" w:cs="Times New Roman"/>
          <w:bCs/>
          <w:sz w:val="36"/>
        </w:rPr>
        <w:t xml:space="preserve">A thesis submitted by</w:t>
      </w:r>
      <w:r>
        <w:rPr>
          <w:rFonts w:ascii="Times New Roman" w:hAnsi="Times New Roman" w:cs="Times New Roman"/>
          <w:bCs/>
          <w:sz w:val="36"/>
        </w:rPr>
      </w:r>
      <w:r/>
    </w:p>
    <w:p>
      <w:pPr>
        <w:jc w:val="center"/>
        <w:spacing w:lineRule="auto" w:line="240" w:before="240"/>
        <w:tabs>
          <w:tab w:val="left" w:pos="1725" w:leader="none"/>
          <w:tab w:val="center" w:pos="4680" w:leader="none"/>
        </w:tabs>
        <w:rPr>
          <w:rFonts w:ascii="Times New Roman" w:hAnsi="Times New Roman" w:cs="Times New Roman"/>
        </w:rPr>
      </w:pPr>
      <w:r>
        <w:rPr>
          <w:rFonts w:ascii="Times New Roman" w:hAnsi="Times New Roman" w:cs="Times New Roman"/>
          <w:b/>
          <w:bCs/>
          <w:sz w:val="36"/>
        </w:rPr>
        <w:t xml:space="preserve">Irzam Sarfraz</w:t>
      </w:r>
      <w:r/>
    </w:p>
    <w:p>
      <w:pPr>
        <w:jc w:val="center"/>
        <w:spacing w:lineRule="auto" w:line="240" w:before="240"/>
        <w:tabs>
          <w:tab w:val="left" w:pos="1725" w:leader="none"/>
          <w:tab w:val="center" w:pos="4680" w:leader="none"/>
        </w:tabs>
        <w:rPr>
          <w:rFonts w:ascii="Times New Roman" w:hAnsi="Times New Roman" w:cs="Times New Roman"/>
        </w:rPr>
      </w:pPr>
      <w:r>
        <w:rPr>
          <w:rFonts w:ascii="Times New Roman" w:hAnsi="Times New Roman" w:cs="Times New Roman"/>
          <w:bCs/>
          <w:sz w:val="36"/>
        </w:rPr>
        <w:t xml:space="preserve">(19-NTU-4008)</w:t>
      </w:r>
      <w:r>
        <w:rPr>
          <w:rFonts w:ascii="Times New Roman" w:hAnsi="Times New Roman" w:cs="Times New Roman"/>
          <w:bCs/>
          <w:sz w:val="36"/>
        </w:rPr>
      </w:r>
      <w:r/>
    </w:p>
    <w:p>
      <w:pPr>
        <w:jc w:val="center"/>
        <w:spacing w:lineRule="auto" w:line="360" w:before="240"/>
        <w:tabs>
          <w:tab w:val="left" w:pos="1725" w:leader="none"/>
          <w:tab w:val="center" w:pos="4680" w:leader="none"/>
        </w:tabs>
        <w:rPr>
          <w:rFonts w:ascii="Times New Roman" w:hAnsi="Times New Roman" w:cs="Times New Roman"/>
        </w:rPr>
      </w:pPr>
      <w:r>
        <w:rPr>
          <w:rFonts w:ascii="Times New Roman" w:hAnsi="Times New Roman" w:cs="Times New Roman"/>
          <w:b/>
          <w:bCs/>
          <w:sz w:val="36"/>
        </w:rP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margin">
                  <wp:align>center</wp:align>
                </wp:positionH>
                <wp:positionV relativeFrom="paragraph">
                  <wp:posOffset>402590</wp:posOffset>
                </wp:positionV>
                <wp:extent cx="1333500" cy="1520190"/>
                <wp:effectExtent l="0" t="0" r="0" b="3810"/>
                <wp:wrapTight wrapText="bothSides">
                  <wp:wrapPolygon edited="1">
                    <wp:start x="0" y="0"/>
                    <wp:lineTo x="0" y="21383"/>
                    <wp:lineTo x="21291" y="21383"/>
                    <wp:lineTo x="21291" y="0"/>
                    <wp:lineTo x="0" y="0"/>
                  </wp:wrapPolygon>
                </wp:wrapTight>
                <wp:docPr id="1" name="Picture 2" descr="ntu logo"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descr="ntu logo" hidden="0"/>
                        <pic:cNvPicPr>
                          <a:picLocks noChangeAspect="1"/>
                        </pic:cNvPicPr>
                        <pic:nvPr isPhoto="0" userDrawn="0"/>
                      </pic:nvPicPr>
                      <pic:blipFill>
                        <a:blip r:embed="rId11"/>
                        <a:stretch/>
                      </pic:blipFill>
                      <pic:spPr bwMode="auto">
                        <a:xfrm>
                          <a:off x="0" y="0"/>
                          <a:ext cx="1333499" cy="1520190"/>
                        </a:xfrm>
                        <a:prstGeom prst="rect">
                          <a:avLst/>
                        </a:prstGeom>
                        <a:noFill/>
                        <a:ln w="9525">
                          <a:noFill/>
                          <a:miter/>
                          <a:headEnd/>
                          <a:tailEnd/>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margin;mso-position-horizontal:center;mso-position-vertical-relative:text;margin-top:31.7pt;mso-position-vertical:absolute;width:105.0pt;height:119.7pt;" wrapcoords="0 0 0 98995 98569 98995 98569 0 0 0" stroked="f" strokeweight="0.75pt">
                <v:path textboxrect="0,0,0,0"/>
                <v:imagedata r:id="rId11" o:title=""/>
              </v:shape>
            </w:pict>
          </mc:Fallback>
        </mc:AlternateContent>
      </w:r>
      <w:r>
        <w:rPr>
          <w:rFonts w:ascii="Times New Roman" w:hAnsi="Times New Roman" w:cs="Times New Roman"/>
          <w:b/>
          <w:bCs/>
          <w:sz w:val="36"/>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jc w:val="center"/>
        <w:spacing w:lineRule="auto" w:line="360" w:before="240"/>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657"/>
        <w:jc w:val="center"/>
        <w:spacing w:lineRule="auto" w:line="360" w:after="160" w:before="240"/>
        <w:rPr>
          <w:rFonts w:ascii="Times New Roman" w:hAnsi="Times New Roman"/>
        </w:rPr>
      </w:pPr>
      <w:r>
        <w:rPr>
          <w:rFonts w:ascii="Times New Roman" w:hAnsi="Times New Roman"/>
          <w:sz w:val="32"/>
          <w:szCs w:val="32"/>
        </w:rPr>
        <w:t xml:space="preserve">In partial fulfillment of the requirement for the degree of</w:t>
      </w:r>
      <w:r>
        <w:rPr>
          <w:rFonts w:ascii="Times New Roman" w:hAnsi="Times New Roman"/>
          <w:sz w:val="32"/>
          <w:szCs w:val="32"/>
        </w:rPr>
      </w:r>
      <w:r/>
    </w:p>
    <w:p>
      <w:pPr>
        <w:pStyle w:val="657"/>
        <w:jc w:val="center"/>
        <w:spacing w:after="160" w:before="240"/>
        <w:rPr>
          <w:rFonts w:ascii="Times New Roman" w:hAnsi="Times New Roman"/>
        </w:rPr>
      </w:pPr>
      <w:r>
        <w:rPr>
          <w:rFonts w:ascii="Times New Roman" w:hAnsi="Times New Roman"/>
          <w:sz w:val="32"/>
          <w:szCs w:val="32"/>
        </w:rPr>
        <w:t xml:space="preserve">Master of Science</w:t>
      </w:r>
      <w:r>
        <w:rPr>
          <w:rFonts w:ascii="Times New Roman" w:hAnsi="Times New Roman"/>
          <w:sz w:val="32"/>
          <w:szCs w:val="32"/>
        </w:rPr>
      </w:r>
      <w:r/>
    </w:p>
    <w:p>
      <w:pPr>
        <w:pStyle w:val="657"/>
        <w:jc w:val="center"/>
        <w:spacing w:after="160" w:before="240"/>
        <w:rPr>
          <w:rFonts w:ascii="Times New Roman" w:hAnsi="Times New Roman"/>
        </w:rPr>
      </w:pPr>
      <w:r>
        <w:rPr>
          <w:rFonts w:ascii="Times New Roman" w:hAnsi="Times New Roman"/>
          <w:sz w:val="32"/>
          <w:szCs w:val="32"/>
        </w:rPr>
        <w:t xml:space="preserve">in</w:t>
      </w:r>
      <w:r>
        <w:rPr>
          <w:rFonts w:ascii="Times New Roman" w:hAnsi="Times New Roman"/>
          <w:sz w:val="32"/>
          <w:szCs w:val="32"/>
        </w:rPr>
      </w:r>
      <w:r/>
    </w:p>
    <w:p>
      <w:pPr>
        <w:pStyle w:val="657"/>
        <w:jc w:val="center"/>
        <w:spacing w:after="160" w:before="240"/>
        <w:rPr>
          <w:rFonts w:ascii="Times New Roman" w:hAnsi="Times New Roman"/>
        </w:rPr>
      </w:pPr>
      <w:r>
        <w:rPr>
          <w:rFonts w:ascii="Times New Roman" w:hAnsi="Times New Roman"/>
          <w:sz w:val="32"/>
          <w:szCs w:val="32"/>
        </w:rPr>
        <w:t xml:space="preserve">Computer Science</w:t>
      </w:r>
      <w:r/>
    </w:p>
    <w:p>
      <w:pPr>
        <w:pStyle w:val="657"/>
        <w:jc w:val="center"/>
        <w:spacing w:after="160" w:before="240"/>
        <w:rPr>
          <w:rFonts w:ascii="Times New Roman" w:hAnsi="Times New Roman"/>
        </w:rPr>
      </w:pPr>
      <w:r>
        <w:rPr>
          <w:rFonts w:ascii="Times New Roman" w:hAnsi="Times New Roman"/>
          <w:b/>
          <w:sz w:val="32"/>
          <w:szCs w:val="32"/>
        </w:rPr>
      </w:r>
      <w:r>
        <w:rPr>
          <w:rFonts w:ascii="Times New Roman" w:hAnsi="Times New Roman"/>
          <w:b/>
          <w:sz w:val="32"/>
          <w:szCs w:val="32"/>
        </w:rPr>
      </w:r>
      <w:r/>
    </w:p>
    <w:p>
      <w:pPr>
        <w:pStyle w:val="657"/>
        <w:jc w:val="center"/>
        <w:spacing w:lineRule="auto" w:line="360" w:after="160" w:before="240"/>
        <w:rPr>
          <w:rFonts w:ascii="Times New Roman" w:hAnsi="Times New Roman"/>
        </w:rPr>
      </w:pPr>
      <w:r>
        <w:rPr>
          <w:rFonts w:ascii="Times New Roman" w:hAnsi="Times New Roman"/>
          <w:sz w:val="32"/>
          <w:szCs w:val="32"/>
        </w:rPr>
        <w:t xml:space="preserve">Directorate of Graduate Studies &amp; Research</w:t>
      </w:r>
      <w:r>
        <w:rPr>
          <w:rFonts w:ascii="Times New Roman" w:hAnsi="Times New Roman"/>
          <w:sz w:val="32"/>
          <w:szCs w:val="32"/>
        </w:rPr>
      </w:r>
      <w:r/>
    </w:p>
    <w:p>
      <w:pPr>
        <w:pStyle w:val="657"/>
        <w:jc w:val="center"/>
        <w:spacing w:lineRule="auto" w:line="360" w:after="160" w:before="240"/>
        <w:rPr>
          <w:rFonts w:ascii="Times New Roman" w:hAnsi="Times New Roman"/>
        </w:rPr>
      </w:pPr>
      <w:r>
        <w:rPr>
          <w:rFonts w:ascii="Times New Roman" w:hAnsi="Times New Roman"/>
          <w:sz w:val="32"/>
          <w:szCs w:val="32"/>
        </w:rPr>
        <w:t xml:space="preserve">Faculty of Science</w:t>
      </w:r>
      <w:r>
        <w:rPr>
          <w:rFonts w:ascii="Times New Roman" w:hAnsi="Times New Roman"/>
          <w:sz w:val="32"/>
          <w:szCs w:val="32"/>
        </w:rPr>
      </w:r>
      <w:r/>
      <w:r>
        <w:rPr>
          <w:rFonts w:ascii="Times New Roman" w:hAnsi="Times New Roman"/>
          <w:sz w:val="32"/>
          <w:szCs w:val="32"/>
        </w:rPr>
      </w:r>
      <w:r>
        <w:rPr>
          <w:rFonts w:ascii="Times New Roman" w:hAnsi="Times New Roman"/>
          <w:sz w:val="32"/>
          <w:szCs w:val="32"/>
        </w:rPr>
      </w:r>
      <w:r/>
    </w:p>
    <w:p>
      <w:pPr>
        <w:jc w:val="center"/>
        <w:spacing w:lineRule="auto" w:line="360" w:before="240"/>
        <w:tabs>
          <w:tab w:val="center" w:pos="567" w:leader="none"/>
          <w:tab w:val="center" w:pos="1134" w:leader="none"/>
          <w:tab w:val="center" w:pos="1701" w:leader="none"/>
          <w:tab w:val="center" w:pos="2268" w:leader="none"/>
          <w:tab w:val="center" w:pos="2835" w:leader="none"/>
          <w:tab w:val="center" w:pos="3402" w:leader="none"/>
          <w:tab w:val="center" w:pos="3969" w:leader="none"/>
          <w:tab w:val="center" w:pos="4536" w:leader="none"/>
          <w:tab w:val="center" w:pos="5103" w:leader="none"/>
          <w:tab w:val="center" w:pos="5670" w:leader="none"/>
          <w:tab w:val="center" w:pos="6237" w:leader="none"/>
          <w:tab w:val="center" w:pos="6804" w:leader="none"/>
          <w:tab w:val="center" w:pos="7371" w:leader="none"/>
          <w:tab w:val="center" w:pos="7938" w:leader="none"/>
          <w:tab w:val="center" w:pos="8505" w:leader="none"/>
        </w:tabs>
        <w:rPr>
          <w:rFonts w:ascii="Times New Roman" w:hAnsi="Times New Roman" w:cs="Times New Roman"/>
        </w:rPr>
      </w:pPr>
      <w:r>
        <w:rPr>
          <w:rFonts w:ascii="Times New Roman" w:hAnsi="Times New Roman" w:cs="Times New Roman"/>
          <w:b/>
          <w:bCs/>
          <w:sz w:val="32"/>
          <w:szCs w:val="32"/>
        </w:rPr>
        <w:t xml:space="preserve">National Textile University, Faisalabad</w:t>
      </w:r>
      <w:r>
        <w:rPr>
          <w:rFonts w:ascii="Times New Roman" w:hAnsi="Times New Roman" w:cs="Times New Roman"/>
          <w:b/>
          <w:bCs/>
          <w:sz w:val="32"/>
          <w:szCs w:val="32"/>
        </w:rPr>
      </w:r>
      <w:r/>
    </w:p>
    <w:p>
      <w:pPr>
        <w:pStyle w:val="657"/>
        <w:jc w:val="center"/>
        <w:spacing w:lineRule="auto" w:line="360" w:after="160" w:before="240"/>
        <w:rPr>
          <w:rFonts w:ascii="Times New Roman" w:hAnsi="Times New Roman"/>
        </w:rPr>
      </w:pPr>
      <w:r>
        <w:rPr>
          <w:rFonts w:ascii="Times New Roman" w:hAnsi="Times New Roman"/>
          <w:b/>
          <w:sz w:val="32"/>
          <w:szCs w:val="32"/>
        </w:rPr>
        <w:t xml:space="preserve">December </w:t>
      </w:r>
      <w:r>
        <w:rPr>
          <w:rFonts w:ascii="Times New Roman" w:hAnsi="Times New Roman"/>
          <w:b/>
          <w:sz w:val="32"/>
          <w:szCs w:val="32"/>
        </w:rPr>
        <w:t xml:space="preserve">2020</w:t>
      </w:r>
      <w:r>
        <w:rPr>
          <w:rFonts w:ascii="Times New Roman" w:hAnsi="Times New Roman"/>
          <w:b/>
          <w:sz w:val="32"/>
          <w:szCs w:val="32"/>
        </w:rPr>
      </w:r>
      <w:r/>
    </w:p>
    <w:p>
      <w:pPr>
        <w:ind w:left="360" w:hanging="360"/>
        <w:jc w:val="center"/>
        <w:keepLines/>
        <w:keepNext/>
        <w:spacing w:lineRule="auto" w:line="240" w:after="100" w:afterAutospacing="1" w:before="100" w:beforeAutospacing="1"/>
        <w:rPr>
          <w:rFonts w:ascii="Times New Roman" w:hAnsi="Times New Roman" w:cs="Times New Roman" w:eastAsia="Calibri"/>
        </w:rPr>
        <w:outlineLvl w:val="0"/>
      </w:pPr>
      <w:r/>
      <w:bookmarkStart w:id="201" w:name="_Toc1"/>
      <w:r>
        <w:rPr>
          <w:rFonts w:ascii="Times New Roman" w:hAnsi="Times New Roman" w:cs="Times New Roman"/>
          <w:b/>
          <w:sz w:val="32"/>
          <w:szCs w:val="32"/>
        </w:rPr>
        <w:br w:type="page"/>
      </w:r>
      <w:r>
        <w:rPr>
          <w:rFonts w:ascii="Times New Roman" w:hAnsi="Times New Roman" w:cs="Times New Roman" w:eastAsia="Calibri"/>
          <w:b/>
          <w:sz w:val="28"/>
          <w:szCs w:val="32"/>
        </w:rPr>
        <w:t xml:space="preserve">DEDICATION</w:t>
      </w:r>
      <w:r/>
      <w:bookmarkEnd w:id="201"/>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This modest effort is dedicated to my</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Respected Teachers,</w:t>
      </w:r>
      <w:r>
        <w:rPr>
          <w:rFonts w:ascii="Times New Roman" w:hAnsi="Times New Roman" w:cs="Times New Roman" w:eastAsia="Calibri"/>
          <w:color w:val="000000"/>
          <w:sz w:val="28"/>
          <w:szCs w:val="28"/>
        </w:rPr>
        <w:t xml:space="preserve"> </w:t>
      </w:r>
      <w:r>
        <w:rPr>
          <w:rFonts w:ascii="Times New Roman" w:hAnsi="Times New Roman" w:cs="Times New Roman" w:eastAsia="Calibri"/>
          <w:color w:val="000000"/>
          <w:sz w:val="28"/>
          <w:szCs w:val="28"/>
        </w:rPr>
        <w:t xml:space="preserve">Parents, F</w:t>
      </w:r>
      <w:r>
        <w:rPr>
          <w:rFonts w:ascii="Times New Roman" w:hAnsi="Times New Roman" w:cs="Times New Roman" w:eastAsia="Calibri"/>
          <w:color w:val="000000"/>
          <w:sz w:val="28"/>
          <w:szCs w:val="28"/>
        </w:rPr>
        <w:t xml:space="preserve">amily </w:t>
      </w:r>
      <w:r>
        <w:rPr>
          <w:rFonts w:ascii="Times New Roman" w:hAnsi="Times New Roman" w:cs="Times New Roman" w:eastAsia="Calibri"/>
          <w:color w:val="000000"/>
          <w:sz w:val="28"/>
          <w:szCs w:val="28"/>
        </w:rPr>
        <w:t xml:space="preserve">M</w:t>
      </w:r>
      <w:r>
        <w:rPr>
          <w:rFonts w:ascii="Times New Roman" w:hAnsi="Times New Roman" w:cs="Times New Roman" w:eastAsia="Calibri"/>
          <w:color w:val="000000"/>
          <w:sz w:val="28"/>
          <w:szCs w:val="28"/>
        </w:rPr>
        <w:t xml:space="preserve">embers,</w:t>
      </w:r>
      <w:r>
        <w:rPr>
          <w:rFonts w:ascii="Times New Roman" w:hAnsi="Times New Roman" w:cs="Times New Roman" w:eastAsia="Calibri"/>
          <w:color w:val="000000"/>
          <w:sz w:val="28"/>
          <w:szCs w:val="28"/>
        </w:rPr>
        <w:t xml:space="preserve"> </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&amp;</w:t>
      </w:r>
      <w:r>
        <w:rPr>
          <w:rFonts w:ascii="Times New Roman" w:hAnsi="Times New Roman" w:cs="Times New Roman" w:eastAsia="Calibri"/>
          <w:color w:val="000000"/>
          <w:sz w:val="28"/>
          <w:szCs w:val="28"/>
        </w:rPr>
      </w:r>
      <w:r/>
    </w:p>
    <w:p>
      <w:pPr>
        <w:jc w:val="center"/>
        <w:rPr>
          <w:rFonts w:ascii="Times New Roman" w:hAnsi="Times New Roman" w:cs="Times New Roman" w:eastAsia="Calibri"/>
          <w:color w:val="000000"/>
        </w:rPr>
      </w:pPr>
      <w:r>
        <w:rPr>
          <w:rFonts w:ascii="Times New Roman" w:hAnsi="Times New Roman" w:cs="Times New Roman" w:eastAsia="Calibri"/>
          <w:color w:val="000000"/>
          <w:sz w:val="28"/>
          <w:szCs w:val="28"/>
        </w:rPr>
        <w:t xml:space="preserve"> Friends</w:t>
      </w:r>
      <w:r>
        <w:rPr>
          <w:rFonts w:ascii="Times New Roman" w:hAnsi="Times New Roman" w:cs="Times New Roman" w:eastAsia="Calibri"/>
          <w:color w:val="000000"/>
          <w:sz w:val="28"/>
          <w:szCs w:val="28"/>
        </w:rPr>
      </w:r>
      <w:r/>
    </w:p>
    <w:p>
      <w:pPr>
        <w:rPr>
          <w:rFonts w:ascii="Times New Roman" w:hAnsi="Times New Roman" w:cs="Times New Roman" w:eastAsia="Calibri"/>
        </w:rPr>
      </w:pPr>
      <w:r/>
      <w:r>
        <w:rPr>
          <w:rFonts w:ascii="Times New Roman" w:hAnsi="Times New Roman" w:cs="Times New Roman" w:eastAsia="Calibri"/>
        </w:rPr>
        <w:br w:type="page"/>
      </w:r>
      <w:r>
        <w:rPr>
          <w:rFonts w:ascii="Times New Roman" w:hAnsi="Times New Roman" w:cs="Times New Roman" w:eastAsia="Calibri"/>
          <w:b/>
          <w:sz w:val="28"/>
          <w:szCs w:val="32"/>
        </w:rPr>
      </w:r>
      <w:r/>
    </w:p>
    <w:p>
      <w:pPr>
        <w:pStyle w:val="666"/>
        <w:ind w:left="360"/>
        <w:jc w:val="center"/>
        <w:rPr>
          <w:rFonts w:ascii="Times New Roman" w:hAnsi="Times New Roman" w:cs="Times New Roman" w:eastAsia="Calibri"/>
        </w:rPr>
      </w:pPr>
      <w:r/>
      <w:bookmarkStart w:id="202" w:name="_Toc2"/>
      <w:r>
        <w:rPr>
          <w:rFonts w:ascii="Times New Roman" w:hAnsi="Times New Roman" w:cs="Times New Roman" w:eastAsia="Calibri"/>
          <w:sz w:val="28"/>
        </w:rPr>
        <w:t xml:space="preserve">CERTIFICATE</w:t>
      </w:r>
      <w:r/>
      <w:bookmarkEnd w:id="202"/>
      <w:r/>
      <w:r/>
    </w:p>
    <w:p>
      <w:r/>
      <w:r/>
      <w:r/>
    </w:p>
    <w:p>
      <w:pPr>
        <w:jc w:val="center"/>
        <w:tabs>
          <w:tab w:val="left" w:pos="2655" w:leader="none"/>
        </w:tabs>
        <w:rPr>
          <w:rFonts w:ascii="Times New Roman" w:hAnsi="Times New Roman" w:cs="Times New Roman"/>
        </w:rPr>
      </w:pPr>
      <w:r>
        <w:rPr>
          <w:rFonts w:ascii="Times New Roman" w:hAnsi="Times New Roman" w:cs="Times New Roman"/>
          <w:b/>
          <w:bCs/>
          <w:sz w:val="24"/>
          <w:szCs w:val="24"/>
        </w:rPr>
        <w:t xml:space="preserve">NATIONAL TEXTILE UNIVERSITY, FAISALABAD </w:t>
      </w:r>
      <w:r>
        <w:rPr>
          <w:rFonts w:ascii="Times New Roman" w:hAnsi="Times New Roman" w:cs="Times New Roman"/>
          <w:b/>
          <w:bCs/>
          <w:sz w:val="24"/>
          <w:szCs w:val="24"/>
        </w:rPr>
      </w:r>
      <w:r/>
    </w:p>
    <w:p>
      <w:pPr>
        <w:jc w:val="both"/>
        <w:spacing w:lineRule="auto" w:line="360"/>
        <w:tabs>
          <w:tab w:val="left" w:pos="2655" w:leader="none"/>
        </w:tabs>
        <w:rPr>
          <w:rFonts w:ascii="Times New Roman" w:hAnsi="Times New Roman" w:cs="Times New Roman"/>
        </w:rPr>
      </w:pPr>
      <w:r>
        <w:rPr>
          <w:rFonts w:ascii="Times New Roman" w:hAnsi="Times New Roman" w:cs="Times New Roman"/>
        </w:rPr>
        <w:t xml:space="preserve">This thesis is</w:t>
      </w:r>
      <w:r>
        <w:rPr>
          <w:rFonts w:ascii="Times New Roman" w:hAnsi="Times New Roman" w:cs="Times New Roman"/>
        </w:rPr>
        <w:t xml:space="preserve"> written by Mr. </w:t>
      </w:r>
      <w:r>
        <w:rPr>
          <w:rFonts w:ascii="Times New Roman" w:hAnsi="Times New Roman" w:cs="Times New Roman"/>
        </w:rPr>
        <w:t xml:space="preserve">Irzam Sarfraz (19-NTU-4008</w:t>
      </w:r>
      <w:r>
        <w:rPr>
          <w:rFonts w:ascii="Times New Roman" w:hAnsi="Times New Roman" w:cs="Times New Roman"/>
        </w:rPr>
        <w:t xml:space="preserve">) under the directio</w:t>
      </w:r>
      <w:r>
        <w:rPr>
          <w:rFonts w:ascii="Times New Roman" w:hAnsi="Times New Roman" w:cs="Times New Roman"/>
        </w:rPr>
        <w:t xml:space="preserve">n of his supervisors and approved by all the members of the thesis committee, has been presented to and accepted by the Director of Graduate Studies and Research, in fulfillment of the requirement of the degree of Master of Science in Software Engineering.</w:t>
      </w:r>
      <w:r>
        <w:rPr>
          <w:rFonts w:ascii="Times New Roman" w:hAnsi="Times New Roman" w:cs="Times New Roman"/>
        </w:rPr>
      </w:r>
      <w:r/>
    </w:p>
    <w:p>
      <w:pPr>
        <w:tabs>
          <w:tab w:val="left" w:pos="2655" w:leader="none"/>
        </w:tabs>
        <w:rPr>
          <w:rFonts w:ascii="Times New Roman" w:hAnsi="Times New Roman" w:cs="Times New Roman"/>
        </w:rPr>
      </w:pPr>
      <w:r>
        <w:rPr>
          <w:rFonts w:ascii="Times New Roman" w:hAnsi="Times New Roman" w:cs="Times New Roman"/>
        </w:rPr>
      </w:r>
      <w:r>
        <w:rPr>
          <w:rFonts w:ascii="Times New Roman" w:hAnsi="Times New Roman" w:cs="Times New Roman"/>
        </w:rPr>
      </w:r>
      <w:r/>
    </w:p>
    <w:p>
      <w:pPr>
        <w:tabs>
          <w:tab w:val="left" w:pos="2655" w:leader="none"/>
        </w:tabs>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tabs>
          <w:tab w:val="left" w:pos="2700" w:leader="none"/>
          <w:tab w:val="left" w:pos="2790" w:leader="none"/>
          <w:tab w:val="left" w:pos="2880" w:leader="none"/>
          <w:tab w:val="left" w:pos="2970" w:leader="none"/>
          <w:tab w:val="left" w:pos="6120" w:leader="none"/>
          <w:tab w:val="left" w:pos="6300" w:leader="none"/>
          <w:tab w:val="left" w:pos="8820" w:leader="none"/>
          <w:tab w:val="left" w:pos="9000" w:leader="none"/>
        </w:tabs>
        <w:rPr>
          <w:rFonts w:ascii="Times New Roman" w:hAnsi="Times New Roman" w:cs="Times New Roman"/>
        </w:rPr>
      </w:pPr>
      <w:r>
        <w:rPr>
          <w:rFonts w:ascii="Times New Roman" w:hAnsi="Times New Roman" w:cs="Times New Roman"/>
        </w:rPr>
        <w:t xml:space="preserve">_________________</w:t>
      </w:r>
      <w:r>
        <w:rPr>
          <w:rFonts w:ascii="Times New Roman" w:hAnsi="Times New Roman" w:cs="Times New Roman"/>
        </w:rPr>
        <w:t xml:space="preserve">______</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 xml:space="preserve">                       ________________________</w:t>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bCs/>
        </w:rPr>
        <w:t xml:space="preserve">Supervisor                          </w:t>
      </w:r>
      <w:r>
        <w:rPr>
          <w:rFonts w:ascii="Times New Roman" w:hAnsi="Times New Roman" w:cs="Times New Roman"/>
          <w:bCs/>
        </w:rPr>
        <w:t xml:space="preserve">                                </w:t>
      </w:r>
      <w:r>
        <w:rPr>
          <w:rFonts w:ascii="Times New Roman" w:hAnsi="Times New Roman" w:cs="Times New Roman"/>
          <w:bCs/>
        </w:rPr>
        <w:t xml:space="preserve">Co-Supervisor</w:t>
      </w:r>
      <w:r>
        <w:rPr>
          <w:rFonts w:ascii="Times New Roman" w:hAnsi="Times New Roman" w:cs="Times New Roman"/>
          <w:bCs/>
        </w:rPr>
      </w:r>
      <w:r/>
    </w:p>
    <w:p>
      <w:pPr>
        <w:pStyle w:val="1_935"/>
        <w:rPr>
          <w:rFonts w:ascii="Times New Roman" w:hAnsi="Times New Roman" w:cs="Times New Roman"/>
        </w:rPr>
      </w:pPr>
      <w:r>
        <w:rPr>
          <w:rFonts w:ascii="Times New Roman" w:hAnsi="Times New Roman" w:cs="Times New Roman"/>
          <w:b/>
        </w:rPr>
      </w:r>
      <w:r>
        <w:rPr>
          <w:rFonts w:ascii="Times New Roman" w:hAnsi="Times New Roman" w:cs="Times New Roman"/>
          <w:b/>
        </w:rPr>
      </w:r>
      <w:r/>
    </w:p>
    <w:p>
      <w:pPr>
        <w:pStyle w:val="1_935"/>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rPr>
        <w:t xml:space="preserve">_______________________</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rPr>
        <w:tab/>
        <w:t xml:space="preserve">    _________________________</w:t>
      </w:r>
      <w:r>
        <w:rPr>
          <w:rFonts w:ascii="Times New Roman" w:hAnsi="Times New Roman" w:cs="Times New Roman"/>
        </w:rPr>
      </w:r>
      <w:r/>
    </w:p>
    <w:p>
      <w:pPr>
        <w:pStyle w:val="1_935"/>
        <w:tabs>
          <w:tab w:val="left" w:pos="6120" w:leader="none"/>
          <w:tab w:val="left" w:pos="6300" w:leader="none"/>
          <w:tab w:val="left" w:pos="6390" w:leader="none"/>
        </w:tabs>
        <w:rPr>
          <w:rFonts w:ascii="Times New Roman" w:hAnsi="Times New Roman" w:cs="Times New Roman"/>
        </w:rPr>
      </w:pPr>
      <w:r>
        <w:rPr>
          <w:rFonts w:ascii="Times New Roman" w:hAnsi="Times New Roman" w:cs="Times New Roman"/>
          <w:bCs/>
        </w:rPr>
        <w:t xml:space="preserve">Internal Examiner              </w:t>
      </w:r>
      <w:r>
        <w:rPr>
          <w:rFonts w:ascii="Times New Roman" w:hAnsi="Times New Roman" w:cs="Times New Roman"/>
          <w:bCs/>
        </w:rPr>
        <w:t xml:space="preserve">                    </w:t>
      </w:r>
      <w:r>
        <w:rPr>
          <w:rFonts w:ascii="Times New Roman" w:hAnsi="Times New Roman" w:cs="Times New Roman"/>
          <w:bCs/>
        </w:rPr>
        <w:t xml:space="preserve">             External Examiner </w:t>
      </w:r>
      <w:r>
        <w:rPr>
          <w:rFonts w:ascii="Times New Roman" w:hAnsi="Times New Roman" w:cs="Times New Roman"/>
          <w:bCs/>
        </w:rPr>
      </w:r>
      <w:r/>
    </w:p>
    <w:p>
      <w:pPr>
        <w:pStyle w:val="1_935"/>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rPr>
      </w:r>
      <w:r>
        <w:rPr>
          <w:rFonts w:ascii="Times New Roman" w:hAnsi="Times New Roman" w:cs="Times New Roman"/>
        </w:rPr>
      </w:r>
      <w:r/>
    </w:p>
    <w:p>
      <w:pPr>
        <w:pStyle w:val="1_935"/>
        <w:rPr>
          <w:rFonts w:ascii="Times New Roman" w:hAnsi="Times New Roman" w:cs="Times New Roman"/>
        </w:rPr>
      </w:pPr>
      <w:r>
        <w:rPr>
          <w:rFonts w:ascii="Times New Roman" w:hAnsi="Times New Roman" w:cs="Times New Roman"/>
        </w:rPr>
        <w:t xml:space="preserve">___________________________</w:t>
      </w:r>
      <w:r>
        <w:rPr>
          <w:rFonts w:ascii="Times New Roman" w:hAnsi="Times New Roman" w:cs="Times New Roman"/>
        </w:rPr>
        <w:t xml:space="preserve">       </w:t>
      </w:r>
      <w:r>
        <w:rPr>
          <w:rFonts w:ascii="Times New Roman" w:hAnsi="Times New Roman" w:cs="Times New Roman"/>
        </w:rPr>
        <w:tab/>
        <w:t xml:space="preserve">    _______________________________</w:t>
      </w:r>
      <w:r>
        <w:rPr>
          <w:rFonts w:ascii="Times New Roman" w:hAnsi="Times New Roman" w:cs="Times New Roman"/>
        </w:rPr>
      </w:r>
      <w:r/>
    </w:p>
    <w:p>
      <w:pPr>
        <w:pStyle w:val="1_935"/>
        <w:ind w:left="4320" w:hanging="4320"/>
        <w:rPr>
          <w:rFonts w:ascii="Times New Roman" w:hAnsi="Times New Roman" w:cs="Times New Roman"/>
        </w:rPr>
      </w:pPr>
      <w:r>
        <w:rPr>
          <w:rFonts w:ascii="Times New Roman" w:hAnsi="Times New Roman" w:cs="Times New Roman"/>
          <w:bCs/>
        </w:rPr>
        <w:t xml:space="preserve">Chairman</w:t>
      </w:r>
      <w:r>
        <w:rPr>
          <w:rFonts w:ascii="Times New Roman" w:hAnsi="Times New Roman" w:cs="Times New Roman"/>
          <w:bCs/>
        </w:rPr>
        <w:t xml:space="preserve">,</w:t>
      </w:r>
      <w:r>
        <w:rPr>
          <w:rFonts w:ascii="Times New Roman" w:hAnsi="Times New Roman" w:cs="Times New Roman"/>
          <w:bCs/>
        </w:rPr>
        <w:tab/>
      </w:r>
      <w:r>
        <w:rPr>
          <w:rFonts w:ascii="Times New Roman" w:hAnsi="Times New Roman" w:cs="Times New Roman"/>
          <w:bCs/>
        </w:rPr>
        <w:t xml:space="preserve">   </w:t>
      </w:r>
      <w:r>
        <w:rPr>
          <w:rFonts w:ascii="Times New Roman" w:hAnsi="Times New Roman" w:cs="Times New Roman"/>
          <w:bCs/>
        </w:rPr>
        <w:t xml:space="preserve"> Director,</w:t>
      </w:r>
      <w:r>
        <w:rPr>
          <w:rFonts w:ascii="Times New Roman" w:hAnsi="Times New Roman" w:cs="Times New Roman"/>
          <w:bCs/>
        </w:rPr>
      </w:r>
      <w:r/>
    </w:p>
    <w:p>
      <w:pPr>
        <w:pStyle w:val="1_935"/>
        <w:rPr>
          <w:rFonts w:ascii="Times New Roman" w:hAnsi="Times New Roman" w:cs="Times New Roman"/>
        </w:rPr>
      </w:pPr>
      <w:r>
        <w:rPr>
          <w:rFonts w:ascii="Times New Roman" w:hAnsi="Times New Roman" w:cs="Times New Roman"/>
          <w:bCs/>
        </w:rPr>
        <w:t xml:space="preserve">Department of Computer Science</w:t>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 xml:space="preserve">Graduate Studies &amp; Research</w:t>
      </w:r>
      <w:r>
        <w:rPr>
          <w:rFonts w:ascii="Times New Roman" w:hAnsi="Times New Roman" w:cs="Times New Roman"/>
          <w:bCs/>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p>
    <w:p>
      <w:pPr>
        <w:spacing w:lineRule="auto" w:line="360"/>
        <w:rPr>
          <w:rFonts w:ascii="Times New Roman" w:hAnsi="Times New Roman" w:cs="Times New Roman"/>
        </w:rPr>
      </w:pPr>
      <w:r>
        <w:rPr>
          <w:rFonts w:ascii="Times New Roman" w:hAnsi="Times New Roman" w:cs="Times New Roman"/>
          <w:sz w:val="24"/>
          <w:szCs w:val="24"/>
        </w:rPr>
        <w:t xml:space="preserve">Date: ______________ </w:t>
      </w:r>
      <w:r>
        <w:rPr>
          <w:rFonts w:ascii="Times New Roman" w:hAnsi="Times New Roman" w:cs="Times New Roman"/>
          <w:b/>
          <w:bCs/>
          <w:sz w:val="24"/>
          <w:szCs w:val="24"/>
        </w:rPr>
        <w:t xml:space="preserve">                                        </w:t>
      </w:r>
      <w:r>
        <w:rPr>
          <w:rFonts w:ascii="Times New Roman" w:hAnsi="Times New Roman" w:cs="Times New Roman"/>
          <w:b/>
          <w:bCs/>
          <w:sz w:val="24"/>
          <w:szCs w:val="24"/>
        </w:rPr>
      </w:r>
      <w:r/>
    </w:p>
    <w:p>
      <w:pPr>
        <w:spacing w:lineRule="auto" w:line="480"/>
        <w:rPr>
          <w:rFonts w:ascii="Times New Roman" w:hAnsi="Times New Roman" w:cs="Times New Roman"/>
          <w:color w:val="000000"/>
        </w:rPr>
      </w:pPr>
      <w:r>
        <w:rPr>
          <w:rFonts w:ascii="Times New Roman" w:hAnsi="Times New Roman" w:cs="Times New Roman"/>
          <w:b/>
          <w:bCs/>
          <w:i/>
          <w:iCs/>
          <w:color w:val="000000"/>
          <w:sz w:val="28"/>
          <w:szCs w:val="28"/>
        </w:rPr>
      </w:r>
      <w:r>
        <w:rPr>
          <w:rFonts w:ascii="Times New Roman" w:hAnsi="Times New Roman" w:cs="Times New Roman"/>
          <w:b/>
          <w:bCs/>
          <w:i/>
          <w:iCs/>
          <w:color w:val="000000"/>
          <w:sz w:val="28"/>
          <w:szCs w:val="28"/>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r>
      <w:r>
        <w:rPr>
          <w:rFonts w:ascii="Times New Roman" w:hAnsi="Times New Roman" w:cs="Times New Roman" w:eastAsia="Times New Roman"/>
          <w:color w:val="000000"/>
        </w:rPr>
      </w:r>
      <w:r/>
    </w:p>
    <w:p>
      <w:pPr>
        <w:spacing w:lineRule="auto" w:line="240" w:after="0"/>
        <w:rPr>
          <w:rFonts w:ascii="Times New Roman" w:hAnsi="Times New Roman" w:cs="Times New Roman" w:eastAsia="Times New Roman"/>
          <w:color w:val="000000"/>
        </w:rPr>
      </w:pPr>
      <w:r>
        <w:rPr>
          <w:rFonts w:ascii="Times New Roman" w:hAnsi="Times New Roman" w:cs="Times New Roman" w:eastAsia="Times New Roman"/>
          <w:color w:val="000000"/>
        </w:rPr>
        <w:br/>
      </w:r>
      <w:r>
        <w:rPr>
          <w:rFonts w:ascii="Times New Roman" w:hAnsi="Times New Roman" w:cs="Times New Roman" w:eastAsia="Times New Roman"/>
          <w:color w:val="000000"/>
        </w:rPr>
      </w:r>
      <w:r/>
    </w:p>
    <w:p>
      <w:pPr>
        <w:pStyle w:val="666"/>
        <w:spacing w:before="0"/>
        <w:rPr>
          <w:rFonts w:ascii="Times New Roman" w:hAnsi="Times New Roman" w:cs="Times New Roman" w:eastAsia="Times New Roman"/>
        </w:rPr>
      </w:pPr>
      <w:r>
        <w:rPr>
          <w:rFonts w:ascii="Times New Roman" w:hAnsi="Times New Roman" w:cs="Times New Roman" w:eastAsia="Times New Roman"/>
          <w:sz w:val="18"/>
          <w:szCs w:val="18"/>
        </w:rPr>
      </w:r>
      <w:r>
        <w:rPr>
          <w:rFonts w:ascii="Times New Roman" w:hAnsi="Times New Roman" w:cs="Times New Roman" w:eastAsia="Times New Roman"/>
          <w:sz w:val="18"/>
          <w:szCs w:val="18"/>
        </w:rPr>
      </w:r>
      <w:r/>
    </w:p>
    <w:p>
      <w:pPr>
        <w:rPr>
          <w:rFonts w:ascii="Times New Roman" w:hAnsi="Times New Roman" w:cs="Times New Roman" w:eastAsia="Times New Roman"/>
        </w:rPr>
      </w:pPr>
      <w:r>
        <w:rPr>
          <w:rFonts w:ascii="Times New Roman" w:hAnsi="Times New Roman" w:cs="Times New Roman" w:eastAsia="Times New Roman"/>
          <w:sz w:val="18"/>
          <w:szCs w:val="18"/>
        </w:rPr>
        <w:br w:type="page"/>
      </w:r>
      <w:r>
        <w:rPr>
          <w:rFonts w:ascii="Times New Roman" w:hAnsi="Times New Roman" w:cs="Times New Roman" w:eastAsia="Times New Roman"/>
          <w:b/>
          <w:sz w:val="28"/>
          <w:szCs w:val="18"/>
        </w:rPr>
      </w:r>
      <w:r/>
    </w:p>
    <w:p>
      <w:pPr>
        <w:pStyle w:val="666"/>
        <w:jc w:val="center"/>
        <w:rPr>
          <w:rFonts w:eastAsia="Calibri"/>
        </w:rPr>
      </w:pPr>
      <w:r/>
      <w:bookmarkStart w:id="203" w:name="_Toc3"/>
      <w:r>
        <w:rPr>
          <w:rFonts w:eastAsia="Calibri"/>
          <w:sz w:val="28"/>
        </w:rPr>
        <w:t xml:space="preserve">ACKNOWLEDGEMENT</w:t>
      </w:r>
      <w:r/>
      <w:bookmarkEnd w:id="203"/>
      <w:r/>
      <w:r/>
    </w:p>
    <w:p>
      <w:r/>
      <w:r/>
      <w:r/>
    </w:p>
    <w:p>
      <w:pPr>
        <w:jc w:val="both"/>
        <w:spacing w:lineRule="auto" w:line="360"/>
        <w:rPr>
          <w:rFonts w:ascii="Times New Roman" w:hAnsi="Times New Roman" w:cs="Times New Roman" w:eastAsia="Calibri"/>
        </w:rPr>
      </w:pPr>
      <w:r>
        <w:rPr>
          <w:rFonts w:ascii="Times New Roman" w:hAnsi="Times New Roman" w:cs="Times New Roman" w:eastAsia="Calibri"/>
          <w:bCs/>
          <w:sz w:val="24"/>
          <w:szCs w:val="24"/>
        </w:rPr>
        <w:t xml:space="preserve">Above everything else, I exalt and bow my head before “</w:t>
      </w:r>
      <w:r>
        <w:rPr>
          <w:rFonts w:ascii="Times New Roman" w:hAnsi="Times New Roman" w:cs="Times New Roman" w:eastAsia="Calibri"/>
          <w:b/>
          <w:bCs/>
          <w:iCs/>
          <w:sz w:val="24"/>
          <w:szCs w:val="24"/>
        </w:rPr>
        <w:t xml:space="preserve">ALLAH</w:t>
      </w:r>
      <w:r>
        <w:rPr>
          <w:rFonts w:ascii="Times New Roman" w:hAnsi="Times New Roman" w:cs="Times New Roman" w:eastAsia="Calibri"/>
          <w:bCs/>
          <w:sz w:val="24"/>
          <w:szCs w:val="24"/>
        </w:rPr>
        <w:t xml:space="preserve">” The most beneficent and merciful. I offer my humblest thanks to Him for bestowing upon me. His blessings with intellectual capability to work hard and successful accomplishment of my dissertation. Trembling lips and wet eyes praise for Holy Prophet </w:t>
      </w:r>
      <w:r>
        <w:rPr>
          <w:rFonts w:ascii="Times New Roman" w:hAnsi="Times New Roman" w:cs="Times New Roman" w:eastAsia="Calibri"/>
          <w:bCs/>
          <w:iCs/>
          <w:sz w:val="24"/>
          <w:szCs w:val="24"/>
        </w:rPr>
        <w:t xml:space="preserve">Muhammad</w:t>
      </w:r>
      <w:r>
        <w:rPr>
          <w:rFonts w:ascii="Times New Roman" w:hAnsi="Times New Roman" w:cs="Times New Roman" w:eastAsia="Calibri"/>
          <w:bCs/>
          <w:sz w:val="24"/>
          <w:szCs w:val="24"/>
        </w:rPr>
        <w:t xml:space="preserve"> (SAW)</w:t>
      </w:r>
      <w:r>
        <w:rPr>
          <w:rFonts w:ascii="Times New Roman" w:hAnsi="Times New Roman" w:cs="Times New Roman" w:eastAsia="Calibri"/>
          <w:bCs/>
          <w:sz w:val="24"/>
          <w:szCs w:val="24"/>
        </w:rPr>
        <w:t xml:space="preserve">,</w:t>
      </w:r>
      <w:r>
        <w:rPr>
          <w:rFonts w:ascii="Times New Roman" w:hAnsi="Times New Roman" w:cs="Times New Roman" w:eastAsia="Calibri"/>
          <w:bCs/>
          <w:sz w:val="24"/>
          <w:szCs w:val="24"/>
        </w:rPr>
        <w:t xml:space="preserve"> who is forever </w:t>
      </w:r>
      <w:r>
        <w:rPr>
          <w:rFonts w:ascii="Times New Roman" w:hAnsi="Times New Roman" w:cs="Times New Roman" w:eastAsia="Calibri"/>
          <w:bCs/>
          <w:sz w:val="24"/>
          <w:szCs w:val="24"/>
        </w:rPr>
        <w:t xml:space="preserve">a </w:t>
      </w:r>
      <w:r>
        <w:rPr>
          <w:rFonts w:ascii="Times New Roman" w:hAnsi="Times New Roman" w:cs="Times New Roman" w:eastAsia="Calibri"/>
          <w:bCs/>
          <w:sz w:val="24"/>
          <w:szCs w:val="24"/>
        </w:rPr>
        <w:t xml:space="preserve">beacon of guidance and knowledge for humanity as a whole and enables us to recognize our creator. </w:t>
      </w:r>
      <w:r>
        <w:rPr>
          <w:rFonts w:ascii="Times New Roman" w:hAnsi="Times New Roman" w:cs="Times New Roman" w:eastAsia="Calibri"/>
          <w:bCs/>
          <w:sz w:val="24"/>
          <w:szCs w:val="24"/>
        </w:rPr>
      </w:r>
      <w:r/>
    </w:p>
    <w:p>
      <w:pPr>
        <w:jc w:val="both"/>
        <w:spacing w:lineRule="auto" w:line="360"/>
        <w:rPr>
          <w:rFonts w:ascii="Times New Roman" w:hAnsi="Times New Roman" w:cs="Times New Roman" w:eastAsia="Calibri"/>
        </w:rPr>
      </w:pPr>
      <w:r>
        <w:rPr>
          <w:rFonts w:ascii="Times New Roman" w:hAnsi="Times New Roman" w:cs="Times New Roman" w:eastAsia="Calibri"/>
          <w:bCs/>
          <w:sz w:val="24"/>
          <w:szCs w:val="24"/>
        </w:rPr>
        <w:t xml:space="preserve">I feel pleasure and honor of this available opportunity to offer sincerest thanks and gratitude to my worthy supervisor </w:t>
      </w:r>
      <w:r>
        <w:rPr>
          <w:rFonts w:ascii="Times New Roman" w:hAnsi="Times New Roman" w:cs="Times New Roman" w:eastAsia="Calibri"/>
          <w:bCs/>
          <w:color w:val="000000"/>
          <w:sz w:val="24"/>
          <w:szCs w:val="24"/>
        </w:rPr>
        <w:t xml:space="preserve">Dr. Muhammad Asif</w:t>
      </w:r>
      <w:r>
        <w:rPr>
          <w:rFonts w:ascii="Times New Roman" w:hAnsi="Times New Roman" w:cs="Times New Roman" w:eastAsia="Calibri"/>
          <w:bCs/>
          <w:color w:val="000000"/>
          <w:sz w:val="24"/>
          <w:szCs w:val="24"/>
        </w:rPr>
        <w:t xml:space="preserve">, Associate Professor, Department of Computer Science, National Textile University Faisalabad,</w:t>
      </w:r>
      <w:r>
        <w:rPr>
          <w:rFonts w:ascii="Times New Roman" w:hAnsi="Times New Roman" w:cs="Times New Roman" w:eastAsia="Calibri"/>
          <w:bCs/>
          <w:color w:val="000000"/>
          <w:sz w:val="24"/>
          <w:szCs w:val="24"/>
        </w:rPr>
        <w:t xml:space="preserve"> </w:t>
      </w:r>
      <w:r>
        <w:rPr>
          <w:rFonts w:ascii="Times New Roman" w:hAnsi="Times New Roman" w:cs="Times New Roman" w:eastAsia="Calibri"/>
          <w:bCs/>
          <w:sz w:val="24"/>
          <w:szCs w:val="24"/>
        </w:rPr>
        <w:t xml:space="preserve">for his kind and affectionate guidance and enlightened supervision during my research work. His wise kindness and help have been evident like the midday sun as a teacher as </w:t>
      </w:r>
      <w:r>
        <w:rPr>
          <w:rFonts w:ascii="Times New Roman" w:hAnsi="Times New Roman" w:cs="Times New Roman" w:eastAsia="Calibri"/>
          <w:bCs/>
          <w:sz w:val="24"/>
          <w:szCs w:val="24"/>
        </w:rPr>
        <w:t xml:space="preserve">a </w:t>
      </w:r>
      <w:r>
        <w:rPr>
          <w:rFonts w:ascii="Times New Roman" w:hAnsi="Times New Roman" w:cs="Times New Roman" w:eastAsia="Calibri"/>
          <w:bCs/>
          <w:sz w:val="24"/>
          <w:szCs w:val="24"/>
        </w:rPr>
        <w:t xml:space="preserve">supervisor. I al</w:t>
      </w:r>
      <w:r>
        <w:rPr>
          <w:rFonts w:ascii="Times New Roman" w:hAnsi="Times New Roman" w:cs="Times New Roman" w:eastAsia="Calibri"/>
          <w:bCs/>
          <w:sz w:val="24"/>
          <w:szCs w:val="24"/>
        </w:rPr>
        <w:t xml:space="preserve">so thankful</w:t>
      </w:r>
      <w:r>
        <w:rPr>
          <w:rFonts w:ascii="Times New Roman" w:hAnsi="Times New Roman" w:cs="Times New Roman" w:eastAsia="Calibri"/>
          <w:bCs/>
          <w:sz w:val="24"/>
          <w:szCs w:val="24"/>
        </w:rPr>
        <w:t xml:space="preserve">,</w:t>
      </w:r>
      <w:r>
        <w:rPr>
          <w:rFonts w:ascii="Times New Roman" w:hAnsi="Times New Roman" w:cs="Times New Roman" w:eastAsia="Calibri"/>
          <w:bCs/>
          <w:sz w:val="24"/>
          <w:szCs w:val="24"/>
        </w:rPr>
        <w:t xml:space="preserve"> </w:t>
      </w:r>
      <w:r>
        <w:rPr>
          <w:rFonts w:ascii="Times New Roman" w:hAnsi="Times New Roman" w:cs="Times New Roman" w:eastAsia="Calibri"/>
          <w:bCs/>
          <w:sz w:val="24"/>
          <w:szCs w:val="24"/>
        </w:rPr>
        <w:t xml:space="preserve">e</w:t>
      </w:r>
      <w:r>
        <w:rPr>
          <w:rFonts w:ascii="Times New Roman" w:hAnsi="Times New Roman" w:cs="Times New Roman" w:eastAsia="Calibri"/>
          <w:bCs/>
          <w:sz w:val="24"/>
          <w:szCs w:val="24"/>
        </w:rPr>
        <w:t xml:space="preserve">specially </w:t>
      </w:r>
      <w:r>
        <w:rPr>
          <w:rFonts w:ascii="Times New Roman" w:hAnsi="Times New Roman" w:cs="Times New Roman" w:eastAsia="Calibri"/>
          <w:bCs/>
          <w:sz w:val="24"/>
          <w:szCs w:val="24"/>
        </w:rPr>
        <w:t xml:space="preserve">to my co-supervisor</w:t>
      </w:r>
      <w:r>
        <w:rPr>
          <w:rFonts w:ascii="Times New Roman" w:hAnsi="Times New Roman" w:cs="Times New Roman" w:eastAsia="Calibri"/>
          <w:bCs/>
          <w:sz w:val="24"/>
          <w:szCs w:val="24"/>
        </w:rPr>
        <w:t xml:space="preserve">,</w:t>
      </w:r>
      <w:r>
        <w:rPr>
          <w:rFonts w:ascii="Times New Roman" w:hAnsi="Times New Roman" w:cs="Times New Roman" w:eastAsia="Calibri"/>
          <w:bCs/>
          <w:sz w:val="24"/>
          <w:szCs w:val="24"/>
        </w:rPr>
        <w:t xml:space="preserve"> </w:t>
      </w:r>
      <w:r>
        <w:rPr>
          <w:rFonts w:ascii="Times New Roman" w:hAnsi="Times New Roman" w:cs="Times New Roman" w:eastAsia="Calibri"/>
          <w:bCs/>
          <w:sz w:val="24"/>
          <w:szCs w:val="24"/>
        </w:rPr>
        <w:t xml:space="preserve">M</w:t>
      </w:r>
      <w:r>
        <w:rPr>
          <w:rFonts w:ascii="Times New Roman" w:hAnsi="Times New Roman" w:cs="Times New Roman" w:eastAsia="Calibri"/>
          <w:bCs/>
          <w:sz w:val="24"/>
          <w:szCs w:val="24"/>
        </w:rPr>
        <w:t xml:space="preserve">r. </w:t>
      </w:r>
      <w:r>
        <w:rPr>
          <w:rFonts w:ascii="Times New Roman" w:hAnsi="Times New Roman" w:cs="Times New Roman" w:eastAsia="Calibri"/>
          <w:bCs/>
          <w:sz w:val="24"/>
          <w:szCs w:val="24"/>
        </w:rPr>
        <w:t xml:space="preserve">Shahbaz</w:t>
      </w:r>
      <w:r>
        <w:rPr>
          <w:rFonts w:ascii="Times New Roman" w:hAnsi="Times New Roman" w:cs="Times New Roman" w:eastAsia="Calibri"/>
          <w:bCs/>
          <w:sz w:val="24"/>
          <w:szCs w:val="24"/>
        </w:rPr>
        <w:t xml:space="preserve"> Ahmad</w:t>
      </w:r>
      <w:r>
        <w:rPr>
          <w:rFonts w:ascii="Times New Roman" w:hAnsi="Times New Roman" w:cs="Times New Roman" w:eastAsia="Calibri"/>
          <w:bCs/>
          <w:sz w:val="24"/>
          <w:szCs w:val="24"/>
        </w:rPr>
        <w:t xml:space="preserve">,</w:t>
      </w:r>
      <w:r>
        <w:rPr>
          <w:rFonts w:ascii="Times New Roman" w:hAnsi="Times New Roman" w:cs="Times New Roman" w:eastAsia="Calibri"/>
          <w:bCs/>
          <w:color w:val="000000"/>
          <w:sz w:val="24"/>
          <w:szCs w:val="24"/>
        </w:rPr>
        <w:t xml:space="preserve"> </w:t>
      </w:r>
      <w:r>
        <w:rPr>
          <w:rFonts w:ascii="Times New Roman" w:hAnsi="Times New Roman" w:cs="Times New Roman" w:eastAsia="Calibri"/>
          <w:bCs/>
          <w:color w:val="000000"/>
          <w:sz w:val="24"/>
          <w:szCs w:val="24"/>
        </w:rPr>
        <w:t xml:space="preserve">Lectuere</w:t>
      </w:r>
      <w:r>
        <w:rPr>
          <w:rFonts w:ascii="Times New Roman" w:hAnsi="Times New Roman" w:cs="Times New Roman" w:eastAsia="Calibri"/>
          <w:bCs/>
          <w:color w:val="000000"/>
          <w:sz w:val="24"/>
          <w:szCs w:val="24"/>
        </w:rPr>
        <w:t xml:space="preserve">, Department of Computer Science, National Textile University Faisalabad</w:t>
      </w:r>
      <w:r>
        <w:rPr>
          <w:rFonts w:ascii="Times New Roman" w:hAnsi="Times New Roman" w:cs="Times New Roman" w:eastAsia="Calibri"/>
          <w:bCs/>
          <w:color w:val="000000"/>
          <w:sz w:val="24"/>
          <w:szCs w:val="24"/>
        </w:rPr>
        <w:t xml:space="preserve">,</w:t>
      </w:r>
      <w:r>
        <w:rPr>
          <w:rFonts w:ascii="Times New Roman" w:hAnsi="Times New Roman" w:cs="Times New Roman" w:eastAsia="Calibri"/>
          <w:bCs/>
          <w:color w:val="000000"/>
          <w:sz w:val="24"/>
          <w:szCs w:val="24"/>
        </w:rPr>
        <w:t xml:space="preserve"> </w:t>
      </w:r>
      <w:r>
        <w:rPr>
          <w:rFonts w:ascii="Times New Roman" w:hAnsi="Times New Roman" w:cs="Times New Roman" w:eastAsia="Calibri"/>
          <w:bCs/>
          <w:sz w:val="24"/>
          <w:szCs w:val="24"/>
        </w:rPr>
        <w:t xml:space="preserve"> for</w:t>
      </w:r>
      <w:r>
        <w:rPr>
          <w:rFonts w:ascii="Times New Roman" w:hAnsi="Times New Roman" w:cs="Times New Roman" w:eastAsia="Calibri"/>
          <w:bCs/>
          <w:sz w:val="24"/>
          <w:szCs w:val="24"/>
        </w:rPr>
        <w:t xml:space="preserve"> the motivation</w:t>
      </w:r>
      <w:r>
        <w:rPr>
          <w:rFonts w:ascii="Times New Roman" w:hAnsi="Times New Roman" w:cs="Times New Roman" w:eastAsia="Calibri"/>
          <w:bCs/>
          <w:sz w:val="24"/>
          <w:szCs w:val="24"/>
        </w:rPr>
        <w:t xml:space="preserve"> and efforts of days and nights</w:t>
      </w:r>
      <w:r>
        <w:rPr>
          <w:rFonts w:ascii="Times New Roman" w:hAnsi="Times New Roman" w:cs="Times New Roman" w:eastAsia="Calibri"/>
          <w:bCs/>
          <w:sz w:val="24"/>
          <w:szCs w:val="24"/>
        </w:rPr>
        <w:t xml:space="preserve"> to accomplish this research work. A special thanks to </w:t>
      </w:r>
      <w:r>
        <w:rPr>
          <w:rFonts w:ascii="Times New Roman" w:hAnsi="Times New Roman" w:cs="Times New Roman" w:eastAsia="Calibri"/>
          <w:bCs/>
          <w:sz w:val="24"/>
          <w:szCs w:val="24"/>
        </w:rPr>
        <w:t xml:space="preserve">Dr. </w:t>
      </w:r>
      <w:r>
        <w:rPr>
          <w:rFonts w:ascii="Times New Roman" w:hAnsi="Times New Roman" w:cs="Times New Roman" w:eastAsia="Calibri"/>
          <w:bCs/>
          <w:sz w:val="24"/>
          <w:szCs w:val="24"/>
        </w:rPr>
        <w:t xml:space="preserve">Sohail</w:t>
      </w:r>
      <w:r>
        <w:rPr>
          <w:rFonts w:ascii="Times New Roman" w:hAnsi="Times New Roman" w:cs="Times New Roman" w:eastAsia="Calibri"/>
          <w:bCs/>
          <w:sz w:val="24"/>
          <w:szCs w:val="24"/>
        </w:rPr>
        <w:t xml:space="preserve"> </w:t>
      </w:r>
      <w:r>
        <w:rPr>
          <w:rFonts w:ascii="Times New Roman" w:hAnsi="Times New Roman" w:cs="Times New Roman" w:eastAsia="Calibri"/>
          <w:bCs/>
          <w:sz w:val="24"/>
          <w:szCs w:val="24"/>
        </w:rPr>
        <w:t xml:space="preserve">Jabbar</w:t>
      </w:r>
      <w:r>
        <w:rPr>
          <w:rFonts w:ascii="Times New Roman" w:hAnsi="Times New Roman" w:cs="Times New Roman" w:eastAsia="Calibri"/>
          <w:b/>
          <w:bCs/>
          <w:sz w:val="24"/>
          <w:szCs w:val="24"/>
        </w:rPr>
        <w:t xml:space="preserve">,</w:t>
      </w:r>
      <w:r>
        <w:rPr>
          <w:rFonts w:ascii="Times New Roman" w:hAnsi="Times New Roman" w:cs="Times New Roman" w:eastAsia="Calibri"/>
          <w:bCs/>
          <w:color w:val="000000"/>
          <w:sz w:val="24"/>
          <w:szCs w:val="24"/>
        </w:rPr>
        <w:t xml:space="preserve"> </w:t>
      </w:r>
      <w:r>
        <w:rPr>
          <w:rFonts w:ascii="Times New Roman" w:hAnsi="Times New Roman" w:cs="Times New Roman" w:eastAsia="Calibri"/>
          <w:bCs/>
          <w:color w:val="000000"/>
          <w:sz w:val="24"/>
          <w:szCs w:val="24"/>
        </w:rPr>
        <w:t xml:space="preserve">Assistant</w:t>
      </w:r>
      <w:r>
        <w:rPr>
          <w:rFonts w:ascii="Times New Roman" w:hAnsi="Times New Roman" w:cs="Times New Roman" w:eastAsia="Calibri"/>
          <w:bCs/>
          <w:color w:val="000000"/>
          <w:sz w:val="24"/>
          <w:szCs w:val="24"/>
        </w:rPr>
        <w:t xml:space="preserve"> Professor, Department of Computer Science, National Textile University Faisalabad</w:t>
      </w:r>
      <w:r>
        <w:rPr>
          <w:rFonts w:ascii="Times New Roman" w:hAnsi="Times New Roman" w:cs="Times New Roman" w:eastAsia="Calibri"/>
          <w:bCs/>
          <w:color w:val="000000"/>
          <w:sz w:val="24"/>
          <w:szCs w:val="24"/>
        </w:rPr>
        <w:t xml:space="preserve">,</w:t>
      </w:r>
      <w:r>
        <w:rPr>
          <w:rFonts w:ascii="Times New Roman" w:hAnsi="Times New Roman" w:cs="Times New Roman" w:eastAsia="Calibri"/>
          <w:bCs/>
          <w:color w:val="000000"/>
          <w:sz w:val="24"/>
          <w:szCs w:val="24"/>
        </w:rPr>
        <w:t xml:space="preserve"> </w:t>
      </w:r>
      <w:r>
        <w:rPr>
          <w:rFonts w:ascii="Times New Roman" w:hAnsi="Times New Roman" w:cs="Times New Roman" w:eastAsia="Calibri"/>
          <w:bCs/>
          <w:sz w:val="24"/>
          <w:szCs w:val="24"/>
        </w:rPr>
        <w:t xml:space="preserve"> for</w:t>
      </w:r>
      <w:r>
        <w:rPr>
          <w:rFonts w:ascii="Times New Roman" w:hAnsi="Times New Roman" w:cs="Times New Roman" w:eastAsia="Calibri"/>
          <w:bCs/>
          <w:sz w:val="24"/>
          <w:szCs w:val="24"/>
        </w:rPr>
        <w:t xml:space="preserve"> their motivation</w:t>
      </w:r>
      <w:r>
        <w:rPr>
          <w:rFonts w:ascii="Times New Roman" w:hAnsi="Times New Roman" w:cs="Times New Roman" w:eastAsia="Calibri"/>
          <w:bCs/>
          <w:sz w:val="24"/>
          <w:szCs w:val="24"/>
        </w:rPr>
        <w:t xml:space="preserve">,</w:t>
      </w:r>
      <w:r>
        <w:rPr>
          <w:rFonts w:ascii="Times New Roman" w:hAnsi="Times New Roman" w:cs="Times New Roman" w:eastAsia="Calibri"/>
          <w:bCs/>
          <w:sz w:val="24"/>
          <w:szCs w:val="24"/>
        </w:rPr>
        <w:t xml:space="preserve"> who </w:t>
      </w:r>
      <w:r>
        <w:rPr>
          <w:rFonts w:ascii="Times New Roman" w:hAnsi="Times New Roman" w:cs="Times New Roman" w:eastAsia="Calibri"/>
          <w:bCs/>
          <w:sz w:val="24"/>
          <w:szCs w:val="24"/>
        </w:rPr>
        <w:t xml:space="preserve">build my research interests and skills</w:t>
      </w:r>
      <w:r>
        <w:rPr>
          <w:rFonts w:ascii="Times New Roman" w:hAnsi="Times New Roman" w:cs="Times New Roman" w:eastAsia="Calibri"/>
          <w:bCs/>
          <w:sz w:val="24"/>
          <w:szCs w:val="24"/>
        </w:rPr>
        <w:t xml:space="preserve">, and I am also grateful for </w:t>
      </w:r>
      <w:r>
        <w:rPr>
          <w:rFonts w:ascii="Times New Roman" w:hAnsi="Times New Roman" w:cs="Times New Roman" w:eastAsia="Calibri"/>
          <w:bCs/>
          <w:sz w:val="24"/>
          <w:szCs w:val="24"/>
        </w:rPr>
        <w:t xml:space="preserve">the </w:t>
      </w:r>
      <w:r>
        <w:rPr>
          <w:rFonts w:ascii="Times New Roman" w:hAnsi="Times New Roman" w:cs="Times New Roman" w:eastAsia="Calibri"/>
          <w:bCs/>
          <w:sz w:val="24"/>
          <w:szCs w:val="24"/>
        </w:rPr>
        <w:t xml:space="preserve">supervisory committee.</w:t>
      </w:r>
      <w:r>
        <w:rPr>
          <w:rFonts w:ascii="Times New Roman" w:hAnsi="Times New Roman" w:cs="Times New Roman" w:eastAsia="Calibri"/>
          <w:bCs/>
          <w:sz w:val="24"/>
          <w:szCs w:val="24"/>
        </w:rPr>
      </w:r>
      <w:r/>
    </w:p>
    <w:p>
      <w:pPr>
        <w:jc w:val="both"/>
        <w:spacing w:lineRule="auto" w:line="360"/>
        <w:rPr>
          <w:rFonts w:ascii="Times New Roman" w:hAnsi="Times New Roman" w:cs="Times New Roman" w:eastAsia="Calibri"/>
          <w:color w:val="000000"/>
        </w:rPr>
      </w:pPr>
      <w:r>
        <w:rPr>
          <w:rFonts w:ascii="Times New Roman" w:hAnsi="Times New Roman" w:cs="Times New Roman" w:eastAsia="Calibri"/>
          <w:bCs/>
          <w:color w:val="000000"/>
          <w:sz w:val="24"/>
          <w:szCs w:val="24"/>
        </w:rPr>
        <w:t xml:space="preserve">I want to express my deep love, earnest thanks</w:t>
      </w:r>
      <w:r>
        <w:rPr>
          <w:rFonts w:ascii="Times New Roman" w:hAnsi="Times New Roman" w:cs="Times New Roman" w:eastAsia="Calibri"/>
          <w:bCs/>
          <w:color w:val="000000"/>
          <w:sz w:val="24"/>
          <w:szCs w:val="24"/>
        </w:rPr>
        <w:t xml:space="preserve">,</w:t>
      </w:r>
      <w:r>
        <w:rPr>
          <w:rFonts w:ascii="Times New Roman" w:hAnsi="Times New Roman" w:cs="Times New Roman" w:eastAsia="Calibri"/>
          <w:bCs/>
          <w:color w:val="000000"/>
          <w:sz w:val="24"/>
          <w:szCs w:val="24"/>
        </w:rPr>
        <w:t xml:space="preserve"> and appreciat</w:t>
      </w:r>
      <w:r>
        <w:rPr>
          <w:rFonts w:ascii="Times New Roman" w:hAnsi="Times New Roman" w:cs="Times New Roman" w:eastAsia="Calibri"/>
          <w:bCs/>
          <w:color w:val="000000"/>
          <w:sz w:val="24"/>
          <w:szCs w:val="24"/>
        </w:rPr>
        <w:t xml:space="preserve">e</w:t>
      </w:r>
      <w:r>
        <w:rPr>
          <w:rFonts w:ascii="Times New Roman" w:hAnsi="Times New Roman" w:cs="Times New Roman" w:eastAsia="Calibri"/>
          <w:bCs/>
          <w:color w:val="000000"/>
          <w:sz w:val="24"/>
          <w:szCs w:val="24"/>
        </w:rPr>
        <w:t xml:space="preserve"> the moral support given by Parents for my success and </w:t>
      </w:r>
      <w:r>
        <w:rPr>
          <w:rFonts w:ascii="Times New Roman" w:hAnsi="Times New Roman" w:cs="Times New Roman" w:eastAsia="Calibri"/>
          <w:bCs/>
          <w:color w:val="000000"/>
          <w:sz w:val="24"/>
          <w:szCs w:val="24"/>
        </w:rPr>
        <w:t xml:space="preserve">for </w:t>
      </w:r>
      <w:r>
        <w:rPr>
          <w:rFonts w:ascii="Times New Roman" w:hAnsi="Times New Roman" w:cs="Times New Roman" w:eastAsia="Calibri"/>
          <w:bCs/>
          <w:color w:val="000000"/>
          <w:sz w:val="24"/>
          <w:szCs w:val="24"/>
        </w:rPr>
        <w:t xml:space="preserve">sacrificing their comforts to enable me to achieve this level of education. </w:t>
      </w:r>
      <w:r>
        <w:rPr>
          <w:rFonts w:ascii="Times New Roman" w:hAnsi="Times New Roman" w:cs="Times New Roman" w:eastAsia="Calibri"/>
          <w:bCs/>
          <w:color w:val="000000"/>
          <w:sz w:val="24"/>
          <w:szCs w:val="24"/>
        </w:rPr>
      </w:r>
      <w:r/>
    </w:p>
    <w:p>
      <w:pPr>
        <w:jc w:val="both"/>
        <w:spacing w:lineRule="auto" w:line="360"/>
        <w:rPr>
          <w:rFonts w:ascii="Times New Roman" w:hAnsi="Times New Roman" w:cs="Times New Roman" w:eastAsia="Calibri"/>
          <w:color w:val="000000"/>
        </w:rPr>
      </w:pPr>
      <w:r>
        <w:rPr>
          <w:rFonts w:ascii="Times New Roman" w:hAnsi="Times New Roman" w:cs="Times New Roman" w:eastAsia="Calibri"/>
          <w:bCs/>
          <w:color w:val="000000"/>
          <w:sz w:val="24"/>
          <w:szCs w:val="24"/>
        </w:rPr>
        <w:t xml:space="preserve">I want to thank my sincere friend </w:t>
      </w:r>
      <w:r>
        <w:rPr>
          <w:rFonts w:ascii="Times New Roman" w:hAnsi="Times New Roman" w:cs="Times New Roman" w:eastAsia="Calibri"/>
          <w:bCs/>
          <w:color w:val="000000"/>
          <w:sz w:val="24"/>
          <w:szCs w:val="24"/>
        </w:rPr>
        <w:t xml:space="preserve">Umair</w:t>
      </w:r>
      <w:r>
        <w:rPr>
          <w:rFonts w:ascii="Times New Roman" w:hAnsi="Times New Roman" w:cs="Times New Roman" w:eastAsia="Calibri"/>
          <w:bCs/>
          <w:color w:val="000000"/>
          <w:sz w:val="24"/>
          <w:szCs w:val="24"/>
        </w:rPr>
        <w:t xml:space="preserve"> </w:t>
      </w:r>
      <w:r>
        <w:rPr>
          <w:rFonts w:ascii="Times New Roman" w:hAnsi="Times New Roman" w:cs="Times New Roman" w:eastAsia="Calibri"/>
          <w:bCs/>
          <w:color w:val="000000"/>
          <w:sz w:val="24"/>
          <w:szCs w:val="24"/>
        </w:rPr>
        <w:t xml:space="preserve">Yousaf</w:t>
      </w:r>
      <w:r>
        <w:rPr>
          <w:rFonts w:ascii="Times New Roman" w:hAnsi="Times New Roman" w:cs="Times New Roman" w:eastAsia="Calibri"/>
          <w:bCs/>
          <w:color w:val="000000"/>
          <w:sz w:val="24"/>
          <w:szCs w:val="24"/>
        </w:rPr>
        <w:t xml:space="preserve"> for every kind of practical support to make me capable </w:t>
      </w:r>
      <w:r>
        <w:rPr>
          <w:rFonts w:ascii="Times New Roman" w:hAnsi="Times New Roman" w:cs="Times New Roman" w:eastAsia="Calibri"/>
          <w:bCs/>
          <w:color w:val="000000"/>
          <w:sz w:val="24"/>
          <w:szCs w:val="24"/>
        </w:rPr>
        <w:t xml:space="preserve">of</w:t>
      </w:r>
      <w:r>
        <w:rPr>
          <w:rFonts w:ascii="Times New Roman" w:hAnsi="Times New Roman" w:cs="Times New Roman" w:eastAsia="Calibri"/>
          <w:bCs/>
          <w:color w:val="000000"/>
          <w:sz w:val="24"/>
          <w:szCs w:val="24"/>
        </w:rPr>
        <w:t xml:space="preserve"> conducting various experiments.</w:t>
      </w:r>
      <w:r>
        <w:rPr>
          <w:rFonts w:ascii="Times New Roman" w:hAnsi="Times New Roman" w:cs="Times New Roman" w:eastAsia="Calibri"/>
          <w:bCs/>
          <w:color w:val="000000"/>
          <w:sz w:val="24"/>
          <w:szCs w:val="24"/>
        </w:rPr>
      </w:r>
      <w:r/>
    </w:p>
    <w:p>
      <w:pPr>
        <w:jc w:val="both"/>
        <w:spacing w:lineRule="auto" w:line="360"/>
        <w:rPr>
          <w:rFonts w:ascii="Times New Roman" w:hAnsi="Times New Roman" w:cs="Times New Roman" w:eastAsia="Calibri"/>
          <w:color w:val="000000"/>
        </w:rPr>
      </w:pPr>
      <w:r>
        <w:rPr>
          <w:rFonts w:ascii="Times New Roman" w:hAnsi="Times New Roman" w:cs="Times New Roman" w:eastAsia="Calibri"/>
          <w:bCs/>
          <w:color w:val="000000"/>
          <w:sz w:val="24"/>
          <w:szCs w:val="24"/>
        </w:rPr>
        <w:t xml:space="preserve">I cannot forget the contributions of my friends, classmates, research fellows</w:t>
      </w:r>
      <w:r>
        <w:rPr>
          <w:rFonts w:ascii="Times New Roman" w:hAnsi="Times New Roman" w:cs="Times New Roman" w:eastAsia="Calibri"/>
          <w:bCs/>
          <w:color w:val="000000"/>
          <w:sz w:val="24"/>
          <w:szCs w:val="24"/>
        </w:rPr>
        <w:t xml:space="preserve">,</w:t>
      </w:r>
      <w:r>
        <w:rPr>
          <w:rFonts w:ascii="Times New Roman" w:hAnsi="Times New Roman" w:cs="Times New Roman" w:eastAsia="Calibri"/>
          <w:bCs/>
          <w:color w:val="000000"/>
          <w:sz w:val="24"/>
          <w:szCs w:val="24"/>
        </w:rPr>
        <w:t xml:space="preserve"> and the people who were the part of my research. Their help and behavior will always be remembered and acknowledged.</w:t>
      </w:r>
      <w:r>
        <w:rPr>
          <w:rFonts w:ascii="Times New Roman" w:hAnsi="Times New Roman" w:cs="Times New Roman" w:eastAsia="Calibri"/>
          <w:bCs/>
          <w:color w:val="000000"/>
          <w:sz w:val="24"/>
          <w:szCs w:val="24"/>
        </w:rPr>
      </w:r>
      <w:r/>
    </w:p>
    <w:p>
      <w:pPr>
        <w:jc w:val="both"/>
        <w:spacing w:lineRule="auto" w:line="360"/>
        <w:rPr>
          <w:rFonts w:ascii="Times New Roman" w:hAnsi="Times New Roman" w:cs="Times New Roman" w:eastAsia="SimSun"/>
          <w:color w:val="000000"/>
        </w:rPr>
      </w:pPr>
      <w:r>
        <w:rPr>
          <w:rFonts w:ascii="Times New Roman" w:hAnsi="Times New Roman" w:cs="Times New Roman" w:eastAsia="Calibri"/>
          <w:bCs/>
          <w:color w:val="000000"/>
          <w:sz w:val="24"/>
          <w:szCs w:val="24"/>
        </w:rPr>
        <w:t xml:space="preserve">           </w:t>
      </w:r>
      <w:r>
        <w:rPr>
          <w:rFonts w:ascii="Times New Roman" w:hAnsi="Times New Roman" w:cs="Times New Roman" w:eastAsia="SimSun"/>
          <w:bCs/>
          <w:i/>
          <w:color w:val="000000"/>
          <w:sz w:val="24"/>
          <w:szCs w:val="24"/>
        </w:rPr>
        <w:t xml:space="preserve">May Allah bless all these people with long</w:t>
      </w:r>
      <w:r>
        <w:rPr>
          <w:rFonts w:ascii="Times New Roman" w:hAnsi="Times New Roman" w:cs="Times New Roman" w:eastAsia="SimSun"/>
          <w:bCs/>
          <w:i/>
          <w:color w:val="000000"/>
          <w:sz w:val="24"/>
          <w:szCs w:val="24"/>
        </w:rPr>
        <w:t xml:space="preserve">,</w:t>
      </w:r>
      <w:r>
        <w:rPr>
          <w:rFonts w:ascii="Times New Roman" w:hAnsi="Times New Roman" w:cs="Times New Roman" w:eastAsia="SimSun"/>
          <w:bCs/>
          <w:i/>
          <w:color w:val="000000"/>
          <w:sz w:val="24"/>
          <w:szCs w:val="24"/>
        </w:rPr>
        <w:t xml:space="preserve"> happy</w:t>
      </w:r>
      <w:r>
        <w:rPr>
          <w:rFonts w:ascii="Times New Roman" w:hAnsi="Times New Roman" w:cs="Times New Roman" w:eastAsia="SimSun"/>
          <w:bCs/>
          <w:i/>
          <w:color w:val="000000"/>
          <w:sz w:val="24"/>
          <w:szCs w:val="24"/>
        </w:rPr>
        <w:t xml:space="preserve">,</w:t>
      </w:r>
      <w:r>
        <w:rPr>
          <w:rFonts w:ascii="Times New Roman" w:hAnsi="Times New Roman" w:cs="Times New Roman" w:eastAsia="SimSun"/>
          <w:bCs/>
          <w:i/>
          <w:color w:val="000000"/>
          <w:sz w:val="24"/>
          <w:szCs w:val="24"/>
        </w:rPr>
        <w:t xml:space="preserve"> and peaceful lives (Ameen)!</w:t>
      </w:r>
      <w:r>
        <w:rPr>
          <w:rFonts w:ascii="Times New Roman" w:hAnsi="Times New Roman" w:cs="Times New Roman" w:eastAsia="SimSun"/>
          <w:bCs/>
          <w:i/>
          <w:color w:val="000000"/>
          <w:sz w:val="24"/>
          <w:szCs w:val="24"/>
        </w:rPr>
      </w:r>
      <w:r/>
    </w:p>
    <w:p>
      <w:pPr>
        <w:jc w:val="both"/>
        <w:spacing w:lineRule="auto" w:line="360"/>
        <w:rPr>
          <w:rFonts w:ascii="Times New Roman" w:hAnsi="Times New Roman" w:cs="Times New Roman" w:eastAsia="SimSun"/>
          <w:color w:val="000000"/>
        </w:rPr>
      </w:pPr>
      <w:r>
        <w:rPr>
          <w:rFonts w:ascii="Times New Roman" w:hAnsi="Times New Roman" w:cs="Times New Roman" w:eastAsia="SimSun"/>
          <w:bCs/>
          <w:i/>
          <w:color w:val="000000"/>
          <w:sz w:val="24"/>
          <w:szCs w:val="24"/>
        </w:rPr>
        <w:t xml:space="preserve">                                                                         </w:t>
      </w:r>
      <w:r>
        <w:rPr>
          <w:rFonts w:ascii="Times New Roman" w:hAnsi="Times New Roman" w:cs="Times New Roman" w:eastAsia="SimSun"/>
          <w:bCs/>
          <w:i/>
          <w:color w:val="000000"/>
          <w:sz w:val="24"/>
          <w:szCs w:val="24"/>
        </w:rPr>
      </w:r>
      <w:r/>
    </w:p>
    <w:p>
      <w:pPr>
        <w:jc w:val="right"/>
        <w:spacing w:lineRule="auto" w:line="360"/>
        <w:rPr>
          <w:rFonts w:ascii="Times New Roman" w:hAnsi="Times New Roman" w:cs="Times New Roman" w:eastAsia="SimSun"/>
          <w:color w:val="000000"/>
        </w:rPr>
      </w:pPr>
      <w:r>
        <w:rPr>
          <w:rFonts w:ascii="Times New Roman" w:hAnsi="Times New Roman" w:cs="Times New Roman" w:eastAsia="SimSun"/>
          <w:bCs/>
          <w:i/>
          <w:color w:val="000000"/>
          <w:sz w:val="24"/>
          <w:szCs w:val="24"/>
        </w:rPr>
      </w:r>
      <w:r>
        <w:rPr>
          <w:rFonts w:ascii="Times New Roman" w:hAnsi="Times New Roman" w:cs="Times New Roman" w:eastAsia="SimSun"/>
          <w:bCs/>
          <w:i/>
          <w:color w:val="000000"/>
          <w:sz w:val="24"/>
          <w:szCs w:val="24"/>
        </w:rPr>
      </w:r>
      <w:r/>
    </w:p>
    <w:p>
      <w:pPr>
        <w:jc w:val="both"/>
        <w:spacing w:lineRule="auto" w:line="360"/>
        <w:rPr>
          <w:rFonts w:ascii="Times New Roman" w:hAnsi="Times New Roman" w:cs="Times New Roman" w:eastAsia="SimSun"/>
          <w:color w:val="000000"/>
        </w:rPr>
      </w:pPr>
      <w:r>
        <w:rPr>
          <w:rFonts w:ascii="Times New Roman" w:hAnsi="Times New Roman" w:cs="Times New Roman" w:eastAsia="SimSun"/>
          <w:b/>
          <w:i/>
          <w:color w:val="000000"/>
          <w:sz w:val="24"/>
          <w:szCs w:val="24"/>
        </w:rPr>
        <w:t xml:space="preserve">Irzam Sarfraz</w:t>
      </w:r>
      <w:r/>
    </w:p>
    <w:p>
      <w:pPr>
        <w:jc w:val="both"/>
        <w:spacing w:lineRule="auto" w:line="360"/>
        <w:rPr>
          <w:rFonts w:ascii="Times New Roman" w:hAnsi="Times New Roman" w:cs="Times New Roman" w:eastAsia="SimSun"/>
          <w:color w:val="000000"/>
        </w:rPr>
      </w:pPr>
      <w:r>
        <w:rPr>
          <w:rFonts w:ascii="Times New Roman" w:hAnsi="Times New Roman" w:cs="Times New Roman" w:eastAsia="SimSun"/>
          <w:b/>
          <w:i/>
          <w:color w:val="000000"/>
          <w:sz w:val="24"/>
          <w:szCs w:val="24"/>
        </w:rPr>
        <w:t xml:space="preserve">19-NTU-4008</w:t>
      </w:r>
      <w:r>
        <w:rPr>
          <w:rFonts w:ascii="Times New Roman" w:hAnsi="Times New Roman" w:cs="Times New Roman" w:eastAsia="SimSun"/>
          <w:b/>
          <w:i/>
          <w:color w:val="000000"/>
          <w:sz w:val="24"/>
          <w:szCs w:val="24"/>
        </w:rPr>
      </w:r>
      <w:r/>
    </w:p>
    <w:p>
      <w:pPr>
        <w:pStyle w:val="666"/>
        <w:rPr>
          <w:highlight w:val="none"/>
        </w:rPr>
      </w:pPr>
      <w:r/>
      <w:bookmarkStart w:id="204" w:name="_Toc4"/>
      <w:r>
        <w:rPr>
          <w:highlight w:val="none"/>
        </w:rPr>
        <w:t xml:space="preserve">Table of Contents</w:t>
      </w:r>
      <w:r/>
      <w:bookmarkEnd w:id="204"/>
      <w:r/>
      <w:r/>
    </w:p>
    <w:sdt>
      <w:sdtPr>
        <w15:appearance w15:val="boundingBox"/>
        <w:placeholder>
          <w:docPart w:val="DefaultPlaceholder_TEXT"/>
        </w:placeholder>
        <w:docPartObj>
          <w:docPartGallery w:val="Table of Contents"/>
          <w:docPartUnique w:val="true"/>
        </w:docPartObj>
        <w:rPr>
          <w:highlight w:val="none"/>
        </w:rPr>
      </w:sdtPr>
      <w:sdtContent>
        <w:p>
          <w:pPr>
            <w:pStyle w:val="179"/>
            <w:tabs>
              <w:tab w:val="right" w:pos="9354" w:leader="dot"/>
            </w:tabs>
            <w:rPr>
              <w:rFonts w:ascii="Times New Roman" w:hAnsi="Times New Roman" w:cs="Times New Roman" w:eastAsia="Calibri"/>
              <w:b/>
              <w:sz w:val="32"/>
              <w:szCs w:val="32"/>
            </w:rPr>
          </w:pPr>
          <w:r>
            <w:rPr>
              <w:highlight w:val="none"/>
            </w:rPr>
          </w:r>
          <w:r>
            <w:fldChar w:fldCharType="begin"/>
            <w:instrText xml:space="preserve">TOC \o "1-9" \h </w:instrText>
            <w:fldChar w:fldCharType="separate"/>
          </w:r>
          <w:r>
            <w:rPr>
              <w:rFonts w:ascii="Times New Roman" w:hAnsi="Times New Roman" w:cs="Times New Roman" w:eastAsia="Calibri"/>
              <w:b/>
              <w:sz w:val="32"/>
              <w:szCs w:val="32"/>
            </w:rPr>
          </w:r>
          <w:hyperlink w:tooltip="#_Toc1" w:anchor="_Toc1" w:history="1">
            <w:r>
              <w:rPr>
                <w:rStyle w:val="690"/>
              </w:rPr>
            </w:r>
            <w:r>
              <w:rPr>
                <w:rStyle w:val="690"/>
                <w:rFonts w:ascii="Times New Roman" w:hAnsi="Times New Roman" w:cs="Times New Roman" w:eastAsia="Calibri"/>
                <w:b/>
                <w:sz w:val="32"/>
                <w:szCs w:val="32"/>
              </w:rPr>
              <w:t xml:space="preserve">DEDICATION</w:t>
            </w:r>
            <w:r>
              <w:rPr>
                <w:rStyle w:val="690"/>
              </w:rPr>
            </w:r>
            <w:r>
              <w:tab/>
            </w:r>
            <w:r>
              <w:fldChar w:fldCharType="begin"/>
              <w:instrText xml:space="preserve">PAGEREF _Toc1 \h</w:instrText>
              <w:fldChar w:fldCharType="separate"/>
              <w:t xml:space="preserve">2</w:t>
              <w:fldChar w:fldCharType="end"/>
            </w:r>
          </w:hyperlink>
          <w:r>
            <w:rPr>
              <w:rFonts w:ascii="Times New Roman" w:hAnsi="Times New Roman" w:cs="Times New Roman" w:eastAsia="Calibri"/>
              <w:b/>
              <w:sz w:val="32"/>
              <w:szCs w:val="32"/>
            </w:rPr>
          </w:r>
        </w:p>
        <w:p>
          <w:pPr>
            <w:pStyle w:val="179"/>
            <w:tabs>
              <w:tab w:val="right" w:pos="9354" w:leader="dot"/>
            </w:tabs>
            <w:rPr>
              <w:rFonts w:ascii="Times New Roman" w:hAnsi="Times New Roman" w:cs="Times New Roman" w:eastAsia="Calibri"/>
            </w:rPr>
          </w:pPr>
          <w:hyperlink w:tooltip="#_Toc2" w:anchor="_Toc2" w:history="1">
            <w:r>
              <w:rPr>
                <w:rStyle w:val="690"/>
              </w:rPr>
            </w:r>
            <w:r>
              <w:rPr>
                <w:rStyle w:val="690"/>
                <w:rFonts w:ascii="Times New Roman" w:hAnsi="Times New Roman" w:cs="Times New Roman" w:eastAsia="Calibri"/>
              </w:rPr>
              <w:t xml:space="preserve">CERTIFICATE</w:t>
            </w:r>
            <w:r>
              <w:rPr>
                <w:rStyle w:val="690"/>
              </w:rPr>
            </w:r>
            <w:r>
              <w:tab/>
            </w:r>
            <w:r>
              <w:fldChar w:fldCharType="begin"/>
              <w:instrText xml:space="preserve">PAGEREF _Toc2 \h</w:instrText>
              <w:fldChar w:fldCharType="separate"/>
              <w:t xml:space="preserve">3</w:t>
              <w:fldChar w:fldCharType="end"/>
            </w:r>
          </w:hyperlink>
          <w:r>
            <w:rPr>
              <w:rFonts w:ascii="Times New Roman" w:hAnsi="Times New Roman" w:cs="Times New Roman" w:eastAsia="Calibri"/>
            </w:rPr>
          </w:r>
        </w:p>
        <w:p>
          <w:pPr>
            <w:pStyle w:val="179"/>
            <w:tabs>
              <w:tab w:val="right" w:pos="9354" w:leader="dot"/>
            </w:tabs>
            <w:rPr>
              <w:rFonts w:eastAsia="Calibri"/>
            </w:rPr>
          </w:pPr>
          <w:hyperlink w:tooltip="#_Toc3" w:anchor="_Toc3" w:history="1">
            <w:r>
              <w:rPr>
                <w:rStyle w:val="690"/>
              </w:rPr>
            </w:r>
            <w:r>
              <w:rPr>
                <w:rStyle w:val="690"/>
                <w:rFonts w:eastAsia="Calibri"/>
              </w:rPr>
              <w:t xml:space="preserve">ACKNOWLEDGEMENT</w:t>
            </w:r>
            <w:r>
              <w:rPr>
                <w:rStyle w:val="690"/>
              </w:rPr>
            </w:r>
            <w:r>
              <w:tab/>
            </w:r>
            <w:r>
              <w:fldChar w:fldCharType="begin"/>
              <w:instrText xml:space="preserve">PAGEREF _Toc3 \h</w:instrText>
              <w:fldChar w:fldCharType="separate"/>
              <w:t xml:space="preserve">4</w:t>
              <w:fldChar w:fldCharType="end"/>
            </w:r>
          </w:hyperlink>
          <w:r>
            <w:rPr>
              <w:rFonts w:eastAsia="Calibri"/>
            </w:rPr>
          </w:r>
        </w:p>
        <w:p>
          <w:pPr>
            <w:pStyle w:val="179"/>
            <w:tabs>
              <w:tab w:val="right" w:pos="9354" w:leader="dot"/>
            </w:tabs>
            <w:rPr>
              <w:highlight w:val="none"/>
            </w:rPr>
          </w:pPr>
          <w:hyperlink w:tooltip="#_Toc4" w:anchor="_Toc4" w:history="1">
            <w:r>
              <w:rPr>
                <w:rStyle w:val="690"/>
              </w:rPr>
            </w:r>
            <w:r>
              <w:rPr>
                <w:rStyle w:val="690"/>
                <w:highlight w:val="none"/>
              </w:rPr>
              <w:t xml:space="preserve">Table of Contents</w:t>
            </w:r>
            <w:r>
              <w:rPr>
                <w:rStyle w:val="690"/>
              </w:rPr>
            </w:r>
            <w:r>
              <w:tab/>
            </w:r>
            <w:r>
              <w:fldChar w:fldCharType="begin"/>
              <w:instrText xml:space="preserve">PAGEREF _Toc4 \h</w:instrText>
              <w:fldChar w:fldCharType="separate"/>
              <w:t xml:space="preserve">5</w:t>
              <w:fldChar w:fldCharType="end"/>
            </w:r>
          </w:hyperlink>
          <w:r>
            <w:rPr>
              <w:highlight w:val="none"/>
            </w:rPr>
          </w:r>
        </w:p>
        <w:p>
          <w:pPr>
            <w:pStyle w:val="179"/>
            <w:tabs>
              <w:tab w:val="right" w:pos="9354" w:leader="dot"/>
            </w:tabs>
            <w:rPr>
              <w:highlight w:val="none"/>
            </w:rPr>
          </w:pPr>
          <w:hyperlink w:tooltip="#_Toc5" w:anchor="_Toc5" w:history="1">
            <w:r>
              <w:rPr>
                <w:rStyle w:val="690"/>
              </w:rPr>
            </w:r>
            <w:r>
              <w:rPr>
                <w:rStyle w:val="690"/>
                <w:highlight w:val="none"/>
              </w:rPr>
              <w:t xml:space="preserve">List of Abbreviations</w:t>
            </w:r>
            <w:r>
              <w:rPr>
                <w:rStyle w:val="690"/>
              </w:rPr>
            </w:r>
            <w:r>
              <w:tab/>
            </w:r>
            <w:r>
              <w:fldChar w:fldCharType="begin"/>
              <w:instrText xml:space="preserve">PAGEREF _Toc5 \h</w:instrText>
              <w:fldChar w:fldCharType="separate"/>
              <w:t xml:space="preserve">7</w:t>
              <w:fldChar w:fldCharType="end"/>
            </w:r>
          </w:hyperlink>
          <w:r>
            <w:rPr>
              <w:highlight w:val="none"/>
            </w:rPr>
          </w:r>
        </w:p>
        <w:p>
          <w:pPr>
            <w:pStyle w:val="179"/>
            <w:tabs>
              <w:tab w:val="right" w:pos="9354" w:leader="dot"/>
            </w:tabs>
            <w:rPr>
              <w:highlight w:val="none"/>
            </w:rPr>
          </w:pPr>
          <w:hyperlink w:tooltip="#_Toc6" w:anchor="_Toc6" w:history="1">
            <w:r>
              <w:rPr>
                <w:rStyle w:val="690"/>
              </w:rPr>
            </w:r>
            <w:r>
              <w:rPr>
                <w:rStyle w:val="690"/>
                <w:highlight w:val="none"/>
              </w:rPr>
              <w:t xml:space="preserve">List of Tables</w:t>
            </w:r>
            <w:r>
              <w:rPr>
                <w:rStyle w:val="690"/>
              </w:rPr>
            </w:r>
            <w:r>
              <w:tab/>
            </w:r>
            <w:r>
              <w:fldChar w:fldCharType="begin"/>
              <w:instrText xml:space="preserve">PAGEREF _Toc6 \h</w:instrText>
              <w:fldChar w:fldCharType="separate"/>
              <w:t xml:space="preserve">8</w:t>
              <w:fldChar w:fldCharType="end"/>
            </w:r>
          </w:hyperlink>
          <w:r>
            <w:rPr>
              <w:highlight w:val="none"/>
            </w:rPr>
          </w:r>
        </w:p>
        <w:p>
          <w:pPr>
            <w:pStyle w:val="179"/>
            <w:tabs>
              <w:tab w:val="right" w:pos="9354" w:leader="dot"/>
            </w:tabs>
            <w:rPr>
              <w:highlight w:val="none"/>
            </w:rPr>
          </w:pPr>
          <w:hyperlink w:tooltip="#_Toc7" w:anchor="_Toc7" w:history="1">
            <w:r>
              <w:rPr>
                <w:rStyle w:val="690"/>
              </w:rPr>
            </w:r>
            <w:r>
              <w:rPr>
                <w:rStyle w:val="690"/>
                <w:highlight w:val="none"/>
              </w:rPr>
              <w:t xml:space="preserve">List of Figures</w:t>
            </w:r>
            <w:r>
              <w:rPr>
                <w:rStyle w:val="690"/>
              </w:rPr>
            </w:r>
            <w:r>
              <w:tab/>
            </w:r>
            <w:r>
              <w:fldChar w:fldCharType="begin"/>
              <w:instrText xml:space="preserve">PAGEREF _Toc7 \h</w:instrText>
              <w:fldChar w:fldCharType="separate"/>
              <w:t xml:space="preserve">9</w:t>
              <w:fldChar w:fldCharType="end"/>
            </w:r>
          </w:hyperlink>
          <w:r>
            <w:rPr>
              <w:highlight w:val="none"/>
            </w:rPr>
          </w:r>
        </w:p>
        <w:p>
          <w:pPr>
            <w:pStyle w:val="179"/>
            <w:tabs>
              <w:tab w:val="right" w:pos="9354" w:leader="dot"/>
            </w:tabs>
          </w:pPr>
          <w:hyperlink w:tooltip="#_Toc8" w:anchor="_Toc8" w:history="1">
            <w:r>
              <w:rPr>
                <w:rStyle w:val="690"/>
              </w:rPr>
            </w:r>
            <w:r>
              <w:rPr>
                <w:rStyle w:val="690"/>
              </w:rPr>
              <w:t xml:space="preserve">Abstract</w:t>
            </w:r>
            <w:r>
              <w:rPr>
                <w:rStyle w:val="690"/>
              </w:rPr>
            </w:r>
            <w:r>
              <w:tab/>
            </w:r>
            <w:r>
              <w:fldChar w:fldCharType="begin"/>
              <w:instrText xml:space="preserve">PAGEREF _Toc8 \h</w:instrText>
              <w:fldChar w:fldCharType="separate"/>
              <w:t xml:space="preserve">10</w:t>
              <w:fldChar w:fldCharType="end"/>
            </w:r>
          </w:hyperlink>
          <w:r/>
        </w:p>
        <w:p>
          <w:pPr>
            <w:pStyle w:val="179"/>
            <w:tabs>
              <w:tab w:val="right" w:pos="9354" w:leader="dot"/>
            </w:tabs>
          </w:pPr>
          <w:hyperlink w:tooltip="#_Toc9" w:anchor="_Toc9" w:history="1">
            <w:r>
              <w:rPr>
                <w:rStyle w:val="690"/>
              </w:rPr>
            </w:r>
            <w:r>
              <w:rPr>
                <w:rStyle w:val="690"/>
              </w:rPr>
              <w:t xml:space="preserve">Introduction</w:t>
            </w:r>
            <w:r>
              <w:rPr>
                <w:rStyle w:val="690"/>
              </w:rPr>
            </w:r>
            <w:r>
              <w:tab/>
            </w:r>
            <w:r>
              <w:fldChar w:fldCharType="begin"/>
              <w:instrText xml:space="preserve">PAGEREF _Toc9 \h</w:instrText>
              <w:fldChar w:fldCharType="separate"/>
              <w:t xml:space="preserve">10</w:t>
              <w:fldChar w:fldCharType="end"/>
            </w:r>
          </w:hyperlink>
          <w:r/>
        </w:p>
        <w:p>
          <w:pPr>
            <w:pStyle w:val="180"/>
            <w:tabs>
              <w:tab w:val="right" w:pos="9354" w:leader="dot"/>
            </w:tabs>
          </w:pPr>
          <w:hyperlink w:tooltip="#_Toc10" w:anchor="_Toc10" w:history="1">
            <w:r>
              <w:rPr>
                <w:rStyle w:val="690"/>
              </w:rPr>
            </w:r>
            <w:r>
              <w:rPr>
                <w:rStyle w:val="690"/>
              </w:rPr>
              <w:t xml:space="preserve">Basic concepts and terminologies</w:t>
            </w:r>
            <w:r>
              <w:rPr>
                <w:rStyle w:val="690"/>
              </w:rPr>
            </w:r>
            <w:r>
              <w:tab/>
            </w:r>
            <w:r>
              <w:fldChar w:fldCharType="begin"/>
              <w:instrText xml:space="preserve">PAGEREF _Toc10 \h</w:instrText>
              <w:fldChar w:fldCharType="separate"/>
              <w:t xml:space="preserve">11</w:t>
              <w:fldChar w:fldCharType="end"/>
            </w:r>
          </w:hyperlink>
          <w:r/>
        </w:p>
        <w:p>
          <w:pPr>
            <w:pStyle w:val="181"/>
            <w:tabs>
              <w:tab w:val="right" w:pos="9354" w:leader="dot"/>
            </w:tabs>
          </w:pPr>
          <w:hyperlink w:tooltip="#_Toc11" w:anchor="_Toc11" w:history="1">
            <w:r>
              <w:rPr>
                <w:rStyle w:val="690"/>
              </w:rPr>
            </w:r>
            <w:r>
              <w:rPr>
                <w:rStyle w:val="690"/>
              </w:rPr>
              <w:t xml:space="preserve">High-throughput genomic data</w:t>
            </w:r>
            <w:r>
              <w:rPr>
                <w:rStyle w:val="690"/>
              </w:rPr>
            </w:r>
            <w:r>
              <w:tab/>
            </w:r>
            <w:r>
              <w:fldChar w:fldCharType="begin"/>
              <w:instrText xml:space="preserve">PAGEREF _Toc11 \h</w:instrText>
              <w:fldChar w:fldCharType="separate"/>
              <w:t xml:space="preserve">11</w:t>
              <w:fldChar w:fldCharType="end"/>
            </w:r>
          </w:hyperlink>
          <w:r/>
        </w:p>
        <w:p>
          <w:pPr>
            <w:pStyle w:val="181"/>
            <w:tabs>
              <w:tab w:val="right" w:pos="9354" w:leader="dot"/>
            </w:tabs>
          </w:pPr>
          <w:hyperlink w:tooltip="#_Toc12" w:anchor="_Toc12" w:history="1">
            <w:r>
              <w:rPr>
                <w:rStyle w:val="690"/>
              </w:rPr>
            </w:r>
            <w:r>
              <w:rPr>
                <w:rStyle w:val="690"/>
              </w:rPr>
              <w:t xml:space="preserve">Assay</w:t>
            </w:r>
            <w:r>
              <w:rPr>
                <w:rStyle w:val="690"/>
              </w:rPr>
            </w:r>
            <w:r>
              <w:tab/>
            </w:r>
            <w:r>
              <w:fldChar w:fldCharType="begin"/>
              <w:instrText xml:space="preserve">PAGEREF _Toc12 \h</w:instrText>
              <w:fldChar w:fldCharType="separate"/>
              <w:t xml:space="preserve">12</w:t>
              <w:fldChar w:fldCharType="end"/>
            </w:r>
          </w:hyperlink>
          <w:r/>
        </w:p>
        <w:p>
          <w:pPr>
            <w:pStyle w:val="181"/>
            <w:tabs>
              <w:tab w:val="right" w:pos="9354" w:leader="dot"/>
            </w:tabs>
          </w:pPr>
          <w:hyperlink w:tooltip="#_Toc13" w:anchor="_Toc13" w:history="1">
            <w:r>
              <w:rPr>
                <w:rStyle w:val="690"/>
              </w:rPr>
            </w:r>
            <w:r>
              <w:rPr>
                <w:rStyle w:val="690"/>
              </w:rPr>
              <w:t xml:space="preserve">colData</w:t>
            </w:r>
            <w:r>
              <w:rPr>
                <w:rStyle w:val="690"/>
              </w:rPr>
            </w:r>
            <w:r>
              <w:tab/>
            </w:r>
            <w:r>
              <w:fldChar w:fldCharType="begin"/>
              <w:instrText xml:space="preserve">PAGEREF _Toc13 \h</w:instrText>
              <w:fldChar w:fldCharType="separate"/>
              <w:t xml:space="preserve">12</w:t>
              <w:fldChar w:fldCharType="end"/>
            </w:r>
          </w:hyperlink>
          <w:r/>
        </w:p>
        <w:p>
          <w:pPr>
            <w:pStyle w:val="181"/>
            <w:tabs>
              <w:tab w:val="right" w:pos="9354" w:leader="dot"/>
            </w:tabs>
          </w:pPr>
          <w:hyperlink w:tooltip="#_Toc14" w:anchor="_Toc14" w:history="1">
            <w:r>
              <w:rPr>
                <w:rStyle w:val="690"/>
              </w:rPr>
            </w:r>
            <w:r>
              <w:rPr>
                <w:rStyle w:val="690"/>
              </w:rPr>
              <w:t xml:space="preserve">rowData</w:t>
            </w:r>
            <w:r>
              <w:rPr>
                <w:rStyle w:val="690"/>
              </w:rPr>
            </w:r>
            <w:r>
              <w:tab/>
            </w:r>
            <w:r>
              <w:fldChar w:fldCharType="begin"/>
              <w:instrText xml:space="preserve">PAGEREF _Toc14 \h</w:instrText>
              <w:fldChar w:fldCharType="separate"/>
              <w:t xml:space="preserve">12</w:t>
              <w:fldChar w:fldCharType="end"/>
            </w:r>
          </w:hyperlink>
          <w:r/>
        </w:p>
        <w:p>
          <w:pPr>
            <w:pStyle w:val="181"/>
            <w:tabs>
              <w:tab w:val="right" w:pos="9354" w:leader="dot"/>
            </w:tabs>
          </w:pPr>
          <w:hyperlink w:tooltip="#_Toc15" w:anchor="_Toc15" w:history="1">
            <w:r>
              <w:rPr>
                <w:rStyle w:val="690"/>
              </w:rPr>
            </w:r>
            <w:r>
              <w:rPr>
                <w:rStyle w:val="690"/>
              </w:rPr>
              <w:t xml:space="preserve">reducedDims</w:t>
            </w:r>
            <w:r>
              <w:rPr>
                <w:rStyle w:val="690"/>
              </w:rPr>
            </w:r>
            <w:r>
              <w:tab/>
            </w:r>
            <w:r>
              <w:fldChar w:fldCharType="begin"/>
              <w:instrText xml:space="preserve">PAGEREF _Toc15 \h</w:instrText>
              <w:fldChar w:fldCharType="separate"/>
              <w:t xml:space="preserve">12</w:t>
              <w:fldChar w:fldCharType="end"/>
            </w:r>
          </w:hyperlink>
          <w:r/>
        </w:p>
        <w:p>
          <w:pPr>
            <w:pStyle w:val="181"/>
            <w:tabs>
              <w:tab w:val="right" w:pos="9354" w:leader="dot"/>
            </w:tabs>
          </w:pPr>
          <w:hyperlink w:tooltip="#_Toc16" w:anchor="_Toc16" w:history="1">
            <w:r>
              <w:rPr>
                <w:rStyle w:val="690"/>
              </w:rPr>
            </w:r>
            <w:r>
              <w:rPr>
                <w:rStyle w:val="690"/>
              </w:rPr>
              <w:t xml:space="preserve">altExperiments</w:t>
            </w:r>
            <w:r>
              <w:rPr>
                <w:rStyle w:val="690"/>
              </w:rPr>
            </w:r>
            <w:r>
              <w:tab/>
            </w:r>
            <w:r>
              <w:fldChar w:fldCharType="begin"/>
              <w:instrText xml:space="preserve">PAGEREF _Toc16 \h</w:instrText>
              <w:fldChar w:fldCharType="separate"/>
              <w:t xml:space="preserve">13</w:t>
              <w:fldChar w:fldCharType="end"/>
            </w:r>
          </w:hyperlink>
          <w:r/>
        </w:p>
        <w:p>
          <w:pPr>
            <w:pStyle w:val="181"/>
            <w:tabs>
              <w:tab w:val="right" w:pos="9354" w:leader="dot"/>
            </w:tabs>
          </w:pPr>
          <w:hyperlink w:tooltip="#_Toc17" w:anchor="_Toc17" w:history="1">
            <w:r>
              <w:rPr>
                <w:rStyle w:val="690"/>
              </w:rPr>
            </w:r>
            <w:r>
              <w:rPr>
                <w:rStyle w:val="690"/>
              </w:rPr>
              <w:t xml:space="preserve">metadata</w:t>
            </w:r>
            <w:r>
              <w:rPr>
                <w:rStyle w:val="690"/>
              </w:rPr>
            </w:r>
            <w:r>
              <w:tab/>
            </w:r>
            <w:r>
              <w:fldChar w:fldCharType="begin"/>
              <w:instrText xml:space="preserve">PAGEREF _Toc17 \h</w:instrText>
              <w:fldChar w:fldCharType="separate"/>
              <w:t xml:space="preserve">13</w:t>
              <w:fldChar w:fldCharType="end"/>
            </w:r>
          </w:hyperlink>
          <w:r/>
        </w:p>
        <w:p>
          <w:pPr>
            <w:pStyle w:val="181"/>
            <w:tabs>
              <w:tab w:val="right" w:pos="9354" w:leader="dot"/>
            </w:tabs>
          </w:pPr>
          <w:hyperlink w:tooltip="#_Toc18" w:anchor="_Toc18" w:history="1">
            <w:r>
              <w:rPr>
                <w:rStyle w:val="690"/>
              </w:rPr>
            </w:r>
            <w:r>
              <w:rPr>
                <w:rStyle w:val="690"/>
              </w:rPr>
              <w:t xml:space="preserve">Bioconductor &amp; CRAN</w:t>
            </w:r>
            <w:r>
              <w:rPr>
                <w:rStyle w:val="690"/>
              </w:rPr>
            </w:r>
            <w:r>
              <w:tab/>
            </w:r>
            <w:r>
              <w:fldChar w:fldCharType="begin"/>
              <w:instrText xml:space="preserve">PAGEREF _Toc18 \h</w:instrText>
              <w:fldChar w:fldCharType="separate"/>
              <w:t xml:space="preserve">13</w:t>
              <w:fldChar w:fldCharType="end"/>
            </w:r>
          </w:hyperlink>
          <w:r/>
        </w:p>
        <w:p>
          <w:pPr>
            <w:pStyle w:val="181"/>
            <w:tabs>
              <w:tab w:val="right" w:pos="9354" w:leader="dot"/>
            </w:tabs>
          </w:pPr>
          <w:hyperlink w:tooltip="#_Toc19" w:anchor="_Toc19" w:history="1">
            <w:r>
              <w:rPr>
                <w:rStyle w:val="690"/>
              </w:rPr>
            </w:r>
            <w:r>
              <w:rPr>
                <w:rStyle w:val="690"/>
              </w:rPr>
              <w:t xml:space="preserve">Bioconductor Experiment objects</w:t>
            </w:r>
            <w:r>
              <w:rPr>
                <w:rStyle w:val="690"/>
              </w:rPr>
            </w:r>
            <w:r>
              <w:tab/>
            </w:r>
            <w:r>
              <w:fldChar w:fldCharType="begin"/>
              <w:instrText xml:space="preserve">PAGEREF _Toc19 \h</w:instrText>
              <w:fldChar w:fldCharType="separate"/>
              <w:t xml:space="preserve">13</w:t>
              <w:fldChar w:fldCharType="end"/>
            </w:r>
          </w:hyperlink>
          <w:r/>
        </w:p>
        <w:p>
          <w:pPr>
            <w:pStyle w:val="181"/>
            <w:tabs>
              <w:tab w:val="right" w:pos="9354" w:leader="dot"/>
            </w:tabs>
          </w:pPr>
          <w:hyperlink w:tooltip="#_Toc20" w:anchor="_Toc20" w:history="1">
            <w:r>
              <w:rPr>
                <w:rStyle w:val="690"/>
              </w:rPr>
            </w:r>
            <w:r>
              <w:rPr>
                <w:rStyle w:val="690"/>
              </w:rPr>
              <w:t xml:space="preserve">Use of Bioconductor Experiment objects</w:t>
            </w:r>
            <w:r>
              <w:rPr>
                <w:rStyle w:val="690"/>
              </w:rPr>
            </w:r>
            <w:r>
              <w:tab/>
            </w:r>
            <w:r>
              <w:fldChar w:fldCharType="begin"/>
              <w:instrText xml:space="preserve">PAGEREF _Toc20 \h</w:instrText>
              <w:fldChar w:fldCharType="separate"/>
              <w:t xml:space="preserve">14</w:t>
              <w:fldChar w:fldCharType="end"/>
            </w:r>
          </w:hyperlink>
          <w:r/>
        </w:p>
        <w:p>
          <w:pPr>
            <w:pStyle w:val="180"/>
            <w:tabs>
              <w:tab w:val="right" w:pos="9354" w:leader="dot"/>
            </w:tabs>
          </w:pPr>
          <w:hyperlink w:tooltip="#_Toc21" w:anchor="_Toc21" w:history="1">
            <w:r>
              <w:rPr>
                <w:rStyle w:val="690"/>
              </w:rPr>
            </w:r>
            <w:r>
              <w:rPr>
                <w:rStyle w:val="690"/>
              </w:rPr>
              <w:t xml:space="preserve">Background</w:t>
            </w:r>
            <w:r>
              <w:rPr>
                <w:rStyle w:val="690"/>
              </w:rPr>
            </w:r>
            <w:r>
              <w:tab/>
            </w:r>
            <w:r>
              <w:fldChar w:fldCharType="begin"/>
              <w:instrText xml:space="preserve">PAGEREF _Toc21 \h</w:instrText>
              <w:fldChar w:fldCharType="separate"/>
              <w:t xml:space="preserve">15</w:t>
              <w:fldChar w:fldCharType="end"/>
            </w:r>
          </w:hyperlink>
          <w:r/>
        </w:p>
        <w:p>
          <w:pPr>
            <w:pStyle w:val="181"/>
            <w:tabs>
              <w:tab w:val="right" w:pos="9354" w:leader="dot"/>
            </w:tabs>
          </w:pPr>
          <w:hyperlink w:tooltip="#_Toc22" w:anchor="_Toc22" w:history="1">
            <w:r>
              <w:rPr>
                <w:rStyle w:val="690"/>
              </w:rPr>
            </w:r>
            <w:r>
              <w:rPr>
                <w:rStyle w:val="690"/>
              </w:rPr>
              <w:t xml:space="preserve">Sample Workflow</w:t>
            </w:r>
            <w:r>
              <w:rPr>
                <w:rStyle w:val="690"/>
              </w:rPr>
            </w:r>
            <w:r>
              <w:tab/>
            </w:r>
            <w:r>
              <w:fldChar w:fldCharType="begin"/>
              <w:instrText xml:space="preserve">PAGEREF _Toc22 \h</w:instrText>
              <w:fldChar w:fldCharType="separate"/>
              <w:t xml:space="preserve">17</w:t>
              <w:fldChar w:fldCharType="end"/>
            </w:r>
          </w:hyperlink>
          <w:r/>
        </w:p>
        <w:p>
          <w:pPr>
            <w:pStyle w:val="181"/>
            <w:tabs>
              <w:tab w:val="right" w:pos="9354" w:leader="dot"/>
            </w:tabs>
          </w:pPr>
          <w:hyperlink w:tooltip="#_Toc23" w:anchor="_Toc23" w:history="1">
            <w:r>
              <w:rPr>
                <w:rStyle w:val="690"/>
              </w:rPr>
            </w:r>
            <w:r>
              <w:rPr>
                <w:rStyle w:val="690"/>
              </w:rPr>
              <w:t xml:space="preserve">singleCellTK</w:t>
            </w:r>
            <w:r>
              <w:rPr>
                <w:rStyle w:val="690"/>
              </w:rPr>
            </w:r>
            <w:r>
              <w:tab/>
            </w:r>
            <w:r>
              <w:fldChar w:fldCharType="begin"/>
              <w:instrText xml:space="preserve">PAGEREF _Toc23 \h</w:instrText>
              <w:fldChar w:fldCharType="separate"/>
              <w:t xml:space="preserve">17</w:t>
              <w:fldChar w:fldCharType="end"/>
            </w:r>
          </w:hyperlink>
          <w:r/>
        </w:p>
        <w:p>
          <w:pPr>
            <w:pStyle w:val="180"/>
            <w:tabs>
              <w:tab w:val="right" w:pos="9354" w:leader="dot"/>
            </w:tabs>
          </w:pPr>
          <w:hyperlink w:tooltip="#_Toc24" w:anchor="_Toc24" w:history="1">
            <w:r>
              <w:rPr>
                <w:rStyle w:val="690"/>
              </w:rPr>
            </w:r>
            <w:r>
              <w:rPr>
                <w:rStyle w:val="690"/>
              </w:rPr>
              <w:t xml:space="preserve">Problem statement</w:t>
            </w:r>
            <w:r>
              <w:rPr>
                <w:rStyle w:val="690"/>
              </w:rPr>
            </w:r>
            <w:r>
              <w:tab/>
            </w:r>
            <w:r>
              <w:fldChar w:fldCharType="begin"/>
              <w:instrText xml:space="preserve">PAGEREF _Toc24 \h</w:instrText>
              <w:fldChar w:fldCharType="separate"/>
              <w:t xml:space="preserve">19</w:t>
              <w:fldChar w:fldCharType="end"/>
            </w:r>
          </w:hyperlink>
          <w:r/>
        </w:p>
        <w:p>
          <w:pPr>
            <w:pStyle w:val="180"/>
            <w:tabs>
              <w:tab w:val="right" w:pos="9354" w:leader="dot"/>
            </w:tabs>
          </w:pPr>
          <w:hyperlink w:tooltip="#_Toc25" w:anchor="_Toc25" w:history="1">
            <w:r>
              <w:rPr>
                <w:rStyle w:val="690"/>
              </w:rPr>
            </w:r>
            <w:r>
              <w:rPr>
                <w:rStyle w:val="690"/>
              </w:rPr>
              <w:t xml:space="preserve">Research objectives</w:t>
            </w:r>
            <w:r>
              <w:rPr>
                <w:rStyle w:val="690"/>
              </w:rPr>
            </w:r>
            <w:r>
              <w:tab/>
            </w:r>
            <w:r>
              <w:fldChar w:fldCharType="begin"/>
              <w:instrText xml:space="preserve">PAGEREF _Toc25 \h</w:instrText>
              <w:fldChar w:fldCharType="separate"/>
              <w:t xml:space="preserve">19</w:t>
              <w:fldChar w:fldCharType="end"/>
            </w:r>
          </w:hyperlink>
          <w:r/>
        </w:p>
        <w:p>
          <w:pPr>
            <w:pStyle w:val="180"/>
            <w:tabs>
              <w:tab w:val="right" w:pos="9354" w:leader="dot"/>
            </w:tabs>
          </w:pPr>
          <w:hyperlink w:tooltip="#_Toc26" w:anchor="_Toc26" w:history="1">
            <w:r>
              <w:rPr>
                <w:rStyle w:val="690"/>
              </w:rPr>
            </w:r>
            <w:r>
              <w:rPr>
                <w:rStyle w:val="690"/>
              </w:rPr>
              <w:t xml:space="preserve">Research question</w:t>
            </w:r>
            <w:r>
              <w:rPr>
                <w:rStyle w:val="690"/>
              </w:rPr>
            </w:r>
            <w:r>
              <w:tab/>
            </w:r>
            <w:r>
              <w:fldChar w:fldCharType="begin"/>
              <w:instrText xml:space="preserve">PAGEREF _Toc26 \h</w:instrText>
              <w:fldChar w:fldCharType="separate"/>
              <w:t xml:space="preserve">19</w:t>
              <w:fldChar w:fldCharType="end"/>
            </w:r>
          </w:hyperlink>
          <w:r/>
        </w:p>
        <w:p>
          <w:pPr>
            <w:pStyle w:val="180"/>
            <w:tabs>
              <w:tab w:val="right" w:pos="9354" w:leader="dot"/>
            </w:tabs>
          </w:pPr>
          <w:hyperlink w:tooltip="#_Toc27" w:anchor="_Toc27" w:history="1">
            <w:r>
              <w:rPr>
                <w:rStyle w:val="690"/>
              </w:rPr>
            </w:r>
            <w:r>
              <w:rPr>
                <w:rStyle w:val="690"/>
              </w:rPr>
              <w:t xml:space="preserve">Scope of research</w:t>
            </w:r>
            <w:r>
              <w:rPr>
                <w:rStyle w:val="690"/>
              </w:rPr>
            </w:r>
            <w:r>
              <w:tab/>
            </w:r>
            <w:r>
              <w:fldChar w:fldCharType="begin"/>
              <w:instrText xml:space="preserve">PAGEREF _Toc27 \h</w:instrText>
              <w:fldChar w:fldCharType="separate"/>
              <w:t xml:space="preserve">19</w:t>
              <w:fldChar w:fldCharType="end"/>
            </w:r>
          </w:hyperlink>
          <w:r/>
        </w:p>
        <w:p>
          <w:pPr>
            <w:pStyle w:val="180"/>
            <w:tabs>
              <w:tab w:val="right" w:pos="9354" w:leader="dot"/>
            </w:tabs>
          </w:pPr>
          <w:hyperlink w:tooltip="#_Toc28" w:anchor="_Toc28" w:history="1">
            <w:r>
              <w:rPr>
                <w:rStyle w:val="690"/>
              </w:rPr>
            </w:r>
            <w:r>
              <w:rPr>
                <w:rStyle w:val="690"/>
              </w:rPr>
              <w:t xml:space="preserve">Application of proposed research</w:t>
            </w:r>
            <w:r>
              <w:rPr>
                <w:rStyle w:val="690"/>
              </w:rPr>
            </w:r>
            <w:r>
              <w:tab/>
            </w:r>
            <w:r>
              <w:fldChar w:fldCharType="begin"/>
              <w:instrText xml:space="preserve">PAGEREF _Toc28 \h</w:instrText>
              <w:fldChar w:fldCharType="separate"/>
              <w:t xml:space="preserve">20</w:t>
              <w:fldChar w:fldCharType="end"/>
            </w:r>
          </w:hyperlink>
          <w:r/>
        </w:p>
        <w:p>
          <w:pPr>
            <w:pStyle w:val="180"/>
            <w:tabs>
              <w:tab w:val="right" w:pos="9354" w:leader="dot"/>
            </w:tabs>
          </w:pPr>
          <w:hyperlink w:tooltip="#_Toc29" w:anchor="_Toc29" w:history="1">
            <w:r>
              <w:rPr>
                <w:rStyle w:val="690"/>
              </w:rPr>
            </w:r>
            <w:r>
              <w:rPr>
                <w:rStyle w:val="690"/>
              </w:rPr>
              <w:t xml:space="preserve">Thesis outline</w:t>
            </w:r>
            <w:r>
              <w:rPr>
                <w:rStyle w:val="690"/>
              </w:rPr>
            </w:r>
            <w:r>
              <w:tab/>
            </w:r>
            <w:r>
              <w:fldChar w:fldCharType="begin"/>
              <w:instrText xml:space="preserve">PAGEREF _Toc29 \h</w:instrText>
              <w:fldChar w:fldCharType="separate"/>
              <w:t xml:space="preserve">20</w:t>
              <w:fldChar w:fldCharType="end"/>
            </w:r>
          </w:hyperlink>
          <w:r/>
        </w:p>
        <w:p>
          <w:pPr>
            <w:pStyle w:val="179"/>
            <w:tabs>
              <w:tab w:val="right" w:pos="9354" w:leader="dot"/>
            </w:tabs>
          </w:pPr>
          <w:hyperlink w:tooltip="#_Toc30" w:anchor="_Toc30" w:history="1">
            <w:r>
              <w:rPr>
                <w:rStyle w:val="690"/>
              </w:rPr>
            </w:r>
            <w:r>
              <w:rPr>
                <w:rStyle w:val="690"/>
              </w:rPr>
              <w:t xml:space="preserve">Literature Review</w:t>
            </w:r>
            <w:r>
              <w:rPr>
                <w:rStyle w:val="690"/>
              </w:rPr>
            </w:r>
            <w:r>
              <w:tab/>
            </w:r>
            <w:r>
              <w:fldChar w:fldCharType="begin"/>
              <w:instrText xml:space="preserve">PAGEREF _Toc30 \h</w:instrText>
              <w:fldChar w:fldCharType="separate"/>
              <w:t xml:space="preserve">20</w:t>
              <w:fldChar w:fldCharType="end"/>
            </w:r>
          </w:hyperlink>
          <w:r/>
        </w:p>
        <w:p>
          <w:pPr>
            <w:pStyle w:val="180"/>
            <w:tabs>
              <w:tab w:val="right" w:pos="9354" w:leader="dot"/>
            </w:tabs>
          </w:pPr>
          <w:hyperlink w:tooltip="#_Toc31" w:anchor="_Toc31" w:history="1">
            <w:r>
              <w:rPr>
                <w:rStyle w:val="690"/>
              </w:rPr>
            </w:r>
            <w:r>
              <w:rPr>
                <w:rStyle w:val="690"/>
              </w:rPr>
              <w:t xml:space="preserve">SummarizedExperiment</w:t>
            </w:r>
            <w:r>
              <w:rPr>
                <w:rStyle w:val="690"/>
              </w:rPr>
            </w:r>
            <w:r>
              <w:tab/>
            </w:r>
            <w:r>
              <w:fldChar w:fldCharType="begin"/>
              <w:instrText xml:space="preserve">PAGEREF _Toc31 \h</w:instrText>
              <w:fldChar w:fldCharType="separate"/>
              <w:t xml:space="preserve">22</w:t>
              <w:fldChar w:fldCharType="end"/>
            </w:r>
          </w:hyperlink>
          <w:r/>
        </w:p>
        <w:p>
          <w:pPr>
            <w:pStyle w:val="180"/>
            <w:tabs>
              <w:tab w:val="right" w:pos="9354" w:leader="dot"/>
            </w:tabs>
          </w:pPr>
          <w:hyperlink w:tooltip="#_Toc32" w:anchor="_Toc32" w:history="1">
            <w:r>
              <w:rPr>
                <w:rStyle w:val="690"/>
              </w:rPr>
            </w:r>
            <w:r>
              <w:rPr>
                <w:rStyle w:val="690"/>
              </w:rPr>
              <w:t xml:space="preserve">SingleCellExperiment</w:t>
            </w:r>
            <w:r>
              <w:rPr>
                <w:rStyle w:val="690"/>
              </w:rPr>
            </w:r>
            <w:r>
              <w:tab/>
            </w:r>
            <w:r>
              <w:fldChar w:fldCharType="begin"/>
              <w:instrText xml:space="preserve">PAGEREF _Toc32 \h</w:instrText>
              <w:fldChar w:fldCharType="separate"/>
              <w:t xml:space="preserve">23</w:t>
              <w:fldChar w:fldCharType="end"/>
            </w:r>
          </w:hyperlink>
          <w:r/>
        </w:p>
        <w:p>
          <w:pPr>
            <w:pStyle w:val="180"/>
            <w:tabs>
              <w:tab w:val="right" w:pos="9354" w:leader="dot"/>
            </w:tabs>
          </w:pPr>
          <w:hyperlink w:tooltip="#_Toc33" w:anchor="_Toc33" w:history="1">
            <w:r>
              <w:rPr>
                <w:rStyle w:val="690"/>
              </w:rPr>
            </w:r>
            <w:r>
              <w:rPr>
                <w:rStyle w:val="690"/>
              </w:rPr>
              <w:t xml:space="preserve">MultiAssayExperiment</w:t>
            </w:r>
            <w:r>
              <w:rPr>
                <w:rStyle w:val="690"/>
              </w:rPr>
            </w:r>
            <w:r>
              <w:tab/>
            </w:r>
            <w:r>
              <w:fldChar w:fldCharType="begin"/>
              <w:instrText xml:space="preserve">PAGEREF _Toc33 \h</w:instrText>
              <w:fldChar w:fldCharType="separate"/>
              <w:t xml:space="preserve">24</w:t>
              <w:fldChar w:fldCharType="end"/>
            </w:r>
          </w:hyperlink>
          <w:r/>
        </w:p>
        <w:p>
          <w:pPr>
            <w:pStyle w:val="180"/>
            <w:tabs>
              <w:tab w:val="right" w:pos="9354" w:leader="dot"/>
            </w:tabs>
          </w:pPr>
          <w:hyperlink w:tooltip="#_Toc34" w:anchor="_Toc34" w:history="1">
            <w:r>
              <w:rPr>
                <w:rStyle w:val="690"/>
              </w:rPr>
            </w:r>
            <w:r>
              <w:rPr>
                <w:rStyle w:val="690"/>
              </w:rPr>
              <w:t xml:space="preserve">Seurat</w:t>
            </w:r>
            <w:r>
              <w:rPr>
                <w:rStyle w:val="690"/>
              </w:rPr>
            </w:r>
            <w:r>
              <w:tab/>
            </w:r>
            <w:r>
              <w:fldChar w:fldCharType="begin"/>
              <w:instrText xml:space="preserve">PAGEREF _Toc34 \h</w:instrText>
              <w:fldChar w:fldCharType="separate"/>
              <w:t xml:space="preserve">24</w:t>
              <w:fldChar w:fldCharType="end"/>
            </w:r>
          </w:hyperlink>
          <w:r/>
        </w:p>
        <w:p>
          <w:pPr>
            <w:pStyle w:val="180"/>
            <w:tabs>
              <w:tab w:val="right" w:pos="9354" w:leader="dot"/>
            </w:tabs>
          </w:pPr>
          <w:hyperlink w:tooltip="#_Toc35" w:anchor="_Toc35" w:history="1">
            <w:r>
              <w:rPr>
                <w:rStyle w:val="690"/>
              </w:rPr>
            </w:r>
            <w:r>
              <w:rPr>
                <w:rStyle w:val="690"/>
              </w:rPr>
              <w:t xml:space="preserve">Monocle</w:t>
            </w:r>
            <w:r>
              <w:rPr>
                <w:rStyle w:val="690"/>
              </w:rPr>
            </w:r>
            <w:r>
              <w:tab/>
            </w:r>
            <w:r>
              <w:fldChar w:fldCharType="begin"/>
              <w:instrText xml:space="preserve">PAGEREF _Toc35 \h</w:instrText>
              <w:fldChar w:fldCharType="separate"/>
              <w:t xml:space="preserve">26</w:t>
              <w:fldChar w:fldCharType="end"/>
            </w:r>
          </w:hyperlink>
          <w:r/>
        </w:p>
        <w:p>
          <w:pPr>
            <w:pStyle w:val="179"/>
            <w:tabs>
              <w:tab w:val="right" w:pos="9354" w:leader="dot"/>
            </w:tabs>
          </w:pPr>
          <w:hyperlink w:tooltip="#_Toc36" w:anchor="_Toc36" w:history="1">
            <w:r>
              <w:rPr>
                <w:rStyle w:val="690"/>
              </w:rPr>
            </w:r>
            <w:r>
              <w:rPr>
                <w:rStyle w:val="690"/>
              </w:rPr>
              <w:t xml:space="preserve">Research Methodology</w:t>
            </w:r>
            <w:r>
              <w:rPr>
                <w:rStyle w:val="690"/>
              </w:rPr>
            </w:r>
            <w:r>
              <w:tab/>
            </w:r>
            <w:r>
              <w:fldChar w:fldCharType="begin"/>
              <w:instrText xml:space="preserve">PAGEREF _Toc36 \h</w:instrText>
              <w:fldChar w:fldCharType="separate"/>
              <w:t xml:space="preserve">28</w:t>
              <w:fldChar w:fldCharType="end"/>
            </w:r>
          </w:hyperlink>
          <w:r/>
        </w:p>
        <w:p>
          <w:pPr>
            <w:pStyle w:val="180"/>
            <w:tabs>
              <w:tab w:val="right" w:pos="9354" w:leader="dot"/>
            </w:tabs>
          </w:pPr>
          <w:hyperlink w:tooltip="#_Toc37" w:anchor="_Toc37" w:history="1">
            <w:r>
              <w:rPr>
                <w:rStyle w:val="690"/>
              </w:rPr>
            </w:r>
            <w:r>
              <w:rPr>
                <w:rStyle w:val="690"/>
              </w:rPr>
              <w:t xml:space="preserve">Design logical structure of subsets &amp; their storage</w:t>
            </w:r>
            <w:r>
              <w:rPr>
                <w:rStyle w:val="690"/>
              </w:rPr>
            </w:r>
            <w:r>
              <w:tab/>
            </w:r>
            <w:r>
              <w:fldChar w:fldCharType="begin"/>
              <w:instrText xml:space="preserve">PAGEREF _Toc37 \h</w:instrText>
              <w:fldChar w:fldCharType="separate"/>
              <w:t xml:space="preserve">29</w:t>
              <w:fldChar w:fldCharType="end"/>
            </w:r>
          </w:hyperlink>
          <w:r/>
        </w:p>
        <w:p>
          <w:pPr>
            <w:pStyle w:val="180"/>
            <w:tabs>
              <w:tab w:val="right" w:pos="9354" w:leader="dot"/>
            </w:tabs>
          </w:pPr>
          <w:hyperlink w:tooltip="#_Toc38" w:anchor="_Toc38" w:history="1">
            <w:r>
              <w:rPr>
                <w:rStyle w:val="690"/>
              </w:rPr>
            </w:r>
            <w:r>
              <w:rPr>
                <w:rStyle w:val="690"/>
              </w:rPr>
              <w:t xml:space="preserve">Identify &amp; handle data redundancy issues in the design</w:t>
            </w:r>
            <w:r>
              <w:rPr>
                <w:rStyle w:val="690"/>
              </w:rPr>
            </w:r>
            <w:r>
              <w:tab/>
            </w:r>
            <w:r>
              <w:fldChar w:fldCharType="begin"/>
              <w:instrText xml:space="preserve">PAGEREF _Toc38 \h</w:instrText>
              <w:fldChar w:fldCharType="separate"/>
              <w:t xml:space="preserve">31</w:t>
              <w:fldChar w:fldCharType="end"/>
            </w:r>
          </w:hyperlink>
          <w:r/>
        </w:p>
        <w:p>
          <w:pPr>
            <w:pStyle w:val="180"/>
            <w:tabs>
              <w:tab w:val="right" w:pos="9354" w:leader="dot"/>
            </w:tabs>
          </w:pPr>
          <w:hyperlink w:tooltip="#_Toc39" w:anchor="_Toc39" w:history="1">
            <w:r>
              <w:rPr>
                <w:rStyle w:val="690"/>
              </w:rPr>
            </w:r>
            <w:r>
              <w:rPr>
                <w:rStyle w:val="690"/>
              </w:rPr>
              <w:t xml:space="preserve">Integration of existing Experiment classes</w:t>
            </w:r>
            <w:r>
              <w:rPr>
                <w:rStyle w:val="690"/>
              </w:rPr>
            </w:r>
            <w:r>
              <w:tab/>
            </w:r>
            <w:r>
              <w:fldChar w:fldCharType="begin"/>
              <w:instrText xml:space="preserve">PAGEREF _Toc39 \h</w:instrText>
              <w:fldChar w:fldCharType="separate"/>
              <w:t xml:space="preserve">31</w:t>
              <w:fldChar w:fldCharType="end"/>
            </w:r>
          </w:hyperlink>
          <w:r/>
        </w:p>
        <w:p>
          <w:pPr>
            <w:pStyle w:val="180"/>
            <w:tabs>
              <w:tab w:val="right" w:pos="9354" w:leader="dot"/>
            </w:tabs>
          </w:pPr>
          <w:hyperlink w:tooltip="#_Toc40" w:anchor="_Toc40" w:history="1">
            <w:r>
              <w:rPr>
                <w:rStyle w:val="690"/>
              </w:rPr>
            </w:r>
            <w:r>
              <w:rPr>
                <w:rStyle w:val="690"/>
              </w:rPr>
              <w:t xml:space="preserve">Implement new classes with subset support</w:t>
            </w:r>
            <w:r>
              <w:rPr>
                <w:rStyle w:val="690"/>
              </w:rPr>
            </w:r>
            <w:r>
              <w:tab/>
            </w:r>
            <w:r>
              <w:fldChar w:fldCharType="begin"/>
              <w:instrText xml:space="preserve">PAGEREF _Toc40 \h</w:instrText>
              <w:fldChar w:fldCharType="separate"/>
              <w:t xml:space="preserve">32</w:t>
              <w:fldChar w:fldCharType="end"/>
            </w:r>
          </w:hyperlink>
          <w:r/>
        </w:p>
        <w:p>
          <w:pPr>
            <w:pStyle w:val="181"/>
            <w:tabs>
              <w:tab w:val="right" w:pos="9354" w:leader="dot"/>
            </w:tabs>
          </w:pPr>
          <w:hyperlink w:tooltip="#_Toc41" w:anchor="_Toc41" w:history="1">
            <w:r>
              <w:rPr>
                <w:rStyle w:val="690"/>
              </w:rPr>
            </w:r>
            <w:r>
              <w:rPr>
                <w:rStyle w:val="690"/>
              </w:rPr>
              <w:t xml:space="preserve">Setup R environment</w:t>
            </w:r>
            <w:r>
              <w:rPr>
                <w:rStyle w:val="690"/>
              </w:rPr>
            </w:r>
            <w:r>
              <w:tab/>
            </w:r>
            <w:r>
              <w:fldChar w:fldCharType="begin"/>
              <w:instrText xml:space="preserve">PAGEREF _Toc41 \h</w:instrText>
              <w:fldChar w:fldCharType="separate"/>
              <w:t xml:space="preserve">33</w:t>
              <w:fldChar w:fldCharType="end"/>
            </w:r>
          </w:hyperlink>
          <w:r/>
        </w:p>
        <w:p>
          <w:pPr>
            <w:pStyle w:val="181"/>
            <w:tabs>
              <w:tab w:val="right" w:pos="9354" w:leader="dot"/>
            </w:tabs>
          </w:pPr>
          <w:hyperlink w:tooltip="#_Toc42" w:anchor="_Toc42" w:history="1">
            <w:r>
              <w:rPr>
                <w:rStyle w:val="690"/>
              </w:rPr>
            </w:r>
            <w:r>
              <w:rPr>
                <w:rStyle w:val="690"/>
              </w:rPr>
              <w:t xml:space="preserve">Implement Constructor</w:t>
            </w:r>
            <w:r>
              <w:rPr>
                <w:rStyle w:val="690"/>
              </w:rPr>
            </w:r>
            <w:r>
              <w:tab/>
            </w:r>
            <w:r>
              <w:fldChar w:fldCharType="begin"/>
              <w:instrText xml:space="preserve">PAGEREF _Toc42 \h</w:instrText>
              <w:fldChar w:fldCharType="separate"/>
              <w:t xml:space="preserve">34</w:t>
              <w:fldChar w:fldCharType="end"/>
            </w:r>
          </w:hyperlink>
          <w:r/>
        </w:p>
        <w:p>
          <w:pPr>
            <w:pStyle w:val="181"/>
            <w:tabs>
              <w:tab w:val="right" w:pos="9354" w:leader="dot"/>
            </w:tabs>
          </w:pPr>
          <w:hyperlink w:tooltip="#_Toc43" w:anchor="_Toc43" w:history="1">
            <w:r>
              <w:rPr>
                <w:rStyle w:val="690"/>
              </w:rPr>
            </w:r>
            <w:r>
              <w:rPr>
                <w:rStyle w:val="690"/>
              </w:rPr>
              <w:t xml:space="preserve">Internal class AssaySubset</w:t>
            </w:r>
            <w:r>
              <w:rPr>
                <w:rStyle w:val="690"/>
              </w:rPr>
            </w:r>
            <w:r>
              <w:tab/>
            </w:r>
            <w:r>
              <w:fldChar w:fldCharType="begin"/>
              <w:instrText xml:space="preserve">PAGEREF _Toc43 \h</w:instrText>
              <w:fldChar w:fldCharType="separate"/>
              <w:t xml:space="preserve">35</w:t>
              <w:fldChar w:fldCharType="end"/>
            </w:r>
          </w:hyperlink>
          <w:r/>
        </w:p>
        <w:p>
          <w:pPr>
            <w:pStyle w:val="180"/>
            <w:tabs>
              <w:tab w:val="right" w:pos="9354" w:leader="dot"/>
            </w:tabs>
          </w:pPr>
          <w:hyperlink w:tooltip="#_Toc44" w:anchor="_Toc44" w:history="1">
            <w:r>
              <w:rPr>
                <w:rStyle w:val="690"/>
              </w:rPr>
            </w:r>
            <w:r>
              <w:rPr>
                <w:rStyle w:val="690"/>
              </w:rPr>
              <w:t xml:space="preserve">Implement new methods for creation &amp; manipulation of subsets</w:t>
            </w:r>
            <w:r>
              <w:rPr>
                <w:rStyle w:val="690"/>
              </w:rPr>
            </w:r>
            <w:r>
              <w:tab/>
            </w:r>
            <w:r>
              <w:fldChar w:fldCharType="begin"/>
              <w:instrText xml:space="preserve">PAGEREF _Toc44 \h</w:instrText>
              <w:fldChar w:fldCharType="separate"/>
              <w:t xml:space="preserve">36</w:t>
              <w:fldChar w:fldCharType="end"/>
            </w:r>
          </w:hyperlink>
          <w:r/>
        </w:p>
        <w:p>
          <w:pPr>
            <w:pStyle w:val="180"/>
            <w:tabs>
              <w:tab w:val="right" w:pos="9354" w:leader="dot"/>
            </w:tabs>
          </w:pPr>
          <w:hyperlink w:tooltip="#_Toc45" w:anchor="_Toc45" w:history="1">
            <w:r>
              <w:rPr>
                <w:rStyle w:val="690"/>
              </w:rPr>
            </w:r>
            <w:r>
              <w:rPr>
                <w:rStyle w:val="690"/>
              </w:rPr>
              <w:t xml:space="preserve">Override existing methods by adding subset support to them</w:t>
            </w:r>
            <w:r>
              <w:rPr>
                <w:rStyle w:val="690"/>
              </w:rPr>
            </w:r>
            <w:r>
              <w:tab/>
            </w:r>
            <w:r>
              <w:fldChar w:fldCharType="begin"/>
              <w:instrText xml:space="preserve">PAGEREF _Toc45 \h</w:instrText>
              <w:fldChar w:fldCharType="separate"/>
              <w:t xml:space="preserve">37</w:t>
              <w:fldChar w:fldCharType="end"/>
            </w:r>
          </w:hyperlink>
          <w:r/>
        </w:p>
        <w:p>
          <w:pPr>
            <w:pStyle w:val="180"/>
            <w:tabs>
              <w:tab w:val="right" w:pos="9354" w:leader="dot"/>
            </w:tabs>
          </w:pPr>
          <w:hyperlink w:tooltip="#_Toc46" w:anchor="_Toc46" w:history="1">
            <w:r>
              <w:rPr>
                <w:rStyle w:val="690"/>
              </w:rPr>
            </w:r>
            <w:r>
              <w:rPr>
                <w:rStyle w:val="690"/>
              </w:rPr>
              <w:t xml:space="preserve">Create documentation &amp; add unit tests</w:t>
            </w:r>
            <w:r>
              <w:rPr>
                <w:rStyle w:val="690"/>
              </w:rPr>
            </w:r>
            <w:r>
              <w:tab/>
            </w:r>
            <w:r>
              <w:fldChar w:fldCharType="begin"/>
              <w:instrText xml:space="preserve">PAGEREF _Toc46 \h</w:instrText>
              <w:fldChar w:fldCharType="separate"/>
              <w:t xml:space="preserve">40</w:t>
              <w:fldChar w:fldCharType="end"/>
            </w:r>
          </w:hyperlink>
          <w:r/>
        </w:p>
        <w:p>
          <w:pPr>
            <w:pStyle w:val="181"/>
            <w:tabs>
              <w:tab w:val="right" w:pos="9354" w:leader="dot"/>
            </w:tabs>
          </w:pPr>
          <w:hyperlink w:tooltip="#_Toc47" w:anchor="_Toc47" w:history="1">
            <w:r>
              <w:rPr>
                <w:rStyle w:val="690"/>
              </w:rPr>
            </w:r>
            <w:r>
              <w:rPr>
                <w:rStyle w:val="690"/>
              </w:rPr>
              <w:t xml:space="preserve">Document package</w:t>
            </w:r>
            <w:r>
              <w:rPr>
                <w:rStyle w:val="690"/>
              </w:rPr>
            </w:r>
            <w:r>
              <w:tab/>
            </w:r>
            <w:r>
              <w:fldChar w:fldCharType="begin"/>
              <w:instrText xml:space="preserve">PAGEREF _Toc47 \h</w:instrText>
              <w:fldChar w:fldCharType="separate"/>
              <w:t xml:space="preserve">40</w:t>
              <w:fldChar w:fldCharType="end"/>
            </w:r>
          </w:hyperlink>
          <w:r/>
        </w:p>
        <w:p>
          <w:pPr>
            <w:pStyle w:val="181"/>
            <w:tabs>
              <w:tab w:val="right" w:pos="9354" w:leader="dot"/>
            </w:tabs>
          </w:pPr>
          <w:hyperlink w:tooltip="#_Toc48" w:anchor="_Toc48" w:history="1">
            <w:r>
              <w:rPr>
                <w:rStyle w:val="690"/>
              </w:rPr>
            </w:r>
            <w:r>
              <w:rPr>
                <w:rStyle w:val="690"/>
              </w:rPr>
              <w:t xml:space="preserve">Test package</w:t>
            </w:r>
            <w:r>
              <w:rPr>
                <w:rStyle w:val="690"/>
              </w:rPr>
            </w:r>
            <w:r>
              <w:tab/>
            </w:r>
            <w:r>
              <w:fldChar w:fldCharType="begin"/>
              <w:instrText xml:space="preserve">PAGEREF _Toc48 \h</w:instrText>
              <w:fldChar w:fldCharType="separate"/>
              <w:t xml:space="preserve">40</w:t>
              <w:fldChar w:fldCharType="end"/>
            </w:r>
          </w:hyperlink>
          <w:r/>
        </w:p>
        <w:p>
          <w:pPr>
            <w:pStyle w:val="180"/>
            <w:tabs>
              <w:tab w:val="right" w:pos="9354" w:leader="dot"/>
            </w:tabs>
          </w:pPr>
          <w:hyperlink w:tooltip="#_Toc49" w:anchor="_Toc49" w:history="1">
            <w:r>
              <w:rPr>
                <w:rStyle w:val="690"/>
              </w:rPr>
            </w:r>
            <w:r>
              <w:rPr>
                <w:rStyle w:val="690"/>
              </w:rPr>
              <w:t xml:space="preserve">Validate package</w:t>
            </w:r>
            <w:r>
              <w:rPr>
                <w:rStyle w:val="690"/>
              </w:rPr>
            </w:r>
            <w:r>
              <w:tab/>
            </w:r>
            <w:r>
              <w:fldChar w:fldCharType="begin"/>
              <w:instrText xml:space="preserve">PAGEREF _Toc49 \h</w:instrText>
              <w:fldChar w:fldCharType="separate"/>
              <w:t xml:space="preserve">40</w:t>
              <w:fldChar w:fldCharType="end"/>
            </w:r>
          </w:hyperlink>
          <w:r/>
        </w:p>
        <w:p>
          <w:pPr>
            <w:pStyle w:val="180"/>
            <w:tabs>
              <w:tab w:val="right" w:pos="9354" w:leader="dot"/>
            </w:tabs>
          </w:pPr>
          <w:hyperlink w:tooltip="#_Toc50" w:anchor="_Toc50" w:history="1">
            <w:r>
              <w:rPr>
                <w:rStyle w:val="690"/>
              </w:rPr>
            </w:r>
            <w:r>
              <w:rPr>
                <w:rStyle w:val="690"/>
              </w:rPr>
              <w:t xml:space="preserve">Performance comparison with existing Experiment classes</w:t>
            </w:r>
            <w:r>
              <w:rPr>
                <w:rStyle w:val="690"/>
              </w:rPr>
            </w:r>
            <w:r>
              <w:tab/>
            </w:r>
            <w:r>
              <w:fldChar w:fldCharType="begin"/>
              <w:instrText xml:space="preserve">PAGEREF _Toc50 \h</w:instrText>
              <w:fldChar w:fldCharType="separate"/>
              <w:t xml:space="preserve">41</w:t>
              <w:fldChar w:fldCharType="end"/>
            </w:r>
          </w:hyperlink>
          <w:r/>
        </w:p>
        <w:p>
          <w:pPr>
            <w:pStyle w:val="179"/>
            <w:tabs>
              <w:tab w:val="right" w:pos="9354" w:leader="dot"/>
            </w:tabs>
          </w:pPr>
          <w:hyperlink w:tooltip="#_Toc51" w:anchor="_Toc51" w:history="1">
            <w:r>
              <w:rPr>
                <w:rStyle w:val="690"/>
              </w:rPr>
            </w:r>
            <w:r>
              <w:rPr>
                <w:rStyle w:val="690"/>
              </w:rPr>
              <w:t xml:space="preserve">Results &amp; Discussion</w:t>
            </w:r>
            <w:r>
              <w:rPr>
                <w:rStyle w:val="690"/>
              </w:rPr>
            </w:r>
            <w:r>
              <w:tab/>
            </w:r>
            <w:r>
              <w:fldChar w:fldCharType="begin"/>
              <w:instrText xml:space="preserve">PAGEREF _Toc51 \h</w:instrText>
              <w:fldChar w:fldCharType="separate"/>
              <w:t xml:space="preserve">41</w:t>
              <w:fldChar w:fldCharType="end"/>
            </w:r>
          </w:hyperlink>
          <w:r/>
        </w:p>
        <w:p>
          <w:pPr>
            <w:pStyle w:val="180"/>
            <w:tabs>
              <w:tab w:val="right" w:pos="9354" w:leader="dot"/>
            </w:tabs>
          </w:pPr>
          <w:hyperlink w:tooltip="#_Toc52" w:anchor="_Toc52" w:history="1">
            <w:r>
              <w:rPr>
                <w:rStyle w:val="690"/>
              </w:rPr>
            </w:r>
            <w:r>
              <w:rPr>
                <w:rStyle w:val="690"/>
              </w:rPr>
              <w:t xml:space="preserve">Implemented Methods</w:t>
            </w:r>
            <w:r>
              <w:rPr>
                <w:rStyle w:val="690"/>
              </w:rPr>
            </w:r>
            <w:r>
              <w:tab/>
            </w:r>
            <w:r>
              <w:fldChar w:fldCharType="begin"/>
              <w:instrText xml:space="preserve">PAGEREF _Toc52 \h</w:instrText>
              <w:fldChar w:fldCharType="separate"/>
              <w:t xml:space="preserve">41</w:t>
              <w:fldChar w:fldCharType="end"/>
            </w:r>
          </w:hyperlink>
          <w:r/>
        </w:p>
        <w:p>
          <w:pPr>
            <w:pStyle w:val="180"/>
            <w:tabs>
              <w:tab w:val="right" w:pos="9354" w:leader="dot"/>
            </w:tabs>
          </w:pPr>
          <w:hyperlink w:tooltip="#_Toc53" w:anchor="_Toc53" w:history="1">
            <w:r>
              <w:rPr>
                <w:rStyle w:val="690"/>
              </w:rPr>
            </w:r>
            <w:r>
              <w:rPr>
                <w:rStyle w:val="690"/>
              </w:rPr>
              <w:t xml:space="preserve">Sample Analysis Workflow</w:t>
            </w:r>
            <w:r>
              <w:rPr>
                <w:rStyle w:val="690"/>
              </w:rPr>
            </w:r>
            <w:r>
              <w:tab/>
            </w:r>
            <w:r>
              <w:fldChar w:fldCharType="begin"/>
              <w:instrText xml:space="preserve">PAGEREF _Toc53 \h</w:instrText>
              <w:fldChar w:fldCharType="separate"/>
              <w:t xml:space="preserve">42</w:t>
              <w:fldChar w:fldCharType="end"/>
            </w:r>
          </w:hyperlink>
          <w:r/>
        </w:p>
        <w:p>
          <w:pPr>
            <w:pStyle w:val="180"/>
            <w:tabs>
              <w:tab w:val="right" w:pos="9354" w:leader="dot"/>
            </w:tabs>
          </w:pPr>
          <w:hyperlink w:tooltip="#_Toc54" w:anchor="_Toc54" w:history="1">
            <w:r>
              <w:rPr>
                <w:rStyle w:val="690"/>
              </w:rPr>
            </w:r>
            <w:r>
              <w:rPr>
                <w:rStyle w:val="690"/>
              </w:rPr>
              <w:t xml:space="preserve">Supported Classes</w:t>
            </w:r>
            <w:r>
              <w:rPr>
                <w:rStyle w:val="690"/>
              </w:rPr>
            </w:r>
            <w:r>
              <w:tab/>
            </w:r>
            <w:r>
              <w:fldChar w:fldCharType="begin"/>
              <w:instrText xml:space="preserve">PAGEREF _Toc54 \h</w:instrText>
              <w:fldChar w:fldCharType="separate"/>
              <w:t xml:space="preserve">43</w:t>
              <w:fldChar w:fldCharType="end"/>
            </w:r>
          </w:hyperlink>
          <w:r/>
        </w:p>
        <w:p>
          <w:pPr>
            <w:pStyle w:val="180"/>
            <w:tabs>
              <w:tab w:val="right" w:pos="9354" w:leader="dot"/>
            </w:tabs>
          </w:pPr>
          <w:hyperlink w:tooltip="#_Toc55" w:anchor="_Toc55" w:history="1">
            <w:r>
              <w:rPr>
                <w:rStyle w:val="690"/>
              </w:rPr>
            </w:r>
            <w:r>
              <w:rPr>
                <w:rStyle w:val="690"/>
              </w:rPr>
              <w:t xml:space="preserve">Memory Savings</w:t>
            </w:r>
            <w:r>
              <w:rPr>
                <w:rStyle w:val="690"/>
              </w:rPr>
            </w:r>
            <w:r>
              <w:tab/>
            </w:r>
            <w:r>
              <w:fldChar w:fldCharType="begin"/>
              <w:instrText xml:space="preserve">PAGEREF _Toc55 \h</w:instrText>
              <w:fldChar w:fldCharType="separate"/>
              <w:t xml:space="preserve">43</w:t>
              <w:fldChar w:fldCharType="end"/>
            </w:r>
          </w:hyperlink>
          <w:r/>
        </w:p>
        <w:p>
          <w:pPr>
            <w:pStyle w:val="181"/>
            <w:tabs>
              <w:tab w:val="right" w:pos="9354" w:leader="dot"/>
            </w:tabs>
          </w:pPr>
          <w:hyperlink w:tooltip="#_Toc56" w:anchor="_Toc56" w:history="1">
            <w:r>
              <w:rPr>
                <w:rStyle w:val="690"/>
              </w:rPr>
            </w:r>
            <w:r>
              <w:rPr>
                <w:rStyle w:val="690"/>
              </w:rPr>
              <w:t xml:space="preserve">Selected Datasets for Benchmarking</w:t>
            </w:r>
            <w:r>
              <w:rPr>
                <w:rStyle w:val="690"/>
              </w:rPr>
            </w:r>
            <w:r>
              <w:tab/>
            </w:r>
            <w:r>
              <w:fldChar w:fldCharType="begin"/>
              <w:instrText xml:space="preserve">PAGEREF _Toc56 \h</w:instrText>
              <w:fldChar w:fldCharType="separate"/>
              <w:t xml:space="preserve">43</w:t>
              <w:fldChar w:fldCharType="end"/>
            </w:r>
          </w:hyperlink>
          <w:r/>
        </w:p>
        <w:p>
          <w:pPr>
            <w:pStyle w:val="181"/>
            <w:tabs>
              <w:tab w:val="right" w:pos="9354" w:leader="dot"/>
            </w:tabs>
          </w:pPr>
          <w:hyperlink w:tooltip="#_Toc57" w:anchor="_Toc57" w:history="1">
            <w:r>
              <w:rPr>
                <w:rStyle w:val="690"/>
              </w:rPr>
            </w:r>
            <w:r>
              <w:rPr>
                <w:rStyle w:val="690"/>
              </w:rPr>
              <w:t xml:space="preserve">Approach 1: dgCMatrix</w:t>
            </w:r>
            <w:r>
              <w:rPr>
                <w:rStyle w:val="690"/>
              </w:rPr>
            </w:r>
            <w:r>
              <w:tab/>
            </w:r>
            <w:r>
              <w:fldChar w:fldCharType="begin"/>
              <w:instrText xml:space="preserve">PAGEREF _Toc57 \h</w:instrText>
              <w:fldChar w:fldCharType="separate"/>
              <w:t xml:space="preserve">45</w:t>
              <w:fldChar w:fldCharType="end"/>
            </w:r>
          </w:hyperlink>
          <w:r/>
        </w:p>
        <w:p>
          <w:pPr>
            <w:pStyle w:val="181"/>
            <w:tabs>
              <w:tab w:val="right" w:pos="9354" w:leader="dot"/>
            </w:tabs>
          </w:pPr>
          <w:hyperlink w:tooltip="#_Toc58" w:anchor="_Toc58" w:history="1">
            <w:r>
              <w:rPr>
                <w:rStyle w:val="690"/>
              </w:rPr>
            </w:r>
            <w:r>
              <w:rPr>
                <w:rStyle w:val="690"/>
              </w:rPr>
              <w:t xml:space="preserve">Approach 2: Matrix</w:t>
            </w:r>
            <w:r>
              <w:rPr>
                <w:rStyle w:val="690"/>
              </w:rPr>
            </w:r>
            <w:r>
              <w:tab/>
            </w:r>
            <w:r>
              <w:fldChar w:fldCharType="begin"/>
              <w:instrText xml:space="preserve">PAGEREF _Toc58 \h</w:instrText>
              <w:fldChar w:fldCharType="separate"/>
              <w:t xml:space="preserve">46</w:t>
              <w:fldChar w:fldCharType="end"/>
            </w:r>
          </w:hyperlink>
          <w:r/>
        </w:p>
        <w:p>
          <w:pPr>
            <w:pStyle w:val="181"/>
            <w:tabs>
              <w:tab w:val="right" w:pos="9354" w:leader="dot"/>
            </w:tabs>
          </w:pPr>
          <w:hyperlink w:tooltip="#_Toc59" w:anchor="_Toc59" w:history="1">
            <w:r>
              <w:rPr>
                <w:rStyle w:val="690"/>
              </w:rPr>
            </w:r>
            <w:r>
              <w:rPr>
                <w:rStyle w:val="690"/>
              </w:rPr>
              <w:t xml:space="preserve">Benchmarking Results</w:t>
            </w:r>
            <w:r>
              <w:rPr>
                <w:rStyle w:val="690"/>
              </w:rPr>
            </w:r>
            <w:r>
              <w:tab/>
            </w:r>
            <w:r>
              <w:fldChar w:fldCharType="begin"/>
              <w:instrText xml:space="preserve">PAGEREF _Toc59 \h</w:instrText>
              <w:fldChar w:fldCharType="separate"/>
              <w:t xml:space="preserve">47</w:t>
              <w:fldChar w:fldCharType="end"/>
            </w:r>
          </w:hyperlink>
          <w:r/>
        </w:p>
        <w:p>
          <w:pPr>
            <w:pStyle w:val="180"/>
            <w:tabs>
              <w:tab w:val="right" w:pos="9354" w:leader="dot"/>
            </w:tabs>
          </w:pPr>
          <w:hyperlink w:tooltip="#_Toc60" w:anchor="_Toc60" w:history="1">
            <w:r>
              <w:rPr>
                <w:rStyle w:val="690"/>
              </w:rPr>
            </w:r>
            <w:r>
              <w:rPr>
                <w:rStyle w:val="690"/>
              </w:rPr>
              <w:t xml:space="preserve">Provenance Tracking</w:t>
            </w:r>
            <w:r>
              <w:rPr>
                <w:rStyle w:val="690"/>
              </w:rPr>
            </w:r>
            <w:r>
              <w:tab/>
            </w:r>
            <w:r>
              <w:fldChar w:fldCharType="begin"/>
              <w:instrText xml:space="preserve">PAGEREF _Toc60 \h</w:instrText>
              <w:fldChar w:fldCharType="separate"/>
              <w:t xml:space="preserve">48</w:t>
              <w:fldChar w:fldCharType="end"/>
            </w:r>
          </w:hyperlink>
          <w:r/>
        </w:p>
        <w:p>
          <w:pPr>
            <w:pStyle w:val="180"/>
            <w:tabs>
              <w:tab w:val="right" w:pos="9354" w:leader="dot"/>
            </w:tabs>
          </w:pPr>
          <w:hyperlink w:tooltip="#_Toc61" w:anchor="_Toc61" w:history="1">
            <w:r>
              <w:rPr>
                <w:rStyle w:val="690"/>
              </w:rPr>
            </w:r>
            <w:r>
              <w:rPr>
                <w:rStyle w:val="690"/>
              </w:rPr>
              <w:t xml:space="preserve">Validation</w:t>
            </w:r>
            <w:r>
              <w:rPr>
                <w:rStyle w:val="690"/>
              </w:rPr>
            </w:r>
            <w:r>
              <w:tab/>
            </w:r>
            <w:r>
              <w:fldChar w:fldCharType="begin"/>
              <w:instrText xml:space="preserve">PAGEREF _Toc61 \h</w:instrText>
              <w:fldChar w:fldCharType="separate"/>
              <w:t xml:space="preserve">49</w:t>
              <w:fldChar w:fldCharType="end"/>
            </w:r>
          </w:hyperlink>
          <w:r/>
        </w:p>
        <w:p>
          <w:pPr>
            <w:pStyle w:val="179"/>
            <w:tabs>
              <w:tab w:val="right" w:pos="9354" w:leader="dot"/>
            </w:tabs>
          </w:pPr>
          <w:hyperlink w:tooltip="#_Toc62" w:anchor="_Toc62" w:history="1">
            <w:r>
              <w:rPr>
                <w:rStyle w:val="690"/>
              </w:rPr>
            </w:r>
            <w:r>
              <w:rPr>
                <w:rStyle w:val="690"/>
              </w:rPr>
              <w:t xml:space="preserve">Conclusion, limitations, future work &amp; availability</w:t>
            </w:r>
            <w:r>
              <w:rPr>
                <w:rStyle w:val="690"/>
              </w:rPr>
            </w:r>
            <w:r>
              <w:tab/>
            </w:r>
            <w:r>
              <w:fldChar w:fldCharType="begin"/>
              <w:instrText xml:space="preserve">PAGEREF _Toc62 \h</w:instrText>
              <w:fldChar w:fldCharType="separate"/>
              <w:t xml:space="preserve">52</w:t>
              <w:fldChar w:fldCharType="end"/>
            </w:r>
          </w:hyperlink>
          <w:r/>
        </w:p>
        <w:p>
          <w:pPr>
            <w:pStyle w:val="180"/>
            <w:tabs>
              <w:tab w:val="right" w:pos="9354" w:leader="dot"/>
            </w:tabs>
          </w:pPr>
          <w:hyperlink w:tooltip="#_Toc63" w:anchor="_Toc63" w:history="1">
            <w:r>
              <w:rPr>
                <w:rStyle w:val="690"/>
              </w:rPr>
            </w:r>
            <w:r>
              <w:rPr>
                <w:rStyle w:val="690"/>
              </w:rPr>
              <w:t xml:space="preserve">Conclusion</w:t>
            </w:r>
            <w:r>
              <w:rPr>
                <w:rStyle w:val="690"/>
              </w:rPr>
            </w:r>
            <w:r>
              <w:tab/>
            </w:r>
            <w:r>
              <w:fldChar w:fldCharType="begin"/>
              <w:instrText xml:space="preserve">PAGEREF _Toc63 \h</w:instrText>
              <w:fldChar w:fldCharType="separate"/>
              <w:t xml:space="preserve">52</w:t>
              <w:fldChar w:fldCharType="end"/>
            </w:r>
          </w:hyperlink>
          <w:r/>
        </w:p>
        <w:p>
          <w:pPr>
            <w:pStyle w:val="180"/>
            <w:tabs>
              <w:tab w:val="right" w:pos="9354" w:leader="dot"/>
            </w:tabs>
          </w:pPr>
          <w:hyperlink w:tooltip="#_Toc64" w:anchor="_Toc64" w:history="1">
            <w:r>
              <w:rPr>
                <w:rStyle w:val="690"/>
              </w:rPr>
            </w:r>
            <w:r>
              <w:rPr>
                <w:rStyle w:val="690"/>
              </w:rPr>
              <w:t xml:space="preserve">Limitations</w:t>
            </w:r>
            <w:r>
              <w:rPr>
                <w:rStyle w:val="690"/>
              </w:rPr>
            </w:r>
            <w:r>
              <w:tab/>
            </w:r>
            <w:r>
              <w:fldChar w:fldCharType="begin"/>
              <w:instrText xml:space="preserve">PAGEREF _Toc64 \h</w:instrText>
              <w:fldChar w:fldCharType="separate"/>
              <w:t xml:space="preserve">52</w:t>
              <w:fldChar w:fldCharType="end"/>
            </w:r>
          </w:hyperlink>
          <w:r/>
        </w:p>
        <w:p>
          <w:pPr>
            <w:pStyle w:val="180"/>
            <w:tabs>
              <w:tab w:val="right" w:pos="9354" w:leader="dot"/>
            </w:tabs>
          </w:pPr>
          <w:hyperlink w:tooltip="#_Toc65" w:anchor="_Toc65" w:history="1">
            <w:r>
              <w:rPr>
                <w:rStyle w:val="690"/>
              </w:rPr>
            </w:r>
            <w:r>
              <w:rPr>
                <w:rStyle w:val="690"/>
              </w:rPr>
              <w:t xml:space="preserve">Future Work</w:t>
            </w:r>
            <w:r>
              <w:rPr>
                <w:rStyle w:val="690"/>
              </w:rPr>
            </w:r>
            <w:r>
              <w:tab/>
            </w:r>
            <w:r>
              <w:fldChar w:fldCharType="begin"/>
              <w:instrText xml:space="preserve">PAGEREF _Toc65 \h</w:instrText>
              <w:fldChar w:fldCharType="separate"/>
              <w:t xml:space="preserve">53</w:t>
              <w:fldChar w:fldCharType="end"/>
            </w:r>
          </w:hyperlink>
          <w:r/>
        </w:p>
        <w:p>
          <w:pPr>
            <w:pStyle w:val="180"/>
            <w:tabs>
              <w:tab w:val="right" w:pos="9354" w:leader="dot"/>
            </w:tabs>
          </w:pPr>
          <w:hyperlink w:tooltip="#_Toc66" w:anchor="_Toc66" w:history="1">
            <w:r>
              <w:rPr>
                <w:rStyle w:val="690"/>
              </w:rPr>
            </w:r>
            <w:r>
              <w:rPr>
                <w:rStyle w:val="690"/>
              </w:rPr>
              <w:t xml:space="preserve">Availability</w:t>
            </w:r>
            <w:r>
              <w:rPr>
                <w:rStyle w:val="690"/>
              </w:rPr>
            </w:r>
            <w:r>
              <w:tab/>
            </w:r>
            <w:r>
              <w:fldChar w:fldCharType="begin"/>
              <w:instrText xml:space="preserve">PAGEREF _Toc66 \h</w:instrText>
              <w:fldChar w:fldCharType="separate"/>
              <w:t xml:space="preserve">53</w:t>
              <w:fldChar w:fldCharType="end"/>
            </w:r>
          </w:hyperlink>
          <w:r/>
        </w:p>
        <w:p>
          <w:pPr>
            <w:pStyle w:val="179"/>
            <w:tabs>
              <w:tab w:val="right" w:pos="9354" w:leader="dot"/>
            </w:tabs>
          </w:pPr>
          <w:hyperlink w:tooltip="#_Toc67" w:anchor="_Toc67" w:history="1">
            <w:r>
              <w:rPr>
                <w:rStyle w:val="690"/>
              </w:rPr>
            </w:r>
            <w:r>
              <w:rPr>
                <w:rStyle w:val="690"/>
              </w:rPr>
              <w:t xml:space="preserve">References</w:t>
            </w:r>
            <w:r>
              <w:rPr>
                <w:rStyle w:val="690"/>
              </w:rPr>
            </w:r>
            <w:r>
              <w:tab/>
            </w:r>
            <w:r>
              <w:fldChar w:fldCharType="begin"/>
              <w:instrText xml:space="preserve">PAGEREF _Toc67 \h</w:instrText>
              <w:fldChar w:fldCharType="separate"/>
              <w:t xml:space="preserve">53</w:t>
              <w:fldChar w:fldCharType="end"/>
            </w:r>
          </w:hyperlink>
          <w:r/>
        </w:p>
        <w:p>
          <w:pPr>
            <w:pStyle w:val="179"/>
            <w:tabs>
              <w:tab w:val="right" w:pos="9354" w:leader="dot"/>
            </w:tabs>
          </w:pPr>
          <w:hyperlink w:tooltip="#_Toc68" w:anchor="_Toc68" w:history="1">
            <w:r>
              <w:rPr>
                <w:rStyle w:val="690"/>
              </w:rPr>
            </w:r>
            <w:r>
              <w:rPr>
                <w:rStyle w:val="690"/>
              </w:rPr>
              <w:t xml:space="preserve">Appendix</w:t>
            </w:r>
            <w:r>
              <w:rPr>
                <w:rStyle w:val="690"/>
              </w:rPr>
            </w:r>
            <w:r>
              <w:tab/>
            </w:r>
            <w:r>
              <w:fldChar w:fldCharType="begin"/>
              <w:instrText xml:space="preserve">PAGEREF _Toc68 \h</w:instrText>
              <w:fldChar w:fldCharType="separate"/>
              <w:t xml:space="preserve">56</w:t>
              <w:fldChar w:fldCharType="end"/>
            </w:r>
          </w:hyperlink>
          <w:r/>
        </w:p>
        <w:p>
          <w:pPr>
            <w:pStyle w:val="180"/>
            <w:tabs>
              <w:tab w:val="right" w:pos="9354" w:leader="dot"/>
            </w:tabs>
          </w:pPr>
          <w:hyperlink w:tooltip="#_Toc69" w:anchor="_Toc69" w:history="1">
            <w:r>
              <w:rPr>
                <w:rStyle w:val="690"/>
              </w:rPr>
            </w:r>
            <w:r>
              <w:rPr>
                <w:rStyle w:val="690"/>
              </w:rPr>
              <w:t xml:space="preserve">Appendix A</w:t>
            </w:r>
            <w:r>
              <w:rPr>
                <w:rStyle w:val="690"/>
              </w:rPr>
            </w:r>
            <w:r>
              <w:tab/>
            </w:r>
            <w:r>
              <w:fldChar w:fldCharType="begin"/>
              <w:instrText xml:space="preserve">PAGEREF _Toc69 \h</w:instrText>
              <w:fldChar w:fldCharType="separate"/>
              <w:t xml:space="preserve">56</w:t>
              <w:fldChar w:fldCharType="end"/>
            </w:r>
          </w:hyperlink>
          <w:r/>
        </w:p>
        <w:p>
          <w:pPr>
            <w:pStyle w:val="181"/>
            <w:tabs>
              <w:tab w:val="right" w:pos="9354" w:leader="dot"/>
            </w:tabs>
          </w:pPr>
          <w:hyperlink w:tooltip="#_Toc70" w:anchor="_Toc70" w:history="1">
            <w:r>
              <w:rPr>
                <w:rStyle w:val="690"/>
              </w:rPr>
            </w:r>
            <w:r>
              <w:rPr>
                <w:rStyle w:val="690"/>
              </w:rPr>
              <w:t xml:space="preserve">R Script to Run Sample Workflow for Performance Comparison</w:t>
            </w:r>
            <w:r>
              <w:rPr>
                <w:rStyle w:val="690"/>
              </w:rPr>
            </w:r>
            <w:r>
              <w:tab/>
            </w:r>
            <w:r>
              <w:fldChar w:fldCharType="begin"/>
              <w:instrText xml:space="preserve">PAGEREF _Toc70 \h</w:instrText>
              <w:fldChar w:fldCharType="separate"/>
              <w:t xml:space="preserve">56</w:t>
              <w:fldChar w:fldCharType="end"/>
            </w:r>
          </w:hyperlink>
          <w:r/>
        </w:p>
        <w:p>
          <w:pPr>
            <w:rPr>
              <w:highlight w:val="none"/>
            </w:rPr>
          </w:pPr>
          <w:r>
            <w:fldChar w:fldCharType="end"/>
          </w:r>
          <w:r>
            <w:rPr>
              <w:highlight w:val="none"/>
            </w:rPr>
          </w:r>
          <w:r>
            <w:rPr>
              <w:highlight w:val="none"/>
            </w:rPr>
          </w:r>
        </w:p>
      </w:sdtContent>
    </w:sdt>
    <w:p>
      <w:pPr>
        <w:pStyle w:val="666"/>
      </w:pPr>
      <w:r>
        <w:rPr>
          <w:highlight w:val="none"/>
        </w:rPr>
        <w:br w:type="page"/>
      </w:r>
      <w:r>
        <w:rPr>
          <w:highlight w:val="none"/>
        </w:rPr>
      </w:r>
    </w:p>
    <w:p>
      <w:pPr>
        <w:pStyle w:val="666"/>
        <w:rPr>
          <w:highlight w:val="none"/>
        </w:rPr>
      </w:pPr>
      <w:r/>
      <w:bookmarkStart w:id="205" w:name="_Toc5"/>
      <w:r>
        <w:rPr>
          <w:highlight w:val="none"/>
        </w:rPr>
        <w:t xml:space="preserve">List of Abbreviations</w:t>
      </w:r>
      <w:bookmarkEnd w:id="205"/>
      <w:r/>
      <w:r/>
    </w:p>
    <w:p>
      <w:pPr>
        <w:shd w:val="nil"/>
        <w:rPr>
          <w:highlight w:val="none"/>
        </w:rPr>
      </w:pPr>
      <w:r>
        <w:rPr>
          <w:highlight w:val="none"/>
        </w:rPr>
        <w:br w:type="page"/>
      </w:r>
      <w:r>
        <w:rPr>
          <w:highlight w:val="none"/>
        </w:rPr>
      </w:r>
    </w:p>
    <w:p>
      <w:pPr>
        <w:pStyle w:val="666"/>
        <w:rPr>
          <w:highlight w:val="none"/>
        </w:rPr>
      </w:pPr>
      <w:r/>
      <w:bookmarkStart w:id="206" w:name="_Toc6"/>
      <w:r>
        <w:rPr>
          <w:highlight w:val="none"/>
        </w:rPr>
        <w:t xml:space="preserve">List of Tables</w:t>
      </w:r>
      <w:bookmarkEnd w:id="206"/>
      <w:r/>
      <w:r/>
    </w:p>
    <w:p>
      <w:pPr>
        <w:shd w:val="nil"/>
        <w:rPr>
          <w:highlight w:val="none"/>
        </w:rPr>
      </w:pPr>
      <w:r>
        <w:rPr>
          <w:highlight w:val="none"/>
        </w:rPr>
        <w:br w:type="page"/>
      </w:r>
      <w:r>
        <w:rPr>
          <w:highlight w:val="none"/>
        </w:rPr>
      </w:r>
    </w:p>
    <w:p>
      <w:pPr>
        <w:pStyle w:val="666"/>
        <w:rPr>
          <w:highlight w:val="none"/>
        </w:rPr>
      </w:pPr>
      <w:r/>
      <w:bookmarkStart w:id="207" w:name="_Toc7"/>
      <w:r>
        <w:rPr>
          <w:highlight w:val="none"/>
        </w:rPr>
        <w:t xml:space="preserve">List of Figures</w:t>
      </w:r>
      <w:bookmarkEnd w:id="207"/>
      <w:r/>
      <w:r/>
    </w:p>
    <w:p>
      <w:pPr>
        <w:pStyle w:val="666"/>
        <w:rPr>
          <w:highlight w:val="none"/>
        </w:rPr>
      </w:pPr>
      <w:r>
        <w:rPr>
          <w:highlight w:val="none"/>
        </w:rPr>
      </w:r>
      <w:r>
        <w:rPr>
          <w:highlight w:val="none"/>
        </w:rPr>
        <w:br w:type="page"/>
      </w:r>
      <w:r>
        <w:rPr>
          <w:highlight w:val="none"/>
        </w:rPr>
      </w:r>
    </w:p>
    <w:p>
      <w:pPr>
        <w:pStyle w:val="660"/>
        <w:rPr>
          <w:highlight w:val="none"/>
        </w:rPr>
      </w:pPr>
      <w:r>
        <w:t xml:space="preserve">Development</w:t>
      </w:r>
      <w:r>
        <w:t xml:space="preserve"> </w:t>
      </w:r>
      <w:r>
        <w:t xml:space="preserve">of</w:t>
      </w:r>
      <w:r>
        <w:t xml:space="preserve"> </w:t>
      </w:r>
      <w:r>
        <w:t xml:space="preserve">a</w:t>
      </w:r>
      <w:r>
        <w:t xml:space="preserve"> </w:t>
      </w:r>
      <w:r>
        <w:t xml:space="preserve">data-container</w:t>
      </w:r>
      <w:r>
        <w:t xml:space="preserve"> </w:t>
      </w:r>
      <w:r>
        <w:t xml:space="preserve">to</w:t>
      </w:r>
      <w:r>
        <w:t xml:space="preserve"> </w:t>
      </w:r>
      <w:r>
        <w:t xml:space="preserve">efficiently</w:t>
      </w:r>
      <w:r>
        <w:t xml:space="preserve"> </w:t>
      </w:r>
      <w:r>
        <w:t xml:space="preserve">manage</w:t>
      </w:r>
      <w:r>
        <w:t xml:space="preserve"> </w:t>
      </w:r>
      <w:r>
        <w:t xml:space="preserve">subsets</w:t>
      </w:r>
      <w:r>
        <w:t xml:space="preserve"> </w:t>
      </w:r>
      <w:r>
        <w:t xml:space="preserve">of</w:t>
      </w:r>
      <w:r>
        <w:t xml:space="preserve"> </w:t>
      </w:r>
      <w:r>
        <w:t xml:space="preserve">scRNA-Seq</w:t>
      </w:r>
      <w:r>
        <w:t xml:space="preserve"> </w:t>
      </w:r>
      <w:r>
        <w:t xml:space="preserve">data</w:t>
      </w:r>
      <w:r/>
    </w:p>
    <w:p>
      <w:pPr>
        <w:pStyle w:val="661"/>
      </w:pPr>
      <w:r>
        <w:t xml:space="preserve">ExperimentSubset:</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manage</w:t>
      </w:r>
      <w:r>
        <w:t xml:space="preserve"> </w:t>
      </w:r>
      <w:r>
        <w:t xml:space="preserve">subsets</w:t>
      </w:r>
      <w:r>
        <w:t xml:space="preserve"> </w:t>
      </w:r>
      <w:r>
        <w:t xml:space="preserve">of</w:t>
      </w:r>
      <w:r>
        <w:t xml:space="preserve"> </w:t>
      </w:r>
      <w:r>
        <w:t xml:space="preserve">Bioconductor</w:t>
      </w:r>
      <w:r>
        <w:t xml:space="preserve"> </w:t>
      </w:r>
      <w:r>
        <w:t xml:space="preserve">Experiment</w:t>
      </w:r>
      <w:r>
        <w:t xml:space="preserve"> </w:t>
      </w:r>
      <w:r>
        <w:t xml:space="preserve">objects</w:t>
      </w:r>
      <w:r/>
    </w:p>
    <w:p>
      <w:pPr>
        <w:pStyle w:val="662"/>
      </w:pPr>
      <w:r>
        <w:t xml:space="preserve">Irzam</w:t>
      </w:r>
      <w:r>
        <w:t xml:space="preserve"> </w:t>
      </w:r>
      <w:r>
        <w:t xml:space="preserve">Sarfraz,</w:t>
      </w:r>
      <w:r>
        <w:t xml:space="preserve"> </w:t>
      </w:r>
      <w:r>
        <w:t xml:space="preserve">Muhammad</w:t>
      </w:r>
      <w:r>
        <w:t xml:space="preserve"> </w:t>
      </w:r>
      <w:r>
        <w:t xml:space="preserve">Asif,</w:t>
      </w:r>
      <w:r>
        <w:t xml:space="preserve"> </w:t>
      </w:r>
      <w:r>
        <w:t xml:space="preserve">Joshua</w:t>
      </w:r>
      <w:r>
        <w:t xml:space="preserve"> </w:t>
      </w:r>
      <w:r>
        <w:t xml:space="preserve">D.</w:t>
      </w:r>
      <w:r>
        <w:t xml:space="preserve"> </w:t>
      </w:r>
      <w:r>
        <w:t xml:space="preserve">Campbell</w:t>
      </w:r>
      <w:r/>
    </w:p>
    <w:p>
      <w:pPr>
        <w:pStyle w:val="663"/>
      </w:pPr>
      <w:r>
        <w:t xml:space="preserve">September</w:t>
      </w:r>
      <w:r>
        <w:t xml:space="preserve"> </w:t>
      </w:r>
      <w:r>
        <w:t xml:space="preserve">12,</w:t>
      </w:r>
      <w:r>
        <w:t xml:space="preserve"> </w:t>
      </w:r>
      <w:r>
        <w:t xml:space="preserve">2021</w:t>
      </w:r>
      <w:r/>
    </w:p>
    <w:p>
      <w:pPr>
        <w:pStyle w:val="666"/>
      </w:pPr>
      <w:r/>
      <w:bookmarkStart w:id="208" w:name="_Toc8"/>
      <w:r/>
      <w:bookmarkStart w:id="20" w:name="abstract"/>
      <w:r>
        <w:t xml:space="preserve">Abstract</w:t>
      </w:r>
      <w:r/>
      <w:bookmarkEnd w:id="208"/>
      <w:r/>
      <w:r/>
    </w:p>
    <w:p>
      <w:pPr>
        <w:pStyle w:val="658"/>
      </w:pPr>
      <w:r>
        <w:t xml:space="preserve">The Bioconductor Experiment objects such as the SummarizedExperiment or SingleCellExperiment are data containers for storing one or more matrix-like assays along with associated </w:t>
      </w:r>
      <w:r>
        <w:t xml:space="preserve">row and column metadata. These objects have been used to facilitate the storage and analysis of high-throughput genomic data generated from technologies such as single-cell RNA sequencing. One common computational task in many genomics analysis workflows i</w:t>
      </w:r>
      <w:r>
        <w:t xml:space="preserve">s to perform subsetting of the data matrix before applying down-stream analytical methods. For example, one may need to subset the columns of the assay matrix to exclude poor-quality samples or subset the rows of the matrix to select the most variable feat</w:t>
      </w:r>
      <w:r>
        <w:t xml:space="preserve">ures. Traditionally, a second object is created that contains the desired subset of assay from the original object. However, this approach is inefficient as it requires the creation of an additional object containing a copy of the original assay and leads </w:t>
      </w:r>
      <w:r>
        <w:t xml:space="preserve">to challenges with data provenance. To overcome these challenges, we proposed a data container that’s built on top of other available Experiment classes and adds additional subset support to these classes while retaining the same usage as well as the inter</w:t>
      </w:r>
      <w:r>
        <w:t xml:space="preserve">face to ensure that the users use the data-container similar to other commonly used classes. This R package called ExperimentSubset, is a data container that implements classes for efficient storage and streamlined retrieval of assays that have been subset</w:t>
      </w:r>
      <w:r>
        <w:t xml:space="preserve">ted by rows and/or columns. These classes are able to inherently provide data provenance by maintaining the relationship between the subsetted and parent assays. We demonstrate the utility of this package on a single-cell RNA-seq dataset by storing and ret</w:t>
      </w:r>
      <w:r>
        <w:t xml:space="preserve">rieving subsets at different stages of the analysis while maintaining a lower memory footprint. Overall, the ExperimentSubset data-container is a flexible container for the efficient management of subsets while providing same interface and data provenance.</w:t>
      </w:r>
      <w:bookmarkEnd w:id="20"/>
      <w:r/>
    </w:p>
    <w:p>
      <w:pPr>
        <w:pStyle w:val="666"/>
      </w:pPr>
      <w:r/>
      <w:bookmarkStart w:id="209" w:name="_Toc9"/>
      <w:r/>
      <w:bookmarkStart w:id="46" w:name="introduction"/>
      <w:r>
        <w:t xml:space="preserve">Introduction</w:t>
      </w:r>
      <w:r/>
      <w:bookmarkEnd w:id="209"/>
      <w:r/>
      <w:r/>
    </w:p>
    <w:p>
      <w:pPr>
        <w:pStyle w:val="658"/>
      </w:pPr>
      <w:r>
        <w:t xml:space="preserve">Over the past decade or so, due to the extensive availability of computational resources, computati</w:t>
      </w:r>
      <w:r>
        <w:t xml:space="preserve">onal approaches have contributed significantly to offer efficient and effective solutions to intricate research questions in domains that do not directly offshoot from traditional computer science paradigm. Computational Biology, Computational Biomedicine </w:t>
      </w:r>
      <w:r>
        <w:t xml:space="preserve">and Bioinformatics are some of the recently developed domains that have emerged directly from the amalgamation of Biology, Computer Science and Statistics due to a strenuous need of solving complex biological problems in the era of big data and informatics</w:t>
      </w:r>
      <w:r>
        <w:t xml:space="preserve"> </w:t>
      </w:r>
      <w:r>
        <w:t xml:space="preserve">[1]</w:t>
      </w:r>
      <w:r>
        <w:t xml:space="preserve">[2]</w:t>
      </w:r>
      <w:r>
        <w:t xml:space="preserve">.</w:t>
      </w:r>
      <w:r/>
    </w:p>
    <w:p>
      <w:pPr>
        <w:pStyle w:val="657"/>
      </w:pPr>
      <w:r>
        <w:t xml:space="preserve">Some of the grand challenges that been worked on extensively over the past few decades include genomic sequence analysis</w:t>
      </w:r>
      <w:r>
        <w:t xml:space="preserve"> </w:t>
      </w:r>
      <w:r>
        <w:t xml:space="preserve">[3]</w:t>
      </w:r>
      <w:r>
        <w:t xml:space="preserve">, homology search</w:t>
      </w:r>
      <w:r>
        <w:t xml:space="preserve"> </w:t>
      </w:r>
      <w:r>
        <w:t xml:space="preserve">[4]</w:t>
      </w:r>
      <w:r>
        <w:t xml:space="preserve"> </w:t>
      </w:r>
      <w:r>
        <w:t xml:space="preserve">and protein structure prediction</w:t>
      </w:r>
      <w:r>
        <w:t xml:space="preserve"> </w:t>
      </w:r>
      <w:r>
        <w:t xml:space="preserve">[5]</w:t>
      </w:r>
      <w:r>
        <w:t xml:space="preserve">. Overall, end goal of all of these challenges is to infer a better understanding of the underlying biological complexity and to somehow use this understanding to combat diseases that were previously incurable or untreatable.</w:t>
      </w:r>
      <w:r/>
    </w:p>
    <w:p>
      <w:pPr>
        <w:pStyle w:val="657"/>
      </w:pPr>
      <w:r>
        <w:t xml:space="preserve">At the </w:t>
      </w:r>
      <w:r>
        <w:t xml:space="preserve">same time, the availability and the use of computational resources as well as the data have increased by manifold over the last decade and therefore this provides an excellent opportunity to use these resources to solve the above-mentioned complex problems</w:t>
      </w:r>
      <w:r>
        <w:t xml:space="preserve"> </w:t>
      </w:r>
      <w:r>
        <w:t xml:space="preserve">[6]</w:t>
      </w:r>
      <w:r>
        <w:t xml:space="preserve">. Genomic sequence analysis</w:t>
      </w:r>
      <w:r>
        <w:t xml:space="preserve"> </w:t>
      </w:r>
      <w:r>
        <w:t xml:space="preserve">[3]</w:t>
      </w:r>
      <w:r>
        <w:t xml:space="preserve"> </w:t>
      </w:r>
      <w:r>
        <w:t xml:space="preserve">is one the problems that is of particular interest to the researchers around the world due to its explanatory power of various diseases, their prognosis and outcomes.</w:t>
      </w:r>
      <w:r/>
    </w:p>
    <w:p>
      <w:pPr>
        <w:pStyle w:val="657"/>
      </w:pPr>
      <w:r>
        <w:t xml:space="preserve">Genomic sequence extraction technologies have improved drastically since the beginning of this millennium and have only continued to grow. These technologies offer extraction of genetic data at very high resolution (even possible at cellular level) a</w:t>
      </w:r>
      <w:r>
        <w:t xml:space="preserve">nd the analysis of this data can result in extremely useful biological insights. For example, Precision Medicine is an emerging domain that combines genetic data extracted through these technologies with the patient clinical data to predict patient outcome</w:t>
      </w:r>
      <w:r>
        <w:t xml:space="preserve"> </w:t>
      </w:r>
      <w:r>
        <w:t xml:space="preserve">[7]</w:t>
      </w:r>
      <w:r>
        <w:t xml:space="preserve">.</w:t>
      </w:r>
      <w:r/>
    </w:p>
    <w:p>
      <w:pPr>
        <w:pStyle w:val="657"/>
      </w:pPr>
      <w:r>
        <w:t xml:space="preserve">These comput</w:t>
      </w:r>
      <w:r>
        <w:t xml:space="preserve">ational analyses that lead to useful biological insights are often quite complex, use large amounts of data and consume vast computational resources. It is therefore, utmost important, to tackle these analyses by developing methods, tools and data structur</w:t>
      </w:r>
      <w:r>
        <w:t xml:space="preserve">es that can conserve one or more of these resources. Additionally, because most of these analyses are quite complex, lengthy and require the use of supplementary data (in addition to the primary genomics data), it becomes quite tricky to keep track of the </w:t>
      </w:r>
      <w:r>
        <w:t xml:space="preserve">different shapes of the data that have emerged over the analysis pipeline. Therefore, in this study, we focus on developing a data-structure that efficiently manages subsets of high-throughput genomic sequence data by eliminating the need to redundantly st</w:t>
      </w:r>
      <w:r>
        <w:t xml:space="preserve">ore additional data which is a common occurrence in many of the computational analyses of biological high-throughput data and somehow deliver features for provenance tracking for easier tracking different shapes of the data throughout an analysis workflow.</w:t>
      </w:r>
      <w:r/>
    </w:p>
    <w:p>
      <w:pPr>
        <w:pStyle w:val="667"/>
      </w:pPr>
      <w:r/>
      <w:bookmarkStart w:id="210" w:name="_Toc10"/>
      <w:r/>
      <w:bookmarkStart w:id="33" w:name="basic-concepts-and-terminologies"/>
      <w:r>
        <w:t xml:space="preserve">Basic concepts and terminologies</w:t>
      </w:r>
      <w:r/>
      <w:bookmarkEnd w:id="210"/>
      <w:r/>
      <w:r/>
    </w:p>
    <w:p>
      <w:pPr>
        <w:pStyle w:val="658"/>
      </w:pPr>
      <w:r>
        <w:t xml:space="preserve">As the proposed study/project has applications in Bioinformatics, a brief introduction and explanation of the key concepts and terminologies is required. Some of these concepts and terminologies are described below:</w:t>
      </w:r>
      <w:r/>
    </w:p>
    <w:p>
      <w:pPr>
        <w:pStyle w:val="668"/>
      </w:pPr>
      <w:r/>
      <w:bookmarkStart w:id="211" w:name="_Toc11"/>
      <w:r/>
      <w:bookmarkStart w:id="21" w:name="high-throughput-genomic-data"/>
      <w:r>
        <w:t xml:space="preserve">High-throughput genomic data</w:t>
      </w:r>
      <w:r/>
      <w:bookmarkEnd w:id="211"/>
      <w:r/>
      <w:r/>
    </w:p>
    <w:p>
      <w:pPr>
        <w:pStyle w:val="658"/>
      </w:pPr>
      <w:r>
        <w:t xml:space="preserve">High-throughput genomic technologies</w:t>
      </w:r>
      <w:r>
        <w:t xml:space="preserve"> </w:t>
      </w:r>
      <w:r>
        <w:t xml:space="preserve">[8]</w:t>
      </w:r>
      <w:r>
        <w:t xml:space="preserve"> </w:t>
      </w:r>
      <w:r>
        <w:t xml:space="preserve">such as microarrays and sequencing allow rapid generation of vast amounts of data from both DNA and RNA of an organism that is both large in size and high-dimensional. These high-throughput genome extraction technologies are widely used to profile the </w:t>
      </w:r>
      <w:r>
        <w:t xml:space="preserve">genome of an organism, to better understand the genetic structure of an organism or even to identify and address the causes of certain diseases and defects. In contrast, the traditional PCR-based approaches are more concerned with amplification and detecti</w:t>
      </w:r>
      <w:r>
        <w:t xml:space="preserve">on of a few transcripts of interest as compared to hundreds of thousands in high-throughput approaches. Most of the times, the output of high-throughput sequencing experiments are counts matrices where each column of the matrix represents a particular samp</w:t>
      </w:r>
      <w:r>
        <w:t xml:space="preserve">le and the row represents the quantified presence of a particular gene or transcript in that sample. These matrices form the basis of a large amounts of statistical analyses that can be performed to gain insight about the underlying biology of the samples.</w:t>
      </w:r>
      <w:bookmarkEnd w:id="21"/>
      <w:r/>
    </w:p>
    <w:p>
      <w:pPr>
        <w:pStyle w:val="668"/>
      </w:pPr>
      <w:r/>
      <w:bookmarkStart w:id="212" w:name="_Toc12"/>
      <w:r/>
      <w:bookmarkStart w:id="22" w:name="assay"/>
      <w:r>
        <w:t xml:space="preserve">Assay</w:t>
      </w:r>
      <w:r/>
      <w:bookmarkEnd w:id="212"/>
      <w:r/>
      <w:r/>
    </w:p>
    <w:p>
      <w:pPr>
        <w:pStyle w:val="658"/>
      </w:pPr>
      <w:r>
        <w:t xml:space="preserve">An</w:t>
      </w:r>
      <w:r>
        <w:t xml:space="preserve"> </w:t>
      </w:r>
      <w:r>
        <w:rPr>
          <w:rStyle w:val="687"/>
        </w:rPr>
        <w:t xml:space="preserve">assay</w:t>
      </w:r>
      <w:r>
        <w:t xml:space="preserve"> </w:t>
      </w:r>
      <w:r>
        <w:t xml:space="preserve">(or a data assay) is the actual form of the data that can be used with a particular statistical analysis method. Initially, this</w:t>
      </w:r>
      <w:r>
        <w:t xml:space="preserve"> </w:t>
      </w:r>
      <w:r>
        <w:rPr>
          <w:rStyle w:val="687"/>
        </w:rPr>
        <w:t xml:space="preserve">assay</w:t>
      </w:r>
      <w:r>
        <w:t xml:space="preserve"> </w:t>
      </w:r>
      <w:r>
        <w:t xml:space="preserve">is the counts matrix which is output from a sequencing experiment but can undergo several transforma</w:t>
      </w:r>
      <w:r>
        <w:t xml:space="preserve">tions throughout its lifetime during an analysis workflow. For example, the initial assays (counts matrix) can undergo normalization, log-transformation, scaling, trimming among others and are stored as separate assays which be called and used during the a</w:t>
      </w:r>
      <w:r>
        <w:t xml:space="preserve">nalysis workflow as per requirements of the workflow and the method being used. However, it must be understood that these multiple assays belong to the same experiment but only represent the multiple transformations that have been performed on the original</w:t>
      </w:r>
      <w:r>
        <w:t xml:space="preserve"> </w:t>
      </w:r>
      <w:r>
        <w:rPr>
          <w:rStyle w:val="687"/>
        </w:rPr>
        <w:t xml:space="preserve">assay</w:t>
      </w:r>
      <w:r>
        <w:t xml:space="preserve"> </w:t>
      </w:r>
      <w:r>
        <w:t xml:space="preserve">so as to have original</w:t>
      </w:r>
      <w:r>
        <w:t xml:space="preserve"> </w:t>
      </w:r>
      <w:r>
        <w:rPr>
          <w:rStyle w:val="687"/>
        </w:rPr>
        <w:t xml:space="preserve">assay</w:t>
      </w:r>
      <w:r>
        <w:t xml:space="preserve"> </w:t>
      </w:r>
      <w:r>
        <w:t xml:space="preserve">in all forms. The assays always have dimensions of</w:t>
      </w:r>
      <w:r>
        <w:t xml:space="preserve"> </w:t>
      </w:r>
      <w:r>
        <w:rPr>
          <w:rStyle w:val="687"/>
        </w:rPr>
        <w:t xml:space="preserve">m*n</w:t>
      </w:r>
      <w:r>
        <w:t xml:space="preserve"> </w:t>
      </w:r>
      <w:r>
        <w:t xml:space="preserve">where</w:t>
      </w:r>
      <w:r>
        <w:t xml:space="preserve"> </w:t>
      </w:r>
      <w:r>
        <w:rPr>
          <w:rStyle w:val="687"/>
        </w:rPr>
        <w:t xml:space="preserve">m</w:t>
      </w:r>
      <w:r>
        <w:t xml:space="preserve"> </w:t>
      </w:r>
      <w:r>
        <w:t xml:space="preserve">is the number of genes (rows) and</w:t>
      </w:r>
      <w:r>
        <w:t xml:space="preserve"> </w:t>
      </w:r>
      <w:r>
        <w:rPr>
          <w:rStyle w:val="687"/>
        </w:rPr>
        <w:t xml:space="preserve">n</w:t>
      </w:r>
      <w:r>
        <w:t xml:space="preserve"> </w:t>
      </w:r>
      <w:r>
        <w:t xml:space="preserve">is the number of samples (columns).</w:t>
      </w:r>
      <w:bookmarkEnd w:id="22"/>
      <w:r/>
    </w:p>
    <w:p>
      <w:pPr>
        <w:pStyle w:val="668"/>
      </w:pPr>
      <w:r/>
      <w:bookmarkStart w:id="213" w:name="_Toc13"/>
      <w:r/>
      <w:bookmarkStart w:id="23" w:name="coldata"/>
      <w:r>
        <w:t xml:space="preserve">colData</w:t>
      </w:r>
      <w:r/>
      <w:bookmarkEnd w:id="213"/>
      <w:r/>
      <w:r/>
    </w:p>
    <w:p>
      <w:pPr>
        <w:pStyle w:val="658"/>
      </w:pPr>
      <w:r>
        <w:t xml:space="preserve">The</w:t>
      </w:r>
      <w:r>
        <w:t xml:space="preserve"> </w:t>
      </w:r>
      <w:r>
        <w:rPr>
          <w:rStyle w:val="687"/>
        </w:rPr>
        <w:t xml:space="preserve">colData</w:t>
      </w:r>
      <w:r>
        <w:t xml:space="preserve"> </w:t>
      </w:r>
      <w:r>
        <w:t xml:space="preserve">is short for column data and is always the metadata associated with the samples (columns) of the dataset (columns of an assay). The</w:t>
      </w:r>
      <w:r>
        <w:t xml:space="preserve"> </w:t>
      </w:r>
      <w:r>
        <w:rPr>
          <w:rStyle w:val="687"/>
        </w:rPr>
        <w:t xml:space="preserve">colData</w:t>
      </w:r>
      <w:r>
        <w:t xml:space="preserve"> </w:t>
      </w:r>
      <w:r>
        <w:t xml:space="preserve">has dimensions</w:t>
      </w:r>
      <w:r>
        <w:t xml:space="preserve"> </w:t>
      </w:r>
      <w:r>
        <w:rPr>
          <w:rStyle w:val="687"/>
        </w:rPr>
        <w:t xml:space="preserve">n*q</w:t>
      </w:r>
      <w:r>
        <w:t xml:space="preserve"> </w:t>
      </w:r>
      <w:r>
        <w:t xml:space="preserve">where</w:t>
      </w:r>
      <w:r>
        <w:t xml:space="preserve"> </w:t>
      </w:r>
      <w:r>
        <w:rPr>
          <w:rStyle w:val="687"/>
        </w:rPr>
        <w:t xml:space="preserve">n</w:t>
      </w:r>
      <w:r>
        <w:t xml:space="preserve"> </w:t>
      </w:r>
      <w:r>
        <w:t xml:space="preserve">is the number of samples and</w:t>
      </w:r>
      <w:r>
        <w:t xml:space="preserve"> </w:t>
      </w:r>
      <w:r>
        <w:rPr>
          <w:rStyle w:val="687"/>
        </w:rPr>
        <w:t xml:space="preserve">q</w:t>
      </w:r>
      <w:r>
        <w:t xml:space="preserve"> </w:t>
      </w:r>
      <w:r>
        <w:t xml:space="preserve">&gt;= 0 based on the number of metadata columns (for samples) available for a particular dataset. The</w:t>
      </w:r>
      <w:r>
        <w:t xml:space="preserve"> </w:t>
      </w:r>
      <w:r>
        <w:rPr>
          <w:rStyle w:val="687"/>
        </w:rPr>
        <w:t xml:space="preserve">colData</w:t>
      </w:r>
      <w:r>
        <w:t xml:space="preserve"> </w:t>
      </w:r>
      <w:r>
        <w:t xml:space="preserve">is often referred to as the phenotype data as it is associated with the phenotypic characteristics (patient data) of the dataset. For example, the</w:t>
      </w:r>
      <w:r>
        <w:t xml:space="preserve"> </w:t>
      </w:r>
      <w:r>
        <w:rPr>
          <w:rStyle w:val="687"/>
        </w:rPr>
        <w:t xml:space="preserve">colData</w:t>
      </w:r>
      <w:r>
        <w:t xml:space="preserve"> </w:t>
      </w:r>
      <w:r>
        <w:t xml:space="preserve">may have the disease condition of each sample in the dataset (tumor or normal) or age of the patient that the sample belongs to. This</w:t>
      </w:r>
      <w:r>
        <w:t xml:space="preserve"> </w:t>
      </w:r>
      <w:r>
        <w:rPr>
          <w:rStyle w:val="687"/>
        </w:rPr>
        <w:t xml:space="preserve">colData</w:t>
      </w:r>
      <w:r>
        <w:t xml:space="preserve"> </w:t>
      </w:r>
      <w:r>
        <w:t xml:space="preserve">may be used in many downstream analysis methods or visualizations for labeling of samples or even in statistical methods to separate the samples based on a phenotype, e.g., a linear model may be used between normal and tumor tissues (referenced from</w:t>
      </w:r>
      <w:r>
        <w:t xml:space="preserve"> </w:t>
      </w:r>
      <w:r>
        <w:rPr>
          <w:rStyle w:val="687"/>
        </w:rPr>
        <w:t xml:space="preserve">colData</w:t>
      </w:r>
      <w:r>
        <w:t xml:space="preserve">) to identify significant genes based on the quantified assay data.</w:t>
      </w:r>
      <w:bookmarkEnd w:id="23"/>
      <w:r/>
    </w:p>
    <w:p>
      <w:pPr>
        <w:pStyle w:val="668"/>
      </w:pPr>
      <w:r/>
      <w:bookmarkStart w:id="214" w:name="_Toc14"/>
      <w:r/>
      <w:bookmarkStart w:id="24" w:name="rowdata"/>
      <w:r>
        <w:t xml:space="preserve">rowData</w:t>
      </w:r>
      <w:r/>
      <w:bookmarkEnd w:id="214"/>
      <w:r/>
      <w:r/>
    </w:p>
    <w:p>
      <w:pPr>
        <w:pStyle w:val="658"/>
      </w:pPr>
      <w:r>
        <w:t xml:space="preserve">The</w:t>
      </w:r>
      <w:r>
        <w:t xml:space="preserve"> </w:t>
      </w:r>
      <w:r>
        <w:rPr>
          <w:rStyle w:val="687"/>
        </w:rPr>
        <w:t xml:space="preserve">rowData</w:t>
      </w:r>
      <w:r>
        <w:t xml:space="preserve"> </w:t>
      </w:r>
      <w:r>
        <w:t xml:space="preserve">as obvious is the metadata associated with the genes (rows) of the dataset (rows of the an assay). The</w:t>
      </w:r>
      <w:r>
        <w:t xml:space="preserve"> </w:t>
      </w:r>
      <w:r>
        <w:rPr>
          <w:rStyle w:val="687"/>
        </w:rPr>
        <w:t xml:space="preserve">rowData</w:t>
      </w:r>
      <w:r>
        <w:t xml:space="preserve"> </w:t>
      </w:r>
      <w:r>
        <w:t xml:space="preserve">has dimensions</w:t>
      </w:r>
      <w:r>
        <w:t xml:space="preserve"> </w:t>
      </w:r>
      <w:r>
        <w:rPr>
          <w:rStyle w:val="687"/>
        </w:rPr>
        <w:t xml:space="preserve">m*q</w:t>
      </w:r>
      <w:r>
        <w:t xml:space="preserve"> </w:t>
      </w:r>
      <w:r>
        <w:t xml:space="preserve">where</w:t>
      </w:r>
      <w:r>
        <w:t xml:space="preserve"> </w:t>
      </w:r>
      <w:r>
        <w:rPr>
          <w:rStyle w:val="687"/>
        </w:rPr>
        <w:t xml:space="preserve">m</w:t>
      </w:r>
      <w:r>
        <w:t xml:space="preserve"> </w:t>
      </w:r>
      <w:r>
        <w:t xml:space="preserve">is the number of genes and</w:t>
      </w:r>
      <w:r>
        <w:t xml:space="preserve"> </w:t>
      </w:r>
      <w:r>
        <w:rPr>
          <w:rStyle w:val="687"/>
        </w:rPr>
        <w:t xml:space="preserve">q</w:t>
      </w:r>
      <w:r>
        <w:t xml:space="preserve"> </w:t>
      </w:r>
      <w:r>
        <w:t xml:space="preserve">&gt;= 0 based on the number of metadata columns (for genes) available for a particular dataset. The</w:t>
      </w:r>
      <w:r>
        <w:t xml:space="preserve"> </w:t>
      </w:r>
      <w:r>
        <w:rPr>
          <w:rStyle w:val="687"/>
        </w:rPr>
        <w:t xml:space="preserve">rowData</w:t>
      </w:r>
      <w:r>
        <w:t xml:space="preserve"> </w:t>
      </w:r>
      <w:r>
        <w:t xml:space="preserve">is often used to store the computed statistics for the genes in the dataset. For example, during the highly variable genes computation, the variance and the mean computed for each gene is stored in separate columns of the</w:t>
      </w:r>
      <w:r>
        <w:t xml:space="preserve"> </w:t>
      </w:r>
      <w:r>
        <w:rPr>
          <w:rStyle w:val="687"/>
        </w:rPr>
        <w:t xml:space="preserve">rowData</w:t>
      </w:r>
      <w:r>
        <w:t xml:space="preserve"> </w:t>
      </w:r>
      <w:r>
        <w:t xml:space="preserve">which may be used at a later stage to identify the most highly variable genes from these statistics. Additionally,</w:t>
      </w:r>
      <w:r>
        <w:t xml:space="preserve"> </w:t>
      </w:r>
      <w:r>
        <w:rPr>
          <w:rStyle w:val="687"/>
        </w:rPr>
        <w:t xml:space="preserve">rowData</w:t>
      </w:r>
      <w:r>
        <w:t xml:space="preserve"> </w:t>
      </w:r>
      <w:r>
        <w:t xml:space="preserve">may be used to store anything that may be related to the genes of the dataset, e.g., genes are often referenced by several different systems of naming conventions (</w:t>
      </w:r>
      <w:r>
        <w:rPr>
          <w:rStyle w:val="687"/>
        </w:rPr>
        <w:t xml:space="preserve">ENSEMBLE</w:t>
      </w:r>
      <w:r>
        <w:t xml:space="preserve">,</w:t>
      </w:r>
      <w:r>
        <w:t xml:space="preserve"> </w:t>
      </w:r>
      <w:r>
        <w:rPr>
          <w:rStyle w:val="687"/>
        </w:rPr>
        <w:t xml:space="preserve">Entrez</w:t>
      </w:r>
      <w:r>
        <w:t xml:space="preserve"> </w:t>
      </w:r>
      <w:r>
        <w:t xml:space="preserve">or</w:t>
      </w:r>
      <w:r>
        <w:t xml:space="preserve"> </w:t>
      </w:r>
      <w:r>
        <w:rPr>
          <w:rStyle w:val="687"/>
        </w:rPr>
        <w:t xml:space="preserve">Gene Symbols</w:t>
      </w:r>
      <w:r>
        <w:t xml:space="preserve">) which can be stored in the</w:t>
      </w:r>
      <w:r>
        <w:t xml:space="preserve"> </w:t>
      </w:r>
      <w:r>
        <w:rPr>
          <w:rStyle w:val="687"/>
        </w:rPr>
        <w:t xml:space="preserve">rowData</w:t>
      </w:r>
      <w:r>
        <w:t xml:space="preserve">.</w:t>
      </w:r>
      <w:bookmarkEnd w:id="24"/>
      <w:r/>
    </w:p>
    <w:p>
      <w:pPr>
        <w:pStyle w:val="668"/>
      </w:pPr>
      <w:r/>
      <w:bookmarkStart w:id="215" w:name="_Toc15"/>
      <w:r/>
      <w:bookmarkStart w:id="25" w:name="reduceddims"/>
      <w:r>
        <w:t xml:space="preserve">reducedDims</w:t>
      </w:r>
      <w:r/>
      <w:bookmarkEnd w:id="215"/>
      <w:r/>
      <w:r/>
    </w:p>
    <w:p>
      <w:pPr>
        <w:pStyle w:val="658"/>
      </w:pPr>
      <w:r>
        <w:t xml:space="preserve">The</w:t>
      </w:r>
      <w:r>
        <w:t xml:space="preserve"> </w:t>
      </w:r>
      <w:r>
        <w:rPr>
          <w:rStyle w:val="687"/>
        </w:rPr>
        <w:t xml:space="preserve">reducedDim</w:t>
      </w:r>
      <w:r>
        <w:t xml:space="preserve"> </w:t>
      </w:r>
      <w:r>
        <w:t xml:space="preserve">or</w:t>
      </w:r>
      <w:r>
        <w:t xml:space="preserve"> </w:t>
      </w:r>
      <w:r>
        <w:rPr>
          <w:rStyle w:val="687"/>
        </w:rPr>
        <w:t xml:space="preserve">reducedDims</w:t>
      </w:r>
      <w:r>
        <w:t xml:space="preserve"> </w:t>
      </w:r>
      <w:r>
        <w:t xml:space="preserve">refer to the results computed by dimensionality reduction algorithms including principal component analysis (pca), independen</w:t>
      </w:r>
      <w:r>
        <w:t xml:space="preserve">t component analysis (ica) and sometimes may also refer to the 2-dimensional embedding techniques such as uniform manifold approximation and projection (umap) or t-distributed stochastic neighbor embedding (tSNE). The results are often stored in a separate</w:t>
      </w:r>
      <w:r>
        <w:t xml:space="preserve"> </w:t>
      </w:r>
      <w:r>
        <w:rPr>
          <w:rStyle w:val="687"/>
        </w:rPr>
        <w:t xml:space="preserve">reducedDims</w:t>
      </w:r>
      <w:r>
        <w:t xml:space="preserve"> </w:t>
      </w:r>
      <w:r>
        <w:t xml:space="preserve">slot in the Experiment objects and can be called when required, for example during plotting functions or for downstream analysis including clustering.</w:t>
      </w:r>
      <w:bookmarkEnd w:id="25"/>
      <w:r/>
    </w:p>
    <w:p>
      <w:pPr>
        <w:pStyle w:val="668"/>
      </w:pPr>
      <w:r/>
      <w:bookmarkStart w:id="216" w:name="_Toc16"/>
      <w:r/>
      <w:bookmarkStart w:id="26" w:name="altexperiments"/>
      <w:r>
        <w:t xml:space="preserve">altExperiments</w:t>
      </w:r>
      <w:r/>
      <w:bookmarkEnd w:id="216"/>
      <w:r/>
      <w:r/>
    </w:p>
    <w:p>
      <w:pPr>
        <w:pStyle w:val="658"/>
      </w:pPr>
      <w:r>
        <w:t xml:space="preserve">The</w:t>
      </w:r>
      <w:r>
        <w:t xml:space="preserve"> </w:t>
      </w:r>
      <w:r>
        <w:rPr>
          <w:rStyle w:val="687"/>
        </w:rPr>
        <w:t xml:space="preserve">altExp</w:t>
      </w:r>
      <w:r>
        <w:t xml:space="preserve">,</w:t>
      </w:r>
      <w:r>
        <w:t xml:space="preserve"> </w:t>
      </w:r>
      <w:r>
        <w:rPr>
          <w:rStyle w:val="687"/>
        </w:rPr>
        <w:t xml:space="preserve">altExps</w:t>
      </w:r>
      <w:r>
        <w:t xml:space="preserve"> </w:t>
      </w:r>
      <w:r>
        <w:t xml:space="preserve">or</w:t>
      </w:r>
      <w:r>
        <w:t xml:space="preserve"> </w:t>
      </w:r>
      <w:r>
        <w:rPr>
          <w:rStyle w:val="687"/>
        </w:rPr>
        <w:t xml:space="preserve">altExperiments</w:t>
      </w:r>
      <w:r>
        <w:t xml:space="preserve"> </w:t>
      </w:r>
      <w:r>
        <w:t xml:space="preserve">refer to the additional data slots reserved by some Experiment classes for additional experiment data which is either not suited for storage in</w:t>
      </w:r>
      <w:r>
        <w:t xml:space="preserve"> </w:t>
      </w:r>
      <w:r>
        <w:rPr>
          <w:rStyle w:val="687"/>
        </w:rPr>
        <w:t xml:space="preserve">assays</w:t>
      </w:r>
      <w:r>
        <w:t xml:space="preserve"> </w:t>
      </w:r>
      <w:r>
        <w:t xml:space="preserve">or have different dimensions from the original object. For example, at times during an analysis workflow, while the expression data for the experiment is stored in the</w:t>
      </w:r>
      <w:r>
        <w:t xml:space="preserve"> </w:t>
      </w:r>
      <w:r>
        <w:rPr>
          <w:rStyle w:val="687"/>
        </w:rPr>
        <w:t xml:space="preserve">assays</w:t>
      </w:r>
      <w:r>
        <w:t xml:space="preserve"> </w:t>
      </w:r>
      <w:r>
        <w:t xml:space="preserve">slot, it is quite possible that additional data such as the spike-in genes (features added to data externally to manipulate the data for better normalization and downstream analysis) are added which cannot be directly stored in the</w:t>
      </w:r>
      <w:r>
        <w:t xml:space="preserve"> </w:t>
      </w:r>
      <w:r>
        <w:rPr>
          <w:rStyle w:val="687"/>
        </w:rPr>
        <w:t xml:space="preserve">assays</w:t>
      </w:r>
      <w:r>
        <w:t xml:space="preserve"> </w:t>
      </w:r>
      <w:r>
        <w:t xml:space="preserve">slot of the Experiment classes. For this purpose,</w:t>
      </w:r>
      <w:r>
        <w:t xml:space="preserve"> </w:t>
      </w:r>
      <w:r>
        <w:rPr>
          <w:rStyle w:val="687"/>
        </w:rPr>
        <w:t xml:space="preserve">altExps</w:t>
      </w:r>
      <w:r>
        <w:t xml:space="preserve"> </w:t>
      </w:r>
      <w:r>
        <w:t xml:space="preserve">slots allow the users to store complete additional Experiment objects (with varying dimensions) within the same object.</w:t>
      </w:r>
      <w:bookmarkEnd w:id="26"/>
      <w:r/>
    </w:p>
    <w:p>
      <w:pPr>
        <w:pStyle w:val="668"/>
      </w:pPr>
      <w:r/>
      <w:bookmarkStart w:id="217" w:name="_Toc17"/>
      <w:r/>
      <w:bookmarkStart w:id="27" w:name="metadata"/>
      <w:r>
        <w:t xml:space="preserve">metadata</w:t>
      </w:r>
      <w:r/>
      <w:bookmarkEnd w:id="217"/>
      <w:r/>
      <w:r/>
    </w:p>
    <w:p>
      <w:pPr>
        <w:pStyle w:val="658"/>
      </w:pPr>
      <w:r>
        <w:t xml:space="preserve">The</w:t>
      </w:r>
      <w:r>
        <w:t xml:space="preserve"> </w:t>
      </w:r>
      <w:r>
        <w:rPr>
          <w:rStyle w:val="687"/>
        </w:rPr>
        <w:t xml:space="preserve">metadata</w:t>
      </w:r>
      <w:r>
        <w:t xml:space="preserve"> </w:t>
      </w:r>
      <w:r>
        <w:t xml:space="preserve">slot is available with all Experiment classes and refers to any additional data or information about the data that may not particularly fit to any other of the available slots in these classes. Occasionally,</w:t>
      </w:r>
      <w:r>
        <w:t xml:space="preserve"> </w:t>
      </w:r>
      <w:r>
        <w:rPr>
          <w:rStyle w:val="687"/>
        </w:rPr>
        <w:t xml:space="preserve">metadata</w:t>
      </w:r>
      <w:r>
        <w:t xml:space="preserve"> </w:t>
      </w:r>
      <w:r>
        <w:t xml:space="preserve">is used to store the information about the authors, information about the protocols that are used to generate the data and to describe the nature of the data.</w:t>
      </w:r>
      <w:bookmarkEnd w:id="27"/>
      <w:r/>
    </w:p>
    <w:p>
      <w:pPr>
        <w:pStyle w:val="668"/>
      </w:pPr>
      <w:r/>
      <w:bookmarkStart w:id="218" w:name="_Toc18"/>
      <w:r/>
      <w:bookmarkStart w:id="28" w:name="bioconductor-cran"/>
      <w:r>
        <w:t xml:space="preserve">Bioconductor &amp; CRAN</w:t>
      </w:r>
      <w:r/>
      <w:bookmarkEnd w:id="218"/>
      <w:r/>
      <w:r/>
    </w:p>
    <w:p>
      <w:pPr>
        <w:pStyle w:val="658"/>
      </w:pPr>
      <w:r>
        <w:t xml:space="preserve">Packages or libraries built for R environment are available for download and use from multiple sources including R</w:t>
      </w:r>
      <w:r>
        <w:t xml:space="preserve"> </w:t>
      </w:r>
      <w:r>
        <w:rPr>
          <w:rStyle w:val="687"/>
        </w:rPr>
        <w:t xml:space="preserve">CRAN</w:t>
      </w:r>
      <w:r>
        <w:t xml:space="preserve"> </w:t>
      </w:r>
      <w:r>
        <w:t xml:space="preserve">[9]</w:t>
      </w:r>
      <w:r>
        <w:t xml:space="preserve">,</w:t>
      </w:r>
      <w:r>
        <w:t xml:space="preserve"> </w:t>
      </w:r>
      <w:r>
        <w:rPr>
          <w:rStyle w:val="687"/>
        </w:rPr>
        <w:t xml:space="preserve">Bioconductor</w:t>
      </w:r>
      <w:r>
        <w:t xml:space="preserve"> </w:t>
      </w:r>
      <w:r>
        <w:t xml:space="preserve">[10]</w:t>
      </w:r>
      <w:r>
        <w:t xml:space="preserve"> </w:t>
      </w:r>
      <w:r>
        <w:t xml:space="preserve">or even directly from</w:t>
      </w:r>
      <w:r>
        <w:t xml:space="preserve"> </w:t>
      </w:r>
      <w:r>
        <w:rPr>
          <w:rStyle w:val="687"/>
        </w:rPr>
        <w:t xml:space="preserve">Github</w:t>
      </w:r>
      <w:r>
        <w:t xml:space="preserve">. The Comprehensive R Archive Network (</w:t>
      </w:r>
      <w:r>
        <w:rPr>
          <w:rStyle w:val="687"/>
        </w:rPr>
        <w:t xml:space="preserve">CRAN</w:t>
      </w:r>
      <w:r>
        <w:t xml:space="preserve">) is the largest repository for R packages maintained by R developers, while</w:t>
      </w:r>
      <w:r>
        <w:t xml:space="preserve"> </w:t>
      </w:r>
      <w:r>
        <w:rPr>
          <w:rStyle w:val="687"/>
        </w:rPr>
        <w:t xml:space="preserve">Bioconductor</w:t>
      </w:r>
      <w:r>
        <w:t xml:space="preserve"> </w:t>
      </w:r>
      <w:r>
        <w:t xml:space="preserve">is a community maintained (R core) repository (as well as a database for sample datasets) and specializes in packages/libraries with applications in biology. Submission to both of these repositories undergo strenuous</w:t>
      </w:r>
      <w:r>
        <w:t xml:space="preserve"> review (including novelty of the package, code quality and testing) before it is accepted and becomes available for users to download and use. Packages from both of these resources once available can easily be downloaded from within R console environment.</w:t>
      </w:r>
      <w:bookmarkEnd w:id="28"/>
      <w:r/>
    </w:p>
    <w:p>
      <w:pPr>
        <w:pStyle w:val="668"/>
      </w:pPr>
      <w:r/>
      <w:bookmarkStart w:id="219" w:name="_Toc19"/>
      <w:r/>
      <w:bookmarkStart w:id="29" w:name="bioconductor-experiment-objects"/>
      <w:r>
        <w:t xml:space="preserve">Bioconductor Experiment objects</w:t>
      </w:r>
      <w:r/>
      <w:bookmarkEnd w:id="219"/>
      <w:r/>
      <w:r/>
    </w:p>
    <w:p>
      <w:pPr>
        <w:pStyle w:val="658"/>
      </w:pPr>
      <w:r>
        <w:t xml:space="preserve">As previously explained that</w:t>
      </w:r>
      <w:r>
        <w:t xml:space="preserve"> </w:t>
      </w:r>
      <w:r>
        <w:rPr>
          <w:rStyle w:val="687"/>
        </w:rPr>
        <w:t xml:space="preserve">Biocodunctor</w:t>
      </w:r>
      <w:r>
        <w:t xml:space="preserve"> </w:t>
      </w:r>
      <w:r>
        <w:t xml:space="preserve">is a dat</w:t>
      </w:r>
      <w:r>
        <w:t xml:space="preserve">abase/repository for R packages and datasets having applications in biology, data-containers or data-structures are required to particularly handle the such high-dimensional datasets which can manage multiple data assays and the associated phenotype data (</w:t>
      </w:r>
      <w:r>
        <w:rPr>
          <w:rStyle w:val="687"/>
        </w:rPr>
        <w:t xml:space="preserve">colData</w:t>
      </w:r>
      <w:r>
        <w:t xml:space="preserve">) and the gene metadata. While, this can be managed by using native R data-structures like</w:t>
      </w:r>
      <w:r>
        <w:t xml:space="preserve"> </w:t>
      </w:r>
      <w:r>
        <w:rPr>
          <w:rStyle w:val="687"/>
        </w:rPr>
        <w:t xml:space="preserve">matrix</w:t>
      </w:r>
      <w:r>
        <w:t xml:space="preserve"> </w:t>
      </w:r>
      <w:r>
        <w:t xml:space="preserve">and</w:t>
      </w:r>
      <w:r>
        <w:t xml:space="preserve"> </w:t>
      </w:r>
      <w:r>
        <w:rPr>
          <w:rStyle w:val="687"/>
        </w:rPr>
        <w:t xml:space="preserve">dataframes</w:t>
      </w:r>
      <w:r>
        <w:t xml:space="preserve">, it is much more intuitive to handle this multi-data datasets using</w:t>
      </w:r>
      <w:r>
        <w:t xml:space="preserve"> </w:t>
      </w:r>
      <w:r>
        <w:rPr>
          <w:rStyle w:val="687"/>
        </w:rPr>
        <w:t xml:space="preserve">Experiment</w:t>
      </w:r>
      <w:r>
        <w:t xml:space="preserve"> </w:t>
      </w:r>
      <w:r>
        <w:t xml:space="preserve">classes that are designed specifically for this purpose.</w:t>
      </w:r>
      <w:r/>
    </w:p>
    <w:p>
      <w:pPr>
        <w:pStyle w:val="657"/>
      </w:pPr>
      <w:r>
        <w:t xml:space="preserve">These Experiment classes including</w:t>
      </w:r>
      <w:r>
        <w:t xml:space="preserve"> </w:t>
      </w:r>
      <w:r>
        <w:rPr>
          <w:rStyle w:val="687"/>
        </w:rPr>
        <w:t xml:space="preserve">SummarizedExperiment</w:t>
      </w:r>
      <w:r>
        <w:t xml:space="preserve"> </w:t>
      </w:r>
      <w:r>
        <w:t xml:space="preserve">[11]</w:t>
      </w:r>
      <w:r>
        <w:t xml:space="preserve"> </w:t>
      </w:r>
      <w:r>
        <w:t xml:space="preserve">and</w:t>
      </w:r>
      <w:r>
        <w:t xml:space="preserve"> </w:t>
      </w:r>
      <w:r>
        <w:rPr>
          <w:rStyle w:val="687"/>
        </w:rPr>
        <w:t xml:space="preserve">SingleCellExperiment</w:t>
      </w:r>
      <w:r>
        <w:t xml:space="preserve"> </w:t>
      </w:r>
      <w:r>
        <w:t xml:space="preserve">[12]</w:t>
      </w:r>
      <w:r>
        <w:t xml:space="preserve"> </w:t>
      </w:r>
      <w:r>
        <w:t xml:space="preserve">are designed in such a way as to allow the users to use the objects of these classes in a more biologically and statistically relevant manner especially considering the workflow of such datasets. For example, these classes allow storage of multiple</w:t>
      </w:r>
      <w:r>
        <w:t xml:space="preserve"> </w:t>
      </w:r>
      <w:r>
        <w:rPr>
          <w:rStyle w:val="687"/>
        </w:rPr>
        <w:t xml:space="preserve">assays</w:t>
      </w:r>
      <w:r>
        <w:t xml:space="preserve">,</w:t>
      </w:r>
      <w:r>
        <w:t xml:space="preserve"> </w:t>
      </w:r>
      <w:r>
        <w:rPr>
          <w:rStyle w:val="687"/>
        </w:rPr>
        <w:t xml:space="preserve">colData</w:t>
      </w:r>
      <w:r>
        <w:t xml:space="preserve">,</w:t>
      </w:r>
      <w:r>
        <w:t xml:space="preserve"> </w:t>
      </w:r>
      <w:r>
        <w:rPr>
          <w:rStyle w:val="687"/>
        </w:rPr>
        <w:t xml:space="preserve">rowData</w:t>
      </w:r>
      <w:r>
        <w:t xml:space="preserve"> </w:t>
      </w:r>
      <w:r>
        <w:t xml:space="preserve">as well as other types of data such as dimensionality reduction results within the same object as all of these data types are used within an analysis workflow from the same experiment.</w:t>
      </w:r>
      <w:r/>
    </w:p>
    <w:p>
      <w:pPr>
        <w:pStyle w:val="657"/>
      </w:pPr>
      <w:r>
        <w:t xml:space="preserve">Moreover, because these data-containers are specialized, they acquire multiple features necessary for such high-dimensional data such as use of</w:t>
      </w:r>
      <w:r>
        <w:t xml:space="preserve"> </w:t>
      </w:r>
      <w:r>
        <w:rPr>
          <w:rStyle w:val="687"/>
        </w:rPr>
        <w:t xml:space="preserve">dgCMatrix</w:t>
      </w:r>
      <w:r>
        <w:t xml:space="preserve"> </w:t>
      </w:r>
      <w:r>
        <w:t xml:space="preserve">(compressed sparse matrices) for</w:t>
      </w:r>
      <w:r>
        <w:t xml:space="preserve"> </w:t>
      </w:r>
      <w:r>
        <w:rPr>
          <w:rStyle w:val="687"/>
        </w:rPr>
        <w:t xml:space="preserve">assay</w:t>
      </w:r>
      <w:r>
        <w:t xml:space="preserve"> </w:t>
      </w:r>
      <w:r>
        <w:t xml:space="preserve">data,</w:t>
      </w:r>
      <w:r>
        <w:t xml:space="preserve"> </w:t>
      </w:r>
      <w:r>
        <w:rPr>
          <w:rStyle w:val="687"/>
        </w:rPr>
        <w:t xml:space="preserve">dataframes</w:t>
      </w:r>
      <w:r>
        <w:t xml:space="preserve"> </w:t>
      </w:r>
      <w:r>
        <w:t xml:space="preserve">for</w:t>
      </w:r>
      <w:r>
        <w:t xml:space="preserve"> </w:t>
      </w:r>
      <w:r>
        <w:rPr>
          <w:rStyle w:val="687"/>
        </w:rPr>
        <w:t xml:space="preserve">colData</w:t>
      </w:r>
      <w:r>
        <w:t xml:space="preserve">/</w:t>
      </w:r>
      <w:r>
        <w:rPr>
          <w:rStyle w:val="687"/>
        </w:rPr>
        <w:t xml:space="preserve">rowData</w:t>
      </w:r>
      <w:r>
        <w:t xml:space="preserve"> </w:t>
      </w:r>
      <w:r>
        <w:t xml:space="preserve">and</w:t>
      </w:r>
      <w:r>
        <w:t xml:space="preserve"> </w:t>
      </w:r>
      <w:r>
        <w:rPr>
          <w:rStyle w:val="687"/>
        </w:rPr>
        <w:t xml:space="preserve">SimpleList</w:t>
      </w:r>
      <w:r>
        <w:t xml:space="preserve"> </w:t>
      </w:r>
      <w:r>
        <w:t xml:space="preserve">for dimensionality reduction results, all of which have additional advantages instead of using a single base data-structure for all types of data.</w:t>
      </w:r>
      <w:bookmarkEnd w:id="29"/>
      <w:r/>
    </w:p>
    <w:p>
      <w:pPr>
        <w:pStyle w:val="668"/>
      </w:pPr>
      <w:r/>
      <w:bookmarkStart w:id="220" w:name="_Toc20"/>
      <w:r/>
      <w:bookmarkStart w:id="32" w:name="use-of-bioconductor-experiment-objects"/>
      <w:r>
        <w:t xml:space="preserve">Use of Bioconductor Experiment objects</w:t>
      </w:r>
      <w:r/>
      <w:bookmarkEnd w:id="220"/>
      <w:r/>
      <w:r/>
    </w:p>
    <w:p>
      <w:pPr>
        <w:pStyle w:val="658"/>
      </w:pPr>
      <w:r>
        <w:t xml:space="preserve">Bioconductor Experiment objects refer to the R packages that are available through the Bioconductor repository for the users to use with their analyses, particularly the packages that of</w:t>
      </w:r>
      <w:r>
        <w:t xml:space="preserve">fer classes which could be used as data-containers for the storage and manipulation of genetic data. The objects created from these classes offer a very convenient manner to store and manipulate and are particularly developed to handle the common datatypes</w:t>
      </w:r>
      <w:r>
        <w:t xml:space="preserve"> that are needed for such data. Therefore, these Experiment classes are used extensively by other packages that allow the input, processing and output directly to and from these objects without having to extract the actual data matrices from these objects.</w:t>
      </w:r>
      <w:r/>
    </w:p>
    <w:p>
      <w:pPr>
        <w:pStyle w:val="657"/>
      </w:pPr>
      <w:r>
        <w:t xml:space="preserve">The standards set by these classes and the Bioconductor core development team ensure that new methods and packages developed by other deve</w:t>
      </w:r>
      <w:r>
        <w:t xml:space="preserve">lopers and researchers use the same the input and output for consistency among the research community. This can be seen from the figure below that shows which packages on Bioconductor use one the main Experiment classes, i.e. SummarizedExperiment (shown in</w:t>
      </w:r>
      <w:r>
        <w:t xml:space="preserve"> </w:t>
      </w:r>
      <w:r>
        <w:rPr>
          <w:rStyle w:val="687"/>
        </w:rPr>
        <w:t xml:space="preserve">Depends On me</w:t>
      </w:r>
      <w:r>
        <w:t xml:space="preserve">):</w:t>
      </w:r>
      <w:r/>
    </w:p>
    <w:p>
      <w:pPr>
        <w:pStyle w:val="657"/>
      </w:pPr>
      <w:r>
        <mc:AlternateContent>
          <mc:Choice Requires="wpg">
            <w:drawing>
              <wp:inline xmlns:wp="http://schemas.openxmlformats.org/drawingml/2006/wordprocessingDrawing" distT="0" distB="0" distL="0" distR="0">
                <wp:extent cx="5334000" cy="2373733"/>
                <wp:effectExtent l="0" t="0" r="0" b="0"/>
                <wp:docPr id="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descr="se1.png" hidden="0"/>
                        <pic:cNvPicPr>
                          <a:picLocks noChangeAspect="1" noChangeArrowheads="1"/>
                        </pic:cNvPicPr>
                        <pic:nvPr isPhoto="0" userDrawn="0"/>
                      </pic:nvPicPr>
                      <pic:blipFill>
                        <a:blip r:embed="rId12"/>
                        <a:stretch/>
                      </pic:blipFill>
                      <pic:spPr bwMode="auto">
                        <a:xfrm>
                          <a:off x="0" y="0"/>
                          <a:ext cx="5334000" cy="23737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20.0pt;height:186.9pt;" stroked="f" strokeweight="0.75pt">
                <v:path textboxrect="0,0,0,0"/>
                <v:imagedata r:id="rId12" o:title=""/>
              </v:shape>
            </w:pict>
          </mc:Fallback>
        </mc:AlternateContent>
      </w:r>
      <w:r/>
    </w:p>
    <w:p>
      <w:pPr>
        <w:pStyle w:val="681"/>
      </w:pPr>
      <w:r>
        <w:t xml:space="preserve">Figure </w:t>
      </w:r>
      <w:r>
        <w:fldChar w:fldCharType="begin"/>
        <w:instrText xml:space="preserve"> SEQ Figure \* Arabic </w:instrText>
        <w:fldChar w:fldCharType="separate"/>
      </w:r>
      <w:r>
        <w:t xml:space="preserve">1</w:t>
      </w:r>
      <w:r/>
      <w:r>
        <w:fldChar w:fldCharType="end"/>
      </w:r>
      <w:r>
        <w:t xml:space="preserve"> A snapshot of the SummarizedExperiment package on Bioconductor repository that displays the popularity and various statistics of the package. </w:t>
      </w:r>
      <w:r/>
    </w:p>
    <w:p>
      <w:pPr>
        <w:pStyle w:val="657"/>
      </w:pPr>
      <w:r>
        <mc:AlternateContent>
          <mc:Choice Requires="wpg">
            <w:drawing>
              <wp:inline xmlns:wp="http://schemas.openxmlformats.org/drawingml/2006/wordprocessingDrawing" distT="0" distB="0" distL="0" distR="0">
                <wp:extent cx="5334000" cy="5538882"/>
                <wp:effectExtent l="0" t="0" r="0" b="0"/>
                <wp:docPr id="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descr="se2.png" hidden="0"/>
                        <pic:cNvPicPr>
                          <a:picLocks noChangeAspect="1" noChangeArrowheads="1"/>
                        </pic:cNvPicPr>
                        <pic:nvPr isPhoto="0" userDrawn="0"/>
                      </pic:nvPicPr>
                      <pic:blipFill>
                        <a:blip r:embed="rId13"/>
                        <a:stretch/>
                      </pic:blipFill>
                      <pic:spPr bwMode="auto">
                        <a:xfrm>
                          <a:off x="0" y="0"/>
                          <a:ext cx="5334000" cy="553888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0.0pt;height:436.1pt;" stroked="f" strokeweight="0.75pt">
                <v:path textboxrect="0,0,0,0"/>
                <v:imagedata r:id="rId13" o:title=""/>
              </v:shape>
            </w:pict>
          </mc:Fallback>
        </mc:AlternateContent>
      </w:r>
      <w:r/>
    </w:p>
    <w:p>
      <w:pPr>
        <w:pStyle w:val="681"/>
      </w:pPr>
      <w:r>
        <w:t xml:space="preserve">Figure </w:t>
      </w:r>
      <w:r>
        <w:fldChar w:fldCharType="begin"/>
        <w:instrText xml:space="preserve"> SEQ Figure \* Arabic </w:instrText>
        <w:fldChar w:fldCharType="separate"/>
      </w:r>
      <w:r>
        <w:t xml:space="preserve">2</w:t>
      </w:r>
      <w:r/>
      <w:r>
        <w:fldChar w:fldCharType="end"/>
      </w:r>
      <w:r>
        <w:t xml:space="preserve"> The 'Depends On Me' statistic against the SummarizedExperiment package shows which packages directly use this package for their own development. As it turns out, a large number of packages utilize SummarizedExperiment which highlights its importance. </w:t>
      </w:r>
      <w:r/>
    </w:p>
    <w:p>
      <w:pPr>
        <w:pStyle w:val="657"/>
      </w:pPr>
      <w:r>
        <w:t xml:space="preserve">The package names shown in the</w:t>
      </w:r>
      <w:r>
        <w:t xml:space="preserve"> </w:t>
      </w:r>
      <w:r>
        <w:rPr>
          <w:rStyle w:val="687"/>
        </w:rPr>
        <w:t xml:space="preserve">Depends On Me</w:t>
      </w:r>
      <w:r>
        <w:t xml:space="preserve"> </w:t>
      </w:r>
      <w:r>
        <w:t xml:space="preserve">heading show just some of the packages that are utilizing the SummarizedExperiment class and the corresponding infrastructure of input, processing and output of th</w:t>
      </w:r>
      <w:r>
        <w:t xml:space="preserve">e Experiment classes. This not only shows the importance of Experiment classes but also highlights the need to improve upon these classes to add missing features or elements that may not have been considered at the time of the development of these classes.</w:t>
      </w:r>
      <w:bookmarkEnd w:id="32"/>
      <w:bookmarkEnd w:id="33"/>
      <w:r/>
    </w:p>
    <w:p>
      <w:pPr>
        <w:pStyle w:val="667"/>
      </w:pPr>
      <w:r/>
      <w:bookmarkStart w:id="221" w:name="_Toc21"/>
      <w:r/>
      <w:bookmarkStart w:id="39" w:name="background"/>
      <w:r>
        <w:t xml:space="preserve">Background</w:t>
      </w:r>
      <w:r/>
      <w:bookmarkEnd w:id="221"/>
      <w:r/>
      <w:r/>
    </w:p>
    <w:p>
      <w:pPr>
        <w:pStyle w:val="658"/>
      </w:pPr>
      <w:r>
        <w:t xml:space="preserve">High-throughput experiments like microarrays and RNA sequencing allow simultaneous extraction of data fro</w:t>
      </w:r>
      <w:r>
        <w:t xml:space="preserve">m thousands of genes at the same time, thus enabling researchers and scientists to study the effects of mutations (change in gene structure) and expression changes (quantifying the presence or absence of a gene) in genes that result in phenotype variations</w:t>
      </w:r>
      <w:r>
        <w:t xml:space="preserve"> </w:t>
      </w:r>
      <w:r>
        <w:t xml:space="preserve">[13]</w:t>
      </w:r>
      <w:r>
        <w:t xml:space="preserve">. These changes often help us in understanding the underlying causes of numerous diseases, particularly heterogeneous diseases such as cancer, where different cells may represent individual changes at the genetic level</w:t>
      </w:r>
      <w:r>
        <w:t xml:space="preserve"> </w:t>
      </w:r>
      <w:r>
        <w:t xml:space="preserve">[14]</w:t>
      </w:r>
      <w:r>
        <w:t xml:space="preserve">.</w:t>
      </w:r>
      <w:r/>
    </w:p>
    <w:p>
      <w:pPr>
        <w:pStyle w:val="657"/>
      </w:pPr>
      <w:r>
        <w:t xml:space="preserve">Single Cell RN</w:t>
      </w:r>
      <w:r>
        <w:t xml:space="preserve">A Sequencing (scRNA-seq) is effectively a recent advancement that allows data extraction at a very high resolution i.e. at the cellular level and reveals expression changes in genes against each individual cell in the sample space. In contrast, microarrays</w:t>
      </w:r>
      <w:r>
        <w:t xml:space="preserve"> </w:t>
      </w:r>
      <w:r>
        <w:t xml:space="preserve">[15]</w:t>
      </w:r>
      <w:r>
        <w:t xml:space="preserve">, and bulk RNA sequencing</w:t>
      </w:r>
      <w:r>
        <w:t xml:space="preserve"> </w:t>
      </w:r>
      <w:r>
        <w:t xml:space="preserve">[13]</w:t>
      </w:r>
      <w:r>
        <w:t xml:space="preserve"> </w:t>
      </w:r>
      <w:r>
        <w:t xml:space="preserve">both average the expression values extracted from the tissue of interest. This high-reso</w:t>
      </w:r>
      <w:r>
        <w:t xml:space="preserve">lution capture of genomic data at cellular level (scRNA-Seq) has enabled researchers belonging to a broad range of scientific domains to come together and collaborate across the board to solve biological problems including but not limited to drug discovery</w:t>
      </w:r>
      <w:r>
        <w:t xml:space="preserve"> </w:t>
      </w:r>
      <w:r>
        <w:t xml:space="preserve">[16]</w:t>
      </w:r>
      <w:r>
        <w:t xml:space="preserve">, artificial intelligence in precision medicine</w:t>
      </w:r>
      <w:r>
        <w:t xml:space="preserve"> </w:t>
      </w:r>
      <w:r>
        <w:t xml:space="preserve">[17]</w:t>
      </w:r>
      <w:r>
        <w:t xml:space="preserve">, targeted patient therapies and biological data mining to better understand the disease progression and outcomes</w:t>
      </w:r>
      <w:r>
        <w:t xml:space="preserve"> </w:t>
      </w:r>
      <w:r>
        <w:t xml:space="preserve">[18]</w:t>
      </w:r>
      <w:r>
        <w:t xml:space="preserve">.</w:t>
      </w:r>
      <w:r/>
    </w:p>
    <w:p>
      <w:pPr>
        <w:pStyle w:val="657"/>
      </w:pPr>
      <w:r>
        <w:t xml:space="preserve">All of the previously mentioned </w:t>
      </w:r>
      <w:r>
        <w:t xml:space="preserve">biological problems require a computational analysis of some sort to reach an insightful conclusion particularly owing to the fact that these analyses often run on scRNA-seq datasets that are generally of the order of hundreds if not thousands of gigabytes</w:t>
      </w:r>
      <w:r>
        <w:t xml:space="preserve"> </w:t>
      </w:r>
      <w:r>
        <w:t xml:space="preserve">[19]</w:t>
      </w:r>
      <w:r>
        <w:t xml:space="preserve">. These computational analyses can range from a simple visualization of data for quality control analysis or differential expression to identify interesting genes and not to mention even for the understanding of cell trajectories over pseudotime</w:t>
      </w:r>
      <w:r>
        <w:t xml:space="preserve"> </w:t>
      </w:r>
      <w:r>
        <w:t xml:space="preserve">[20]</w:t>
      </w:r>
      <w:r>
        <w:t xml:space="preserve">, which is a rather complex task than the former two. To design and run these analyses, several computer scripting languages such as</w:t>
      </w:r>
      <w:r>
        <w:t xml:space="preserve"> </w:t>
      </w:r>
      <w:r>
        <w:rPr>
          <w:rStyle w:val="687"/>
        </w:rPr>
        <w:t xml:space="preserve">R</w:t>
      </w:r>
      <w:r>
        <w:t xml:space="preserve"> </w:t>
      </w:r>
      <w:r>
        <w:t xml:space="preserve">[9]</w:t>
      </w:r>
      <w:r>
        <w:t xml:space="preserve"> </w:t>
      </w:r>
      <w:r>
        <w:t xml:space="preserve">and</w:t>
      </w:r>
      <w:r>
        <w:t xml:space="preserve"> </w:t>
      </w:r>
      <w:r>
        <w:rPr>
          <w:rStyle w:val="687"/>
        </w:rPr>
        <w:t xml:space="preserve">Python</w:t>
      </w:r>
      <w:r>
        <w:t xml:space="preserve"> </w:t>
      </w:r>
      <w:r>
        <w:t xml:space="preserve">[21]</w:t>
      </w:r>
      <w:r>
        <w:t xml:space="preserve"> </w:t>
      </w:r>
      <w:r>
        <w:t xml:space="preserve">support manipulation of scRNA-Seq data due to the extensive availability of relevant packages, libraries, and toolkits.</w:t>
      </w:r>
      <w:r>
        <w:t xml:space="preserve"> </w:t>
      </w:r>
      <w:r>
        <w:rPr>
          <w:rStyle w:val="687"/>
        </w:rPr>
        <w:t xml:space="preserve">Bioconductor</w:t>
      </w:r>
      <w:r>
        <w:t xml:space="preserve"> </w:t>
      </w:r>
      <w:r>
        <w:t xml:space="preserve">[10]</w:t>
      </w:r>
      <w:r>
        <w:t xml:space="preserve"> </w:t>
      </w:r>
      <w:r>
        <w:t xml:space="preserve">platform serves as a central repository for all such tools and packages to analyze high-throughput genomic data in general for scripting in R language.</w:t>
      </w:r>
      <w:r/>
    </w:p>
    <w:p>
      <w:pPr>
        <w:pStyle w:val="657"/>
      </w:pPr>
      <w:r>
        <w:t xml:space="preserve">The first and the foremost task of any such analysis is the choice of a data structure or more appropriately, a container to hold the scRNA-Seq data for manipulation during all subsequent tasks of an analysis. This is </w:t>
      </w:r>
      <w:r>
        <w:t xml:space="preserve">relatively a tricky decision because most of the toolkits and analytical pipelines for analysis of scRNA-Seq data support only a few of the proposed containers and occasionally provide their internal objects to allow easier manipulation within the toolkit.</w:t>
      </w:r>
      <w:r/>
    </w:p>
    <w:p>
      <w:pPr>
        <w:pStyle w:val="657"/>
      </w:pPr>
      <w:r>
        <w:t xml:space="preserve">However, issues arise when a range of analytical methods are integrated in a single toolkit or an analytical pipeline, as is the case with many of the proposed command line toolkits or Shiny web-interfaces</w:t>
      </w:r>
      <w:r>
        <w:t xml:space="preserve"> </w:t>
      </w:r>
      <w:r>
        <w:t xml:space="preserve">[22]</w:t>
      </w:r>
      <w:r>
        <w:t xml:space="preserve">. One issue that is of particular interest, is the generation and management of subsets of scRNA-Seq data, the manipulation of which is abundant in many of the common tasks of analysis pipeline such as during the identification of highly variable genes</w:t>
      </w:r>
      <w:r>
        <w:t xml:space="preserve"> </w:t>
      </w:r>
      <w:r>
        <w:t xml:space="preserve">[23]</w:t>
      </w:r>
      <w:r>
        <w:t xml:space="preserve"> </w:t>
      </w:r>
      <w:r>
        <w:t xml:space="preserve">or the integration of multiple assays</w:t>
      </w:r>
      <w:r>
        <w:t xml:space="preserve"> </w:t>
      </w:r>
      <w:r>
        <w:t xml:space="preserve">[24]</w:t>
      </w:r>
      <w:r>
        <w:t xml:space="preserve"> </w:t>
      </w:r>
      <w:r>
        <w:t xml:space="preserve">or even basic filtering steps. In such cases, the available choice of containers does not provide flexibility in terms</w:t>
      </w:r>
      <w:r>
        <w:t xml:space="preserve"> of storage of such subsets and the consequent usage in the downstream analysis. In many cases where there are several libraries and methods integrated together to form a streamlined analysis pipeline, as in the case of many toolkits and Shiny applications</w:t>
      </w:r>
      <w:r>
        <w:t xml:space="preserve"> </w:t>
      </w:r>
      <w:r>
        <w:t xml:space="preserve">[25]</w:t>
      </w:r>
      <w:r>
        <w:t xml:space="preserve">, multiple objects from these containers at times hold the same data albeit in subset form. This has widespread consequences in terms of increased code complexity against the underlying analysis, data redundancy, and increased memory consum</w:t>
      </w:r>
      <w:r>
        <w:t xml:space="preserve">ption as well as complexity that arises from the handling of multiple objects created due to the subsets of the data. Furthermore, because of the creation of multiple objects that essentially point to the same data, provenance tracking is often overlooked.</w:t>
      </w:r>
      <w:r/>
    </w:p>
    <w:p>
      <w:pPr>
        <w:pStyle w:val="657"/>
      </w:pPr>
      <w:r>
        <w:t xml:space="preserve">Typically, in such analyses, the utmost concern of the researcher is to apply the appropriate statistical technique to gain useful biological insights. Alternatively, in the case of a toolkit programmer, the main</w:t>
      </w:r>
      <w:r>
        <w:t xml:space="preserve"> concern is the addition of functionality to support such analyses. In both scenarios, data handling and management is ultimately at the bottom of the workflow stack. Therefore, the complexity and redundancy that emerges from the creation of a collection o</w:t>
      </w:r>
      <w:r>
        <w:t xml:space="preserve">f objects due to the nested nature of the subsets that are essentially pointing to the same data, results in disastrous implications as far as time and memory consumption are concerned. These factors become especially significant when datasets are enormous</w:t>
      </w:r>
      <w:r>
        <w:t xml:space="preserve"> </w:t>
      </w:r>
      <w:r>
        <w:t xml:space="preserve">[19]</w:t>
      </w:r>
      <w:r>
        <w:t xml:space="preserve"> </w:t>
      </w:r>
      <w:r>
        <w:t xml:space="preserve">and the corresponding analyses are tricky, as is the case with scRNA-Seq datasets.</w:t>
      </w:r>
      <w:r/>
    </w:p>
    <w:p>
      <w:pPr>
        <w:pStyle w:val="668"/>
      </w:pPr>
      <w:r/>
      <w:bookmarkStart w:id="222" w:name="_Toc22"/>
      <w:r/>
      <w:bookmarkStart w:id="35" w:name="sample-workflow"/>
      <w:r>
        <w:t xml:space="preserve">Sample Workflow</w:t>
      </w:r>
      <w:r/>
      <w:bookmarkEnd w:id="222"/>
      <w:r/>
      <w:r/>
    </w:p>
    <w:p>
      <w:pPr>
        <w:pStyle w:val="658"/>
      </w:pPr>
      <w:r>
        <w:t xml:space="preserve">To better understand this, we describe a sample workflow in the figure below which uses a</w:t>
      </w:r>
      <w:r>
        <w:t xml:space="preserve"> </w:t>
      </w:r>
      <w:r>
        <w:t xml:space="preserve">‘</w:t>
      </w:r>
      <w:r>
        <w:t xml:space="preserve">raw</w:t>
      </w:r>
      <w:r>
        <w:t xml:space="preserve">’</w:t>
      </w:r>
      <w:r>
        <w:t xml:space="preserve"> </w:t>
      </w:r>
      <w:r>
        <w:rPr>
          <w:rStyle w:val="687"/>
        </w:rPr>
        <w:t xml:space="preserve">counts</w:t>
      </w:r>
      <w:r>
        <w:t xml:space="preserve"> </w:t>
      </w:r>
      <w:r>
        <w:t xml:space="preserve">matrix as a starting point enclosed in a</w:t>
      </w:r>
      <w:r>
        <w:t xml:space="preserve"> </w:t>
      </w:r>
      <w:r>
        <w:rPr>
          <w:rStyle w:val="687"/>
        </w:rPr>
        <w:t xml:space="preserve">SingleCellExperiment</w:t>
      </w:r>
      <w:r>
        <w:t xml:space="preserve"> </w:t>
      </w:r>
      <w:r>
        <w:t xml:space="preserve">object with features/genes in the rows and samples/cells in the columns.</w:t>
      </w:r>
      <w:r/>
    </w:p>
    <w:p>
      <w:pPr>
        <w:pStyle w:val="657"/>
      </w:pPr>
      <w:r>
        <mc:AlternateContent>
          <mc:Choice Requires="wpg">
            <w:drawing>
              <wp:inline xmlns:wp="http://schemas.openxmlformats.org/drawingml/2006/wordprocessingDrawing" distT="0" distB="0" distL="0" distR="0">
                <wp:extent cx="5334000" cy="2252428"/>
                <wp:effectExtent l="0" t="0" r="0" b="0"/>
                <wp:docPr id="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descr="motivation.png" hidden="0"/>
                        <pic:cNvPicPr>
                          <a:picLocks noChangeAspect="1" noChangeArrowheads="1"/>
                        </pic:cNvPicPr>
                        <pic:nvPr isPhoto="0" userDrawn="0"/>
                      </pic:nvPicPr>
                      <pic:blipFill>
                        <a:blip r:embed="rId14"/>
                        <a:stretch/>
                      </pic:blipFill>
                      <pic:spPr bwMode="auto">
                        <a:xfrm>
                          <a:off x="0" y="0"/>
                          <a:ext cx="5334000" cy="225242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20.0pt;height:177.4pt;" stroked="f" strokeweight="0.75pt">
                <v:path textboxrect="0,0,0,0"/>
                <v:imagedata r:id="rId14" o:title=""/>
              </v:shape>
            </w:pict>
          </mc:Fallback>
        </mc:AlternateContent>
      </w:r>
      <w:r>
        <w:t xml:space="preserve"> </w:t>
      </w:r>
      <w:r/>
    </w:p>
    <w:p>
      <w:pPr>
        <w:pStyle w:val="681"/>
      </w:pPr>
      <w:r>
        <w:t xml:space="preserve">Figure </w:t>
      </w:r>
      <w:r>
        <w:fldChar w:fldCharType="begin"/>
        <w:instrText xml:space="preserve"> SEQ Figure \* Arabic </w:instrText>
        <w:fldChar w:fldCharType="separate"/>
      </w:r>
      <w:r>
        <w:t xml:space="preserve">3</w:t>
      </w:r>
      <w:r/>
      <w:r>
        <w:fldChar w:fldCharType="end"/>
      </w:r>
      <w:r>
        <w:t xml:space="preserve"> In this sample workflow, the initial data matrices undergo various transformations during the analysis starting from raw counts to clustering and dimensionality reduction. The interesting thing to note is the number of steps where additional objects are required due to the limitation imposed by the Experiment classes. The 'object' count at the bottom of the figure highlights the number of objects currently in use at each step of the workflow. </w:t>
      </w:r>
      <w:r/>
    </w:p>
    <w:p>
      <w:pPr>
        <w:pStyle w:val="657"/>
      </w:pPr>
      <w:r/>
      <w:r>
        <w:t xml:space="preserve">In this specific workflow, the</w:t>
      </w:r>
      <w:r>
        <w:t xml:space="preserve"> </w:t>
      </w:r>
      <w:r>
        <w:rPr>
          <w:rStyle w:val="687"/>
        </w:rPr>
        <w:t xml:space="preserve">counts</w:t>
      </w:r>
      <w:r>
        <w:t xml:space="preserve"> </w:t>
      </w:r>
      <w:r>
        <w:t xml:space="preserve">matrix is filtered to remove the empty droplets and is further filtered to remove the poor quality samples/cells</w:t>
      </w:r>
      <w:r>
        <w:t xml:space="preserve"> based on some specific criteria, possibly removing the cells with low column sums. The filtered matrix could then undergo normalization/transformation and eventually be scaled which can then be used for the extraction of the top most highly variable genes</w:t>
      </w:r>
      <w:r>
        <w:t xml:space="preserve">. At this point in the workflow, both the complete scaled matrix as well as the matrix against just the top variable genes could be used separately in the downstream analysis which may include a number of things like dimensionality reduction and/or cluster</w:t>
      </w:r>
      <w:r>
        <w:t xml:space="preserve">ing. Additionally, one could potentially just use a subset of the samples/cells for downstream analysis, for example one may particularly be interested in performing the downstream analysis with just a specific type of cells (e.g. T-Cells in pbmc dataset).</w:t>
      </w:r>
      <w:r/>
    </w:p>
    <w:p>
      <w:pPr>
        <w:pStyle w:val="657"/>
      </w:pPr>
      <w:r>
        <w:t xml:space="preserve">To understand the issues with this approach, we con</w:t>
      </w:r>
      <w:r>
        <w:t xml:space="preserve">sider the number of subsets that are created in this workflow. During this workflow, first subset was created when empty droplets were removed, a second subset was created when poor quality samples were removed, a third subset was created when specific typ</w:t>
      </w:r>
      <w:r>
        <w:t xml:space="preserve">e of cells were used (T-Cells) and finally a fourth subset was created when the top most variable genes were separated for downstream analysis. Since the manipulation of subsets is not possible with the currently available data-containers/classes, this res</w:t>
      </w:r>
      <w:r>
        <w:t xml:space="preserve">ults in the creation of five objects just for this sample workflow where some of the objects are retaining the redundant data and thus not result in higher memory consumption in terms of object sizes but also creates complexity in terms of data provenance.</w:t>
      </w:r>
      <w:bookmarkEnd w:id="35"/>
      <w:r/>
    </w:p>
    <w:p>
      <w:pPr>
        <w:pStyle w:val="668"/>
      </w:pPr>
      <w:r/>
      <w:bookmarkStart w:id="223" w:name="_Toc23"/>
      <w:r/>
      <w:bookmarkStart w:id="38" w:name="singlecelltk"/>
      <w:r>
        <w:t xml:space="preserve">singleCellTK</w:t>
      </w:r>
      <w:r/>
      <w:bookmarkEnd w:id="223"/>
      <w:r/>
      <w:r/>
    </w:p>
    <w:p>
      <w:pPr>
        <w:pStyle w:val="658"/>
      </w:pPr>
      <w:r>
        <w:t xml:space="preserve">The singleCellTK</w:t>
      </w:r>
      <w:r>
        <w:t xml:space="preserve"> </w:t>
      </w:r>
      <w:r>
        <w:t xml:space="preserve">[26]</w:t>
      </w:r>
      <w:r>
        <w:t xml:space="preserve"> </w:t>
      </w:r>
      <w:r>
        <w:t xml:space="preserve">is an R-based toolkit that integrates a number of tools and algorithms for the analysis</w:t>
      </w:r>
      <w:r>
        <w:t xml:space="preserve"> of single cell sequencing data either through a console-based pipeline or through the R-shiny interactive user-interface which is accessible through the toolkit R package. The quality control workflow pipeline through the singleCellTK is visualized below:</w:t>
      </w:r>
      <w:r/>
    </w:p>
    <w:p>
      <w:pPr>
        <w:pStyle w:val="657"/>
      </w:pPr>
      <w:r>
        <mc:AlternateContent>
          <mc:Choice Requires="wpg">
            <w:drawing>
              <wp:inline xmlns:wp="http://schemas.openxmlformats.org/drawingml/2006/wordprocessingDrawing" distT="0" distB="0" distL="0" distR="0">
                <wp:extent cx="3901440" cy="1947672"/>
                <wp:effectExtent l="0" t="0" r="0" b="0"/>
                <wp:docPr id="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descr="sctk_qc.png" hidden="0"/>
                        <pic:cNvPicPr>
                          <a:picLocks noChangeAspect="1" noChangeArrowheads="1"/>
                        </pic:cNvPicPr>
                        <pic:nvPr isPhoto="0" userDrawn="0"/>
                      </pic:nvPicPr>
                      <pic:blipFill>
                        <a:blip r:embed="rId15"/>
                        <a:stretch/>
                      </pic:blipFill>
                      <pic:spPr bwMode="auto">
                        <a:xfrm>
                          <a:off x="0" y="0"/>
                          <a:ext cx="3901440" cy="19476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07.2pt;height:153.4pt;" stroked="f" strokeweight="0.75pt">
                <v:path textboxrect="0,0,0,0"/>
                <v:imagedata r:id="rId15" o:title=""/>
              </v:shape>
            </w:pict>
          </mc:Fallback>
        </mc:AlternateContent>
      </w:r>
      <w:r/>
    </w:p>
    <w:p>
      <w:pPr>
        <w:pStyle w:val="681"/>
      </w:pPr>
      <w:r>
        <w:t xml:space="preserve">Figure </w:t>
      </w:r>
      <w:r>
        <w:fldChar w:fldCharType="begin"/>
        <w:instrText xml:space="preserve"> SEQ Figure \* Arabic </w:instrText>
        <w:fldChar w:fldCharType="separate"/>
      </w:r>
      <w:r>
        <w:t xml:space="preserve">4</w:t>
      </w:r>
      <w:r/>
      <w:r>
        <w:fldChar w:fldCharType="end"/>
      </w:r>
      <w:r>
        <w:t xml:space="preserve"> The singleCellTK follows a comprehensive workflow starting from data import, performing quality control analysis and finally output in various formats for users to import in other tools and packages. </w:t>
      </w:r>
      <w:r/>
    </w:p>
    <w:p>
      <w:pPr>
        <w:pStyle w:val="657"/>
      </w:pPr>
      <w:r>
        <w:t xml:space="preserve">The pipeline allows import of data from multiple single cell data generation tools and facilitates the use</w:t>
      </w:r>
      <w:r>
        <w:t xml:space="preserve">r by processing them through multiple quality control algorithms and finally provides a comprehensive html report for users to visualize and understand the results. For the non-computational users, R-shiny based web application is available that lets the u</w:t>
      </w:r>
      <w:r>
        <w:t xml:space="preserve">sers do everything in the pipeline but without the complexities of the code by just using the user-interface to handle data import, processing and finally the results. The user-interface of the singleCellTK quality control analysis pipeline is given below:</w:t>
      </w:r>
      <w:r/>
    </w:p>
    <w:p>
      <w:pPr>
        <w:pStyle w:val="657"/>
      </w:pPr>
      <w:r>
        <mc:AlternateContent>
          <mc:Choice Requires="wpg">
            <w:drawing>
              <wp:inline xmlns:wp="http://schemas.openxmlformats.org/drawingml/2006/wordprocessingDrawing" distT="0" distB="0" distL="0" distR="0">
                <wp:extent cx="2359152" cy="3901440"/>
                <wp:effectExtent l="0" t="0" r="0" b="0"/>
                <wp:docPr id="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descr="sctk_qc_ui.png" hidden="0"/>
                        <pic:cNvPicPr>
                          <a:picLocks noChangeAspect="1" noChangeArrowheads="1"/>
                        </pic:cNvPicPr>
                        <pic:nvPr isPhoto="0" userDrawn="0"/>
                      </pic:nvPicPr>
                      <pic:blipFill>
                        <a:blip r:embed="rId16"/>
                        <a:stretch/>
                      </pic:blipFill>
                      <pic:spPr bwMode="auto">
                        <a:xfrm>
                          <a:off x="0" y="0"/>
                          <a:ext cx="2359152" cy="390144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5.8pt;height:307.2pt;" stroked="f" strokeweight="0.75pt">
                <v:path textboxrect="0,0,0,0"/>
                <v:imagedata r:id="rId16" o:title=""/>
              </v:shape>
            </w:pict>
          </mc:Fallback>
        </mc:AlternateContent>
      </w:r>
      <w:r/>
    </w:p>
    <w:p>
      <w:pPr>
        <w:pStyle w:val="681"/>
      </w:pPr>
      <w:r>
        <w:t xml:space="preserve">Figure </w:t>
      </w:r>
      <w:r>
        <w:fldChar w:fldCharType="begin"/>
        <w:instrText xml:space="preserve"> SEQ Figure \* Arabic </w:instrText>
        <w:fldChar w:fldCharType="separate"/>
      </w:r>
      <w:r>
        <w:t xml:space="preserve">5</w:t>
      </w:r>
      <w:r/>
      <w:r>
        <w:fldChar w:fldCharType="end"/>
      </w:r>
      <w:r>
        <w:t xml:space="preserve"> A screenshot of the user-interface of the singleCellTK illustrates various components of the quality control analysis integrated within the interface for easier usage including multiple algorithms and visualizations. </w:t>
      </w:r>
      <w:r/>
    </w:p>
    <w:p>
      <w:pPr>
        <w:pStyle w:val="657"/>
      </w:pPr>
      <w:r>
        <w:t xml:space="preserve">The singleCellTK is an ambitious project that not only incl</w:t>
      </w:r>
      <w:r>
        <w:t xml:space="preserve">udes the quality control algorithms, but also a whole infrastructure to run analysis on single cell data including all tasks of a typical analysis pipeline such as data import, data manipulation, normalization, scaling, feature selection, dimensionality re</w:t>
      </w:r>
      <w:r>
        <w:t xml:space="preserve">duction, differential expression, clustering and visualization of results generated by these tasks. Additionally, the toolkit also integrates pre-built curated processing pipelines and workflows for easier access such as the celda and the seurat workflows.</w:t>
      </w:r>
      <w:r/>
    </w:p>
    <w:p>
      <w:pPr>
        <w:pStyle w:val="657"/>
      </w:pPr>
      <w:r>
        <w:t xml:space="preserve">In the development of such toolkits, particularly for RNA sequencing expression data, we observe that many steps in the typical pipelines and workflows (such as the quality control pipeline visualized in figure above) subsets of the </w:t>
      </w:r>
      <w:r>
        <w:t xml:space="preserve">data are a common occurrence. For example, in the pipeline visualized in the figure, the input data after passing through a quality control algorithm may result in retaining a particular set of rows/columns of the original data which may result in multiple</w:t>
      </w:r>
      <w:r>
        <w:t xml:space="preserve"> objects to be used in the downstream analysis. Furthermore, many other tasks in these tools, such as feature selection (rows) may also result in the creation of new objects because of the difference in the dimensions of the original and processed objects.</w:t>
      </w:r>
      <w:r/>
    </w:p>
    <w:p>
      <w:pPr>
        <w:pStyle w:val="657"/>
      </w:pPr>
      <w:r>
        <w:t xml:space="preserve">Therefore, in the development of the toolkit, these issues</w:t>
      </w:r>
      <w:r>
        <w:t xml:space="preserve"> not only increase the complexity of the underlying code due to the handling of multiple objects in the downstream analysis but additionally increase the memory usage in terms of object sizes due to the multiple number of objects being used in the toolkit.</w:t>
      </w:r>
      <w:bookmarkEnd w:id="38"/>
      <w:bookmarkEnd w:id="39"/>
      <w:r/>
    </w:p>
    <w:p>
      <w:pPr>
        <w:pStyle w:val="667"/>
      </w:pPr>
      <w:r/>
      <w:bookmarkStart w:id="224" w:name="_Toc24"/>
      <w:r/>
      <w:bookmarkStart w:id="40" w:name="problem-statement"/>
      <w:r>
        <w:t xml:space="preserve">Problem statement</w:t>
      </w:r>
      <w:r/>
      <w:bookmarkEnd w:id="224"/>
      <w:r/>
      <w:r/>
    </w:p>
    <w:p>
      <w:pPr>
        <w:pStyle w:val="658"/>
      </w:pPr>
      <w:r>
        <w:t xml:space="preserve">The available data-structure classes for manipulation of high-throughput sequencing data do not support storage, m</w:t>
      </w:r>
      <w:r>
        <w:t xml:space="preserve">anagement and provenance tracking of subsets of the data which are quite common in a typical analysis workflow. Therefore, there is a need to develop a data-structure class that can efficiently manage subsets of such data while maintaining data provenance.</w:t>
      </w:r>
      <w:bookmarkEnd w:id="40"/>
      <w:r/>
    </w:p>
    <w:p>
      <w:pPr>
        <w:pStyle w:val="667"/>
      </w:pPr>
      <w:r/>
      <w:bookmarkStart w:id="225" w:name="_Toc25"/>
      <w:r/>
      <w:bookmarkStart w:id="41" w:name="research-objectives"/>
      <w:r>
        <w:t xml:space="preserve">Research objectives</w:t>
      </w:r>
      <w:r/>
      <w:bookmarkEnd w:id="225"/>
      <w:r/>
      <w:r/>
    </w:p>
    <w:p>
      <w:pPr>
        <w:pStyle w:val="659"/>
        <w:numPr>
          <w:ilvl w:val="0"/>
          <w:numId w:val="2"/>
        </w:numPr>
      </w:pPr>
      <w:r>
        <w:t xml:space="preserve">Development of a data container that supports storage of subsets of sequencing data and allows efficient manipulation of subsets while significantly reducing the memory footprint.</w:t>
      </w:r>
      <w:r/>
    </w:p>
    <w:p>
      <w:pPr>
        <w:pStyle w:val="659"/>
        <w:numPr>
          <w:ilvl w:val="0"/>
          <w:numId w:val="2"/>
        </w:numPr>
      </w:pPr>
      <w:r>
        <w:t xml:space="preserve">Interface to the user must be same as offered by other</w:t>
      </w:r>
      <w:r>
        <w:t xml:space="preserve"> </w:t>
      </w:r>
      <w:r>
        <w:rPr>
          <w:rStyle w:val="687"/>
        </w:rPr>
        <w:t xml:space="preserve">Experiment</w:t>
      </w:r>
      <w:r>
        <w:t xml:space="preserve"> </w:t>
      </w:r>
      <w:r>
        <w:t xml:space="preserve">classes to ensure easy replacement of existing code with the new package.</w:t>
      </w:r>
      <w:r/>
    </w:p>
    <w:p>
      <w:pPr>
        <w:pStyle w:val="659"/>
        <w:numPr>
          <w:ilvl w:val="0"/>
          <w:numId w:val="2"/>
        </w:numPr>
      </w:pPr>
      <w:r>
        <w:t xml:space="preserve">Ensure conservation of memory by eliminating the need to store redundant data values against all the data</w:t>
      </w:r>
      <w:r>
        <w:t xml:space="preserve"> </w:t>
      </w:r>
      <w:r>
        <w:rPr>
          <w:rStyle w:val="687"/>
        </w:rPr>
        <w:t xml:space="preserve">assays</w:t>
      </w:r>
      <w:r>
        <w:t xml:space="preserve">,</w:t>
      </w:r>
      <w:r>
        <w:t xml:space="preserve"> </w:t>
      </w:r>
      <w:r>
        <w:rPr>
          <w:rStyle w:val="687"/>
        </w:rPr>
        <w:t xml:space="preserve">rowData</w:t>
      </w:r>
      <w:r>
        <w:t xml:space="preserve"> </w:t>
      </w:r>
      <w:r>
        <w:t xml:space="preserve">and</w:t>
      </w:r>
      <w:r>
        <w:t xml:space="preserve"> </w:t>
      </w:r>
      <w:r>
        <w:rPr>
          <w:rStyle w:val="687"/>
        </w:rPr>
        <w:t xml:space="preserve">colData</w:t>
      </w:r>
      <w:r>
        <w:t xml:space="preserve">, by using pointers to the existing data whenever and wherever possible.</w:t>
      </w:r>
      <w:r/>
    </w:p>
    <w:p>
      <w:pPr>
        <w:pStyle w:val="659"/>
        <w:numPr>
          <w:ilvl w:val="0"/>
          <w:numId w:val="2"/>
        </w:numPr>
      </w:pPr>
      <w:r>
        <w:t xml:space="preserve">Provenance tracking to ensure that the origin of the data can easily be tracked.</w:t>
      </w:r>
      <w:r/>
    </w:p>
    <w:p>
      <w:pPr>
        <w:pStyle w:val="659"/>
        <w:numPr>
          <w:ilvl w:val="0"/>
          <w:numId w:val="2"/>
        </w:numPr>
      </w:pPr>
      <w:r>
        <w:t xml:space="preserve">Apply this data container to commonly used analysis workflows and show how efficiently it manages subsets of data from within a single object while conserving memory.</w:t>
      </w:r>
      <w:bookmarkEnd w:id="41"/>
      <w:r/>
    </w:p>
    <w:p>
      <w:pPr>
        <w:pStyle w:val="667"/>
      </w:pPr>
      <w:r/>
      <w:bookmarkStart w:id="226" w:name="_Toc26"/>
      <w:r/>
      <w:bookmarkStart w:id="42" w:name="research-question"/>
      <w:r>
        <w:t xml:space="preserve">Research question</w:t>
      </w:r>
      <w:r/>
      <w:bookmarkEnd w:id="226"/>
      <w:r/>
      <w:r/>
    </w:p>
    <w:p>
      <w:pPr>
        <w:pStyle w:val="658"/>
      </w:pPr>
      <w:r>
        <w:t xml:space="preserve">How can we develop a data-structure that can efficiently manage subsets of high-throughput genomic data while preserving data provenance and ensuring no additional redundant data is stored?</w:t>
      </w:r>
      <w:bookmarkEnd w:id="42"/>
      <w:r/>
    </w:p>
    <w:p>
      <w:pPr>
        <w:pStyle w:val="667"/>
      </w:pPr>
      <w:r/>
      <w:bookmarkStart w:id="227" w:name="_Toc27"/>
      <w:r/>
      <w:bookmarkStart w:id="43" w:name="scope-of-research"/>
      <w:r>
        <w:t xml:space="preserve">Scope of research</w:t>
      </w:r>
      <w:r/>
      <w:bookmarkEnd w:id="227"/>
      <w:r/>
      <w:r/>
    </w:p>
    <w:p>
      <w:pPr>
        <w:pStyle w:val="659"/>
        <w:numPr>
          <w:ilvl w:val="0"/>
          <w:numId w:val="3"/>
        </w:numPr>
      </w:pPr>
      <w:r>
        <w:t xml:space="preserve">The proposed data-container shall be available as an R package through the</w:t>
      </w:r>
      <w:r>
        <w:t xml:space="preserve"> </w:t>
      </w:r>
      <w:r>
        <w:rPr>
          <w:rStyle w:val="687"/>
        </w:rPr>
        <w:t xml:space="preserve">Bioconductor</w:t>
      </w:r>
      <w:r>
        <w:t xml:space="preserve"> </w:t>
      </w:r>
      <w:r>
        <w:t xml:space="preserve">repository accompanying a</w:t>
      </w:r>
      <w:r>
        <w:t xml:space="preserve"> </w:t>
      </w:r>
      <w:r>
        <w:rPr>
          <w:rStyle w:val="687"/>
        </w:rPr>
        <w:t xml:space="preserve">vignette</w:t>
      </w:r>
      <w:r>
        <w:t xml:space="preserve"> </w:t>
      </w:r>
      <w:r>
        <w:t xml:space="preserve">that illustrates the description and common usage of the available methods with examples.</w:t>
      </w:r>
      <w:r/>
    </w:p>
    <w:p>
      <w:pPr>
        <w:pStyle w:val="659"/>
        <w:numPr>
          <w:ilvl w:val="0"/>
          <w:numId w:val="3"/>
        </w:numPr>
      </w:pPr>
      <w:r>
        <w:t xml:space="preserve">Inheritance from the commonly used data-containers shall ensure that interface is offered to the users for manipulation is same as the input class.</w:t>
      </w:r>
      <w:r/>
    </w:p>
    <w:p>
      <w:pPr>
        <w:pStyle w:val="659"/>
        <w:numPr>
          <w:ilvl w:val="0"/>
          <w:numId w:val="3"/>
        </w:numPr>
      </w:pPr>
      <w:r>
        <w:t xml:space="preserve">Single Cell RNA Sequencing data is the primary data supported by the package, yet all</w:t>
      </w:r>
      <w:r>
        <w:t xml:space="preserve"> </w:t>
      </w:r>
      <w:r>
        <w:rPr>
          <w:rStyle w:val="687"/>
        </w:rPr>
        <w:t xml:space="preserve">Bioconductor</w:t>
      </w:r>
      <w:r>
        <w:t xml:space="preserve"> </w:t>
      </w:r>
      <w:r>
        <w:t xml:space="preserve">experiment datasets should work fine if they follow the experiment design of the</w:t>
      </w:r>
      <w:r>
        <w:t xml:space="preserve"> </w:t>
      </w:r>
      <w:r>
        <w:rPr>
          <w:rStyle w:val="687"/>
        </w:rPr>
        <w:t xml:space="preserve">SingleCellExperiment</w:t>
      </w:r>
      <w:r>
        <w:t xml:space="preserve"> </w:t>
      </w:r>
      <w:r>
        <w:t xml:space="preserve">and</w:t>
      </w:r>
      <w:r>
        <w:t xml:space="preserve"> </w:t>
      </w:r>
      <w:r>
        <w:rPr>
          <w:rStyle w:val="687"/>
        </w:rPr>
        <w:t xml:space="preserve">SummarizedExperiment</w:t>
      </w:r>
      <w:r>
        <w:t xml:space="preserve"> </w:t>
      </w:r>
      <w:r>
        <w:t xml:space="preserve">classes i.e.,</w:t>
      </w:r>
      <w:r>
        <w:t xml:space="preserve"> </w:t>
      </w:r>
      <w:r>
        <w:rPr>
          <w:rStyle w:val="687"/>
        </w:rPr>
        <w:t xml:space="preserve">numeric</w:t>
      </w:r>
      <w:r>
        <w:t xml:space="preserve"> </w:t>
      </w:r>
      <w:r>
        <w:rPr>
          <w:rStyle w:val="687"/>
        </w:rPr>
        <w:t xml:space="preserve">matrices</w:t>
      </w:r>
      <w:r>
        <w:t xml:space="preserve"> </w:t>
      </w:r>
      <w:r>
        <w:t xml:space="preserve">for</w:t>
      </w:r>
      <w:r>
        <w:t xml:space="preserve"> </w:t>
      </w:r>
      <w:r>
        <w:rPr>
          <w:rStyle w:val="687"/>
        </w:rPr>
        <w:t xml:space="preserve">assay</w:t>
      </w:r>
      <w:r>
        <w:t xml:space="preserve"> </w:t>
      </w:r>
      <w:r>
        <w:t xml:space="preserve">data, and</w:t>
      </w:r>
      <w:r>
        <w:t xml:space="preserve"> </w:t>
      </w:r>
      <w:r>
        <w:rPr>
          <w:rStyle w:val="687"/>
        </w:rPr>
        <w:t xml:space="preserve">numeric</w:t>
      </w:r>
      <w:r>
        <w:t xml:space="preserve">/</w:t>
      </w:r>
      <w:r>
        <w:rPr>
          <w:rStyle w:val="687"/>
        </w:rPr>
        <w:t xml:space="preserve">character</w:t>
      </w:r>
      <w:r>
        <w:t xml:space="preserve"> </w:t>
      </w:r>
      <w:r>
        <w:rPr>
          <w:rStyle w:val="687"/>
        </w:rPr>
        <w:t xml:space="preserve">dataframes</w:t>
      </w:r>
      <w:r>
        <w:t xml:space="preserve"> </w:t>
      </w:r>
      <w:r>
        <w:t xml:space="preserve">for</w:t>
      </w:r>
      <w:r>
        <w:t xml:space="preserve"> </w:t>
      </w:r>
      <w:r>
        <w:rPr>
          <w:rStyle w:val="687"/>
        </w:rPr>
        <w:t xml:space="preserve">rowData</w:t>
      </w:r>
      <w:r>
        <w:t xml:space="preserve"> </w:t>
      </w:r>
      <w:r>
        <w:t xml:space="preserve">and</w:t>
      </w:r>
      <w:r>
        <w:t xml:space="preserve"> </w:t>
      </w:r>
      <w:r>
        <w:rPr>
          <w:rStyle w:val="687"/>
        </w:rPr>
        <w:t xml:space="preserve">colData</w:t>
      </w:r>
      <w:r>
        <w:t xml:space="preserve">.</w:t>
      </w:r>
      <w:r/>
    </w:p>
    <w:p>
      <w:pPr>
        <w:pStyle w:val="659"/>
        <w:numPr>
          <w:ilvl w:val="0"/>
          <w:numId w:val="3"/>
        </w:numPr>
      </w:pPr>
      <w:r>
        <w:t xml:space="preserve">Package shall be platform independent and should work with all operating systems supported by R language.</w:t>
      </w:r>
      <w:bookmarkEnd w:id="43"/>
      <w:r/>
    </w:p>
    <w:p>
      <w:pPr>
        <w:pStyle w:val="667"/>
      </w:pPr>
      <w:r/>
      <w:bookmarkStart w:id="228" w:name="_Toc28"/>
      <w:r/>
      <w:bookmarkStart w:id="44" w:name="application-of-proposed-research"/>
      <w:r>
        <w:t xml:space="preserve">Application of proposed research</w:t>
      </w:r>
      <w:r/>
      <w:bookmarkEnd w:id="228"/>
      <w:r/>
      <w:r/>
    </w:p>
    <w:p>
      <w:pPr>
        <w:pStyle w:val="658"/>
      </w:pPr>
      <w:r>
        <w:t xml:space="preserve">As the direct beneficiaries of our research, the analysts, researchers and developers, can indeed build analysis pipelines and workflows for genetic sequencing data in a much better, convenient and efficient m</w:t>
      </w:r>
      <w:r>
        <w:t xml:space="preserve">anner by using our approach as a drop-in replacement and a building block for already available containers for such data that often include subsets of such data. Indirectly, it is the patients and the general public that is the recipient of the outcomes of</w:t>
      </w:r>
      <w:r>
        <w:t xml:space="preserve"> the research of this advancement and consequent improvements in such approaches, including ours that impacts the disease prognosis, its outcome and its treatment. While the abstract utility of our proposal lies in Bioinformatics (particularly in biologica</w:t>
      </w:r>
      <w:r>
        <w:t xml:space="preserve">l data mining and analysis), the proposed implementation and the direct application indeed acquires knowledge from a range of multidisciplinary domains (data mining, computational biology and statistics) all of which have a common root in computer science.</w:t>
      </w:r>
      <w:bookmarkEnd w:id="44"/>
      <w:r/>
    </w:p>
    <w:p>
      <w:pPr>
        <w:pStyle w:val="667"/>
      </w:pPr>
      <w:r/>
      <w:bookmarkStart w:id="229" w:name="_Toc29"/>
      <w:r/>
      <w:bookmarkStart w:id="45" w:name="thesis-outline"/>
      <w:r>
        <w:t xml:space="preserve">Thesis outline</w:t>
      </w:r>
      <w:r/>
      <w:bookmarkEnd w:id="229"/>
      <w:r/>
      <w:r/>
    </w:p>
    <w:p>
      <w:pPr>
        <w:pStyle w:val="659"/>
        <w:numPr>
          <w:ilvl w:val="0"/>
          <w:numId w:val="4"/>
        </w:numPr>
      </w:pPr>
      <w:r>
        <w:t xml:space="preserve">Chapter 1: Deals with the introduction, basic terminologies, background knowledge, problem statement, research objectives, research question and scope of the research.</w:t>
      </w:r>
      <w:r/>
    </w:p>
    <w:p>
      <w:pPr>
        <w:pStyle w:val="659"/>
        <w:numPr>
          <w:ilvl w:val="0"/>
          <w:numId w:val="4"/>
        </w:numPr>
      </w:pPr>
      <w:r>
        <w:t xml:space="preserve">Chapter 2: Discusses the literature review according to the existing packages/containers available for manipulation of sequencing or expression data.</w:t>
      </w:r>
      <w:r/>
    </w:p>
    <w:p>
      <w:pPr>
        <w:pStyle w:val="659"/>
        <w:numPr>
          <w:ilvl w:val="0"/>
          <w:numId w:val="4"/>
        </w:numPr>
      </w:pPr>
      <w:r>
        <w:t xml:space="preserve">Chapter 3: Deals with the detailed description of proposed research methodology from package design to implementation.</w:t>
      </w:r>
      <w:r/>
    </w:p>
    <w:p>
      <w:pPr>
        <w:pStyle w:val="659"/>
        <w:numPr>
          <w:ilvl w:val="0"/>
          <w:numId w:val="4"/>
        </w:numPr>
      </w:pPr>
      <w:r>
        <w:t xml:space="preserve">Chapter 4: Deals with the representation and discussion of results.</w:t>
      </w:r>
      <w:r/>
    </w:p>
    <w:p>
      <w:pPr>
        <w:pStyle w:val="659"/>
        <w:numPr>
          <w:ilvl w:val="0"/>
          <w:numId w:val="4"/>
        </w:numPr>
      </w:pPr>
      <w:r>
        <w:t xml:space="preserve">Chapter 5: Discusses the conclusion, limitation, and future work.</w:t>
      </w:r>
      <w:bookmarkEnd w:id="45"/>
      <w:bookmarkEnd w:id="46"/>
      <w:r/>
    </w:p>
    <w:p>
      <w:pPr>
        <w:pStyle w:val="666"/>
      </w:pPr>
      <w:r/>
      <w:bookmarkStart w:id="230" w:name="_Toc30"/>
      <w:r/>
      <w:bookmarkStart w:id="60" w:name="literature-review"/>
      <w:r>
        <w:t xml:space="preserve">Literature Review</w:t>
      </w:r>
      <w:r/>
      <w:bookmarkEnd w:id="230"/>
      <w:r/>
      <w:r/>
    </w:p>
    <w:p>
      <w:pPr>
        <w:pStyle w:val="658"/>
      </w:pPr>
      <w:r>
        <w:t xml:space="preserve">In a typical genomic experiment, a matrix-type data-structure represents the data extracted from the experiment, where the rows of this matrix-type data-structure represent the gen</w:t>
      </w:r>
      <w:r>
        <w:t xml:space="preserve">es or features and columns represent the samples. The row-column intersection of such a matrix records the data-value for that gene in the row against a sample. The data-value can be either the expression value of a gene in the case of microarray data or c</w:t>
      </w:r>
      <w:r>
        <w:t xml:space="preserve">ounts of a gene if the data is from a sequencing experiment. Additionally, these values may also represent transformed data, such as when the matrix undergoes log-transformation, normalization, or scaling as per the requirements of the downstream analysis.</w:t>
      </w:r>
      <w:r/>
    </w:p>
    <w:p>
      <w:pPr>
        <w:pStyle w:val="657"/>
      </w:pPr>
      <w:r>
        <w:rPr>
          <w:rStyle w:val="687"/>
        </w:rPr>
        <w:t xml:space="preserve">SummarizedExperiment</w:t>
      </w:r>
      <w:r>
        <w:t xml:space="preserve"> </w:t>
      </w:r>
      <w:r>
        <w:t xml:space="preserve">[11]</w:t>
      </w:r>
      <w:r>
        <w:t xml:space="preserve"> </w:t>
      </w:r>
      <w:r>
        <w:t xml:space="preserve">originally proposed to serve as an all-in-one container for sequencing data supports the storage and manipulation of multiple data</w:t>
      </w:r>
      <w:r>
        <w:t xml:space="preserve"> </w:t>
      </w:r>
      <w:r>
        <w:rPr>
          <w:rStyle w:val="687"/>
        </w:rPr>
        <w:t xml:space="preserve">assays</w:t>
      </w:r>
      <w:r>
        <w:t xml:space="preserve"> </w:t>
      </w:r>
      <w:r>
        <w:t xml:space="preserve">as well as</w:t>
      </w:r>
      <w:r>
        <w:t xml:space="preserve"> </w:t>
      </w:r>
      <w:r>
        <w:rPr>
          <w:rStyle w:val="687"/>
        </w:rPr>
        <w:t xml:space="preserve">rowData</w:t>
      </w:r>
      <w:r>
        <w:t xml:space="preserve"> </w:t>
      </w:r>
      <w:r>
        <w:t xml:space="preserve">and</w:t>
      </w:r>
      <w:r>
        <w:t xml:space="preserve"> </w:t>
      </w:r>
      <w:r>
        <w:rPr>
          <w:rStyle w:val="687"/>
        </w:rPr>
        <w:t xml:space="preserve">colData</w:t>
      </w:r>
      <w:r>
        <w:t xml:space="preserve">.</w:t>
      </w:r>
      <w:r>
        <w:t xml:space="preserve"> </w:t>
      </w:r>
      <w:r>
        <w:rPr>
          <w:rStyle w:val="687"/>
        </w:rPr>
        <w:t xml:space="preserve">SummarizedExperiment</w:t>
      </w:r>
      <w:r>
        <w:t xml:space="preserve"> </w:t>
      </w:r>
      <w:r>
        <w:t xml:space="preserve">follows the</w:t>
      </w:r>
      <w:r>
        <w:t xml:space="preserve"> </w:t>
      </w:r>
      <w:r>
        <w:rPr>
          <w:rStyle w:val="687"/>
        </w:rPr>
        <w:t xml:space="preserve">ExpressionSet</w:t>
      </w:r>
      <w:r>
        <w:t xml:space="preserve"> </w:t>
      </w:r>
      <w:r>
        <w:t xml:space="preserve">[27]</w:t>
      </w:r>
      <w:r>
        <w:t xml:space="preserve"> </w:t>
      </w:r>
      <w:r>
        <w:t xml:space="preserve">class available for microarray experiments, technically following a similar structure but allows more flexible manipulation in terms of management of additional assays and feature information within a single object. Built on top of</w:t>
      </w:r>
      <w:r>
        <w:t xml:space="preserve"> </w:t>
      </w:r>
      <w:r>
        <w:rPr>
          <w:rStyle w:val="687"/>
        </w:rPr>
        <w:t xml:space="preserve">SummarizedExperiment</w:t>
      </w:r>
      <w:r>
        <w:t xml:space="preserve"> </w:t>
      </w:r>
      <w:r>
        <w:t xml:space="preserve">(more accurately the</w:t>
      </w:r>
      <w:r>
        <w:t xml:space="preserve"> </w:t>
      </w:r>
      <w:r>
        <w:rPr>
          <w:rStyle w:val="687"/>
        </w:rPr>
        <w:t xml:space="preserve">RangedSummarizedExperiment</w:t>
      </w:r>
      <w:r>
        <w:t xml:space="preserve"> </w:t>
      </w:r>
      <w:r>
        <w:t xml:space="preserve">class) is the</w:t>
      </w:r>
      <w:r>
        <w:t xml:space="preserve"> </w:t>
      </w:r>
      <w:r>
        <w:rPr>
          <w:rStyle w:val="687"/>
        </w:rPr>
        <w:t xml:space="preserve">SingleCellExperiment</w:t>
      </w:r>
      <w:r>
        <w:t xml:space="preserve"> </w:t>
      </w:r>
      <w:r>
        <w:t xml:space="preserve">[12]</w:t>
      </w:r>
      <w:r>
        <w:t xml:space="preserve"> </w:t>
      </w:r>
      <w:r>
        <w:t xml:space="preserve">class that in addition to the features offered by the former, allows the storage of dimensionality reduction computations. Moreover,</w:t>
      </w:r>
      <w:r>
        <w:t xml:space="preserve"> </w:t>
      </w:r>
      <w:r>
        <w:rPr>
          <w:rStyle w:val="687"/>
        </w:rPr>
        <w:t xml:space="preserve">SingleCellExperiment</w:t>
      </w:r>
      <w:r>
        <w:t xml:space="preserve"> </w:t>
      </w:r>
      <w:r>
        <w:t xml:space="preserve">class offers storage of alternate experiments such as in the case of spike-in transcripts</w:t>
      </w:r>
      <w:r>
        <w:t xml:space="preserve"> </w:t>
      </w:r>
      <w:r>
        <w:t xml:space="preserve">[28]</w:t>
      </w:r>
      <w:r>
        <w:t xml:space="preserve"> </w:t>
      </w:r>
      <w:r>
        <w:t xml:space="preserve">that have different dimensions from the original assays.</w:t>
      </w:r>
      <w:r/>
    </w:p>
    <w:p>
      <w:pPr>
        <w:pStyle w:val="657"/>
      </w:pPr>
      <w:r>
        <w:t xml:space="preserve">The design of both</w:t>
      </w:r>
      <w:r>
        <w:t xml:space="preserve"> </w:t>
      </w:r>
      <w:r>
        <w:rPr>
          <w:rStyle w:val="687"/>
        </w:rPr>
        <w:t xml:space="preserve">SingleCellExperiment</w:t>
      </w:r>
      <w:r>
        <w:t xml:space="preserve"> </w:t>
      </w:r>
      <w:r>
        <w:t xml:space="preserve">and</w:t>
      </w:r>
      <w:r>
        <w:t xml:space="preserve"> </w:t>
      </w:r>
      <w:r>
        <w:rPr>
          <w:rStyle w:val="687"/>
        </w:rPr>
        <w:t xml:space="preserve">SummarizedExperiment</w:t>
      </w:r>
      <w:r>
        <w:t xml:space="preserve"> </w:t>
      </w:r>
      <w:r>
        <w:t xml:space="preserve">mandates the use of the object from these classes as a container for a single experiment that can have multiple data assays. For example,</w:t>
      </w:r>
      <w:r>
        <w:t xml:space="preserve"> </w:t>
      </w:r>
      <w:r>
        <w:rPr>
          <w:rStyle w:val="687"/>
        </w:rPr>
        <w:t xml:space="preserve">PBMC3K</w:t>
      </w:r>
      <w:r>
        <w:t xml:space="preserve"> </w:t>
      </w:r>
      <w:r>
        <w:t xml:space="preserve">[19]</w:t>
      </w:r>
      <w:r>
        <w:t xml:space="preserve"> </w:t>
      </w:r>
      <w:r>
        <w:t xml:space="preserve">dataset has</w:t>
      </w:r>
      <w:r>
        <w:t xml:space="preserve"> </w:t>
      </w:r>
      <w:r>
        <w:rPr>
          <w:rStyle w:val="687"/>
        </w:rPr>
        <w:t xml:space="preserve">13714</w:t>
      </w:r>
      <w:r>
        <w:t xml:space="preserve"> </w:t>
      </w:r>
      <w:r>
        <w:t xml:space="preserve">features (genes) and</w:t>
      </w:r>
      <w:r>
        <w:t xml:space="preserve"> </w:t>
      </w:r>
      <w:r>
        <w:rPr>
          <w:rStyle w:val="687"/>
        </w:rPr>
        <w:t xml:space="preserve">2700</w:t>
      </w:r>
      <w:r>
        <w:t xml:space="preserve"> </w:t>
      </w:r>
      <w:r>
        <w:t xml:space="preserve">samples (cells) available for use and the data values are represented by</w:t>
      </w:r>
      <w:r>
        <w:t xml:space="preserve"> a counts matrix, each cell of which contains the number of molecules identified against a feature and a sample. This represents a single experiment and all relevant data for this experiment i.e. the actual data values as represented by the counts matrix (</w:t>
      </w:r>
      <w:r>
        <w:rPr>
          <w:rStyle w:val="687"/>
        </w:rPr>
        <w:t xml:space="preserve">assay</w:t>
      </w:r>
      <w:r>
        <w:t xml:space="preserve">), feature metadata (</w:t>
      </w:r>
      <w:r>
        <w:rPr>
          <w:rStyle w:val="687"/>
        </w:rPr>
        <w:t xml:space="preserve">rowData</w:t>
      </w:r>
      <w:r>
        <w:t xml:space="preserve">) and sample metadata (</w:t>
      </w:r>
      <w:r>
        <w:rPr>
          <w:rStyle w:val="687"/>
        </w:rPr>
        <w:t xml:space="preserve">colData</w:t>
      </w:r>
      <w:r>
        <w:t xml:space="preserve">), group together in a single</w:t>
      </w:r>
      <w:r>
        <w:t xml:space="preserve"> </w:t>
      </w:r>
      <w:r>
        <w:rPr>
          <w:rStyle w:val="687"/>
        </w:rPr>
        <w:t xml:space="preserve">SingleCellExperiment</w:t>
      </w:r>
      <w:r>
        <w:t xml:space="preserve"> </w:t>
      </w:r>
      <w:r>
        <w:t xml:space="preserve">or</w:t>
      </w:r>
      <w:r>
        <w:t xml:space="preserve"> </w:t>
      </w:r>
      <w:r>
        <w:rPr>
          <w:rStyle w:val="687"/>
        </w:rPr>
        <w:t xml:space="preserve">SummarizedExperiment</w:t>
      </w:r>
      <w:r>
        <w:t xml:space="preserve"> </w:t>
      </w:r>
      <w:r>
        <w:t xml:space="preserve">object. These classes allow the storage </w:t>
      </w:r>
      <w:r>
        <w:t xml:space="preserve">of multiple assays i.e. the transformed versions of counts matrix such as the scaled counts matrix or log transformed counts matrix, within a single object as they correspond to the same experiment. In doing so, both classes impose restrictions on the dime</w:t>
      </w:r>
      <w:r>
        <w:t xml:space="preserve">nsion of the objects and the data supported by these objects. For example, in the case of the generation of a subset of a counts matrix, as is the case of many analysis tasks such as during variable genes identification, these classes do not allow the stor</w:t>
      </w:r>
      <w:r>
        <w:t xml:space="preserve">age of the subset counts matrix corresponding only to the variable genes back into the original objects. Therefore, for this purpose, only a new object can handle this subset data which again is not only the subset counts matrix, but also the corresponding</w:t>
      </w:r>
      <w:r>
        <w:t xml:space="preserve"> </w:t>
      </w:r>
      <w:r>
        <w:rPr>
          <w:rStyle w:val="687"/>
        </w:rPr>
        <w:t xml:space="preserve">rowData</w:t>
      </w:r>
      <w:r>
        <w:t xml:space="preserve"> </w:t>
      </w:r>
      <w:r>
        <w:t xml:space="preserve">and</w:t>
      </w:r>
      <w:r>
        <w:t xml:space="preserve"> </w:t>
      </w:r>
      <w:r>
        <w:rPr>
          <w:rStyle w:val="687"/>
        </w:rPr>
        <w:t xml:space="preserve">colData</w:t>
      </w:r>
      <w:r>
        <w:t xml:space="preserve">.</w:t>
      </w:r>
      <w:r/>
    </w:p>
    <w:p>
      <w:pPr>
        <w:pStyle w:val="657"/>
      </w:pPr>
      <w:r>
        <w:t xml:space="preserve">When an experiment constitutes multiple observations having varying dimensions,</w:t>
      </w:r>
      <w:r>
        <w:t xml:space="preserve"> </w:t>
      </w:r>
      <w:r>
        <w:rPr>
          <w:rStyle w:val="687"/>
        </w:rPr>
        <w:t xml:space="preserve">MultiAssayExperiment</w:t>
      </w:r>
      <w:r>
        <w:t xml:space="preserve"> </w:t>
      </w:r>
      <w:r>
        <w:t xml:space="preserve">[29]</w:t>
      </w:r>
      <w:r>
        <w:t xml:space="preserve"> </w:t>
      </w:r>
      <w:r>
        <w:t xml:space="preserve">offers integration of these observations through the</w:t>
      </w:r>
      <w:r>
        <w:t xml:space="preserve"> </w:t>
      </w:r>
      <w:r>
        <w:rPr>
          <w:rStyle w:val="687"/>
        </w:rPr>
        <w:t xml:space="preserve">sampleMap</w:t>
      </w:r>
      <w:r>
        <w:t xml:space="preserve"> </w:t>
      </w:r>
      <w:r>
        <w:t xml:space="preserve">function available with the package. More intuitively, integration of datasets within a single object as offered by</w:t>
      </w:r>
      <w:r>
        <w:t xml:space="preserve"> </w:t>
      </w:r>
      <w:r>
        <w:rPr>
          <w:rStyle w:val="687"/>
        </w:rPr>
        <w:t xml:space="preserve">MultiAssayExperiment</w:t>
      </w:r>
      <w:r>
        <w:t xml:space="preserve"> </w:t>
      </w:r>
      <w:r>
        <w:t xml:space="preserve">is more oriented towards selection of features represented by a specific condition. For example, consider a scenario where huge amounts of data are </w:t>
      </w:r>
      <w:r>
        <w:t xml:space="preserve">available against a particular disease, yet it is extracted by different protocols thus resulting in non-uniform datasets as far as features, possible sub-types of diseases and the associated origin of the samples are concerned. Consider cancer for example</w:t>
      </w:r>
      <w:r>
        <w:t xml:space="preserve"> </w:t>
      </w:r>
      <w:r>
        <w:t xml:space="preserve">[30]</w:t>
      </w:r>
      <w:r>
        <w:t xml:space="preserve">, a heterogeneous disease that results in different progression and prognosis based upon different factors with geography being one of them. In this case,</w:t>
      </w:r>
      <w:r>
        <w:t xml:space="preserve"> </w:t>
      </w:r>
      <w:r>
        <w:rPr>
          <w:rStyle w:val="687"/>
        </w:rPr>
        <w:t xml:space="preserve">MultiAssayExperiment</w:t>
      </w:r>
      <w:r>
        <w:t xml:space="preserve"> </w:t>
      </w:r>
      <w:r>
        <w:t xml:space="preserve">offers easy integration of this diverse data with respect to a defined condition, such as the patient geography and allows usage of features only represented by this condition.</w:t>
      </w:r>
      <w:r/>
    </w:p>
    <w:p>
      <w:pPr>
        <w:pStyle w:val="657"/>
      </w:pPr>
      <w:r>
        <w:t xml:space="preserve">In addition to the above packages that primarily serve as a data-structure or a data-cont</w:t>
      </w:r>
      <w:r>
        <w:t xml:space="preserve">ainer for holding and manipulating genomic data such as scRNA-Seq data, some specific pipelines and toolkits developed for analysis of scRNA-Seq data also offer native objects for the same purpose. A widely used toolkit for analysis of scRNA-Seq data i.e. </w:t>
      </w:r>
      <w:r>
        <w:rPr>
          <w:rStyle w:val="687"/>
        </w:rPr>
        <w:t xml:space="preserve">Seurat</w:t>
      </w:r>
      <w:r>
        <w:t xml:space="preserve"> </w:t>
      </w:r>
      <w:r>
        <w:t xml:space="preserve">[24]</w:t>
      </w:r>
      <w:r>
        <w:t xml:space="preserve">[31]</w:t>
      </w:r>
      <w:r>
        <w:t xml:space="preserve">, provides a native</w:t>
      </w:r>
      <w:r>
        <w:t xml:space="preserve"> </w:t>
      </w:r>
      <w:r>
        <w:rPr>
          <w:rStyle w:val="687"/>
        </w:rPr>
        <w:t xml:space="preserve">Seurat</w:t>
      </w:r>
      <w:r>
        <w:t xml:space="preserve"> </w:t>
      </w:r>
      <w:r>
        <w:t xml:space="preserve">object for manipulation of data within the toolkit. </w:t>
      </w:r>
      <w:r>
        <w:t xml:space="preserve">While it offers flexibility in terms of storage of multiple assays without imposing restrictions on assay dimensions, little support outside of the toolkit makes it a less desirable option when compared with the dedicated containers such as the widely used</w:t>
      </w:r>
      <w:r>
        <w:t xml:space="preserve"> </w:t>
      </w:r>
      <w:r>
        <w:rPr>
          <w:rStyle w:val="687"/>
        </w:rPr>
        <w:t xml:space="preserve">SingleCellExperiment</w:t>
      </w:r>
      <w:r>
        <w:t xml:space="preserve"> </w:t>
      </w:r>
      <w:r>
        <w:t xml:space="preserve">container.</w:t>
      </w:r>
      <w:r/>
    </w:p>
    <w:p>
      <w:pPr>
        <w:pStyle w:val="657"/>
      </w:pPr>
      <w:r>
        <w:t xml:space="preserve">All the previously discussed packages and containers support the common R paradigm for subsetting data, either with built-in functions or through standard R syntax for subsetting matrices and da</w:t>
      </w:r>
      <w:r>
        <w:t xml:space="preserve">ta frames. However, storing back these subsets into the original objects and then using them for further data manipulation or transformation while keeping the original data and the subset data does not fall into the design considerations of these packages.</w:t>
      </w:r>
      <w:r/>
    </w:p>
    <w:p>
      <w:pPr>
        <w:pStyle w:val="667"/>
      </w:pPr>
      <w:r/>
      <w:bookmarkStart w:id="231" w:name="_Toc31"/>
      <w:r/>
      <w:bookmarkStart w:id="48" w:name="summarizedexperiment"/>
      <w:r>
        <w:t xml:space="preserve">SummarizedExperiment</w:t>
      </w:r>
      <w:r/>
      <w:bookmarkEnd w:id="231"/>
      <w:r/>
      <w:r/>
    </w:p>
    <w:p>
      <w:pPr>
        <w:pStyle w:val="658"/>
        <w:jc w:val="center"/>
      </w:pPr>
      <w:r>
        <mc:AlternateContent>
          <mc:Choice Requires="wpg">
            <w:drawing>
              <wp:inline xmlns:wp="http://schemas.openxmlformats.org/drawingml/2006/wordprocessingDrawing" distT="0" distB="0" distL="0" distR="0">
                <wp:extent cx="4102575" cy="3497372"/>
                <wp:effectExtent l="9525" t="9525" r="9525" b="9525"/>
                <wp:docPr id="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descr="se_design.png" hidden="0"/>
                        <pic:cNvPicPr>
                          <a:picLocks noChangeAspect="1" noChangeArrowheads="1"/>
                        </pic:cNvPicPr>
                        <pic:nvPr isPhoto="0" userDrawn="0"/>
                      </pic:nvPicPr>
                      <pic:blipFill>
                        <a:blip r:embed="rId17"/>
                        <a:stretch/>
                      </pic:blipFill>
                      <pic:spPr bwMode="auto">
                        <a:xfrm flipH="0" flipV="0">
                          <a:off x="0" y="0"/>
                          <a:ext cx="4102574" cy="349737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23.0pt;height:275.4pt;" stroked="f" strokeweight="0.75pt">
                <v:path textboxrect="0,0,0,0"/>
                <v:imagedata r:id="rId17" o:title=""/>
              </v:shape>
            </w:pict>
          </mc:Fallback>
        </mc:AlternateContent>
      </w:r>
      <w:r/>
    </w:p>
    <w:p>
      <w:pPr>
        <w:pStyle w:val="681"/>
      </w:pPr>
      <w:r>
        <w:t xml:space="preserve">Figure </w:t>
      </w:r>
      <w:r>
        <w:fldChar w:fldCharType="begin"/>
        <w:instrText xml:space="preserve"> SEQ Figure \* Arabic </w:instrText>
        <w:fldChar w:fldCharType="separate"/>
      </w:r>
      <w:r>
        <w:t xml:space="preserve">6</w:t>
      </w:r>
      <w:r/>
      <w:r>
        <w:fldChar w:fldCharType="end"/>
      </w:r>
      <w:r>
        <w:t xml:space="preserve"> The overall design of SummarizedExperiment includes slots for data matrices, metadata for features, metadata for samples and general metadata slot for additional content. The assay slot contains the data matrices which can be manipulated through functions provided by the package. </w:t>
      </w:r>
      <w:r/>
    </w:p>
    <w:p>
      <w:pPr>
        <w:pStyle w:val="657"/>
      </w:pPr>
      <w:r>
        <w:rPr>
          <w:rStyle w:val="687"/>
        </w:rPr>
        <w:t xml:space="preserve">SummarizedExperiment</w:t>
      </w:r>
      <w:r>
        <w:t xml:space="preserve"> </w:t>
      </w:r>
      <w:r>
        <w:t xml:space="preserve">is an</w:t>
      </w:r>
      <w:r>
        <w:t xml:space="preserve"> </w:t>
      </w:r>
      <w:r>
        <w:rPr>
          <w:rStyle w:val="687"/>
        </w:rPr>
        <w:t xml:space="preserve">S4</w:t>
      </w:r>
      <w:r>
        <w:t xml:space="preserve">-based R class to serve as a data-container for sequencing experiments with properties similar to the</w:t>
      </w:r>
      <w:r>
        <w:t xml:space="preserve"> </w:t>
      </w:r>
      <w:r>
        <w:rPr>
          <w:rStyle w:val="687"/>
        </w:rPr>
        <w:t xml:space="preserve">ExpressionSet</w:t>
      </w:r>
      <w:r>
        <w:t xml:space="preserve"> </w:t>
      </w:r>
      <w:r>
        <w:t xml:space="preserve">class historically used for microarray experiments.</w:t>
      </w:r>
      <w:r>
        <w:t xml:space="preserve"> </w:t>
      </w:r>
      <w:r>
        <w:rPr>
          <w:rStyle w:val="687"/>
        </w:rPr>
        <w:t xml:space="preserve">SummarizedExperiment</w:t>
      </w:r>
      <w:r>
        <w:t xml:space="preserve"> </w:t>
      </w:r>
      <w:r>
        <w:t xml:space="preserve">offers a all-in-one solution to store and coordinate expression measurements from sequencing experiments with support for many other statistical functions and methods that can directly work on</w:t>
      </w:r>
      <w:r>
        <w:t xml:space="preserve"> </w:t>
      </w:r>
      <w:r>
        <w:rPr>
          <w:rStyle w:val="687"/>
        </w:rPr>
        <w:t xml:space="preserve">SummarizedExperiment</w:t>
      </w:r>
      <w:r>
        <w:t xml:space="preserve"> </w:t>
      </w:r>
      <w:r>
        <w:t xml:space="preserve">objects.</w:t>
      </w:r>
      <w:r/>
    </w:p>
    <w:p>
      <w:pPr>
        <w:pStyle w:val="657"/>
      </w:pPr>
      <w:r>
        <w:t xml:space="preserve">The</w:t>
      </w:r>
      <w:r>
        <w:t xml:space="preserve"> </w:t>
      </w:r>
      <w:r>
        <w:rPr>
          <w:rStyle w:val="687"/>
        </w:rPr>
        <w:t xml:space="preserve">slots</w:t>
      </w:r>
      <w:r>
        <w:t xml:space="preserve"> </w:t>
      </w:r>
      <w:r>
        <w:t xml:space="preserve">available with</w:t>
      </w:r>
      <w:r>
        <w:t xml:space="preserve"> </w:t>
      </w:r>
      <w:r>
        <w:rPr>
          <w:rStyle w:val="687"/>
        </w:rPr>
        <w:t xml:space="preserve">SummarizedExperiment</w:t>
      </w:r>
      <w:r>
        <w:t xml:space="preserve"> </w:t>
      </w:r>
      <w:r>
        <w:t xml:space="preserve">objects include</w:t>
      </w:r>
      <w:r>
        <w:t xml:space="preserve"> </w:t>
      </w:r>
      <w:r>
        <w:rPr>
          <w:rStyle w:val="687"/>
        </w:rPr>
        <w:t xml:space="preserve">assay</w:t>
      </w:r>
      <w:r>
        <w:t xml:space="preserve"> </w:t>
      </w:r>
      <w:r>
        <w:t xml:space="preserve">slot to hold multiple data assays (using</w:t>
      </w:r>
      <w:r>
        <w:t xml:space="preserve"> </w:t>
      </w:r>
      <w:r>
        <w:rPr>
          <w:rStyle w:val="687"/>
        </w:rPr>
        <w:t xml:space="preserve">SimpleList</w:t>
      </w:r>
      <w:r>
        <w:t xml:space="preserve">),</w:t>
      </w:r>
      <w:r>
        <w:t xml:space="preserve"> </w:t>
      </w:r>
      <w:r>
        <w:rPr>
          <w:rStyle w:val="687"/>
        </w:rPr>
        <w:t xml:space="preserve">colData</w:t>
      </w:r>
      <w:r>
        <w:t xml:space="preserve"> </w:t>
      </w:r>
      <w:r>
        <w:t xml:space="preserve">slot to hold column metadata (</w:t>
      </w:r>
      <w:r>
        <w:rPr>
          <w:rStyle w:val="687"/>
        </w:rPr>
        <w:t xml:space="preserve">dataframe</w:t>
      </w:r>
      <w:r>
        <w:t xml:space="preserve">),</w:t>
      </w:r>
      <w:r>
        <w:t xml:space="preserve"> </w:t>
      </w:r>
      <w:r>
        <w:rPr>
          <w:rStyle w:val="687"/>
        </w:rPr>
        <w:t xml:space="preserve">rowData</w:t>
      </w:r>
      <w:r>
        <w:t xml:space="preserve"> </w:t>
      </w:r>
      <w:r>
        <w:t xml:space="preserve">slot to hold row metadata (</w:t>
      </w:r>
      <w:r>
        <w:rPr>
          <w:rStyle w:val="687"/>
        </w:rPr>
        <w:t xml:space="preserve">dataframe</w:t>
      </w:r>
      <w:r>
        <w:t xml:space="preserve">) and</w:t>
      </w:r>
      <w:r>
        <w:t xml:space="preserve"> </w:t>
      </w:r>
      <w:r>
        <w:rPr>
          <w:rStyle w:val="687"/>
        </w:rPr>
        <w:t xml:space="preserve">metadata</w:t>
      </w:r>
      <w:r>
        <w:t xml:space="preserve"> </w:t>
      </w:r>
      <w:r>
        <w:t xml:space="preserve">slot to hold general metadata (</w:t>
      </w:r>
      <w:r>
        <w:rPr>
          <w:rStyle w:val="687"/>
        </w:rPr>
        <w:t xml:space="preserve">list</w:t>
      </w:r>
      <w:r>
        <w:t xml:space="preserve">) about the dataset. Common methods provided by</w:t>
      </w:r>
      <w:r>
        <w:t xml:space="preserve"> </w:t>
      </w:r>
      <w:r>
        <w:rPr>
          <w:rStyle w:val="687"/>
        </w:rPr>
        <w:t xml:space="preserve">SummarizedExperiment</w:t>
      </w:r>
      <w:r>
        <w:t xml:space="preserve"> </w:t>
      </w:r>
      <w:r>
        <w:t xml:space="preserve">class include</w:t>
      </w:r>
      <w:r>
        <w:t xml:space="preserve"> </w:t>
      </w:r>
      <w:r>
        <w:rPr>
          <w:rStyle w:val="687"/>
        </w:rPr>
        <w:t xml:space="preserve">assay()</w:t>
      </w:r>
      <w:r>
        <w:t xml:space="preserve"> </w:t>
      </w:r>
      <w:r>
        <w:t xml:space="preserve">method to get or set an</w:t>
      </w:r>
      <w:r>
        <w:t xml:space="preserve"> </w:t>
      </w:r>
      <w:r>
        <w:rPr>
          <w:rStyle w:val="687"/>
        </w:rPr>
        <w:t xml:space="preserve">assay</w:t>
      </w:r>
      <w:r>
        <w:t xml:space="preserve">,</w:t>
      </w:r>
      <w:r>
        <w:t xml:space="preserve"> </w:t>
      </w:r>
      <w:r>
        <w:rPr>
          <w:rStyle w:val="687"/>
        </w:rPr>
        <w:t xml:space="preserve">colData()</w:t>
      </w:r>
      <w:r>
        <w:t xml:space="preserve"> </w:t>
      </w:r>
      <w:r>
        <w:t xml:space="preserve">method to get or set</w:t>
      </w:r>
      <w:r>
        <w:t xml:space="preserve"> </w:t>
      </w:r>
      <w:r>
        <w:rPr>
          <w:rStyle w:val="687"/>
        </w:rPr>
        <w:t xml:space="preserve">colData</w:t>
      </w:r>
      <w:r>
        <w:t xml:space="preserve">,</w:t>
      </w:r>
      <w:r>
        <w:t xml:space="preserve"> </w:t>
      </w:r>
      <w:r>
        <w:rPr>
          <w:rStyle w:val="687"/>
        </w:rPr>
        <w:t xml:space="preserve">rowData()</w:t>
      </w:r>
      <w:r>
        <w:t xml:space="preserve"> </w:t>
      </w:r>
      <w:r>
        <w:t xml:space="preserve">method to get or set</w:t>
      </w:r>
      <w:r>
        <w:t xml:space="preserve"> </w:t>
      </w:r>
      <w:r>
        <w:rPr>
          <w:rStyle w:val="687"/>
        </w:rPr>
        <w:t xml:space="preserve">rowData()</w:t>
      </w:r>
      <w:r>
        <w:t xml:space="preserve"> </w:t>
      </w:r>
      <w:r>
        <w:t xml:space="preserve">and a</w:t>
      </w:r>
      <w:r>
        <w:t xml:space="preserve"> </w:t>
      </w:r>
      <w:r>
        <w:rPr>
          <w:rStyle w:val="687"/>
        </w:rPr>
        <w:t xml:space="preserve">metadata()</w:t>
      </w:r>
      <w:r>
        <w:t xml:space="preserve"> </w:t>
      </w:r>
      <w:r>
        <w:t xml:space="preserve">method to get or set</w:t>
      </w:r>
      <w:r>
        <w:t xml:space="preserve"> </w:t>
      </w:r>
      <w:r>
        <w:rPr>
          <w:rStyle w:val="687"/>
        </w:rPr>
        <w:t xml:space="preserve">metadata</w:t>
      </w:r>
      <w:r>
        <w:t xml:space="preserve"> </w:t>
      </w:r>
      <w:r>
        <w:t xml:space="preserve">to</w:t>
      </w:r>
      <w:r>
        <w:t xml:space="preserve"> </w:t>
      </w:r>
      <w:r>
        <w:rPr>
          <w:rStyle w:val="687"/>
        </w:rPr>
        <w:t xml:space="preserve">SummarizedExperiment</w:t>
      </w:r>
      <w:r>
        <w:t xml:space="preserve"> </w:t>
      </w:r>
      <w:r>
        <w:t xml:space="preserve">object.</w:t>
      </w:r>
      <w:r/>
    </w:p>
    <w:p>
      <w:pPr>
        <w:pStyle w:val="657"/>
      </w:pPr>
      <w:r>
        <w:t xml:space="preserve">However,</w:t>
      </w:r>
      <w:r>
        <w:t xml:space="preserve"> </w:t>
      </w:r>
      <w:r>
        <w:rPr>
          <w:rStyle w:val="687"/>
        </w:rPr>
        <w:t xml:space="preserve">SummarizedExperiment</w:t>
      </w:r>
      <w:r>
        <w:t xml:space="preserve"> </w:t>
      </w:r>
      <w:r>
        <w:t xml:space="preserve">objects have a limitation of not letting users to store assays of different sizes within a single object. This is because of its uniform structure that coordinates the assays with</w:t>
      </w:r>
      <w:r>
        <w:t xml:space="preserve"> </w:t>
      </w:r>
      <w:r>
        <w:rPr>
          <w:rStyle w:val="687"/>
        </w:rPr>
        <w:t xml:space="preserve">rowData</w:t>
      </w:r>
      <w:r>
        <w:t xml:space="preserve">/</w:t>
      </w:r>
      <w:r>
        <w:rPr>
          <w:rStyle w:val="687"/>
        </w:rPr>
        <w:t xml:space="preserve">colData</w:t>
      </w:r>
      <w:r>
        <w:t xml:space="preserve"> </w:t>
      </w:r>
      <w:r>
        <w:t xml:space="preserve">by keeping a object-level row/column size of the overall object to avoid complications. As a result, when assays are subsetted as in many cases during an analysis workflow, they cannot be stored back into the original object.</w:t>
      </w:r>
      <w:bookmarkEnd w:id="48"/>
      <w:r/>
    </w:p>
    <w:p>
      <w:pPr>
        <w:pStyle w:val="667"/>
      </w:pPr>
      <w:r/>
      <w:bookmarkStart w:id="232" w:name="_Toc32"/>
      <w:r/>
      <w:bookmarkStart w:id="50" w:name="singlecellexperiment"/>
      <w:r>
        <w:t xml:space="preserve">SingleCellExperiment</w:t>
      </w:r>
      <w:r/>
      <w:bookmarkEnd w:id="232"/>
      <w:r/>
      <w:r/>
    </w:p>
    <w:p>
      <w:pPr>
        <w:pStyle w:val="658"/>
        <w:jc w:val="center"/>
      </w:pPr>
      <w:r>
        <mc:AlternateContent>
          <mc:Choice Requires="wpg">
            <w:drawing>
              <wp:inline xmlns:wp="http://schemas.openxmlformats.org/drawingml/2006/wordprocessingDrawing" distT="0" distB="0" distL="0" distR="0">
                <wp:extent cx="4667933" cy="2525709"/>
                <wp:effectExtent l="9525" t="9525" r="9525" b="9525"/>
                <wp:docPr id="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descr="sce_design.png" hidden="0"/>
                        <pic:cNvPicPr>
                          <a:picLocks noChangeAspect="1" noChangeArrowheads="1"/>
                        </pic:cNvPicPr>
                        <pic:nvPr isPhoto="0" userDrawn="0"/>
                      </pic:nvPicPr>
                      <pic:blipFill>
                        <a:blip r:embed="rId18"/>
                        <a:stretch/>
                      </pic:blipFill>
                      <pic:spPr bwMode="auto">
                        <a:xfrm flipH="0" flipV="0">
                          <a:off x="0" y="0"/>
                          <a:ext cx="4667932" cy="252570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67.6pt;height:198.9pt;" stroked="f" strokeweight="0.75pt">
                <v:path textboxrect="0,0,0,0"/>
                <v:imagedata r:id="rId18" o:title=""/>
              </v:shape>
            </w:pict>
          </mc:Fallback>
        </mc:AlternateContent>
      </w:r>
      <w:r/>
    </w:p>
    <w:p>
      <w:pPr>
        <w:pStyle w:val="681"/>
      </w:pPr>
      <w:r>
        <w:t xml:space="preserve">Figure </w:t>
      </w:r>
      <w:r>
        <w:fldChar w:fldCharType="begin"/>
        <w:instrText xml:space="preserve"> SEQ Figure \* Arabic </w:instrText>
        <w:fldChar w:fldCharType="separate"/>
      </w:r>
      <w:r>
        <w:t xml:space="preserve">7</w:t>
      </w:r>
      <w:r/>
      <w:r>
        <w:fldChar w:fldCharType="end"/>
      </w:r>
      <w:r>
        <w:t xml:space="preserve"> The design of the SingleCellExperiment package is similar to SummarizedExperiment, except for the inclusion of additional slots. These additional slots include a slot for dimensionality reduction results as well as a slot for additional experiment data. </w:t>
      </w:r>
      <w:r/>
    </w:p>
    <w:p>
      <w:pPr>
        <w:pStyle w:val="657"/>
      </w:pPr>
      <w:r>
        <w:rPr>
          <w:rStyle w:val="687"/>
        </w:rPr>
        <w:t xml:space="preserve">SingleCellExperiment</w:t>
      </w:r>
      <w:r>
        <w:t xml:space="preserve"> </w:t>
      </w:r>
      <w:r>
        <w:t xml:space="preserve">is a data-container specifically built for storage and manipulation of single-cell data in contrast to the</w:t>
      </w:r>
      <w:r>
        <w:t xml:space="preserve"> </w:t>
      </w:r>
      <w:r>
        <w:rPr>
          <w:rStyle w:val="687"/>
        </w:rPr>
        <w:t xml:space="preserve">SummarizedExperiment</w:t>
      </w:r>
      <w:r>
        <w:t xml:space="preserve"> </w:t>
      </w:r>
      <w:r>
        <w:t xml:space="preserve">class which has applications throughout gene expression measurements regardless of the data extraction protocol. As a result,</w:t>
      </w:r>
      <w:r>
        <w:t xml:space="preserve"> </w:t>
      </w:r>
      <w:r>
        <w:rPr>
          <w:rStyle w:val="687"/>
        </w:rPr>
        <w:t xml:space="preserve">SingleCellExperiment</w:t>
      </w:r>
      <w:r>
        <w:t xml:space="preserve"> </w:t>
      </w:r>
      <w:r>
        <w:t xml:space="preserve">has additional slots for single-cell data manipulation while keeping all of the slots of</w:t>
      </w:r>
      <w:r>
        <w:t xml:space="preserve"> </w:t>
      </w:r>
      <w:r>
        <w:rPr>
          <w:rStyle w:val="687"/>
        </w:rPr>
        <w:t xml:space="preserve">SummarizedExperiment</w:t>
      </w:r>
      <w:r>
        <w:t xml:space="preserve"> </w:t>
      </w:r>
      <w:r>
        <w:t xml:space="preserve">intact by using a direct inheritance approach.</w:t>
      </w:r>
      <w:r/>
    </w:p>
    <w:p>
      <w:pPr>
        <w:pStyle w:val="657"/>
      </w:pPr>
      <w:r>
        <w:t xml:space="preserve">The additional slots that have been added to</w:t>
      </w:r>
      <w:r>
        <w:t xml:space="preserve"> </w:t>
      </w:r>
      <w:r>
        <w:rPr>
          <w:rStyle w:val="687"/>
        </w:rPr>
        <w:t xml:space="preserve">SingleCellExperiment</w:t>
      </w:r>
      <w:r>
        <w:t xml:space="preserve"> </w:t>
      </w:r>
      <w:r>
        <w:t xml:space="preserve">class are the</w:t>
      </w:r>
      <w:r>
        <w:t xml:space="preserve"> </w:t>
      </w:r>
      <w:r>
        <w:rPr>
          <w:rStyle w:val="687"/>
        </w:rPr>
        <w:t xml:space="preserve">reducedDims</w:t>
      </w:r>
      <w:r>
        <w:t xml:space="preserve"> </w:t>
      </w:r>
      <w:r>
        <w:t xml:space="preserve">for storage and manipulation of dimensionality reduction results and</w:t>
      </w:r>
      <w:r>
        <w:t xml:space="preserve"> </w:t>
      </w:r>
      <w:r>
        <w:rPr>
          <w:rStyle w:val="687"/>
        </w:rPr>
        <w:t xml:space="preserve">altExps</w:t>
      </w:r>
      <w:r>
        <w:t xml:space="preserve"> </w:t>
      </w:r>
      <w:r>
        <w:t xml:space="preserve">for storage of additional alternative experiments. Both of these slots have been added keeping in mind the specific needs of single-cell data, wh</w:t>
      </w:r>
      <w:r>
        <w:t xml:space="preserve">ich due to its extraction protocol requires the addition of spike-in genes to the data assays to somewhat transform the data in a shape better suited for downstream analysis by adjusting for excess zeros which is a major characteristic of single-cell data.</w:t>
      </w:r>
      <w:r/>
    </w:p>
    <w:p>
      <w:pPr>
        <w:pStyle w:val="657"/>
      </w:pPr>
      <w:r>
        <w:t xml:space="preserve">While the</w:t>
      </w:r>
      <w:r>
        <w:t xml:space="preserve"> </w:t>
      </w:r>
      <w:r>
        <w:rPr>
          <w:rStyle w:val="687"/>
        </w:rPr>
        <w:t xml:space="preserve">altExps</w:t>
      </w:r>
      <w:r>
        <w:t xml:space="preserve"> </w:t>
      </w:r>
      <w:r>
        <w:t xml:space="preserve">slot allows the storage of a complete exper</w:t>
      </w:r>
      <w:r>
        <w:t xml:space="preserve">iment object of different dimensions, it is originally meant for the manipulation of spike-in genes and therefore lacks coordination of data between multiple dimensions. As a result, it does not support direct manipulation of subsets of data similar to the</w:t>
      </w:r>
      <w:r>
        <w:t xml:space="preserve"> </w:t>
      </w:r>
      <w:r>
        <w:rPr>
          <w:rStyle w:val="687"/>
        </w:rPr>
        <w:t xml:space="preserve">SummarizedExperiment</w:t>
      </w:r>
      <w:r>
        <w:t xml:space="preserve"> </w:t>
      </w:r>
      <w:r>
        <w:t xml:space="preserve">class.</w:t>
      </w:r>
      <w:bookmarkEnd w:id="50"/>
      <w:r/>
    </w:p>
    <w:p>
      <w:pPr>
        <w:pStyle w:val="667"/>
      </w:pPr>
      <w:r/>
      <w:bookmarkStart w:id="233" w:name="_Toc33"/>
      <w:r/>
      <w:bookmarkStart w:id="52" w:name="multiassayexperiment"/>
      <w:r>
        <w:t xml:space="preserve">MultiAssayExperiment</w:t>
      </w:r>
      <w:r/>
      <w:bookmarkEnd w:id="233"/>
      <w:r/>
      <w:r/>
    </w:p>
    <w:p>
      <w:pPr>
        <w:pStyle w:val="658"/>
        <w:jc w:val="center"/>
      </w:pPr>
      <w:r>
        <mc:AlternateContent>
          <mc:Choice Requires="wpg">
            <w:drawing>
              <wp:inline xmlns:wp="http://schemas.openxmlformats.org/drawingml/2006/wordprocessingDrawing" distT="0" distB="0" distL="0" distR="0">
                <wp:extent cx="3740625" cy="3448389"/>
                <wp:effectExtent l="9525" t="9525" r="9525" b="9525"/>
                <wp:docPr id="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descr="mae_design.png" hidden="0"/>
                        <pic:cNvPicPr>
                          <a:picLocks noChangeAspect="1" noChangeArrowheads="1"/>
                        </pic:cNvPicPr>
                        <pic:nvPr isPhoto="0" userDrawn="0"/>
                      </pic:nvPicPr>
                      <pic:blipFill>
                        <a:blip r:embed="rId19"/>
                        <a:stretch/>
                      </pic:blipFill>
                      <pic:spPr bwMode="auto">
                        <a:xfrm flipH="0" flipV="0">
                          <a:off x="0" y="0"/>
                          <a:ext cx="3740625" cy="344838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94.5pt;height:271.5pt;" stroked="f" strokeweight="0.75pt">
                <v:path textboxrect="0,0,0,0"/>
                <v:imagedata r:id="rId19" o:title=""/>
              </v:shape>
            </w:pict>
          </mc:Fallback>
        </mc:AlternateContent>
      </w:r>
      <w:r/>
    </w:p>
    <w:p>
      <w:pPr>
        <w:pStyle w:val="681"/>
      </w:pPr>
      <w:r>
        <w:t xml:space="preserve">Figure </w:t>
      </w:r>
      <w:r>
        <w:fldChar w:fldCharType="begin"/>
        <w:instrText xml:space="preserve"> SEQ Figure \* Arabic </w:instrText>
        <w:fldChar w:fldCharType="separate"/>
      </w:r>
      <w:r>
        <w:t xml:space="preserve">8</w:t>
      </w:r>
      <w:r/>
      <w:r>
        <w:fldChar w:fldCharType="end"/>
      </w:r>
      <w:r>
        <w:t xml:space="preserve"> The MultiAssayExperiment package is built slightly different where multiple experiment objects can be linked to multiple patient data and essentially tries to map multiple data to provide a cohesive output to the user. </w:t>
      </w:r>
      <w:r/>
    </w:p>
    <w:p>
      <w:pPr>
        <w:pStyle w:val="657"/>
      </w:pPr>
      <w:r>
        <w:rPr>
          <w:rStyle w:val="687"/>
        </w:rPr>
        <w:t xml:space="preserve">MultiAssayExperiment</w:t>
      </w:r>
      <w:r>
        <w:t xml:space="preserve"> </w:t>
      </w:r>
      <w:r>
        <w:t xml:space="preserve">is another</w:t>
      </w:r>
      <w:r>
        <w:t xml:space="preserve"> </w:t>
      </w:r>
      <w:r>
        <w:rPr>
          <w:rStyle w:val="687"/>
        </w:rPr>
        <w:t xml:space="preserve">Experiment</w:t>
      </w:r>
      <w:r>
        <w:t xml:space="preserve"> </w:t>
      </w:r>
      <w:r>
        <w:t xml:space="preserve">class for storage of expression data, but allows integration of data from multiple experiments and provides a common interface to this integrated data to the user. It is different from both</w:t>
      </w:r>
      <w:r>
        <w:t xml:space="preserve"> </w:t>
      </w:r>
      <w:r>
        <w:rPr>
          <w:rStyle w:val="687"/>
        </w:rPr>
        <w:t xml:space="preserve">SummarizedExperiment</w:t>
      </w:r>
      <w:r>
        <w:t xml:space="preserve"> </w:t>
      </w:r>
      <w:r>
        <w:t xml:space="preserve">and</w:t>
      </w:r>
      <w:r>
        <w:t xml:space="preserve"> </w:t>
      </w:r>
      <w:r>
        <w:rPr>
          <w:rStyle w:val="687"/>
        </w:rPr>
        <w:t xml:space="preserve">SingleCellExperiment</w:t>
      </w:r>
      <w:r>
        <w:t xml:space="preserve"> </w:t>
      </w:r>
      <w:r>
        <w:t xml:space="preserve">classes in its overall objective, which is the integration of datasets through a common variable instead of acting as a basic container for day-to-day manipulation.</w:t>
      </w:r>
      <w:r/>
    </w:p>
    <w:p>
      <w:pPr>
        <w:pStyle w:val="657"/>
      </w:pPr>
      <w:r>
        <w:t xml:space="preserve">For example, if multiple datasets are available for lung cancer, they can be integrated together through a</w:t>
      </w:r>
      <w:r>
        <w:t xml:space="preserve"> </w:t>
      </w:r>
      <w:r>
        <w:rPr>
          <w:rStyle w:val="687"/>
        </w:rPr>
        <w:t xml:space="preserve">sampleMap()</w:t>
      </w:r>
      <w:r>
        <w:t xml:space="preserve"> </w:t>
      </w:r>
      <w:r>
        <w:t xml:space="preserve">function provided by the class that uses an anchor column for phenotype data to merge and integrate together these many datasets having different characteristics such as age, type of lung cancer, site of tumor tissue and many others.</w:t>
      </w:r>
      <w:r/>
    </w:p>
    <w:p>
      <w:pPr>
        <w:pStyle w:val="657"/>
      </w:pPr>
      <w:r>
        <w:t xml:space="preserve">The</w:t>
      </w:r>
      <w:r>
        <w:t xml:space="preserve"> </w:t>
      </w:r>
      <w:r>
        <w:rPr>
          <w:rStyle w:val="687"/>
        </w:rPr>
        <w:t xml:space="preserve">MultiAssayExperiment</w:t>
      </w:r>
      <w:r>
        <w:t xml:space="preserve"> </w:t>
      </w:r>
      <w:r>
        <w:t xml:space="preserve">allows the storage of multiple datasets having different dimensions but it is more oriented towards integration of data and therefore does not provide a straightforward approach towards subsetting of single experiments.</w:t>
      </w:r>
      <w:bookmarkEnd w:id="52"/>
      <w:r/>
    </w:p>
    <w:p>
      <w:pPr>
        <w:pStyle w:val="667"/>
      </w:pPr>
      <w:r/>
      <w:bookmarkStart w:id="234" w:name="_Toc34"/>
      <w:r/>
      <w:bookmarkStart w:id="55" w:name="seurat"/>
      <w:r>
        <w:t xml:space="preserve">Seurat</w:t>
      </w:r>
      <w:r/>
      <w:bookmarkEnd w:id="234"/>
      <w:r/>
      <w:r/>
    </w:p>
    <w:p>
      <w:pPr>
        <w:pStyle w:val="658"/>
      </w:pPr>
      <w:r>
        <w:t xml:space="preserve">Seurat</w:t>
      </w:r>
      <w:r>
        <w:t xml:space="preserve"> </w:t>
      </w:r>
      <w:r>
        <w:t xml:space="preserve">[31]</w:t>
      </w:r>
      <w:r>
        <w:t xml:space="preserve">[24]</w:t>
      </w:r>
      <w:r>
        <w:t xml:space="preserve">[32]</w:t>
      </w:r>
      <w:r>
        <w:t xml:space="preserve"> </w:t>
      </w:r>
      <w:r>
        <w:t xml:space="preserve">is an R console based toolkit that includes exten</w:t>
      </w:r>
      <w:r>
        <w:t xml:space="preserve">sive algorithms for data pre-processing, processing, integration and visualization, and is used widely especially in terms of integration of multiple data modalities of single cell data. An overview of the seurat workflow is visualized in the figure below:</w:t>
      </w:r>
      <w:r/>
    </w:p>
    <w:p>
      <w:pPr>
        <w:pStyle w:val="657"/>
        <w:jc w:val="center"/>
      </w:pPr>
      <w:r>
        <mc:AlternateContent>
          <mc:Choice Requires="wpg">
            <w:drawing>
              <wp:inline xmlns:wp="http://schemas.openxmlformats.org/drawingml/2006/wordprocessingDrawing" distT="0" distB="0" distL="0" distR="0">
                <wp:extent cx="2559525" cy="4549855"/>
                <wp:effectExtent l="9525" t="9525" r="9525" b="9525"/>
                <wp:docPr id="1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descr="Thesis-Document_v2Doc_files/figure-docx/unnamed-chunk-2-1.png" hidden="0"/>
                        <pic:cNvPicPr>
                          <a:picLocks noChangeAspect="1" noChangeArrowheads="1"/>
                        </pic:cNvPicPr>
                        <pic:nvPr isPhoto="0" userDrawn="0"/>
                      </pic:nvPicPr>
                      <pic:blipFill>
                        <a:blip r:embed="rId20"/>
                        <a:srcRect l="0" t="0" r="67372" b="0"/>
                        <a:stretch/>
                      </pic:blipFill>
                      <pic:spPr bwMode="auto">
                        <a:xfrm flipH="0" flipV="0">
                          <a:off x="0" y="0"/>
                          <a:ext cx="2559524" cy="45498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01.5pt;height:358.3pt;" stroked="f" strokeweight="0.75pt">
                <v:path textboxrect="0,0,0,0"/>
                <v:imagedata r:id="rId20" o:title=""/>
              </v:shape>
            </w:pict>
          </mc:Fallback>
        </mc:AlternateContent>
      </w:r>
      <w:r/>
    </w:p>
    <w:p>
      <w:pPr>
        <w:pStyle w:val="681"/>
      </w:pPr>
      <w:r>
        <w:t xml:space="preserve">Figure </w:t>
      </w:r>
      <w:r>
        <w:fldChar w:fldCharType="begin"/>
        <w:instrText xml:space="preserve"> SEQ Figure \* Arabic </w:instrText>
        <w:fldChar w:fldCharType="separate"/>
      </w:r>
      <w:r>
        <w:t xml:space="preserve">9</w:t>
      </w:r>
      <w:r/>
      <w:r>
        <w:fldChar w:fldCharType="end"/>
      </w:r>
      <w:r>
        <w:t xml:space="preserve"> The seurat package follows a very general workflow which starting from raw matrices and ends at differential expression. Multiple functions and algorithms are provided by the package that can be utilized at each step of the workflow. </w:t>
      </w:r>
      <w:r/>
    </w:p>
    <w:p>
      <w:pPr>
        <w:pStyle w:val="657"/>
      </w:pPr>
      <w:r>
        <w:t xml:space="preserve">The seurat package uses its own object to manage the data manipulation in the workflow visualized above known as the seurat object. The seu</w:t>
      </w:r>
      <w:r>
        <w:t xml:space="preserve">rat object has multiple slots to manage storage and retrieval of assays of multiple data modalities (same or different dimensions) in their own specific slots inside the seurat object. Similarly, the different types of data generated through the seurat wor</w:t>
      </w:r>
      <w:r>
        <w:t xml:space="preserve">kflow are stored inside their specific slots, e.g. highly variable genes identified by the feature selection function are stored in the var.features slot within this object. The overall structure of a sample seurat object is visualized in the figure below:</w:t>
      </w:r>
      <w:r/>
    </w:p>
    <w:p>
      <w:pPr>
        <w:pStyle w:val="657"/>
        <w:jc w:val="center"/>
      </w:pPr>
      <w:r>
        <mc:AlternateContent>
          <mc:Choice Requires="wpg">
            <w:drawing>
              <wp:inline xmlns:wp="http://schemas.openxmlformats.org/drawingml/2006/wordprocessingDrawing" distT="0" distB="0" distL="0" distR="0">
                <wp:extent cx="4359750" cy="4581549"/>
                <wp:effectExtent l="9525" t="9525" r="9525" b="9525"/>
                <wp:docPr id="1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descr="seurat_object.png" hidden="0"/>
                        <pic:cNvPicPr>
                          <a:picLocks noChangeAspect="1" noChangeArrowheads="1"/>
                        </pic:cNvPicPr>
                        <pic:nvPr isPhoto="0" userDrawn="0"/>
                      </pic:nvPicPr>
                      <pic:blipFill>
                        <a:blip r:embed="rId21"/>
                        <a:stretch/>
                      </pic:blipFill>
                      <pic:spPr bwMode="auto">
                        <a:xfrm flipH="0" flipV="0">
                          <a:off x="0" y="0"/>
                          <a:ext cx="4359749" cy="45815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43.3pt;height:360.8pt;" stroked="f" strokeweight="0.75pt">
                <v:path textboxrect="0,0,0,0"/>
                <v:imagedata r:id="rId21" o:title=""/>
              </v:shape>
            </w:pict>
          </mc:Fallback>
        </mc:AlternateContent>
      </w:r>
      <w:r/>
    </w:p>
    <w:p>
      <w:pPr>
        <w:pStyle w:val="681"/>
      </w:pPr>
      <w:r>
        <w:t xml:space="preserve">Figure </w:t>
      </w:r>
      <w:r>
        <w:fldChar w:fldCharType="begin"/>
        <w:instrText xml:space="preserve"> SEQ Figure \* Arabic </w:instrText>
        <w:fldChar w:fldCharType="separate"/>
      </w:r>
      <w:r>
        <w:t xml:space="preserve">10</w:t>
      </w:r>
      <w:r/>
      <w:r>
        <w:fldChar w:fldCharType="end"/>
      </w:r>
      <w:r>
        <w:t xml:space="preserve"> The seurat object contains a number of slots to store various types of data, including separate slots for counts data and normalized data. Additionally, scaled data and variable features are separately stored that are retrieved and set using the functions provided by seurat package. </w:t>
      </w:r>
      <w:r/>
    </w:p>
    <w:p>
      <w:pPr>
        <w:pStyle w:val="657"/>
      </w:pPr>
      <w:r>
        <w:t xml:space="preserve">Overall, the Seurat object is an efficient way to manage data especially when using the Seurat workflow since slots (as wel</w:t>
      </w:r>
      <w:r>
        <w:t xml:space="preserve">l as the corresponding functions to get or set data to these slots) are available for each step of the pipeline. However, using the Seurat object outside of the Seurat tool and for custom analysis workflows that utilize functions from other packages and li</w:t>
      </w:r>
      <w:r>
        <w:t xml:space="preserve">braries is comparatively complex owing to the fact that a majority of the analysis tools and packages use Experiment classes for input and output. Moreover, provenance in terms of a hierarchical structure of subsets is not possible using the Seurat object.</w:t>
      </w:r>
      <w:bookmarkEnd w:id="55"/>
      <w:r/>
    </w:p>
    <w:p>
      <w:pPr>
        <w:pStyle w:val="667"/>
      </w:pPr>
      <w:r/>
      <w:bookmarkStart w:id="235" w:name="_Toc35"/>
      <w:r/>
      <w:bookmarkStart w:id="59" w:name="monocle"/>
      <w:r>
        <w:t xml:space="preserve">Monocle</w:t>
      </w:r>
      <w:r/>
      <w:bookmarkEnd w:id="235"/>
      <w:r/>
      <w:r/>
    </w:p>
    <w:p>
      <w:pPr>
        <w:pStyle w:val="658"/>
      </w:pPr>
      <w:r>
        <w:t xml:space="preserve">Monocle</w:t>
      </w:r>
      <w:r>
        <w:t xml:space="preserve"> </w:t>
      </w:r>
      <w:r>
        <w:t xml:space="preserve">[33]</w:t>
      </w:r>
      <w:r>
        <w:t xml:space="preserve">[34]</w:t>
      </w:r>
      <w:r>
        <w:t xml:space="preserve">[35]</w:t>
      </w:r>
      <w:r>
        <w:t xml:space="preserve"> </w:t>
      </w:r>
      <w:r>
        <w:t xml:space="preserve">is another R package that integrates a number o</w:t>
      </w:r>
      <w:r>
        <w:t xml:space="preserve">f tools for common single cell analysis tasks such as input, counting cells, classification of cells, clustering, construction of cell trajectories in pseudotime and differential expression. The monocle proposes the following recommended analysis workflow:</w:t>
      </w:r>
      <w:r/>
    </w:p>
    <w:p>
      <w:pPr>
        <w:pStyle w:val="657"/>
        <w:jc w:val="center"/>
      </w:pPr>
      <w:r>
        <mc:AlternateContent>
          <mc:Choice Requires="wpg">
            <w:drawing>
              <wp:inline xmlns:wp="http://schemas.openxmlformats.org/drawingml/2006/wordprocessingDrawing" distT="0" distB="0" distL="0" distR="0">
                <wp:extent cx="2607150" cy="2724150"/>
                <wp:effectExtent l="9525" t="9525" r="9525" b="9525"/>
                <wp:docPr id="1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descr="Thesis-Document_v2Doc_files/figure-docx/unnamed-chunk-3-1.png" hidden="0"/>
                        <pic:cNvPicPr>
                          <a:picLocks noChangeAspect="1" noChangeArrowheads="1"/>
                        </pic:cNvPicPr>
                        <pic:nvPr isPhoto="0" userDrawn="0"/>
                      </pic:nvPicPr>
                      <pic:blipFill>
                        <a:blip r:embed="rId22"/>
                        <a:srcRect l="0" t="5527" r="51122" b="6418"/>
                        <a:stretch/>
                      </pic:blipFill>
                      <pic:spPr bwMode="auto">
                        <a:xfrm flipH="0" flipV="0">
                          <a:off x="0" y="0"/>
                          <a:ext cx="2607149" cy="272414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05.3pt;height:214.5pt;" stroked="f" strokeweight="0.75pt">
                <v:path textboxrect="0,0,0,0"/>
                <v:imagedata r:id="rId22" o:title=""/>
              </v:shape>
            </w:pict>
          </mc:Fallback>
        </mc:AlternateContent>
      </w:r>
      <w:r/>
    </w:p>
    <w:p>
      <w:pPr>
        <w:pStyle w:val="681"/>
      </w:pPr>
      <w:r>
        <w:t xml:space="preserve">Figure </w:t>
      </w:r>
      <w:r>
        <w:fldChar w:fldCharType="begin"/>
        <w:instrText xml:space="preserve"> SEQ Figure \* Arabic </w:instrText>
        <w:fldChar w:fldCharType="separate"/>
      </w:r>
      <w:r>
        <w:t xml:space="preserve">11</w:t>
      </w:r>
      <w:r/>
      <w:r>
        <w:fldChar w:fldCharType="end"/>
      </w:r>
      <w:r>
        <w:t xml:space="preserve"> The monocle package also follows are a similar workflow that includes cell identification, clustering and differential expression through the available algorithms and functions integrated within the package. </w:t>
      </w:r>
      <w:r/>
    </w:p>
    <w:p>
      <w:pPr>
        <w:pStyle w:val="657"/>
      </w:pPr>
      <w:r>
        <w:t xml:space="preserve">The monocle R package uses the CellDataSet object based on the ExpressionSet class used widely with microarray experiments commonly having three slots, first for the expression matrix, second for feature metada</w:t>
      </w:r>
      <w:r>
        <w:t xml:space="preserve">ta and the last one for the sample metadata. Both the ExpressionSet and CellDataSet classes only allow a single matrix to be stored and used at a given point in time. The overall structure of the CellDataSet object can be visualized from the figures below:</w:t>
      </w:r>
      <w:r/>
    </w:p>
    <w:p>
      <w:pPr>
        <w:pStyle w:val="657"/>
        <w:jc w:val="center"/>
      </w:pPr>
      <w:r>
        <mc:AlternateContent>
          <mc:Choice Requires="wpg">
            <w:drawing>
              <wp:inline xmlns:wp="http://schemas.openxmlformats.org/drawingml/2006/wordprocessingDrawing" distT="0" distB="0" distL="0" distR="0">
                <wp:extent cx="5334000" cy="4457742"/>
                <wp:effectExtent l="0" t="0" r="0" b="0"/>
                <wp:docPr id="1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descr="cds_object1.png" hidden="0"/>
                        <pic:cNvPicPr>
                          <a:picLocks noChangeAspect="1" noChangeArrowheads="1"/>
                        </pic:cNvPicPr>
                        <pic:nvPr isPhoto="0" userDrawn="0"/>
                      </pic:nvPicPr>
                      <pic:blipFill>
                        <a:blip r:embed="rId23"/>
                        <a:stretch/>
                      </pic:blipFill>
                      <pic:spPr bwMode="auto">
                        <a:xfrm>
                          <a:off x="0" y="0"/>
                          <a:ext cx="5334000" cy="445774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0.0pt;height:351.0pt;" stroked="f" strokeweight="0.75pt">
                <v:path textboxrect="0,0,0,0"/>
                <v:imagedata r:id="rId23" o:title=""/>
              </v:shape>
            </w:pict>
          </mc:Fallback>
        </mc:AlternateContent>
      </w:r>
      <w:r/>
    </w:p>
    <w:p>
      <w:pPr>
        <w:pStyle w:val="657"/>
        <w:jc w:val="center"/>
      </w:pPr>
      <w:r>
        <mc:AlternateContent>
          <mc:Choice Requires="wpg">
            <w:drawing>
              <wp:inline xmlns:wp="http://schemas.openxmlformats.org/drawingml/2006/wordprocessingDrawing" distT="0" distB="0" distL="0" distR="0">
                <wp:extent cx="5334000" cy="4946575"/>
                <wp:effectExtent l="0" t="0" r="0" b="0"/>
                <wp:docPr id="1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descr="cds_object2.png" hidden="0"/>
                        <pic:cNvPicPr>
                          <a:picLocks noChangeAspect="1" noChangeArrowheads="1"/>
                        </pic:cNvPicPr>
                        <pic:nvPr isPhoto="0" userDrawn="0"/>
                      </pic:nvPicPr>
                      <pic:blipFill>
                        <a:blip r:embed="rId24"/>
                        <a:stretch/>
                      </pic:blipFill>
                      <pic:spPr bwMode="auto">
                        <a:xfrm>
                          <a:off x="0" y="0"/>
                          <a:ext cx="5334000" cy="494657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20.0pt;height:389.5pt;" stroked="f" strokeweight="0.75pt">
                <v:path textboxrect="0,0,0,0"/>
                <v:imagedata r:id="rId24" o:title=""/>
              </v:shape>
            </w:pict>
          </mc:Fallback>
        </mc:AlternateContent>
      </w:r>
      <w:r/>
    </w:p>
    <w:p>
      <w:pPr>
        <w:pStyle w:val="681"/>
      </w:pPr>
      <w:r>
        <w:t xml:space="preserve">Figure </w:t>
      </w:r>
      <w:r>
        <w:fldChar w:fldCharType="begin"/>
        <w:instrText xml:space="preserve"> SEQ Figure \* Arabic </w:instrText>
        <w:fldChar w:fldCharType="separate"/>
      </w:r>
      <w:r>
        <w:t xml:space="preserve">12</w:t>
      </w:r>
      <w:r/>
      <w:r>
        <w:fldChar w:fldCharType="end"/>
      </w:r>
      <w:r>
        <w:t xml:space="preserve"> The monocle object also contains separate slots for data, but only allows a single assay to be stored at one time in the object following the rules imposed by the ExpressionSet class. </w:t>
      </w:r>
      <w:r/>
    </w:p>
    <w:p>
      <w:pPr>
        <w:pStyle w:val="657"/>
      </w:pPr>
      <w:r>
        <w:t xml:space="preserve">As evident, a single experiment constitutes a single CellDataSet object with a single matrix in assayD</w:t>
      </w:r>
      <w:r>
        <w:t xml:space="preserve">ata slot and the corresponding feature metadata and sample metadata in the phenoData and featureData slots respectively. Therefore, the CellDataSet objects are also not designed in a way to manage subsets or especially subsets with data provenance in mind.</w:t>
      </w:r>
      <w:bookmarkEnd w:id="59"/>
      <w:bookmarkEnd w:id="60"/>
      <w:r/>
    </w:p>
    <w:p>
      <w:pPr>
        <w:pStyle w:val="666"/>
      </w:pPr>
      <w:r/>
      <w:bookmarkStart w:id="236" w:name="_Toc36"/>
      <w:r/>
      <w:bookmarkStart w:id="82" w:name="research-methodology"/>
      <w:r>
        <w:t xml:space="preserve">Research Methodology</w:t>
      </w:r>
      <w:r/>
      <w:bookmarkEnd w:id="236"/>
      <w:r/>
      <w:r/>
    </w:p>
    <w:p>
      <w:pPr>
        <w:pStyle w:val="658"/>
      </w:pPr>
      <w:r>
        <w:t xml:space="preserve">The overall research methodology for this project (as a development project) includes a number of steps, starting from the high-level design</w:t>
      </w:r>
      <w:r>
        <w:t xml:space="preserve"> of the class and how the subsets should work, handling of data redundancy issues in the design of the package, making sure that package could be used as a drop-in replacement by working towards integration of the existing Experiment classes and finally im</w:t>
      </w:r>
      <w:r>
        <w:t xml:space="preserve">plementing the said subset classes within the umbrella of an R package, followed by package documentation, validation and performance comparison. The figure describes our followed methodology in brief starting from package design to package implementation.</w:t>
      </w:r>
      <w:r/>
    </w:p>
    <w:p>
      <w:pPr>
        <w:pStyle w:val="657"/>
        <w:jc w:val="center"/>
      </w:pPr>
      <w:r>
        <mc:AlternateContent>
          <mc:Choice Requires="wpg">
            <w:drawing>
              <wp:inline xmlns:wp="http://schemas.openxmlformats.org/drawingml/2006/wordprocessingDrawing" distT="0" distB="0" distL="0" distR="0">
                <wp:extent cx="5334000" cy="3718820"/>
                <wp:effectExtent l="0" t="0" r="0" b="0"/>
                <wp:docPr id="15"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descr="method_top.png" hidden="0"/>
                        <pic:cNvPicPr>
                          <a:picLocks noChangeAspect="1" noChangeArrowheads="1"/>
                        </pic:cNvPicPr>
                        <pic:nvPr isPhoto="0" userDrawn="0"/>
                      </pic:nvPicPr>
                      <pic:blipFill>
                        <a:blip r:embed="rId25"/>
                        <a:stretch/>
                      </pic:blipFill>
                      <pic:spPr bwMode="auto">
                        <a:xfrm>
                          <a:off x="0" y="0"/>
                          <a:ext cx="5334000" cy="3718820"/>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20.0pt;height:292.8pt;" stroked="f" strokeweight="0.75pt">
                <v:path textboxrect="0,0,0,0"/>
                <v:imagedata r:id="rId25" o:title=""/>
              </v:shape>
            </w:pict>
          </mc:Fallback>
        </mc:AlternateContent>
      </w:r>
      <w:r/>
    </w:p>
    <w:p>
      <w:pPr>
        <w:pStyle w:val="681"/>
      </w:pPr>
      <w:r>
        <w:t xml:space="preserve">Figure </w:t>
      </w:r>
      <w:r>
        <w:fldChar w:fldCharType="begin"/>
        <w:instrText xml:space="preserve"> SEQ Figure \* Arabic </w:instrText>
        <w:fldChar w:fldCharType="separate"/>
      </w:r>
      <w:r>
        <w:t xml:space="preserve">13</w:t>
      </w:r>
      <w:r/>
      <w:r>
        <w:fldChar w:fldCharType="end"/>
      </w:r>
      <w:r>
        <w:t xml:space="preserve"> The methodology for this project begins with the logical desing of the package based on the problem statement and includes implementation of the data-container in R language and ends with validation and performance comparison with other Experiment classes particularly SingleCellExperiment. </w:t>
      </w:r>
      <w:r/>
    </w:p>
    <w:p>
      <w:pPr>
        <w:pStyle w:val="667"/>
      </w:pPr>
      <w:r/>
      <w:bookmarkStart w:id="237" w:name="_Toc37"/>
      <w:r/>
      <w:bookmarkStart w:id="64" w:name="Xc536f1bcac30c7aac887396ba5e736364774bce"/>
      <w:r>
        <w:t xml:space="preserve">Design logical structure of subsets &amp; their storage</w:t>
      </w:r>
      <w:r/>
      <w:bookmarkEnd w:id="237"/>
      <w:r/>
      <w:r/>
    </w:p>
    <w:p>
      <w:pPr>
        <w:pStyle w:val="658"/>
      </w:pPr>
      <w:r>
        <w:t xml:space="preserve">Keeping in view the objectives and scope of the package, an abstract logical design and structure of the package (in regards to other</w:t>
      </w:r>
      <w:r>
        <w:t xml:space="preserve"> </w:t>
      </w:r>
      <w:r>
        <w:rPr>
          <w:rStyle w:val="687"/>
        </w:rPr>
        <w:t xml:space="preserve">Experiment</w:t>
      </w:r>
      <w:r>
        <w:t xml:space="preserve"> </w:t>
      </w:r>
      <w:r>
        <w:t xml:space="preserve">classes) is illustrated in the figure with specific importance on the creation and manipulation of different types of subsets.</w:t>
      </w:r>
      <w:r/>
    </w:p>
    <w:p>
      <w:pPr>
        <w:pStyle w:val="657"/>
        <w:jc w:val="center"/>
      </w:pPr>
      <w:r>
        <mc:AlternateContent>
          <mc:Choice Requires="wpg">
            <w:drawing>
              <wp:inline xmlns:wp="http://schemas.openxmlformats.org/drawingml/2006/wordprocessingDrawing" distT="0" distB="0" distL="0" distR="0">
                <wp:extent cx="5334000" cy="3393494"/>
                <wp:effectExtent l="0" t="0" r="0" b="0"/>
                <wp:docPr id="16"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descr="design.png" hidden="0"/>
                        <pic:cNvPicPr>
                          <a:picLocks noChangeAspect="1" noChangeArrowheads="1"/>
                        </pic:cNvPicPr>
                        <pic:nvPr isPhoto="0" userDrawn="0"/>
                      </pic:nvPicPr>
                      <pic:blipFill>
                        <a:blip r:embed="rId26"/>
                        <a:stretch/>
                      </pic:blipFill>
                      <pic:spPr bwMode="auto">
                        <a:xfrm>
                          <a:off x="0" y="0"/>
                          <a:ext cx="5334000" cy="339349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20.0pt;height:267.2pt;" stroked="f" strokeweight="0.75pt">
                <v:path textboxrect="0,0,0,0"/>
                <v:imagedata r:id="rId26" o:title=""/>
              </v:shape>
            </w:pict>
          </mc:Fallback>
        </mc:AlternateContent>
      </w:r>
      <w:r/>
    </w:p>
    <w:p>
      <w:pPr>
        <w:pStyle w:val="681"/>
      </w:pPr>
      <w:r>
        <w:t xml:space="preserve">Figure </w:t>
      </w:r>
      <w:r>
        <w:fldChar w:fldCharType="begin"/>
        <w:instrText xml:space="preserve"> SEQ Figure \* Arabic </w:instrText>
        <w:fldChar w:fldCharType="separate"/>
      </w:r>
      <w:r>
        <w:t xml:space="preserve">14</w:t>
      </w:r>
      <w:r/>
      <w:r>
        <w:fldChar w:fldCharType="end"/>
      </w:r>
      <w:r>
        <w:t xml:space="preserve"> The overall usage and design of the package includes the ability to create subsets that may contain some rows and columns from a parent assay. This design allows the subsets to be created from other subsets and thus allows for a hierarchical structure of subsets in complicated workflows.  </w:t>
      </w:r>
      <w:r/>
    </w:p>
    <w:p>
      <w:pPr>
        <w:pStyle w:val="657"/>
      </w:pPr>
      <w:r>
        <w:t xml:space="preserve">The goal of the package is to provide the ability to create subsets from available main data</w:t>
      </w:r>
      <w:r>
        <w:t xml:space="preserve"> </w:t>
      </w:r>
      <w:r>
        <w:rPr>
          <w:rStyle w:val="687"/>
        </w:rPr>
        <w:t xml:space="preserve">assays</w:t>
      </w:r>
      <w:r>
        <w:t xml:space="preserve"> </w:t>
      </w:r>
      <w:r>
        <w:t xml:space="preserve">(</w:t>
      </w:r>
      <w:r>
        <w:rPr>
          <w:rStyle w:val="687"/>
        </w:rPr>
        <w:t xml:space="preserve">counts</w:t>
      </w:r>
      <w:r>
        <w:t xml:space="preserve">,</w:t>
      </w:r>
      <w:r>
        <w:t xml:space="preserve"> </w:t>
      </w:r>
      <w:r>
        <w:rPr>
          <w:rStyle w:val="687"/>
        </w:rPr>
        <w:t xml:space="preserve">logCounts</w:t>
      </w:r>
      <w:r>
        <w:t xml:space="preserve"> </w:t>
      </w:r>
      <w:r>
        <w:t xml:space="preserve">etc. from the figure) and link them </w:t>
      </w:r>
      <w:r>
        <w:t xml:space="preserve">in a hierarchical order thus maintaining data provenance. This linking of assays allows the creation of hierarchical subsets which are common during large and complex analysis workflows. Essentially, subsets can be created from either the main assays, or o</w:t>
      </w:r>
      <w:r>
        <w:t xml:space="preserve">ther subsets, where the the newly created subset can have a subset of rows or columns or a combination of both. Additionally, the overlapping rectangles represent the storage of multiple assays against a single subset, for example a subset generated from a</w:t>
      </w:r>
      <w:r>
        <w:t xml:space="preserve"> </w:t>
      </w:r>
      <w:r>
        <w:rPr>
          <w:rStyle w:val="687"/>
        </w:rPr>
        <w:t xml:space="preserve">counts</w:t>
      </w:r>
      <w:r>
        <w:t xml:space="preserve"> </w:t>
      </w:r>
      <w:r>
        <w:rPr>
          <w:rStyle w:val="687"/>
        </w:rPr>
        <w:t xml:space="preserve">assay</w:t>
      </w:r>
      <w:r>
        <w:t xml:space="preserve"> </w:t>
      </w:r>
      <w:r>
        <w:t xml:space="preserve">could itself undergo normalization/transformation and would need </w:t>
      </w:r>
      <w:r>
        <w:t xml:space="preserve">to store back this additional subset-specific data back into the subset. In the figure above, subset1 is created by retaining some rows and all columns of the original object, subset2 is created by retaining all rows but some columns, subset3 contains some</w:t>
      </w:r>
      <w:r>
        <w:t xml:space="preserve"> rows and some columns and finally the subset4 is created by retaining some rows and some columns from the previous subset3, thus illustrating that any sort of subset in regards to the dimension and assay could potentially be created by using this package.</w:t>
      </w:r>
      <w:r/>
    </w:p>
    <w:p>
      <w:pPr>
        <w:pStyle w:val="657"/>
        <w:jc w:val="center"/>
      </w:pPr>
      <w:r>
        <mc:AlternateContent>
          <mc:Choice Requires="wpg">
            <w:drawing>
              <wp:inline xmlns:wp="http://schemas.openxmlformats.org/drawingml/2006/wordprocessingDrawing" distT="0" distB="0" distL="0" distR="0">
                <wp:extent cx="5334000" cy="5738309"/>
                <wp:effectExtent l="0" t="0" r="0" b="0"/>
                <wp:docPr id="17"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descr="class_design.png" hidden="0"/>
                        <pic:cNvPicPr>
                          <a:picLocks noChangeAspect="1" noChangeArrowheads="1"/>
                        </pic:cNvPicPr>
                        <pic:nvPr isPhoto="0" userDrawn="0"/>
                      </pic:nvPicPr>
                      <pic:blipFill>
                        <a:blip r:embed="rId27"/>
                        <a:stretch/>
                      </pic:blipFill>
                      <pic:spPr bwMode="auto">
                        <a:xfrm>
                          <a:off x="0" y="0"/>
                          <a:ext cx="5334000" cy="5738309"/>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20.0pt;height:451.8pt;" stroked="f" strokeweight="0.75pt">
                <v:path textboxrect="0,0,0,0"/>
                <v:imagedata r:id="rId27" o:title=""/>
              </v:shape>
            </w:pict>
          </mc:Fallback>
        </mc:AlternateContent>
      </w:r>
      <w:r/>
    </w:p>
    <w:p>
      <w:pPr>
        <w:pStyle w:val="681"/>
      </w:pPr>
      <w:r>
        <w:t xml:space="preserve">Figure </w:t>
      </w:r>
      <w:r>
        <w:fldChar w:fldCharType="begin"/>
        <w:instrText xml:space="preserve"> SEQ Figure \* Arabic </w:instrText>
        <w:fldChar w:fldCharType="separate"/>
      </w:r>
      <w:r>
        <w:t xml:space="preserve">15</w:t>
      </w:r>
      <w:r/>
      <w:r>
        <w:fldChar w:fldCharType="end"/>
      </w:r>
      <w:r>
        <w:t xml:space="preserve"> An ExperimentSubset object contains slot for assays (top) that may have multiple parent matrices and slots for subsets that not only contains the subset information but also additional subset-specific data if required (bottom). </w:t>
      </w:r>
      <w:r/>
    </w:p>
    <w:p>
      <w:pPr>
        <w:pStyle w:val="657"/>
      </w:pPr>
      <w:r>
        <w:t xml:space="preserve">The figure above shows the general internal proposed structure of the class object, where the overall object can have multiple main assays (inherited from the parent</w:t>
      </w:r>
      <w:r>
        <w:t xml:space="preserve"> </w:t>
      </w:r>
      <w:r>
        <w:rPr>
          <w:rStyle w:val="687"/>
        </w:rPr>
        <w:t xml:space="preserve">Experiment</w:t>
      </w:r>
      <w:r>
        <w:t xml:space="preserve"> </w:t>
      </w:r>
      <w:r>
        <w:t xml:space="preserve">class) and in addition to these assays, it should be able to store subsets and subset specific data. Subset-specific information includes the name of the subset which is used to identify the subset, row/column indices which are used to fetch the</w:t>
      </w:r>
      <w:r>
        <w:t xml:space="preserve"> data directly from a main assay and therefore would help in memory savings, name of the parent assay which helps in both fetching the data as well as helps in maintaining data provenance. Additionally, subset-specific experiment data is stored in an empty</w:t>
      </w:r>
      <w:r>
        <w:t xml:space="preserve"> </w:t>
      </w:r>
      <w:r>
        <w:rPr>
          <w:rStyle w:val="687"/>
        </w:rPr>
        <w:t xml:space="preserve">Experiment</w:t>
      </w:r>
      <w:r>
        <w:t xml:space="preserve"> </w:t>
      </w:r>
      <w:r>
        <w:t xml:space="preserve">object which should be the same as the parent object to avoid maintenance and compatibility issues.</w:t>
      </w:r>
      <w:bookmarkEnd w:id="64"/>
      <w:r/>
    </w:p>
    <w:p>
      <w:pPr>
        <w:pStyle w:val="667"/>
      </w:pPr>
      <w:r/>
      <w:bookmarkStart w:id="238" w:name="_Toc38"/>
      <w:r/>
      <w:bookmarkStart w:id="66" w:name="Xfc1e971d0f6702e3cc327788e1d196c25d45827"/>
      <w:r>
        <w:t xml:space="preserve">Identify &amp; handle data redundancy issues in the design</w:t>
      </w:r>
      <w:r/>
      <w:bookmarkEnd w:id="238"/>
      <w:r/>
      <w:r/>
    </w:p>
    <w:p>
      <w:pPr>
        <w:pStyle w:val="658"/>
      </w:pPr>
      <w:r>
        <w:t xml:space="preserve">One of the issues currently bo</w:t>
      </w:r>
      <w:r>
        <w:t xml:space="preserve">th with the existing Experiment classes and the subsets is the handling of data redundancy which ultimately leads to increased memory consumption. As the typical datasets used with these Experiment classes are generally quite large (in the order of atleast</w:t>
      </w:r>
      <w:r>
        <w:t xml:space="preserve"> gigabytes), memory consumption is definitely a troublesome that must be handled in an efficient way. With the existing Experiment classes you have to create additional objects and therefore there isn’t really a way to save memory in terms of object sizes.</w:t>
      </w:r>
      <w:r/>
    </w:p>
    <w:p>
      <w:pPr>
        <w:pStyle w:val="657"/>
        <w:jc w:val="center"/>
      </w:pPr>
      <w:r>
        <mc:AlternateContent>
          <mc:Choice Requires="wpg">
            <w:drawing>
              <wp:inline xmlns:wp="http://schemas.openxmlformats.org/drawingml/2006/wordprocessingDrawing" distT="0" distB="0" distL="0" distR="0">
                <wp:extent cx="5334000" cy="3504862"/>
                <wp:effectExtent l="0" t="0" r="0" b="0"/>
                <wp:docPr id="18"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descr="indices.png" hidden="0"/>
                        <pic:cNvPicPr>
                          <a:picLocks noChangeAspect="1" noChangeArrowheads="1"/>
                        </pic:cNvPicPr>
                        <pic:nvPr isPhoto="0" userDrawn="0"/>
                      </pic:nvPicPr>
                      <pic:blipFill>
                        <a:blip r:embed="rId28"/>
                        <a:stretch/>
                      </pic:blipFill>
                      <pic:spPr bwMode="auto">
                        <a:xfrm>
                          <a:off x="0" y="0"/>
                          <a:ext cx="5334000" cy="350486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20.0pt;height:276.0pt;" stroked="f" strokeweight="0.75pt">
                <v:path textboxrect="0,0,0,0"/>
                <v:imagedata r:id="rId28" o:title=""/>
              </v:shape>
            </w:pict>
          </mc:Fallback>
        </mc:AlternateContent>
      </w:r>
      <w:r/>
    </w:p>
    <w:p>
      <w:pPr>
        <w:pStyle w:val="681"/>
      </w:pPr>
      <w:r>
        <w:t xml:space="preserve">Figure </w:t>
      </w:r>
      <w:r>
        <w:fldChar w:fldCharType="begin"/>
        <w:instrText xml:space="preserve"> SEQ Figure \* Arabic </w:instrText>
        <w:fldChar w:fldCharType="separate"/>
      </w:r>
      <w:r>
        <w:t xml:space="preserve">16</w:t>
      </w:r>
      <w:r/>
      <w:r>
        <w:fldChar w:fldCharType="end"/>
      </w:r>
      <w:r>
        <w:t xml:space="preserve"> Data matrices in Experiment objects generally called assays contain numeric values with rows representing features (genes) and columns representing samples. A subset highlighted in red would then contain just the specified rows and columns. </w:t>
      </w:r>
      <w:r/>
    </w:p>
    <w:p>
      <w:pPr>
        <w:pStyle w:val="657"/>
      </w:pPr>
      <w:r>
        <w:t xml:space="preserve">In our proposed approach, we use indices to store subsets instead of storing the actual values and use these indices as poin</w:t>
      </w:r>
      <w:r>
        <w:t xml:space="preserve">ters to reference the actual data. This approach allows us to eliminate the storage of redundant data values since they are already stored in another data matrix. While the approach itself is slightly complicated due to the hierarchical linking of the subs</w:t>
      </w:r>
      <w:r>
        <w:t xml:space="preserve">ets and the consequent hierarchical structure of the pointers, however, memory savings offered as a result of this approach would be significant. For example in the figure shown above, if we consider that the values shown constitute a complete matrix and w</w:t>
      </w:r>
      <w:r>
        <w:t xml:space="preserve">e wish to create a subset highlighted by the values included in the red rectangles, we only store the row indices and the column indices and use these indices to refer the actual values. More details on we have actually implemented this is available in the</w:t>
      </w:r>
      <w:r>
        <w:t xml:space="preserve"> </w:t>
      </w:r>
      <w:r>
        <w:t xml:space="preserve">“</w:t>
      </w:r>
      <w:r>
        <w:t xml:space="preserve">Internal class AssaySubset</w:t>
      </w:r>
      <w:r>
        <w:t xml:space="preserve">”</w:t>
      </w:r>
      <w:r>
        <w:t xml:space="preserve"> </w:t>
      </w:r>
      <w:r>
        <w:t xml:space="preserve">section below.</w:t>
      </w:r>
      <w:bookmarkEnd w:id="66"/>
      <w:r/>
    </w:p>
    <w:p>
      <w:pPr>
        <w:pStyle w:val="667"/>
      </w:pPr>
      <w:r/>
      <w:bookmarkStart w:id="239" w:name="_Toc39"/>
      <w:r/>
      <w:bookmarkStart w:id="68" w:name="Xb3116d12a1a255ce8fa9785354459f8b7c81792"/>
      <w:r>
        <w:t xml:space="preserve">Integration of existing Experiment classes</w:t>
      </w:r>
      <w:r/>
      <w:bookmarkEnd w:id="239"/>
      <w:r/>
      <w:r/>
    </w:p>
    <w:p>
      <w:pPr>
        <w:pStyle w:val="658"/>
      </w:pPr>
      <w:r>
        <w:t xml:space="preserve">To ensure that our proposed package/classes work as drop-in replacement (existing functions would not need to be changed in other packages and librar</w:t>
      </w:r>
      <w:r>
        <w:t xml:space="preserve">ies) against other commonly used Experiment classes, we decided to opt for the integration of these classes in such a way that our package and the subset classes within our package could be used directly with existing methods and functions that use the cur</w:t>
      </w:r>
      <w:r>
        <w:t xml:space="preserve">rently available Experiment classes. For this purpose, we decided to directly inherit from these classes and add subset support (slot) to them and provide the capability to create and manipulate subsets in a fashion similar to existing classes that include</w:t>
      </w:r>
      <w:r>
        <w:t xml:space="preserve"> </w:t>
      </w:r>
      <w:r>
        <w:rPr>
          <w:rStyle w:val="687"/>
        </w:rPr>
        <w:t xml:space="preserve">SummarizedExperiment</w:t>
      </w:r>
      <w:r>
        <w:t xml:space="preserve"> </w:t>
      </w:r>
      <w:r>
        <w:t xml:space="preserve">[11]</w:t>
      </w:r>
      <w:r>
        <w:t xml:space="preserve">,</w:t>
      </w:r>
      <w:r>
        <w:t xml:space="preserve"> </w:t>
      </w:r>
      <w:r>
        <w:rPr>
          <w:rStyle w:val="687"/>
        </w:rPr>
        <w:t xml:space="preserve">RangedSummarizedExperiment</w:t>
      </w:r>
      <w:r>
        <w:t xml:space="preserve"> </w:t>
      </w:r>
      <w:r>
        <w:t xml:space="preserve">[11]</w:t>
      </w:r>
      <w:r>
        <w:t xml:space="preserve">,</w:t>
      </w:r>
      <w:r>
        <w:t xml:space="preserve"> </w:t>
      </w:r>
      <w:r>
        <w:rPr>
          <w:rStyle w:val="687"/>
        </w:rPr>
        <w:t xml:space="preserve">SingleCellExperiment</w:t>
      </w:r>
      <w:r>
        <w:t xml:space="preserve"> </w:t>
      </w:r>
      <w:r>
        <w:t xml:space="preserve">[12]</w:t>
      </w:r>
      <w:r>
        <w:t xml:space="preserve">,</w:t>
      </w:r>
      <w:r>
        <w:t xml:space="preserve"> </w:t>
      </w:r>
      <w:r>
        <w:rPr>
          <w:rStyle w:val="687"/>
        </w:rPr>
        <w:t xml:space="preserve">TreeSummarizedExperiment</w:t>
      </w:r>
      <w:r>
        <w:t xml:space="preserve"> </w:t>
      </w:r>
      <w:r>
        <w:t xml:space="preserve">[36]</w:t>
      </w:r>
      <w:r>
        <w:t xml:space="preserve"> </w:t>
      </w:r>
      <w:r>
        <w:t xml:space="preserve">and</w:t>
      </w:r>
      <w:r>
        <w:t xml:space="preserve"> </w:t>
      </w:r>
      <w:r>
        <w:rPr>
          <w:rStyle w:val="687"/>
        </w:rPr>
        <w:t xml:space="preserve">SpatialExperiment</w:t>
      </w:r>
      <w:r>
        <w:t xml:space="preserve"> </w:t>
      </w:r>
      <w:r>
        <w:t xml:space="preserve">[37]</w:t>
      </w:r>
      <w:r>
        <w:t xml:space="preserve">.</w:t>
      </w:r>
      <w:r/>
    </w:p>
    <w:p>
      <w:pPr>
        <w:pStyle w:val="657"/>
        <w:jc w:val="center"/>
      </w:pPr>
      <w:r>
        <mc:AlternateContent>
          <mc:Choice Requires="wpg">
            <w:drawing>
              <wp:inline xmlns:wp="http://schemas.openxmlformats.org/drawingml/2006/wordprocessingDrawing" distT="0" distB="0" distL="0" distR="0">
                <wp:extent cx="5334000" cy="4097522"/>
                <wp:effectExtent l="0" t="0" r="0" b="0"/>
                <wp:docPr id="19"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descr="class_diagram.png" hidden="0"/>
                        <pic:cNvPicPr>
                          <a:picLocks noChangeAspect="1" noChangeArrowheads="1"/>
                        </pic:cNvPicPr>
                        <pic:nvPr isPhoto="0" userDrawn="0"/>
                      </pic:nvPicPr>
                      <pic:blipFill>
                        <a:blip r:embed="rId29"/>
                        <a:stretch/>
                      </pic:blipFill>
                      <pic:spPr bwMode="auto">
                        <a:xfrm>
                          <a:off x="0" y="0"/>
                          <a:ext cx="5334000" cy="4097522"/>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20.0pt;height:322.6pt;" stroked="f" strokeweight="0.75pt">
                <v:path textboxrect="0,0,0,0"/>
                <v:imagedata r:id="rId29" o:title=""/>
              </v:shape>
            </w:pict>
          </mc:Fallback>
        </mc:AlternateContent>
      </w:r>
      <w:r/>
    </w:p>
    <w:p>
      <w:pPr>
        <w:pStyle w:val="681"/>
      </w:pPr>
      <w:r>
        <w:t xml:space="preserve">Figure </w:t>
      </w:r>
      <w:r>
        <w:fldChar w:fldCharType="begin"/>
        <w:instrText xml:space="preserve"> SEQ Figure \* Arabic </w:instrText>
        <w:fldChar w:fldCharType="separate"/>
      </w:r>
      <w:r>
        <w:t xml:space="preserve">17</w:t>
      </w:r>
      <w:r/>
      <w:r>
        <w:fldChar w:fldCharType="end"/>
      </w:r>
      <w:r>
        <w:t xml:space="preserve"> ExperimentSubset is an R package that contains multiple classes with prefix "subset" that inherit directly from all existing Experiment classes. These subset classes available with ExperimentSubset package contain additional slots, functions and methods to store and manipulate the subset data, while keeping everything intact from the inherited classes. </w:t>
      </w:r>
      <w:r/>
    </w:p>
    <w:p>
      <w:pPr>
        <w:pStyle w:val="657"/>
      </w:pPr>
      <w:r>
        <w:t xml:space="preserve">The figure represents the formal class diagram, where the outer enclosure represents the</w:t>
      </w:r>
      <w:r>
        <w:t xml:space="preserve"> </w:t>
      </w:r>
      <w:r>
        <w:rPr>
          <w:rStyle w:val="687"/>
        </w:rPr>
        <w:t xml:space="preserve">ExperimentSubset</w:t>
      </w:r>
      <w:r>
        <w:t xml:space="preserve"> </w:t>
      </w:r>
      <w:r>
        <w:t xml:space="preserve">package which further contains five subset specific classes inherited from the available</w:t>
      </w:r>
      <w:r>
        <w:t xml:space="preserve"> </w:t>
      </w:r>
      <w:r>
        <w:rPr>
          <w:rStyle w:val="687"/>
        </w:rPr>
        <w:t xml:space="preserve">Experiment</w:t>
      </w:r>
      <w:r>
        <w:t xml:space="preserve"> </w:t>
      </w:r>
      <w:r>
        <w:t xml:space="preserve">classes. This inheritance-based approach allows the package to be used as a drop-in replacement for these classes which are already well-established for use in analysis workflows and additionally adds subset support to them. The subset-specific classes</w:t>
      </w:r>
      <w:r>
        <w:t xml:space="preserve"> </w:t>
      </w:r>
      <w:r>
        <w:rPr>
          <w:rStyle w:val="687"/>
        </w:rPr>
        <w:t xml:space="preserve">SubsetSummarizedExperiment</w:t>
      </w:r>
      <w:r>
        <w:t xml:space="preserve">,</w:t>
      </w:r>
      <w:r>
        <w:t xml:space="preserve"> </w:t>
      </w:r>
      <w:r>
        <w:rPr>
          <w:rStyle w:val="687"/>
        </w:rPr>
        <w:t xml:space="preserve">SubsetRangedSummarizedExperiment</w:t>
      </w:r>
      <w:r>
        <w:t xml:space="preserve">,</w:t>
      </w:r>
      <w:r>
        <w:t xml:space="preserve"> </w:t>
      </w:r>
      <w:r>
        <w:rPr>
          <w:rStyle w:val="687"/>
        </w:rPr>
        <w:t xml:space="preserve">SubsetSingleCellExperiment</w:t>
      </w:r>
      <w:r>
        <w:t xml:space="preserve">,</w:t>
      </w:r>
      <w:r>
        <w:t xml:space="preserve"> </w:t>
      </w:r>
      <w:r>
        <w:rPr>
          <w:rStyle w:val="687"/>
        </w:rPr>
        <w:t xml:space="preserve">SubsetTreeSummarizedExperiment</w:t>
      </w:r>
      <w:r>
        <w:t xml:space="preserve"> </w:t>
      </w:r>
      <w:r>
        <w:t xml:space="preserve">and</w:t>
      </w:r>
      <w:r>
        <w:t xml:space="preserve"> </w:t>
      </w:r>
      <w:r>
        <w:rPr>
          <w:rStyle w:val="687"/>
        </w:rPr>
        <w:t xml:space="preserve">SubsetSpatialExperiment</w:t>
      </w:r>
      <w:r>
        <w:t xml:space="preserve"> </w:t>
      </w:r>
      <w:r>
        <w:t xml:space="preserve">add subset-specific features while retaining everything from their parent classes. Overall, the</w:t>
      </w:r>
      <w:r>
        <w:t xml:space="preserve"> </w:t>
      </w:r>
      <w:r>
        <w:rPr>
          <w:rStyle w:val="687"/>
        </w:rPr>
        <w:t xml:space="preserve">ExperimentSubset</w:t>
      </w:r>
      <w:r>
        <w:t xml:space="preserve"> </w:t>
      </w:r>
      <w:r>
        <w:t xml:space="preserve">package should assign one of these subset classes to the input object which matches the class of this input object which could then be used in the dowstream analysis in a fashion similar to the parent class.</w:t>
      </w:r>
      <w:bookmarkEnd w:id="68"/>
      <w:r/>
    </w:p>
    <w:p>
      <w:pPr>
        <w:pStyle w:val="667"/>
      </w:pPr>
      <w:r/>
      <w:bookmarkStart w:id="240" w:name="_Toc40"/>
      <w:r/>
      <w:bookmarkStart w:id="73" w:name="Xcaa26e2021c4a51b108000cb02e914a77565a71"/>
      <w:r>
        <w:t xml:space="preserve">Implement new classes with subset support</w:t>
      </w:r>
      <w:r/>
      <w:bookmarkEnd w:id="240"/>
      <w:r/>
      <w:r/>
    </w:p>
    <w:p>
      <w:pPr>
        <w:pStyle w:val="658"/>
      </w:pPr>
      <w:r>
        <w:t xml:space="preserve">The R programming language supports multiple types of object-oriented class systems including</w:t>
      </w:r>
      <w:r>
        <w:t xml:space="preserve"> </w:t>
      </w:r>
      <w:r>
        <w:rPr>
          <w:rStyle w:val="687"/>
        </w:rPr>
        <w:t xml:space="preserve">S3</w:t>
      </w:r>
      <w:r>
        <w:t xml:space="preserve">,</w:t>
      </w:r>
      <w:r>
        <w:t xml:space="preserve"> </w:t>
      </w:r>
      <w:r>
        <w:rPr>
          <w:rStyle w:val="687"/>
        </w:rPr>
        <w:t xml:space="preserve">S4</w:t>
      </w:r>
      <w:r>
        <w:t xml:space="preserve">,</w:t>
      </w:r>
      <w:r>
        <w:t xml:space="preserve"> </w:t>
      </w:r>
      <w:r>
        <w:rPr>
          <w:rStyle w:val="687"/>
        </w:rPr>
        <w:t xml:space="preserve">R5</w:t>
      </w:r>
      <w:r>
        <w:t xml:space="preserve"> </w:t>
      </w:r>
      <w:r>
        <w:t xml:space="preserve">and</w:t>
      </w:r>
      <w:r>
        <w:t xml:space="preserve"> </w:t>
      </w:r>
      <w:r>
        <w:rPr>
          <w:rStyle w:val="687"/>
        </w:rPr>
        <w:t xml:space="preserve">R6</w:t>
      </w:r>
      <w:r>
        <w:t xml:space="preserve">. For the implementation of the said package, we use the</w:t>
      </w:r>
      <w:r>
        <w:t xml:space="preserve"> </w:t>
      </w:r>
      <w:r>
        <w:rPr>
          <w:rStyle w:val="687"/>
        </w:rPr>
        <w:t xml:space="preserve">S4</w:t>
      </w:r>
      <w:r>
        <w:t xml:space="preserve"> </w:t>
      </w:r>
      <w:r>
        <w:t xml:space="preserve">class system because of the following two reasons:</w:t>
      </w:r>
      <w:r/>
    </w:p>
    <w:p>
      <w:pPr>
        <w:pStyle w:val="659"/>
        <w:numPr>
          <w:ilvl w:val="0"/>
          <w:numId w:val="5"/>
        </w:numPr>
      </w:pPr>
      <w:r>
        <w:rPr>
          <w:rStyle w:val="687"/>
        </w:rPr>
        <w:t xml:space="preserve">S4</w:t>
      </w:r>
      <w:r>
        <w:t xml:space="preserve"> </w:t>
      </w:r>
      <w:r>
        <w:t xml:space="preserve">class system is more OOP oriented (although R6 perfectly mimics standard OOP) than other classes, where you can have setter/getter methods with a single generic function.</w:t>
      </w:r>
      <w:r/>
    </w:p>
    <w:p>
      <w:pPr>
        <w:pStyle w:val="659"/>
        <w:numPr>
          <w:ilvl w:val="0"/>
          <w:numId w:val="5"/>
        </w:numPr>
      </w:pPr>
      <w:r>
        <w:t xml:space="preserve">Experiment classes that we wish to inherit are also</w:t>
      </w:r>
      <w:r>
        <w:t xml:space="preserve"> </w:t>
      </w:r>
      <w:r>
        <w:rPr>
          <w:rStyle w:val="687"/>
        </w:rPr>
        <w:t xml:space="preserve">S4</w:t>
      </w:r>
      <w:r>
        <w:t xml:space="preserve">-based.</w:t>
      </w:r>
      <w:r/>
    </w:p>
    <w:p>
      <w:pPr>
        <w:pStyle w:val="658"/>
      </w:pPr>
      <w:r>
        <w:t xml:space="preserve">Keeping in view the above arguments, we use the</w:t>
      </w:r>
      <w:r>
        <w:t xml:space="preserve"> </w:t>
      </w:r>
      <w:r>
        <w:rPr>
          <w:rStyle w:val="687"/>
        </w:rPr>
        <w:t xml:space="preserve">S4</w:t>
      </w:r>
      <w:r>
        <w:t xml:space="preserve"> </w:t>
      </w:r>
      <w:r>
        <w:t xml:space="preserve">class system to implement our class by inheriting from other</w:t>
      </w:r>
      <w:r>
        <w:t xml:space="preserve"> </w:t>
      </w:r>
      <w:r>
        <w:rPr>
          <w:rStyle w:val="687"/>
        </w:rPr>
        <w:t xml:space="preserve">Experiment</w:t>
      </w:r>
      <w:r>
        <w:t xml:space="preserve"> </w:t>
      </w:r>
      <w:r>
        <w:t xml:space="preserve">classes.</w:t>
      </w:r>
      <w:r/>
    </w:p>
    <w:p>
      <w:pPr>
        <w:pStyle w:val="657"/>
      </w:pPr>
      <w:r>
        <w:t xml:space="preserve">The figure below describes the workflow to implement this package starting from setting up the R environment using RStudio IDE, implem</w:t>
      </w:r>
      <w:r>
        <w:t xml:space="preserve">enting the class structure for inheritance, implementing the necessary methods and internal classes and finally testing the package on sample datasets to generate results. All of these steps are further described in detail below with the supporting R code.</w:t>
      </w:r>
      <w:r/>
    </w:p>
    <w:p>
      <w:pPr>
        <w:pStyle w:val="657"/>
        <w:jc w:val="center"/>
      </w:pPr>
      <w:r>
        <mc:AlternateContent>
          <mc:Choice Requires="wpg">
            <w:drawing>
              <wp:inline xmlns:wp="http://schemas.openxmlformats.org/drawingml/2006/wordprocessingDrawing" distT="0" distB="0" distL="0" distR="0">
                <wp:extent cx="5334000" cy="3579211"/>
                <wp:effectExtent l="0" t="0" r="0" b="0"/>
                <wp:docPr id="20"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descr="implementation.png" hidden="0"/>
                        <pic:cNvPicPr>
                          <a:picLocks noChangeAspect="1" noChangeArrowheads="1"/>
                        </pic:cNvPicPr>
                        <pic:nvPr isPhoto="0" userDrawn="0"/>
                      </pic:nvPicPr>
                      <pic:blipFill>
                        <a:blip r:embed="rId30"/>
                        <a:stretch/>
                      </pic:blipFill>
                      <pic:spPr bwMode="auto">
                        <a:xfrm>
                          <a:off x="0" y="0"/>
                          <a:ext cx="5334000" cy="3579211"/>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20.0pt;height:281.8pt;" stroked="f" strokeweight="0.75pt">
                <v:path textboxrect="0,0,0,0"/>
                <v:imagedata r:id="rId30" o:title=""/>
              </v:shape>
            </w:pict>
          </mc:Fallback>
        </mc:AlternateContent>
      </w:r>
      <w:r/>
    </w:p>
    <w:p>
      <w:pPr>
        <w:pStyle w:val="681"/>
      </w:pPr>
      <w:r>
        <w:t xml:space="preserve">Figure </w:t>
      </w:r>
      <w:r>
        <w:fldChar w:fldCharType="begin"/>
        <w:instrText xml:space="preserve"> SEQ Figure \* Arabic </w:instrText>
        <w:fldChar w:fldCharType="separate"/>
      </w:r>
      <w:r>
        <w:t xml:space="preserve">18</w:t>
      </w:r>
      <w:r/>
      <w:r>
        <w:fldChar w:fldCharType="end"/>
      </w:r>
      <w:r>
        <w:t xml:space="preserve"> The implementation of ExperimentSubset package includes setting up of the R package environment using RStudio IDE, creation of subset classes and inheritance from existing Experiment classes. </w:t>
      </w:r>
      <w:r/>
    </w:p>
    <w:p>
      <w:pPr>
        <w:pStyle w:val="668"/>
      </w:pPr>
      <w:r/>
      <w:bookmarkStart w:id="241" w:name="_Toc41"/>
      <w:r/>
      <w:bookmarkStart w:id="70" w:name="setup-r-environment"/>
      <w:r>
        <w:t xml:space="preserve">Setup R environment</w:t>
      </w:r>
      <w:r/>
      <w:bookmarkEnd w:id="241"/>
      <w:r/>
      <w:r/>
    </w:p>
    <w:p>
      <w:pPr>
        <w:pStyle w:val="659"/>
        <w:numPr>
          <w:ilvl w:val="0"/>
          <w:numId w:val="6"/>
        </w:numPr>
      </w:pPr>
      <w:r>
        <w:t xml:space="preserve">R environment for package build is setup using RStudio software and a github repository is linked for version control.</w:t>
      </w:r>
      <w:r/>
    </w:p>
    <w:p>
      <w:pPr>
        <w:pStyle w:val="659"/>
        <w:numPr>
          <w:ilvl w:val="0"/>
          <w:numId w:val="6"/>
        </w:numPr>
      </w:pPr>
      <w:r>
        <w:t xml:space="preserve">As the requirements of our package is to serve as a drop-in replacement class for other</w:t>
      </w:r>
      <w:r>
        <w:t xml:space="preserve"> </w:t>
      </w:r>
      <w:r>
        <w:rPr>
          <w:rStyle w:val="687"/>
        </w:rPr>
        <w:t xml:space="preserve">Experiment</w:t>
      </w:r>
      <w:r>
        <w:t xml:space="preserve"> </w:t>
      </w:r>
      <w:r>
        <w:t xml:space="preserve">classes, we use the same class system as these</w:t>
      </w:r>
      <w:r>
        <w:t xml:space="preserve"> </w:t>
      </w:r>
      <w:r>
        <w:rPr>
          <w:rStyle w:val="687"/>
        </w:rPr>
        <w:t xml:space="preserve">Experiment</w:t>
      </w:r>
      <w:r>
        <w:t xml:space="preserve"> </w:t>
      </w:r>
      <w:r>
        <w:t xml:space="preserve">classes i.e.,</w:t>
      </w:r>
      <w:r>
        <w:t xml:space="preserve"> </w:t>
      </w:r>
      <w:r>
        <w:rPr>
          <w:rStyle w:val="687"/>
        </w:rPr>
        <w:t xml:space="preserve">S4</w:t>
      </w:r>
      <w:r>
        <w:t xml:space="preserve"> </w:t>
      </w:r>
      <w:r>
        <w:t xml:space="preserve">class system that uses a systematic way of managing setters and getters and allows inclusion of slots.</w:t>
      </w:r>
      <w:r/>
    </w:p>
    <w:p>
      <w:pPr>
        <w:pStyle w:val="659"/>
        <w:numPr>
          <w:ilvl w:val="0"/>
          <w:numId w:val="6"/>
        </w:numPr>
      </w:pPr>
      <w:r>
        <w:t xml:space="preserve">The drop-in replacement feature would allow our package and classes to be used interchangeably with the existing methods that utilize other</w:t>
      </w:r>
      <w:r>
        <w:t xml:space="preserve"> </w:t>
      </w:r>
      <w:r>
        <w:rPr>
          <w:rStyle w:val="687"/>
        </w:rPr>
        <w:t xml:space="preserve">Experiment</w:t>
      </w:r>
      <w:r>
        <w:t xml:space="preserve"> </w:t>
      </w:r>
      <w:r>
        <w:t xml:space="preserve">classes without having the need to convert between these.</w:t>
      </w:r>
      <w:r/>
    </w:p>
    <w:p>
      <w:pPr>
        <w:pStyle w:val="659"/>
        <w:numPr>
          <w:ilvl w:val="0"/>
          <w:numId w:val="6"/>
        </w:numPr>
      </w:pPr>
      <w:r>
        <w:t xml:space="preserve">As there are 5 Experiment classes namely</w:t>
      </w:r>
      <w:r>
        <w:t xml:space="preserve"> </w:t>
      </w:r>
      <w:r>
        <w:rPr>
          <w:rStyle w:val="687"/>
        </w:rPr>
        <w:t xml:space="preserve">SummarizedExperiment</w:t>
      </w:r>
      <w:r>
        <w:t xml:space="preserve">,</w:t>
      </w:r>
      <w:r>
        <w:t xml:space="preserve"> </w:t>
      </w:r>
      <w:r>
        <w:rPr>
          <w:rStyle w:val="687"/>
        </w:rPr>
        <w:t xml:space="preserve">RangedSummarizedExperiment</w:t>
      </w:r>
      <w:r>
        <w:t xml:space="preserve">,</w:t>
      </w:r>
      <w:r>
        <w:t xml:space="preserve"> </w:t>
      </w:r>
      <w:r>
        <w:rPr>
          <w:rStyle w:val="687"/>
        </w:rPr>
        <w:t xml:space="preserve">SingleCellExperiment</w:t>
      </w:r>
      <w:r>
        <w:t xml:space="preserve">,</w:t>
      </w:r>
      <w:r>
        <w:t xml:space="preserve"> </w:t>
      </w:r>
      <w:r>
        <w:rPr>
          <w:rStyle w:val="687"/>
        </w:rPr>
        <w:t xml:space="preserve">TreeSummarizedExperiment</w:t>
      </w:r>
      <w:r>
        <w:t xml:space="preserve"> </w:t>
      </w:r>
      <w:r>
        <w:t xml:space="preserve">and</w:t>
      </w:r>
      <w:r>
        <w:t xml:space="preserve"> </w:t>
      </w:r>
      <w:r>
        <w:rPr>
          <w:rStyle w:val="687"/>
        </w:rPr>
        <w:t xml:space="preserve">SpatialExperiment</w:t>
      </w:r>
      <w:r>
        <w:t xml:space="preserve">, we inherit from each of these separately to build new subset classes that we name as</w:t>
      </w:r>
      <w:r>
        <w:t xml:space="preserve"> </w:t>
      </w:r>
      <w:r>
        <w:rPr>
          <w:rStyle w:val="687"/>
        </w:rPr>
        <w:t xml:space="preserve">SubsetSummarizedExperiment</w:t>
      </w:r>
      <w:r>
        <w:t xml:space="preserve">,</w:t>
      </w:r>
      <w:r>
        <w:t xml:space="preserve"> </w:t>
      </w:r>
      <w:r>
        <w:rPr>
          <w:rStyle w:val="687"/>
        </w:rPr>
        <w:t xml:space="preserve">SubsetRangedSummarizedExperiment</w:t>
      </w:r>
      <w:r>
        <w:t xml:space="preserve">,</w:t>
      </w:r>
      <w:r>
        <w:t xml:space="preserve"> </w:t>
      </w:r>
      <w:r>
        <w:rPr>
          <w:rStyle w:val="687"/>
        </w:rPr>
        <w:t xml:space="preserve">SusbetSingleCellExperiment</w:t>
      </w:r>
      <w:r>
        <w:t xml:space="preserve">,</w:t>
      </w:r>
      <w:r>
        <w:t xml:space="preserve"> </w:t>
      </w:r>
      <w:r>
        <w:rPr>
          <w:rStyle w:val="687"/>
        </w:rPr>
        <w:t xml:space="preserve">SubsetTreeSummarizedExperiment</w:t>
      </w:r>
      <w:r>
        <w:t xml:space="preserve"> </w:t>
      </w:r>
      <w:r>
        <w:t xml:space="preserve">and</w:t>
      </w:r>
      <w:r>
        <w:t xml:space="preserve"> </w:t>
      </w:r>
      <w:r>
        <w:rPr>
          <w:rStyle w:val="687"/>
        </w:rPr>
        <w:t xml:space="preserve">SubsetSpatialExperiment</w:t>
      </w:r>
      <w:r>
        <w:t xml:space="preserve">. All five of these new Subset classes inherit directly from their parent</w:t>
      </w:r>
      <w:r>
        <w:t xml:space="preserve"> </w:t>
      </w:r>
      <w:r>
        <w:rPr>
          <w:rStyle w:val="687"/>
        </w:rPr>
        <w:t xml:space="preserve">Experiment</w:t>
      </w:r>
      <w:r>
        <w:t xml:space="preserve"> </w:t>
      </w:r>
      <w:r>
        <w:t xml:space="preserve">classes so as to allow these subset classes to work exactly as intended by their original parent</w:t>
      </w:r>
      <w:r>
        <w:t xml:space="preserve"> </w:t>
      </w:r>
      <w:r>
        <w:rPr>
          <w:rStyle w:val="687"/>
        </w:rPr>
        <w:t xml:space="preserve">Experiment</w:t>
      </w:r>
      <w:r>
        <w:t xml:space="preserve"> </w:t>
      </w:r>
      <w:r>
        <w:t xml:space="preserve">classes as a drop-in replacement with existing methods but adding subset support to these new Subset classes.</w:t>
      </w:r>
      <w:bookmarkEnd w:id="70"/>
      <w:r/>
    </w:p>
    <w:p>
      <w:pPr>
        <w:pStyle w:val="668"/>
      </w:pPr>
      <w:r/>
      <w:bookmarkStart w:id="242" w:name="_Toc42"/>
      <w:r/>
      <w:bookmarkStart w:id="71" w:name="implement-constructor"/>
      <w:r>
        <w:t xml:space="preserve">Implement Constructor</w:t>
      </w:r>
      <w:r/>
      <w:bookmarkEnd w:id="242"/>
      <w:r/>
      <w:r/>
    </w:p>
    <w:p>
      <w:pPr>
        <w:pStyle w:val="659"/>
        <w:numPr>
          <w:ilvl w:val="0"/>
          <w:numId w:val="7"/>
        </w:numPr>
      </w:pPr>
      <w:r>
        <w:t xml:space="preserve">To enable easy conversion from other</w:t>
      </w:r>
      <w:r>
        <w:t xml:space="preserve"> </w:t>
      </w:r>
      <w:r>
        <w:rPr>
          <w:rStyle w:val="687"/>
        </w:rPr>
        <w:t xml:space="preserve">Experiment</w:t>
      </w:r>
      <w:r>
        <w:t xml:space="preserve"> </w:t>
      </w:r>
      <w:r>
        <w:t xml:space="preserve">classes, we implement a simple constructor function</w:t>
      </w:r>
      <w:r>
        <w:t xml:space="preserve"> </w:t>
      </w:r>
      <w:r>
        <w:rPr>
          <w:rStyle w:val="687"/>
        </w:rPr>
        <w:t xml:space="preserve">ExperimentSubset()</w:t>
      </w:r>
      <w:r>
        <w:t xml:space="preserve"> </w:t>
      </w:r>
      <w:r>
        <w:t xml:space="preserve">that takes input an object that belongs to any of the other</w:t>
      </w:r>
      <w:r>
        <w:t xml:space="preserve"> </w:t>
      </w:r>
      <w:r>
        <w:rPr>
          <w:rStyle w:val="687"/>
        </w:rPr>
        <w:t xml:space="preserve">Experiment</w:t>
      </w:r>
      <w:r>
        <w:t xml:space="preserve"> </w:t>
      </w:r>
      <w:r>
        <w:t xml:space="preserve">classes and converts it into a subset class appropriate to that object. This allows easy use of the object as a drop-in replacement for other</w:t>
      </w:r>
      <w:r>
        <w:t xml:space="preserve"> </w:t>
      </w:r>
      <w:r>
        <w:rPr>
          <w:rStyle w:val="687"/>
        </w:rPr>
        <w:t xml:space="preserve">Experiment</w:t>
      </w:r>
      <w:r>
        <w:t xml:space="preserve"> </w:t>
      </w:r>
      <w:r>
        <w:t xml:space="preserve">classes in downstream analysis.</w:t>
      </w:r>
      <w:r/>
    </w:p>
    <w:p>
      <w:pPr>
        <w:pStyle w:val="692"/>
      </w:pPr>
      <w:r>
        <w:rPr>
          <w:rStyle w:val="710"/>
        </w:rPr>
        <w:t xml:space="preserve">library</w:t>
      </w:r>
      <w:r>
        <w:rPr>
          <w:rStyle w:val="723"/>
        </w:rPr>
        <w:t xml:space="preserve">(TENxPBMCData)</w:t>
      </w:r>
      <w:r>
        <w:br/>
      </w:r>
      <w:r>
        <w:br/>
      </w:r>
      <w:r>
        <w:rPr>
          <w:rStyle w:val="705"/>
        </w:rPr>
        <w:t xml:space="preserve"># Load a sample SingleCellExperiment object</w:t>
      </w:r>
      <w:r>
        <w:br/>
      </w:r>
      <w:r>
        <w:rPr>
          <w:rStyle w:val="723"/>
        </w:rPr>
        <w:t xml:space="preserve">sce </w:t>
      </w:r>
      <w:r>
        <w:rPr>
          <w:rStyle w:val="709"/>
        </w:rPr>
        <w:t xml:space="preserve">&lt;-</w:t>
      </w:r>
      <w:r>
        <w:rPr>
          <w:rStyle w:val="723"/>
        </w:rPr>
        <w:t xml:space="preserve"> </w:t>
      </w:r>
      <w:r>
        <w:rPr>
          <w:rStyle w:val="710"/>
        </w:rPr>
        <w:t xml:space="preserve">TENxPBMCData</w:t>
      </w:r>
      <w:r>
        <w:rPr>
          <w:rStyle w:val="723"/>
        </w:rPr>
        <w:t xml:space="preserve">(</w:t>
      </w:r>
      <w:r>
        <w:rPr>
          <w:rStyle w:val="717"/>
        </w:rPr>
        <w:t xml:space="preserve">dataset =</w:t>
      </w:r>
      <w:r>
        <w:rPr>
          <w:rStyle w:val="723"/>
        </w:rPr>
        <w:t xml:space="preserve"> </w:t>
      </w:r>
      <w:r>
        <w:rPr>
          <w:rStyle w:val="701"/>
        </w:rPr>
        <w:t xml:space="preserve">"pbmc3k"</w:t>
      </w:r>
      <w:r>
        <w:rPr>
          <w:rStyle w:val="723"/>
        </w:rPr>
        <w:t xml:space="preserve">)</w:t>
      </w:r>
      <w:r>
        <w:br/>
      </w:r>
      <w:r>
        <w:br/>
      </w:r>
      <w:r>
        <w:rPr>
          <w:rStyle w:val="705"/>
        </w:rPr>
        <w:t xml:space="preserve"># Use ExperimentSubset constructor to convert it to a ES object</w:t>
      </w:r>
      <w:r>
        <w:br/>
      </w:r>
      <w:r>
        <w:rPr>
          <w:rStyle w:val="723"/>
        </w:rPr>
        <w:t xml:space="preserve">es </w:t>
      </w:r>
      <w:r>
        <w:rPr>
          <w:rStyle w:val="709"/>
        </w:rPr>
        <w:t xml:space="preserve">&lt;-</w:t>
      </w:r>
      <w:r>
        <w:rPr>
          <w:rStyle w:val="723"/>
        </w:rPr>
        <w:t xml:space="preserve"> </w:t>
      </w:r>
      <w:r>
        <w:rPr>
          <w:rStyle w:val="710"/>
        </w:rPr>
        <w:t xml:space="preserve">ExperimentSubset</w:t>
      </w:r>
      <w:r>
        <w:rPr>
          <w:rStyle w:val="723"/>
        </w:rPr>
        <w:t xml:space="preserve">(sce)</w:t>
      </w:r>
      <w:r>
        <w:br/>
      </w:r>
      <w:r>
        <w:br/>
      </w:r>
      <w:r>
        <w:rPr>
          <w:rStyle w:val="710"/>
        </w:rPr>
        <w:t xml:space="preserve">print</w:t>
      </w:r>
      <w:r>
        <w:rPr>
          <w:rStyle w:val="723"/>
        </w:rPr>
        <w:t xml:space="preserve">(es)</w:t>
      </w:r>
      <w:r/>
    </w:p>
    <w:p>
      <w:pPr>
        <w:pStyle w:val="692"/>
      </w:pPr>
      <w:r>
        <w:rPr>
          <w:rStyle w:val="687"/>
        </w:rPr>
        <w:t xml:space="preserve">## class: SubsetSingleCellExperiment </w:t>
      </w:r>
      <w:r>
        <w:br/>
      </w:r>
      <w:r>
        <w:rPr>
          <w:rStyle w:val="687"/>
        </w:rPr>
        <w:t xml:space="preserve">## dim: 32738 2700 </w:t>
      </w:r>
      <w:r>
        <w:br/>
      </w:r>
      <w:r>
        <w:rPr>
          <w:rStyle w:val="687"/>
        </w:rPr>
        <w:t xml:space="preserve">## metadata(0):</w:t>
      </w:r>
      <w:r>
        <w:br/>
      </w:r>
      <w:r>
        <w:rPr>
          <w:rStyle w:val="687"/>
        </w:rPr>
        <w:t xml:space="preserve">## assays(1): counts</w:t>
      </w:r>
      <w:r>
        <w:br/>
      </w:r>
      <w:r>
        <w:rPr>
          <w:rStyle w:val="687"/>
        </w:rPr>
        <w:t xml:space="preserve">## rownames(32738): ENSG00000243485 ENSG00000237613 ... ENSG00000215616</w:t>
      </w:r>
      <w:r>
        <w:br/>
      </w:r>
      <w:r>
        <w:rPr>
          <w:rStyle w:val="687"/>
        </w:rPr>
        <w:t xml:space="preserve">##   ENSG00000215611</w:t>
      </w:r>
      <w:r>
        <w:br/>
      </w:r>
      <w:r>
        <w:rPr>
          <w:rStyle w:val="687"/>
        </w:rPr>
        <w:t xml:space="preserve">## rowData names(3): ENSEMBL_ID Symbol_TENx Symbol</w:t>
      </w:r>
      <w:r>
        <w:br/>
      </w:r>
      <w:r>
        <w:rPr>
          <w:rStyle w:val="687"/>
        </w:rPr>
        <w:t xml:space="preserve">## colnames: NULL</w:t>
      </w:r>
      <w:r>
        <w:br/>
      </w:r>
      <w:r>
        <w:rPr>
          <w:rStyle w:val="687"/>
        </w:rPr>
        <w:t xml:space="preserve">## colData names(11): Sample Barcode ... Individual Date_published</w:t>
      </w:r>
      <w:r>
        <w:br/>
      </w:r>
      <w:r>
        <w:rPr>
          <w:rStyle w:val="687"/>
        </w:rPr>
        <w:t xml:space="preserve">## reducedDimNames(0):</w:t>
      </w:r>
      <w:r>
        <w:br/>
      </w:r>
      <w:r>
        <w:rPr>
          <w:rStyle w:val="687"/>
        </w:rPr>
        <w:t xml:space="preserve">## mainExpName: NULL</w:t>
      </w:r>
      <w:r>
        <w:br/>
      </w:r>
      <w:r>
        <w:rPr>
          <w:rStyle w:val="687"/>
        </w:rPr>
        <w:t xml:space="preserve">## altExpNames(0):</w:t>
      </w:r>
      <w:r>
        <w:br/>
      </w:r>
      <w:r>
        <w:rPr>
          <w:rStyle w:val="687"/>
        </w:rPr>
        <w:t xml:space="preserve">## subsets(0): </w:t>
      </w:r>
      <w:r>
        <w:br/>
      </w:r>
      <w:r>
        <w:rPr>
          <w:rStyle w:val="687"/>
        </w:rPr>
        <w:t xml:space="preserve">## subsetAssays(0):</w:t>
      </w:r>
      <w:r/>
    </w:p>
    <w:p>
      <w:pPr>
        <w:pStyle w:val="659"/>
        <w:numPr>
          <w:ilvl w:val="0"/>
          <w:numId w:val="8"/>
        </w:numPr>
      </w:pPr>
      <w:r>
        <w:t xml:space="preserve">The constructor method also supports quick subsetting if the creation of a subset is required at the time of the creation of the object. For example, in case when other</w:t>
      </w:r>
      <w:r>
        <w:t xml:space="preserve"> </w:t>
      </w:r>
      <w:r>
        <w:rPr>
          <w:rStyle w:val="687"/>
        </w:rPr>
        <w:t xml:space="preserve">Experiment</w:t>
      </w:r>
      <w:r>
        <w:t xml:space="preserve"> </w:t>
      </w:r>
      <w:r>
        <w:t xml:space="preserve">objects are being used in an analysis workf</w:t>
      </w:r>
      <w:r>
        <w:t xml:space="preserve">low and subset support is needed, users can immediately convert to a subset class and create a specified subset from within the constructor method. For this purpose we have optional parameters in the constructor method that allow this creation of a subset.</w:t>
      </w:r>
      <w:r/>
    </w:p>
    <w:p>
      <w:pPr>
        <w:pStyle w:val="692"/>
      </w:pPr>
      <w:r>
        <w:rPr>
          <w:rStyle w:val="710"/>
        </w:rPr>
        <w:t xml:space="preserve">library</w:t>
      </w:r>
      <w:r>
        <w:rPr>
          <w:rStyle w:val="723"/>
        </w:rPr>
        <w:t xml:space="preserve">(TENxPBMCData)</w:t>
      </w:r>
      <w:r>
        <w:br/>
      </w:r>
      <w:r>
        <w:br/>
      </w:r>
      <w:r>
        <w:rPr>
          <w:rStyle w:val="705"/>
        </w:rPr>
        <w:t xml:space="preserve"># Load a sample SingleCellExperiment object</w:t>
      </w:r>
      <w:r>
        <w:br/>
      </w:r>
      <w:r>
        <w:rPr>
          <w:rStyle w:val="723"/>
        </w:rPr>
        <w:t xml:space="preserve">sce </w:t>
      </w:r>
      <w:r>
        <w:rPr>
          <w:rStyle w:val="709"/>
        </w:rPr>
        <w:t xml:space="preserve">&lt;-</w:t>
      </w:r>
      <w:r>
        <w:rPr>
          <w:rStyle w:val="723"/>
        </w:rPr>
        <w:t xml:space="preserve"> </w:t>
      </w:r>
      <w:r>
        <w:rPr>
          <w:rStyle w:val="710"/>
        </w:rPr>
        <w:t xml:space="preserve">TENxPBMCData</w:t>
      </w:r>
      <w:r>
        <w:rPr>
          <w:rStyle w:val="723"/>
        </w:rPr>
        <w:t xml:space="preserve">(</w:t>
      </w:r>
      <w:r>
        <w:rPr>
          <w:rStyle w:val="717"/>
        </w:rPr>
        <w:t xml:space="preserve">dataset =</w:t>
      </w:r>
      <w:r>
        <w:rPr>
          <w:rStyle w:val="723"/>
        </w:rPr>
        <w:t xml:space="preserve"> </w:t>
      </w:r>
      <w:r>
        <w:rPr>
          <w:rStyle w:val="701"/>
        </w:rPr>
        <w:t xml:space="preserve">"pbmc3k"</w:t>
      </w:r>
      <w:r>
        <w:rPr>
          <w:rStyle w:val="723"/>
        </w:rPr>
        <w:t xml:space="preserve">)</w:t>
      </w:r>
      <w:r>
        <w:br/>
      </w:r>
      <w:r>
        <w:br/>
      </w:r>
      <w:r>
        <w:rPr>
          <w:rStyle w:val="705"/>
        </w:rPr>
        <w:t xml:space="preserve"># Use ExperimentSubset constructor to convert it to a ES object and create a subset from within the constructor method</w:t>
      </w:r>
      <w:r>
        <w:br/>
      </w:r>
      <w:r>
        <w:rPr>
          <w:rStyle w:val="723"/>
        </w:rPr>
        <w:t xml:space="preserve">es </w:t>
      </w:r>
      <w:r>
        <w:rPr>
          <w:rStyle w:val="709"/>
        </w:rPr>
        <w:t xml:space="preserve">&lt;-</w:t>
      </w:r>
      <w:r>
        <w:rPr>
          <w:rStyle w:val="723"/>
        </w:rPr>
        <w:t xml:space="preserve"> </w:t>
      </w:r>
      <w:r>
        <w:rPr>
          <w:rStyle w:val="710"/>
        </w:rPr>
        <w:t xml:space="preserve">ExperimentSubset</w:t>
      </w:r>
      <w:r>
        <w:rPr>
          <w:rStyle w:val="723"/>
        </w:rPr>
        <w:t xml:space="preserve">(sce, </w:t>
      </w:r>
      <w:r>
        <w:rPr>
          <w:rStyle w:val="717"/>
        </w:rPr>
        <w:t xml:space="preserve">subset =</w:t>
      </w:r>
      <w:r>
        <w:rPr>
          <w:rStyle w:val="723"/>
        </w:rPr>
        <w:t xml:space="preserve"> </w:t>
      </w:r>
      <w:r>
        <w:rPr>
          <w:rStyle w:val="710"/>
        </w:rPr>
        <w:t xml:space="preserve">list</w:t>
      </w:r>
      <w:r>
        <w:rPr>
          <w:rStyle w:val="723"/>
        </w:rPr>
        <w:t xml:space="preserve">(</w:t>
      </w:r>
      <w:r>
        <w:rPr>
          <w:rStyle w:val="717"/>
        </w:rPr>
        <w:t xml:space="preserve">subsetName =</w:t>
      </w:r>
      <w:r>
        <w:rPr>
          <w:rStyle w:val="723"/>
        </w:rPr>
        <w:t xml:space="preserve"> </w:t>
      </w:r>
      <w:r>
        <w:rPr>
          <w:rStyle w:val="701"/>
        </w:rPr>
        <w:t xml:space="preserve">"subset1"</w:t>
      </w:r>
      <w:r>
        <w:rPr>
          <w:rStyle w:val="723"/>
        </w:rPr>
        <w:t xml:space="preserve">, </w:t>
      </w:r>
      <w:r>
        <w:rPr>
          <w:rStyle w:val="717"/>
        </w:rPr>
        <w:t xml:space="preserve">rows =</w:t>
      </w:r>
      <w:r>
        <w:rPr>
          <w:rStyle w:val="723"/>
        </w:rPr>
        <w:t xml:space="preserve"> </w:t>
      </w:r>
      <w:r>
        <w:rPr>
          <w:rStyle w:val="710"/>
        </w:rPr>
        <w:t xml:space="preserve">c</w:t>
      </w:r>
      <w:r>
        <w:rPr>
          <w:rStyle w:val="723"/>
        </w:rPr>
        <w:t xml:space="preserve">(</w:t>
      </w:r>
      <w:r>
        <w:rPr>
          <w:rStyle w:val="695"/>
        </w:rPr>
        <w:t xml:space="preserve">1</w:t>
      </w:r>
      <w:r>
        <w:rPr>
          <w:rStyle w:val="700"/>
        </w:rPr>
        <w:t xml:space="preserve">:</w:t>
      </w:r>
      <w:r>
        <w:rPr>
          <w:rStyle w:val="695"/>
        </w:rPr>
        <w:t xml:space="preserve">10</w:t>
      </w:r>
      <w:r>
        <w:rPr>
          <w:rStyle w:val="723"/>
        </w:rPr>
        <w:t xml:space="preserve">), </w:t>
      </w:r>
      <w:r>
        <w:rPr>
          <w:rStyle w:val="717"/>
        </w:rPr>
        <w:t xml:space="preserve">cols =</w:t>
      </w:r>
      <w:r>
        <w:rPr>
          <w:rStyle w:val="723"/>
        </w:rPr>
        <w:t xml:space="preserve"> </w:t>
      </w:r>
      <w:r>
        <w:rPr>
          <w:rStyle w:val="710"/>
        </w:rPr>
        <w:t xml:space="preserve">c</w:t>
      </w:r>
      <w:r>
        <w:rPr>
          <w:rStyle w:val="723"/>
        </w:rPr>
        <w:t xml:space="preserve">(</w:t>
      </w:r>
      <w:r>
        <w:rPr>
          <w:rStyle w:val="695"/>
        </w:rPr>
        <w:t xml:space="preserve">1</w:t>
      </w:r>
      <w:r>
        <w:rPr>
          <w:rStyle w:val="700"/>
        </w:rPr>
        <w:t xml:space="preserve">:</w:t>
      </w:r>
      <w:r>
        <w:rPr>
          <w:rStyle w:val="695"/>
        </w:rPr>
        <w:t xml:space="preserve">5</w:t>
      </w:r>
      <w:r>
        <w:rPr>
          <w:rStyle w:val="723"/>
        </w:rPr>
        <w:t xml:space="preserve">), </w:t>
      </w:r>
      <w:r>
        <w:rPr>
          <w:rStyle w:val="717"/>
        </w:rPr>
        <w:t xml:space="preserve">parentAssay =</w:t>
      </w:r>
      <w:r>
        <w:rPr>
          <w:rStyle w:val="723"/>
        </w:rPr>
        <w:t xml:space="preserve"> </w:t>
      </w:r>
      <w:r>
        <w:rPr>
          <w:rStyle w:val="701"/>
        </w:rPr>
        <w:t xml:space="preserve">"counts"</w:t>
      </w:r>
      <w:r>
        <w:rPr>
          <w:rStyle w:val="723"/>
        </w:rPr>
        <w:t xml:space="preserve">))</w:t>
      </w:r>
      <w:r>
        <w:br/>
      </w:r>
      <w:r>
        <w:br/>
      </w:r>
      <w:r>
        <w:rPr>
          <w:rStyle w:val="710"/>
        </w:rPr>
        <w:t xml:space="preserve">print</w:t>
      </w:r>
      <w:r>
        <w:rPr>
          <w:rStyle w:val="723"/>
        </w:rPr>
        <w:t xml:space="preserve">(es)</w:t>
      </w:r>
      <w:r/>
    </w:p>
    <w:p>
      <w:pPr>
        <w:pStyle w:val="692"/>
      </w:pPr>
      <w:r>
        <w:rPr>
          <w:rStyle w:val="687"/>
        </w:rPr>
        <w:t xml:space="preserve">## class: SubsetSingleCellExperiment </w:t>
      </w:r>
      <w:r>
        <w:br/>
      </w:r>
      <w:r>
        <w:rPr>
          <w:rStyle w:val="687"/>
        </w:rPr>
        <w:t xml:space="preserve">## dim: 32738 2700 </w:t>
      </w:r>
      <w:r>
        <w:br/>
      </w:r>
      <w:r>
        <w:rPr>
          <w:rStyle w:val="687"/>
        </w:rPr>
        <w:t xml:space="preserve">## metadata(0):</w:t>
      </w:r>
      <w:r>
        <w:br/>
      </w:r>
      <w:r>
        <w:rPr>
          <w:rStyle w:val="687"/>
        </w:rPr>
        <w:t xml:space="preserve">## assays(1): counts</w:t>
      </w:r>
      <w:r>
        <w:br/>
      </w:r>
      <w:r>
        <w:rPr>
          <w:rStyle w:val="687"/>
        </w:rPr>
        <w:t xml:space="preserve">## rownames(32738): ENSG00000243485 ENSG00000237613 ... ENSG00000215616</w:t>
      </w:r>
      <w:r>
        <w:br/>
      </w:r>
      <w:r>
        <w:rPr>
          <w:rStyle w:val="687"/>
        </w:rPr>
        <w:t xml:space="preserve">##   ENSG00000215611</w:t>
      </w:r>
      <w:r>
        <w:br/>
      </w:r>
      <w:r>
        <w:rPr>
          <w:rStyle w:val="687"/>
        </w:rPr>
        <w:t xml:space="preserve">## rowData names(3): ENSEMBL_ID Symbol_TENx Symbol</w:t>
      </w:r>
      <w:r>
        <w:br/>
      </w:r>
      <w:r>
        <w:rPr>
          <w:rStyle w:val="687"/>
        </w:rPr>
        <w:t xml:space="preserve">## colnames: NULL</w:t>
      </w:r>
      <w:r>
        <w:br/>
      </w:r>
      <w:r>
        <w:rPr>
          <w:rStyle w:val="687"/>
        </w:rPr>
        <w:t xml:space="preserve">## colData names(11): Sample Barcode ... Individual Date_published</w:t>
      </w:r>
      <w:r>
        <w:br/>
      </w:r>
      <w:r>
        <w:rPr>
          <w:rStyle w:val="687"/>
        </w:rPr>
        <w:t xml:space="preserve">## reducedDimNames(0):</w:t>
      </w:r>
      <w:r>
        <w:br/>
      </w:r>
      <w:r>
        <w:rPr>
          <w:rStyle w:val="687"/>
        </w:rPr>
        <w:t xml:space="preserve">## mainExpName: NULL</w:t>
      </w:r>
      <w:r>
        <w:br/>
      </w:r>
      <w:r>
        <w:rPr>
          <w:rStyle w:val="687"/>
        </w:rPr>
        <w:t xml:space="preserve">## altExpNames(0):</w:t>
      </w:r>
      <w:r>
        <w:br/>
      </w:r>
      <w:r>
        <w:rPr>
          <w:rStyle w:val="687"/>
        </w:rPr>
        <w:t xml:space="preserve">## subsets(1): subset1</w:t>
      </w:r>
      <w:r>
        <w:br/>
      </w:r>
      <w:r>
        <w:rPr>
          <w:rStyle w:val="687"/>
        </w:rPr>
        <w:t xml:space="preserve">## subsetAssays(1): subset1</w:t>
      </w:r>
      <w:r/>
    </w:p>
    <w:p>
      <w:pPr>
        <w:pStyle w:val="692"/>
      </w:pPr>
      <w:r>
        <w:rPr>
          <w:rStyle w:val="710"/>
        </w:rPr>
        <w:t xml:space="preserve">subsetSummary</w:t>
      </w:r>
      <w:r>
        <w:rPr>
          <w:rStyle w:val="723"/>
        </w:rPr>
        <w:t xml:space="preserve">(es)</w:t>
      </w:r>
      <w:r/>
    </w:p>
    <w:p>
      <w:pPr>
        <w:pStyle w:val="692"/>
      </w:pPr>
      <w:r>
        <w:rPr>
          <w:rStyle w:val="687"/>
        </w:rPr>
        <w:t xml:space="preserve">## Main assay(s):</w:t>
      </w:r>
      <w:r>
        <w:br/>
      </w:r>
      <w:r>
        <w:rPr>
          <w:rStyle w:val="687"/>
        </w:rPr>
        <w:t xml:space="preserve">##  counts </w:t>
      </w:r>
      <w:r>
        <w:br/>
      </w:r>
      <w:r>
        <w:rPr>
          <w:rStyle w:val="687"/>
        </w:rPr>
        <w:t xml:space="preserve">## </w:t>
      </w:r>
      <w:r>
        <w:br/>
      </w:r>
      <w:r>
        <w:rPr>
          <w:rStyle w:val="687"/>
        </w:rPr>
        <w:t xml:space="preserve">## Subset(s):</w:t>
      </w:r>
      <w:r>
        <w:br/>
      </w:r>
      <w:r>
        <w:rPr>
          <w:rStyle w:val="687"/>
        </w:rPr>
        <w:t xml:space="preserve">##      Name   Dim Parent</w:t>
      </w:r>
      <w:r>
        <w:br/>
      </w:r>
      <w:r>
        <w:rPr>
          <w:rStyle w:val="687"/>
        </w:rPr>
        <w:t xml:space="preserve">## 1 subset1 10, 5 counts</w:t>
      </w:r>
      <w:bookmarkEnd w:id="71"/>
      <w:r/>
    </w:p>
    <w:p>
      <w:pPr>
        <w:pStyle w:val="668"/>
      </w:pPr>
      <w:r/>
      <w:bookmarkStart w:id="243" w:name="_Toc43"/>
      <w:r/>
      <w:bookmarkStart w:id="72" w:name="internal-class-assaysubset"/>
      <w:r>
        <w:t xml:space="preserve">Internal class AssaySubset</w:t>
      </w:r>
      <w:r/>
      <w:bookmarkEnd w:id="243"/>
      <w:r/>
      <w:r/>
    </w:p>
    <w:p>
      <w:pPr>
        <w:pStyle w:val="659"/>
        <w:numPr>
          <w:ilvl w:val="0"/>
          <w:numId w:val="9"/>
        </w:numPr>
      </w:pPr>
      <w:r>
        <w:t xml:space="preserve">To store subset information in our package we create another internal class called</w:t>
      </w:r>
      <w:r>
        <w:t xml:space="preserve"> </w:t>
      </w:r>
      <w:r>
        <w:rPr>
          <w:rStyle w:val="687"/>
        </w:rPr>
        <w:t xml:space="preserve">AssaySubset</w:t>
      </w:r>
      <w:r>
        <w:t xml:space="preserve"> </w:t>
      </w:r>
      <w:r>
        <w:t xml:space="preserve">which serves not only for storing subset information but also as a convenient way to link these subsets to the original parent data and other subsets.</w:t>
      </w:r>
      <w:r/>
    </w:p>
    <w:p>
      <w:pPr>
        <w:pStyle w:val="659"/>
        <w:numPr>
          <w:ilvl w:val="0"/>
          <w:numId w:val="9"/>
        </w:numPr>
      </w:pPr>
      <w:r>
        <w:t xml:space="preserve">The</w:t>
      </w:r>
      <w:r>
        <w:t xml:space="preserve"> </w:t>
      </w:r>
      <w:r>
        <w:rPr>
          <w:rStyle w:val="687"/>
        </w:rPr>
        <w:t xml:space="preserve">AssaySubset</w:t>
      </w:r>
      <w:r>
        <w:t xml:space="preserve"> </w:t>
      </w:r>
      <w:r>
        <w:t xml:space="preserve">class is also an</w:t>
      </w:r>
      <w:r>
        <w:t xml:space="preserve"> </w:t>
      </w:r>
      <w:r>
        <w:rPr>
          <w:rStyle w:val="687"/>
        </w:rPr>
        <w:t xml:space="preserve">S4</w:t>
      </w:r>
      <w:r>
        <w:t xml:space="preserve"> </w:t>
      </w:r>
      <w:r>
        <w:t xml:space="preserve">class but it is not exported which means it cannot be directly used by the users. Instead, the constructor method of this class is called in our wrapper method</w:t>
      </w:r>
      <w:r>
        <w:t xml:space="preserve"> </w:t>
      </w:r>
      <w:r>
        <w:rPr>
          <w:rStyle w:val="687"/>
        </w:rPr>
        <w:t xml:space="preserve">createSubset()</w:t>
      </w:r>
      <w:r>
        <w:t xml:space="preserve"> </w:t>
      </w:r>
      <w:r>
        <w:t xml:space="preserve">that internally uses this constructor method to initialize an object of class</w:t>
      </w:r>
      <w:r>
        <w:t xml:space="preserve"> </w:t>
      </w:r>
      <w:r>
        <w:rPr>
          <w:rStyle w:val="687"/>
        </w:rPr>
        <w:t xml:space="preserve">AssaySubset</w:t>
      </w:r>
      <w:r>
        <w:t xml:space="preserve"> </w:t>
      </w:r>
      <w:r>
        <w:t xml:space="preserve">and stores the relevant subset information and characteristics in this</w:t>
      </w:r>
      <w:r>
        <w:t xml:space="preserve"> </w:t>
      </w:r>
      <w:r>
        <w:rPr>
          <w:rStyle w:val="687"/>
        </w:rPr>
        <w:t xml:space="preserve">AssaySubset</w:t>
      </w:r>
      <w:r>
        <w:t xml:space="preserve"> </w:t>
      </w:r>
      <w:r>
        <w:t xml:space="preserve">object. This</w:t>
      </w:r>
      <w:r>
        <w:t xml:space="preserve"> </w:t>
      </w:r>
      <w:r>
        <w:rPr>
          <w:rStyle w:val="687"/>
        </w:rPr>
        <w:t xml:space="preserve">AssaySubset</w:t>
      </w:r>
      <w:r>
        <w:t xml:space="preserve"> </w:t>
      </w:r>
      <w:r>
        <w:t xml:space="preserve">object that stores the subset information is saved inside the</w:t>
      </w:r>
      <w:r>
        <w:t xml:space="preserve"> </w:t>
      </w:r>
      <w:r>
        <w:rPr>
          <w:rStyle w:val="687"/>
        </w:rPr>
        <w:t xml:space="preserve">subset</w:t>
      </w:r>
      <w:r>
        <w:t xml:space="preserve"> </w:t>
      </w:r>
      <w:r>
        <w:t xml:space="preserve">slot of subset class which uses this slot and the information inside this slot to coordinate the subsets with the parent data.</w:t>
      </w:r>
      <w:r/>
    </w:p>
    <w:p>
      <w:pPr>
        <w:pStyle w:val="659"/>
        <w:numPr>
          <w:ilvl w:val="0"/>
          <w:numId w:val="9"/>
        </w:numPr>
      </w:pPr>
      <w:r>
        <w:t xml:space="preserve">Each</w:t>
      </w:r>
      <w:r>
        <w:t xml:space="preserve"> </w:t>
      </w:r>
      <w:r>
        <w:rPr>
          <w:rStyle w:val="687"/>
        </w:rPr>
        <w:t xml:space="preserve">AssaySubset</w:t>
      </w:r>
      <w:r>
        <w:t xml:space="preserve"> </w:t>
      </w:r>
      <w:r>
        <w:t xml:space="preserve">object has further multiple slots that store the name of the subset, name of the parent assay, row indices from the parent assay that are part of this subset and column indices from the parent assay that are part of this subset. Additionally, each</w:t>
      </w:r>
      <w:r>
        <w:t xml:space="preserve"> </w:t>
      </w:r>
      <w:r>
        <w:rPr>
          <w:rStyle w:val="687"/>
        </w:rPr>
        <w:t xml:space="preserve">AssaySubset</w:t>
      </w:r>
      <w:r>
        <w:t xml:space="preserve"> </w:t>
      </w:r>
      <w:r>
        <w:t xml:space="preserve">object stores a empty object of the original class to store non-redundant transformed data matrices within this subset. The row/column indices work similar to pointers</w:t>
      </w:r>
      <w:r>
        <w:t xml:space="preserve"> and by using the parent assay name these indices are used to reference the redundant data from the original parent assay. This strategy eliminates the need to store any redundant data thus saves considerable amount of memory. The overall structure of this</w:t>
      </w:r>
      <w:r>
        <w:t xml:space="preserve"> </w:t>
      </w:r>
      <w:r>
        <w:rPr>
          <w:rStyle w:val="687"/>
        </w:rPr>
        <w:t xml:space="preserve">AssaySubset</w:t>
      </w:r>
      <w:r>
        <w:t xml:space="preserve"> </w:t>
      </w:r>
      <w:r>
        <w:t xml:space="preserve">class and how the member slots of this class are used to reference data from parent assays is displayed in the code snippet below.</w:t>
      </w:r>
      <w:r/>
    </w:p>
    <w:p>
      <w:pPr>
        <w:pStyle w:val="692"/>
      </w:pPr>
      <w:r>
        <w:rPr>
          <w:rStyle w:val="705"/>
        </w:rPr>
        <w:t xml:space="preserve"># Printing the class of a subset created earlier</w:t>
      </w:r>
      <w:r>
        <w:br/>
      </w:r>
      <w:r>
        <w:rPr>
          <w:rStyle w:val="710"/>
        </w:rPr>
        <w:t xml:space="preserve">print</w:t>
      </w:r>
      <w:r>
        <w:rPr>
          <w:rStyle w:val="723"/>
        </w:rPr>
        <w:t xml:space="preserve">(</w:t>
      </w:r>
      <w:r>
        <w:rPr>
          <w:rStyle w:val="710"/>
        </w:rPr>
        <w:t xml:space="preserve">class</w:t>
      </w:r>
      <w:r>
        <w:rPr>
          <w:rStyle w:val="723"/>
        </w:rPr>
        <w:t xml:space="preserve">(es</w:t>
      </w:r>
      <w:r>
        <w:rPr>
          <w:rStyle w:val="700"/>
        </w:rPr>
        <w:t xml:space="preserve">@</w:t>
      </w:r>
      <w:r>
        <w:rPr>
          <w:rStyle w:val="723"/>
        </w:rPr>
        <w:t xml:space="preserve">subsets</w:t>
      </w:r>
      <w:r>
        <w:rPr>
          <w:rStyle w:val="700"/>
        </w:rPr>
        <w:t xml:space="preserve">$</w:t>
      </w:r>
      <w:r>
        <w:rPr>
          <w:rStyle w:val="723"/>
        </w:rPr>
        <w:t xml:space="preserve">subset1))</w:t>
      </w:r>
      <w:r/>
    </w:p>
    <w:p>
      <w:pPr>
        <w:pStyle w:val="692"/>
      </w:pPr>
      <w:r>
        <w:rPr>
          <w:rStyle w:val="687"/>
        </w:rPr>
        <w:t xml:space="preserve">## [1] "AssaySubset"</w:t>
      </w:r>
      <w:r>
        <w:br/>
      </w:r>
      <w:r>
        <w:rPr>
          <w:rStyle w:val="687"/>
        </w:rPr>
        <w:t xml:space="preserve">## attr(,"package")</w:t>
      </w:r>
      <w:r>
        <w:br/>
      </w:r>
      <w:r>
        <w:rPr>
          <w:rStyle w:val="687"/>
        </w:rPr>
        <w:t xml:space="preserve">## [1] "ExperimentSubset"</w:t>
      </w:r>
      <w:r/>
    </w:p>
    <w:p>
      <w:pPr>
        <w:pStyle w:val="692"/>
      </w:pPr>
      <w:r>
        <w:rPr>
          <w:rStyle w:val="705"/>
        </w:rPr>
        <w:t xml:space="preserve"># Printing the internal AssaySubset class structure used by each subset object</w:t>
      </w:r>
      <w:r>
        <w:br/>
      </w:r>
      <w:r>
        <w:rPr>
          <w:rStyle w:val="710"/>
        </w:rPr>
        <w:t xml:space="preserve">print</w:t>
      </w:r>
      <w:r>
        <w:rPr>
          <w:rStyle w:val="723"/>
        </w:rPr>
        <w:t xml:space="preserve">(es</w:t>
      </w:r>
      <w:r>
        <w:rPr>
          <w:rStyle w:val="700"/>
        </w:rPr>
        <w:t xml:space="preserve">@</w:t>
      </w:r>
      <w:r>
        <w:rPr>
          <w:rStyle w:val="723"/>
        </w:rPr>
        <w:t xml:space="preserve">subsets</w:t>
      </w:r>
      <w:r>
        <w:rPr>
          <w:rStyle w:val="700"/>
        </w:rPr>
        <w:t xml:space="preserve">$</w:t>
      </w:r>
      <w:r>
        <w:rPr>
          <w:rStyle w:val="723"/>
        </w:rPr>
        <w:t xml:space="preserve">subset1)</w:t>
      </w:r>
      <w:r/>
    </w:p>
    <w:p>
      <w:pPr>
        <w:pStyle w:val="692"/>
      </w:pPr>
      <w:r>
        <w:rPr>
          <w:rStyle w:val="687"/>
        </w:rPr>
        <w:t xml:space="preserve">## An object of class "AssaySubset"</w:t>
      </w:r>
      <w:r>
        <w:br/>
      </w:r>
      <w:r>
        <w:rPr>
          <w:rStyle w:val="687"/>
        </w:rPr>
        <w:t xml:space="preserve">## Slot "subsetName":</w:t>
      </w:r>
      <w:r>
        <w:br/>
      </w:r>
      <w:r>
        <w:rPr>
          <w:rStyle w:val="687"/>
        </w:rPr>
        <w:t xml:space="preserve">## [1] "subset1"</w:t>
      </w:r>
      <w:r>
        <w:br/>
      </w:r>
      <w:r>
        <w:rPr>
          <w:rStyle w:val="687"/>
        </w:rPr>
        <w:t xml:space="preserve">## </w:t>
      </w:r>
      <w:r>
        <w:br/>
      </w:r>
      <w:r>
        <w:rPr>
          <w:rStyle w:val="687"/>
        </w:rPr>
        <w:t xml:space="preserve">## Slot "rowIndices":</w:t>
      </w:r>
      <w:r>
        <w:br/>
      </w:r>
      <w:r>
        <w:rPr>
          <w:rStyle w:val="687"/>
        </w:rPr>
        <w:t xml:space="preserve">##  [1]  1  2  3  4  5  6  7  8  9 10</w:t>
      </w:r>
      <w:r>
        <w:br/>
      </w:r>
      <w:r>
        <w:rPr>
          <w:rStyle w:val="687"/>
        </w:rPr>
        <w:t xml:space="preserve">## </w:t>
      </w:r>
      <w:r>
        <w:br/>
      </w:r>
      <w:r>
        <w:rPr>
          <w:rStyle w:val="687"/>
        </w:rPr>
        <w:t xml:space="preserve">## Slot "colIndices":</w:t>
      </w:r>
      <w:r>
        <w:br/>
      </w:r>
      <w:r>
        <w:rPr>
          <w:rStyle w:val="687"/>
        </w:rPr>
        <w:t xml:space="preserve">## [1] 1 2 3 4 5</w:t>
      </w:r>
      <w:r>
        <w:br/>
      </w:r>
      <w:r>
        <w:rPr>
          <w:rStyle w:val="687"/>
        </w:rPr>
        <w:t xml:space="preserve">## </w:t>
      </w:r>
      <w:r>
        <w:br/>
      </w:r>
      <w:r>
        <w:rPr>
          <w:rStyle w:val="687"/>
        </w:rPr>
        <w:t xml:space="preserve">## Slot "parentAssay":</w:t>
      </w:r>
      <w:r>
        <w:br/>
      </w:r>
      <w:r>
        <w:rPr>
          <w:rStyle w:val="687"/>
        </w:rPr>
        <w:t xml:space="preserve">## [1] "counts"</w:t>
      </w:r>
      <w:r>
        <w:br/>
      </w:r>
      <w:r>
        <w:rPr>
          <w:rStyle w:val="687"/>
        </w:rPr>
        <w:t xml:space="preserve">## </w:t>
      </w:r>
      <w:r>
        <w:br/>
      </w:r>
      <w:r>
        <w:rPr>
          <w:rStyle w:val="687"/>
        </w:rPr>
        <w:t xml:space="preserve">## Slot "internalAssay":</w:t>
      </w:r>
      <w:r>
        <w:br/>
      </w:r>
      <w:r>
        <w:rPr>
          <w:rStyle w:val="687"/>
        </w:rPr>
        <w:t xml:space="preserve">## class: SingleCellExperiment </w:t>
      </w:r>
      <w:r>
        <w:br/>
      </w:r>
      <w:r>
        <w:rPr>
          <w:rStyle w:val="687"/>
        </w:rPr>
        <w:t xml:space="preserve">## dim: 10 5 </w:t>
      </w:r>
      <w:r>
        <w:br/>
      </w:r>
      <w:r>
        <w:rPr>
          <w:rStyle w:val="687"/>
        </w:rPr>
        <w:t xml:space="preserve">## metadata(0):</w:t>
      </w:r>
      <w:r>
        <w:br/>
      </w:r>
      <w:r>
        <w:rPr>
          <w:rStyle w:val="687"/>
        </w:rPr>
        <w:t xml:space="preserve">## assays(0):</w:t>
      </w:r>
      <w:r>
        <w:br/>
      </w:r>
      <w:r>
        <w:rPr>
          <w:rStyle w:val="687"/>
        </w:rPr>
        <w:t xml:space="preserve">## rownames(10): ENSG00000243485 ENSG00000237613 ... ENSG00000228463</w:t>
      </w:r>
      <w:r>
        <w:br/>
      </w:r>
      <w:r>
        <w:rPr>
          <w:rStyle w:val="687"/>
        </w:rPr>
        <w:t xml:space="preserve">##   ENSG00000237094</w:t>
      </w:r>
      <w:r>
        <w:br/>
      </w:r>
      <w:r>
        <w:rPr>
          <w:rStyle w:val="687"/>
        </w:rPr>
        <w:t xml:space="preserve">## rowData names(0):</w:t>
      </w:r>
      <w:r>
        <w:br/>
      </w:r>
      <w:r>
        <w:rPr>
          <w:rStyle w:val="687"/>
        </w:rPr>
        <w:t xml:space="preserve">## colnames: NULL</w:t>
      </w:r>
      <w:r>
        <w:br/>
      </w:r>
      <w:r>
        <w:rPr>
          <w:rStyle w:val="687"/>
        </w:rPr>
        <w:t xml:space="preserve">## colData names(0):</w:t>
      </w:r>
      <w:r>
        <w:br/>
      </w:r>
      <w:r>
        <w:rPr>
          <w:rStyle w:val="687"/>
        </w:rPr>
        <w:t xml:space="preserve">## reducedDimNames(0):</w:t>
      </w:r>
      <w:r>
        <w:br/>
      </w:r>
      <w:r>
        <w:rPr>
          <w:rStyle w:val="687"/>
        </w:rPr>
        <w:t xml:space="preserve">## mainExpName: NULL</w:t>
      </w:r>
      <w:r>
        <w:br/>
      </w:r>
      <w:r>
        <w:rPr>
          <w:rStyle w:val="687"/>
        </w:rPr>
        <w:t xml:space="preserve">## altExpNames(0):</w:t>
      </w:r>
      <w:bookmarkEnd w:id="72"/>
      <w:bookmarkEnd w:id="73"/>
      <w:r/>
    </w:p>
    <w:p>
      <w:pPr>
        <w:pStyle w:val="667"/>
      </w:pPr>
      <w:r/>
      <w:bookmarkStart w:id="244" w:name="_Toc44"/>
      <w:r/>
      <w:bookmarkStart w:id="74" w:name="X7bdb08d8ce9aa630ce9fcb2d3f25acb9dd2e40c"/>
      <w:r>
        <w:t xml:space="preserve">Implement new methods for creation &amp; manipulation of subsets</w:t>
      </w:r>
      <w:r/>
      <w:bookmarkEnd w:id="244"/>
      <w:r/>
      <w:r/>
    </w:p>
    <w:p>
      <w:pPr>
        <w:pStyle w:val="658"/>
      </w:pPr>
      <w:r>
        <w:t xml:space="preserve">For the creation and manipulation of subsets with our package and the subset classes, we create and implement a number of functions and methods which are listed below along with their description:</w:t>
      </w:r>
      <w:r/>
    </w:p>
    <w:p>
      <w:pPr>
        <w:pStyle w:val="659"/>
        <w:numPr>
          <w:ilvl w:val="0"/>
          <w:numId w:val="10"/>
        </w:numPr>
      </w:pPr>
      <w:r>
        <w:rPr>
          <w:rStyle w:val="687"/>
        </w:rPr>
        <w:t xml:space="preserve">createSubset()</w:t>
      </w:r>
      <w:r>
        <w:t xml:space="preserve"> </w:t>
      </w:r>
      <w:r>
        <w:t xml:space="preserve">method is implemented for the creation of a subset. The input to this method is an</w:t>
      </w:r>
      <w:r>
        <w:t xml:space="preserve"> </w:t>
      </w:r>
      <w:r>
        <w:rPr>
          <w:rStyle w:val="687"/>
        </w:rPr>
        <w:t xml:space="preserve">ExperimentSubset</w:t>
      </w:r>
      <w:r>
        <w:t xml:space="preserve"> </w:t>
      </w:r>
      <w:r>
        <w:t xml:space="preserve">object and specific parameters that specify the subset name, row/column indices of the parent assay and the name of the parent assay to which this subset belongs. The result of using this function is the creation of a new</w:t>
      </w:r>
      <w:r>
        <w:t xml:space="preserve"> </w:t>
      </w:r>
      <w:r>
        <w:rPr>
          <w:rStyle w:val="687"/>
        </w:rPr>
        <w:t xml:space="preserve">AssaySubset</w:t>
      </w:r>
      <w:r>
        <w:t xml:space="preserve"> </w:t>
      </w:r>
      <w:r>
        <w:t xml:space="preserve">class object that stores the information of the new subset which is ultimately stored as an element in the input</w:t>
      </w:r>
      <w:r>
        <w:t xml:space="preserve"> </w:t>
      </w:r>
      <w:r>
        <w:rPr>
          <w:rStyle w:val="687"/>
        </w:rPr>
        <w:t xml:space="preserve">ExperimentSubset</w:t>
      </w:r>
      <w:r>
        <w:t xml:space="preserve"> </w:t>
      </w:r>
      <w:r>
        <w:t xml:space="preserve">object.</w:t>
      </w:r>
      <w:r/>
    </w:p>
    <w:p>
      <w:pPr>
        <w:pStyle w:val="659"/>
        <w:numPr>
          <w:ilvl w:val="0"/>
          <w:numId w:val="10"/>
        </w:numPr>
      </w:pPr>
      <w:r>
        <w:rPr>
          <w:rStyle w:val="687"/>
        </w:rPr>
        <w:t xml:space="preserve">getSubsetAssay()</w:t>
      </w:r>
      <w:r>
        <w:t xml:space="preserve"> </w:t>
      </w:r>
      <w:r>
        <w:t xml:space="preserve">and</w:t>
      </w:r>
      <w:r>
        <w:t xml:space="preserve"> </w:t>
      </w:r>
      <w:r>
        <w:rPr>
          <w:rStyle w:val="687"/>
        </w:rPr>
        <w:t xml:space="preserve">setSubsetAssay()</w:t>
      </w:r>
      <w:r>
        <w:t xml:space="preserve"> </w:t>
      </w:r>
      <w:r>
        <w:t xml:space="preserve">methods are implemented to get or set an assay specifically to a subset.</w:t>
      </w:r>
      <w:r>
        <w:t xml:space="preserve"> </w:t>
      </w:r>
      <w:r>
        <w:rPr>
          <w:rStyle w:val="687"/>
        </w:rPr>
        <w:t xml:space="preserve">S4</w:t>
      </w:r>
      <w:r>
        <w:t xml:space="preserve"> </w:t>
      </w:r>
      <w:r>
        <w:t xml:space="preserve">method approach is not used here since both getter and setter methods work differently and require different number of arguments.</w:t>
      </w:r>
      <w:r/>
    </w:p>
    <w:p>
      <w:pPr>
        <w:pStyle w:val="659"/>
        <w:numPr>
          <w:ilvl w:val="0"/>
          <w:numId w:val="10"/>
        </w:numPr>
      </w:pPr>
      <w:r>
        <w:rPr>
          <w:rStyle w:val="687"/>
        </w:rPr>
        <w:t xml:space="preserve">subsetColData()</w:t>
      </w:r>
      <w:r>
        <w:t xml:space="preserve"> </w:t>
      </w:r>
      <w:r>
        <w:rPr>
          <w:rStyle w:val="687"/>
        </w:rPr>
        <w:t xml:space="preserve">S4</w:t>
      </w:r>
      <w:r>
        <w:t xml:space="preserve"> </w:t>
      </w:r>
      <w:r>
        <w:t xml:space="preserve">method is implemented that allows setting and getting of</w:t>
      </w:r>
      <w:r>
        <w:t xml:space="preserve"> </w:t>
      </w:r>
      <w:r>
        <w:rPr>
          <w:rStyle w:val="687"/>
        </w:rPr>
        <w:t xml:space="preserve">colData</w:t>
      </w:r>
      <w:r>
        <w:t xml:space="preserve"> </w:t>
      </w:r>
      <w:r>
        <w:t xml:space="preserve">specifically from/to a subset.</w:t>
      </w:r>
      <w:r/>
    </w:p>
    <w:p>
      <w:pPr>
        <w:pStyle w:val="659"/>
        <w:numPr>
          <w:ilvl w:val="0"/>
          <w:numId w:val="10"/>
        </w:numPr>
      </w:pPr>
      <w:r>
        <w:rPr>
          <w:rStyle w:val="687"/>
        </w:rPr>
        <w:t xml:space="preserve">subsetRowData()</w:t>
      </w:r>
      <w:r>
        <w:t xml:space="preserve"> </w:t>
      </w:r>
      <w:r>
        <w:rPr>
          <w:rStyle w:val="687"/>
        </w:rPr>
        <w:t xml:space="preserve">S4</w:t>
      </w:r>
      <w:r>
        <w:t xml:space="preserve"> </w:t>
      </w:r>
      <w:r>
        <w:t xml:space="preserve">method is implemented that allows setting and getting of</w:t>
      </w:r>
      <w:r>
        <w:t xml:space="preserve"> </w:t>
      </w:r>
      <w:r>
        <w:rPr>
          <w:rStyle w:val="687"/>
        </w:rPr>
        <w:t xml:space="preserve">rowData</w:t>
      </w:r>
      <w:r>
        <w:t xml:space="preserve"> </w:t>
      </w:r>
      <w:r>
        <w:t xml:space="preserve">specifically from/to a subset.</w:t>
      </w:r>
      <w:r/>
    </w:p>
    <w:p>
      <w:pPr>
        <w:pStyle w:val="659"/>
        <w:numPr>
          <w:ilvl w:val="0"/>
          <w:numId w:val="10"/>
        </w:numPr>
      </w:pPr>
      <w:r>
        <w:rPr>
          <w:rStyle w:val="687"/>
        </w:rPr>
        <w:t xml:space="preserve">susbetColnames()</w:t>
      </w:r>
      <w:r>
        <w:t xml:space="preserve"> </w:t>
      </w:r>
      <w:r>
        <w:rPr>
          <w:rStyle w:val="687"/>
        </w:rPr>
        <w:t xml:space="preserve">S4</w:t>
      </w:r>
      <w:r>
        <w:t xml:space="preserve"> </w:t>
      </w:r>
      <w:r>
        <w:t xml:space="preserve">method is implemented that allows setting and getting of</w:t>
      </w:r>
      <w:r>
        <w:t xml:space="preserve"> </w:t>
      </w:r>
      <w:r>
        <w:rPr>
          <w:rStyle w:val="687"/>
        </w:rPr>
        <w:t xml:space="preserve">colnames</w:t>
      </w:r>
      <w:r>
        <w:t xml:space="preserve"> </w:t>
      </w:r>
      <w:r>
        <w:t xml:space="preserve">specially from/to a subset.</w:t>
      </w:r>
      <w:r/>
    </w:p>
    <w:p>
      <w:pPr>
        <w:pStyle w:val="659"/>
        <w:numPr>
          <w:ilvl w:val="0"/>
          <w:numId w:val="10"/>
        </w:numPr>
      </w:pPr>
      <w:r>
        <w:rPr>
          <w:rStyle w:val="687"/>
        </w:rPr>
        <w:t xml:space="preserve">susbetRownames()</w:t>
      </w:r>
      <w:r>
        <w:t xml:space="preserve"> </w:t>
      </w:r>
      <w:r>
        <w:rPr>
          <w:rStyle w:val="687"/>
        </w:rPr>
        <w:t xml:space="preserve">S4</w:t>
      </w:r>
      <w:r>
        <w:t xml:space="preserve"> </w:t>
      </w:r>
      <w:r>
        <w:t xml:space="preserve">method is implemented that allows setting and getting of</w:t>
      </w:r>
      <w:r>
        <w:t xml:space="preserve"> </w:t>
      </w:r>
      <w:r>
        <w:rPr>
          <w:rStyle w:val="687"/>
        </w:rPr>
        <w:t xml:space="preserve">rownames</w:t>
      </w:r>
      <w:r>
        <w:t xml:space="preserve"> </w:t>
      </w:r>
      <w:r>
        <w:t xml:space="preserve">specially from a subset.</w:t>
      </w:r>
      <w:r/>
    </w:p>
    <w:p>
      <w:pPr>
        <w:pStyle w:val="659"/>
        <w:numPr>
          <w:ilvl w:val="0"/>
          <w:numId w:val="10"/>
        </w:numPr>
      </w:pPr>
      <w:r>
        <w:rPr>
          <w:rStyle w:val="687"/>
        </w:rPr>
        <w:t xml:space="preserve">subsetAssayCount()</w:t>
      </w:r>
      <w:r>
        <w:t xml:space="preserve"> </w:t>
      </w:r>
      <w:r>
        <w:t xml:space="preserve">method returns a total count of the subsets and the internal assays in these subsets.</w:t>
      </w:r>
      <w:r/>
    </w:p>
    <w:p>
      <w:pPr>
        <w:pStyle w:val="659"/>
        <w:numPr>
          <w:ilvl w:val="0"/>
          <w:numId w:val="10"/>
        </w:numPr>
      </w:pPr>
      <w:r>
        <w:rPr>
          <w:rStyle w:val="687"/>
        </w:rPr>
        <w:t xml:space="preserve">subsetCount()</w:t>
      </w:r>
      <w:r>
        <w:t xml:space="preserve"> </w:t>
      </w:r>
      <w:r>
        <w:t xml:space="preserve">method returns count of just the subsets from the input object.</w:t>
      </w:r>
      <w:r/>
    </w:p>
    <w:p>
      <w:pPr>
        <w:pStyle w:val="659"/>
        <w:numPr>
          <w:ilvl w:val="0"/>
          <w:numId w:val="10"/>
        </w:numPr>
      </w:pPr>
      <w:r>
        <w:rPr>
          <w:rStyle w:val="687"/>
        </w:rPr>
        <w:t xml:space="preserve">subsetDim()</w:t>
      </w:r>
      <w:r>
        <w:t xml:space="preserve"> </w:t>
      </w:r>
      <w:r>
        <w:t xml:space="preserve">method returns the dimensions of a particular subset.</w:t>
      </w:r>
      <w:r/>
    </w:p>
    <w:p>
      <w:pPr>
        <w:pStyle w:val="659"/>
        <w:numPr>
          <w:ilvl w:val="0"/>
          <w:numId w:val="10"/>
        </w:numPr>
      </w:pPr>
      <w:r>
        <w:rPr>
          <w:rStyle w:val="687"/>
        </w:rPr>
        <w:t xml:space="preserve">subsetAssayNames()</w:t>
      </w:r>
      <w:r>
        <w:t xml:space="preserve"> </w:t>
      </w:r>
      <w:r>
        <w:t xml:space="preserve">method returns the names of the subsets and the assays inside these subsets collectively.</w:t>
      </w:r>
      <w:r/>
    </w:p>
    <w:p>
      <w:pPr>
        <w:pStyle w:val="659"/>
        <w:numPr>
          <w:ilvl w:val="0"/>
          <w:numId w:val="10"/>
        </w:numPr>
      </w:pPr>
      <w:r>
        <w:rPr>
          <w:rStyle w:val="687"/>
        </w:rPr>
        <w:t xml:space="preserve">subsetNames()</w:t>
      </w:r>
      <w:r>
        <w:t xml:space="preserve"> </w:t>
      </w:r>
      <w:r>
        <w:t xml:space="preserve">method returns only the names of the subsets stored inside an input</w:t>
      </w:r>
      <w:r>
        <w:t xml:space="preserve"> </w:t>
      </w:r>
      <w:r>
        <w:rPr>
          <w:rStyle w:val="687"/>
        </w:rPr>
        <w:t xml:space="preserve">ExperimentSubset</w:t>
      </w:r>
      <w:r>
        <w:t xml:space="preserve"> </w:t>
      </w:r>
      <w:r>
        <w:t xml:space="preserve">object.</w:t>
      </w:r>
      <w:r/>
    </w:p>
    <w:p>
      <w:pPr>
        <w:pStyle w:val="659"/>
        <w:numPr>
          <w:ilvl w:val="0"/>
          <w:numId w:val="10"/>
        </w:numPr>
      </w:pPr>
      <w:r>
        <w:rPr>
          <w:rStyle w:val="687"/>
        </w:rPr>
        <w:t xml:space="preserve">subsetParent()</w:t>
      </w:r>
      <w:r>
        <w:t xml:space="preserve"> </w:t>
      </w:r>
      <w:r>
        <w:t xml:space="preserve">method retrieves a complete subset to parent link of a specified subset. This method is particularly helpful in understanding the provenance of the data, i.e., how this particular subset originated and how it has been transformed over time.</w:t>
      </w:r>
      <w:r/>
    </w:p>
    <w:p>
      <w:pPr>
        <w:pStyle w:val="659"/>
        <w:numPr>
          <w:ilvl w:val="0"/>
          <w:numId w:val="10"/>
        </w:numPr>
      </w:pPr>
      <w:r>
        <w:rPr>
          <w:rStyle w:val="687"/>
        </w:rPr>
        <w:t xml:space="preserve">subsetSummary()</w:t>
      </w:r>
      <w:r>
        <w:t xml:space="preserve"> </w:t>
      </w:r>
      <w:r>
        <w:t xml:space="preserve">method is similar to the R</w:t>
      </w:r>
      <w:r>
        <w:t xml:space="preserve"> </w:t>
      </w:r>
      <w:r>
        <w:rPr>
          <w:rStyle w:val="687"/>
        </w:rPr>
        <w:t xml:space="preserve">base::summary()</w:t>
      </w:r>
      <w:r>
        <w:t xml:space="preserve"> </w:t>
      </w:r>
      <w:r>
        <w:t xml:space="preserve">method but it specifically provides a summary of an input</w:t>
      </w:r>
      <w:r>
        <w:t xml:space="preserve"> </w:t>
      </w:r>
      <w:r>
        <w:rPr>
          <w:rStyle w:val="687"/>
        </w:rPr>
        <w:t xml:space="preserve">ExperimentSubset</w:t>
      </w:r>
      <w:r>
        <w:t xml:space="preserve"> </w:t>
      </w:r>
      <w:r>
        <w:t xml:space="preserve">object and the current state of the subsets. Specifically, it describes the size of the overall object, all subsets, their sizes, their internal assays and if any additional</w:t>
      </w:r>
      <w:r>
        <w:t xml:space="preserve"> </w:t>
      </w:r>
      <w:r>
        <w:rPr>
          <w:rStyle w:val="687"/>
        </w:rPr>
        <w:t xml:space="preserve">reducedDims</w:t>
      </w:r>
      <w:r>
        <w:t xml:space="preserve"> </w:t>
      </w:r>
      <w:r>
        <w:t xml:space="preserve">have been stored in this subsets. Additionally, it shows the subset-parent hierarchical link of each subset retrieved from the</w:t>
      </w:r>
      <w:r>
        <w:t xml:space="preserve"> </w:t>
      </w:r>
      <w:r>
        <w:rPr>
          <w:rStyle w:val="687"/>
        </w:rPr>
        <w:t xml:space="preserve">subsetParent()</w:t>
      </w:r>
      <w:r>
        <w:t xml:space="preserve"> </w:t>
      </w:r>
      <w:r>
        <w:t xml:space="preserve">method.</w:t>
      </w:r>
      <w:r/>
    </w:p>
    <w:p>
      <w:pPr>
        <w:pStyle w:val="659"/>
        <w:numPr>
          <w:ilvl w:val="0"/>
          <w:numId w:val="10"/>
        </w:numPr>
      </w:pPr>
      <w:r>
        <w:rPr>
          <w:rStyle w:val="687"/>
        </w:rPr>
        <w:t xml:space="preserve">subsetSpatialData()</w:t>
      </w:r>
      <w:r>
        <w:t xml:space="preserve"> </w:t>
      </w:r>
      <w:r>
        <w:t xml:space="preserve">method from</w:t>
      </w:r>
      <w:r>
        <w:t xml:space="preserve"> </w:t>
      </w:r>
      <w:r>
        <w:rPr>
          <w:rStyle w:val="687"/>
        </w:rPr>
        <w:t xml:space="preserve">SpatialExperiment</w:t>
      </w:r>
      <w:r>
        <w:t xml:space="preserve"> </w:t>
      </w:r>
      <w:r>
        <w:t xml:space="preserve">class to get or set</w:t>
      </w:r>
      <w:r>
        <w:t xml:space="preserve"> </w:t>
      </w:r>
      <w:r>
        <w:rPr>
          <w:rStyle w:val="687"/>
        </w:rPr>
        <w:t xml:space="preserve">spatialData</w:t>
      </w:r>
      <w:r>
        <w:t xml:space="preserve"> </w:t>
      </w:r>
      <w:r>
        <w:t xml:space="preserve">to specifically a subset.</w:t>
      </w:r>
      <w:r/>
    </w:p>
    <w:p>
      <w:pPr>
        <w:pStyle w:val="659"/>
        <w:numPr>
          <w:ilvl w:val="0"/>
          <w:numId w:val="10"/>
        </w:numPr>
      </w:pPr>
      <w:r>
        <w:rPr>
          <w:rStyle w:val="687"/>
        </w:rPr>
        <w:t xml:space="preserve">subsetSpatialCoords()</w:t>
      </w:r>
      <w:r>
        <w:t xml:space="preserve"> </w:t>
      </w:r>
      <w:r>
        <w:t xml:space="preserve">method from</w:t>
      </w:r>
      <w:r>
        <w:t xml:space="preserve"> </w:t>
      </w:r>
      <w:r>
        <w:rPr>
          <w:rStyle w:val="687"/>
        </w:rPr>
        <w:t xml:space="preserve">SpatialExperiment</w:t>
      </w:r>
      <w:r>
        <w:t xml:space="preserve"> </w:t>
      </w:r>
      <w:r>
        <w:t xml:space="preserve">class to get or set</w:t>
      </w:r>
      <w:r>
        <w:t xml:space="preserve"> </w:t>
      </w:r>
      <w:r>
        <w:rPr>
          <w:rStyle w:val="687"/>
        </w:rPr>
        <w:t xml:space="preserve">spatialCoords</w:t>
      </w:r>
      <w:r>
        <w:t xml:space="preserve"> </w:t>
      </w:r>
      <w:r>
        <w:t xml:space="preserve">to specifically a subset.</w:t>
      </w:r>
      <w:r/>
    </w:p>
    <w:p>
      <w:pPr>
        <w:pStyle w:val="659"/>
        <w:numPr>
          <w:ilvl w:val="0"/>
          <w:numId w:val="10"/>
        </w:numPr>
      </w:pPr>
      <w:r>
        <w:rPr>
          <w:rStyle w:val="687"/>
        </w:rPr>
        <w:t xml:space="preserve">subsetRowLinks()</w:t>
      </w:r>
      <w:r>
        <w:t xml:space="preserve"> </w:t>
      </w:r>
      <w:r>
        <w:t xml:space="preserve">method from</w:t>
      </w:r>
      <w:r>
        <w:t xml:space="preserve"> </w:t>
      </w:r>
      <w:r>
        <w:rPr>
          <w:rStyle w:val="687"/>
        </w:rPr>
        <w:t xml:space="preserve">TreeSummarizedExperiment</w:t>
      </w:r>
      <w:r>
        <w:t xml:space="preserve"> </w:t>
      </w:r>
      <w:r>
        <w:t xml:space="preserve">class to get or set</w:t>
      </w:r>
      <w:r>
        <w:t xml:space="preserve"> </w:t>
      </w:r>
      <w:r>
        <w:rPr>
          <w:rStyle w:val="687"/>
        </w:rPr>
        <w:t xml:space="preserve">rowLinks</w:t>
      </w:r>
      <w:r>
        <w:t xml:space="preserve"> </w:t>
      </w:r>
      <w:r>
        <w:t xml:space="preserve">to specifically a subset.</w:t>
      </w:r>
      <w:r/>
    </w:p>
    <w:p>
      <w:pPr>
        <w:pStyle w:val="659"/>
        <w:numPr>
          <w:ilvl w:val="0"/>
          <w:numId w:val="10"/>
        </w:numPr>
      </w:pPr>
      <w:r>
        <w:rPr>
          <w:rStyle w:val="687"/>
        </w:rPr>
        <w:t xml:space="preserve">subsetColLinks()</w:t>
      </w:r>
      <w:r>
        <w:t xml:space="preserve"> </w:t>
      </w:r>
      <w:r>
        <w:t xml:space="preserve">method from</w:t>
      </w:r>
      <w:r>
        <w:t xml:space="preserve"> </w:t>
      </w:r>
      <w:r>
        <w:rPr>
          <w:rStyle w:val="687"/>
        </w:rPr>
        <w:t xml:space="preserve">TreeSummarizedExperiment</w:t>
      </w:r>
      <w:r>
        <w:t xml:space="preserve"> </w:t>
      </w:r>
      <w:r>
        <w:t xml:space="preserve">class to get or set</w:t>
      </w:r>
      <w:r>
        <w:t xml:space="preserve"> </w:t>
      </w:r>
      <w:r>
        <w:rPr>
          <w:rStyle w:val="687"/>
        </w:rPr>
        <w:t xml:space="preserve">colLinks</w:t>
      </w:r>
      <w:r>
        <w:t xml:space="preserve"> </w:t>
      </w:r>
      <w:r>
        <w:t xml:space="preserve">to specifically a subset.</w:t>
      </w:r>
      <w:bookmarkEnd w:id="74"/>
      <w:r/>
    </w:p>
    <w:p>
      <w:pPr>
        <w:pStyle w:val="667"/>
      </w:pPr>
      <w:r/>
      <w:bookmarkStart w:id="245" w:name="_Toc45"/>
      <w:r/>
      <w:bookmarkStart w:id="75" w:name="X68e43c2954e847afd7b21ea6ced8e01f68a6da0"/>
      <w:r>
        <w:t xml:space="preserve">Override existing methods by adding subset support to them</w:t>
      </w:r>
      <w:r/>
      <w:bookmarkEnd w:id="245"/>
      <w:r/>
      <w:r/>
    </w:p>
    <w:p>
      <w:pPr>
        <w:pStyle w:val="658"/>
      </w:pPr>
      <w:r>
        <w:t xml:space="preserve">To ensure that the subsets can be accessed and updated through the methods available from the existing classes, we override these methods and add subset support to them.</w:t>
      </w:r>
      <w:r/>
    </w:p>
    <w:p>
      <w:pPr>
        <w:pStyle w:val="659"/>
        <w:numPr>
          <w:ilvl w:val="0"/>
          <w:numId w:val="11"/>
        </w:numPr>
      </w:pPr>
      <w:r>
        <w:t xml:space="preserve">To support subset capability with existing methods from all</w:t>
      </w:r>
      <w:r>
        <w:t xml:space="preserve"> </w:t>
      </w:r>
      <w:r>
        <w:rPr>
          <w:rStyle w:val="687"/>
        </w:rPr>
        <w:t xml:space="preserve">Experiment</w:t>
      </w:r>
      <w:r>
        <w:t xml:space="preserve"> </w:t>
      </w:r>
      <w:r>
        <w:t xml:space="preserve">classes, we override these methods and add subset support to them made possible by use of direct inheritance from these classes.</w:t>
      </w:r>
      <w:r/>
    </w:p>
    <w:p>
      <w:pPr>
        <w:pStyle w:val="659"/>
        <w:numPr>
          <w:ilvl w:val="0"/>
          <w:numId w:val="11"/>
        </w:numPr>
      </w:pPr>
      <w:r>
        <w:t xml:space="preserve">For methods that exist with multiple classes, we create a single function and then call this function in the generic function of each of the class method to minimize the code redundancy and to increase code reusability.</w:t>
      </w:r>
      <w:r/>
    </w:p>
    <w:p>
      <w:pPr>
        <w:pStyle w:val="659"/>
        <w:numPr>
          <w:ilvl w:val="0"/>
          <w:numId w:val="11"/>
        </w:numPr>
      </w:pPr>
      <w:r>
        <w:t xml:space="preserve">The methods inherited from the</w:t>
      </w:r>
      <w:r>
        <w:t xml:space="preserve"> </w:t>
      </w:r>
      <w:r>
        <w:rPr>
          <w:rStyle w:val="687"/>
        </w:rPr>
        <w:t xml:space="preserve">Experiment</w:t>
      </w:r>
      <w:r>
        <w:t xml:space="preserve"> </w:t>
      </w:r>
      <w:r>
        <w:t xml:space="preserve">classes to which subset support have been added through the strategy described above are specified below:</w:t>
      </w:r>
      <w:r/>
    </w:p>
    <w:p>
      <w:pPr>
        <w:pStyle w:val="659"/>
        <w:numPr>
          <w:ilvl w:val="0"/>
          <w:numId w:val="12"/>
        </w:numPr>
      </w:pPr>
      <w:r>
        <w:rPr>
          <w:rStyle w:val="687"/>
        </w:rPr>
        <w:t xml:space="preserve">show()</w:t>
      </w:r>
      <w:r/>
    </w:p>
    <w:p>
      <w:pPr>
        <w:pStyle w:val="658"/>
      </w:pPr>
      <w:r>
        <w:t xml:space="preserve">The</w:t>
      </w:r>
      <w:r>
        <w:t xml:space="preserve"> </w:t>
      </w:r>
      <w:r>
        <w:rPr>
          <w:rStyle w:val="687"/>
        </w:rPr>
        <w:t xml:space="preserve">show()</w:t>
      </w:r>
      <w:r>
        <w:t xml:space="preserve"> </w:t>
      </w:r>
      <w:r>
        <w:t xml:space="preserve">is a base R (</w:t>
      </w:r>
      <w:r>
        <w:rPr>
          <w:rStyle w:val="687"/>
        </w:rPr>
        <w:t xml:space="preserve">methods</w:t>
      </w:r>
      <w:r>
        <w:t xml:space="preserve"> </w:t>
      </w:r>
      <w:r>
        <w:t xml:space="preserve">class) function that prints the object summary, visualizes a plot or prints other necessary information which is suitable for that particular class of objects. Here, we override the</w:t>
      </w:r>
      <w:r>
        <w:t xml:space="preserve"> </w:t>
      </w:r>
      <w:r>
        <w:rPr>
          <w:rStyle w:val="687"/>
        </w:rPr>
        <w:t xml:space="preserve">show()</w:t>
      </w:r>
      <w:r>
        <w:t xml:space="preserve"> </w:t>
      </w:r>
      <w:r>
        <w:t xml:space="preserve">function and mimic the output of other</w:t>
      </w:r>
      <w:r>
        <w:t xml:space="preserve"> </w:t>
      </w:r>
      <w:r>
        <w:rPr>
          <w:rStyle w:val="687"/>
        </w:rPr>
        <w:t xml:space="preserve">Experiment</w:t>
      </w:r>
      <w:r>
        <w:t xml:space="preserve"> </w:t>
      </w:r>
      <w:r>
        <w:t xml:space="preserve">classes but additionally add printing of subsets and subset assays for easier understanding of the current object structure.</w:t>
      </w:r>
      <w:r/>
    </w:p>
    <w:p>
      <w:pPr>
        <w:pStyle w:val="659"/>
        <w:numPr>
          <w:ilvl w:val="0"/>
          <w:numId w:val="13"/>
        </w:numPr>
      </w:pPr>
      <w:r>
        <w:rPr>
          <w:rStyle w:val="687"/>
        </w:rPr>
        <w:t xml:space="preserve">assay()</w:t>
      </w:r>
      <w:r/>
    </w:p>
    <w:p>
      <w:pPr>
        <w:pStyle w:val="658"/>
      </w:pPr>
      <w:r>
        <w:t xml:space="preserve">An</w:t>
      </w:r>
      <w:r>
        <w:t xml:space="preserve"> </w:t>
      </w:r>
      <w:r>
        <w:rPr>
          <w:rStyle w:val="687"/>
        </w:rPr>
        <w:t xml:space="preserve">S4</w:t>
      </w:r>
      <w:r>
        <w:t xml:space="preserve"> </w:t>
      </w:r>
      <w:r>
        <w:t xml:space="preserve">method that can set or get an</w:t>
      </w:r>
      <w:r>
        <w:t xml:space="preserve"> </w:t>
      </w:r>
      <w:r>
        <w:rPr>
          <w:rStyle w:val="687"/>
        </w:rPr>
        <w:t xml:space="preserve">assay</w:t>
      </w:r>
      <w:r>
        <w:t xml:space="preserve"> </w:t>
      </w:r>
      <w:r>
        <w:t xml:space="preserve">(data) depending upon on which side of the assignment operator (</w:t>
      </w:r>
      <w:r>
        <w:rPr>
          <w:rStyle w:val="687"/>
        </w:rPr>
        <w:t xml:space="preserve">&lt;-</w:t>
      </w:r>
      <w:r>
        <w:t xml:space="preserve">) it is used. In our package, we override this method to support setting or getting an assay from a subset aswell by using an additional parameter called</w:t>
      </w:r>
      <w:r>
        <w:t xml:space="preserve"> </w:t>
      </w:r>
      <w:r>
        <w:rPr>
          <w:rStyle w:val="687"/>
        </w:rPr>
        <w:t xml:space="preserve">subsetName</w:t>
      </w:r>
      <w:r>
        <w:t xml:space="preserve"> </w:t>
      </w:r>
      <w:r>
        <w:t xml:space="preserve">in which you can specify the name of the subset to which or from which subset you want to set or extract an assay.</w:t>
      </w:r>
      <w:r/>
    </w:p>
    <w:p>
      <w:pPr>
        <w:pStyle w:val="659"/>
        <w:numPr>
          <w:ilvl w:val="0"/>
          <w:numId w:val="14"/>
        </w:numPr>
      </w:pPr>
      <w:r>
        <w:rPr>
          <w:rStyle w:val="687"/>
        </w:rPr>
        <w:t xml:space="preserve">rowData()</w:t>
      </w:r>
      <w:r/>
    </w:p>
    <w:p>
      <w:pPr>
        <w:pStyle w:val="658"/>
      </w:pPr>
      <w:r>
        <w:t xml:space="preserve">An</w:t>
      </w:r>
      <w:r>
        <w:t xml:space="preserve"> </w:t>
      </w:r>
      <w:r>
        <w:rPr>
          <w:rStyle w:val="687"/>
        </w:rPr>
        <w:t xml:space="preserve">S4</w:t>
      </w:r>
      <w:r>
        <w:t xml:space="preserve"> </w:t>
      </w:r>
      <w:r>
        <w:t xml:space="preserve">method that can set or get</w:t>
      </w:r>
      <w:r>
        <w:t xml:space="preserve"> </w:t>
      </w:r>
      <w:r>
        <w:rPr>
          <w:rStyle w:val="687"/>
        </w:rPr>
        <w:t xml:space="preserve">rowData</w:t>
      </w:r>
      <w:r>
        <w:t xml:space="preserve"> </w:t>
      </w:r>
      <w:r>
        <w:t xml:space="preserve">(row or genes or features metadata) associated with the current object. In this package, we additionally add support to set or get</w:t>
      </w:r>
      <w:r>
        <w:t xml:space="preserve"> </w:t>
      </w:r>
      <w:r>
        <w:rPr>
          <w:rStyle w:val="687"/>
        </w:rPr>
        <w:t xml:space="preserve">rowData</w:t>
      </w:r>
      <w:r>
        <w:t xml:space="preserve"> </w:t>
      </w:r>
      <w:r>
        <w:t xml:space="preserve">specifically from a subset by specifying the name of the subset in the additional</w:t>
      </w:r>
      <w:r>
        <w:t xml:space="preserve"> </w:t>
      </w:r>
      <w:r>
        <w:rPr>
          <w:rStyle w:val="687"/>
        </w:rPr>
        <w:t xml:space="preserve">subsetName</w:t>
      </w:r>
      <w:r>
        <w:t xml:space="preserve"> </w:t>
      </w:r>
      <w:r>
        <w:t xml:space="preserve">parameter. This data occasionally includes additional information about the genes or features in the dataset and is also used to store computations limited to the genes for example, statistics computed for variable genes are stored in the</w:t>
      </w:r>
      <w:r>
        <w:t xml:space="preserve"> </w:t>
      </w:r>
      <w:r>
        <w:rPr>
          <w:rStyle w:val="687"/>
        </w:rPr>
        <w:t xml:space="preserve">rowData</w:t>
      </w:r>
      <w:r>
        <w:t xml:space="preserve"> </w:t>
      </w:r>
      <w:r>
        <w:t xml:space="preserve">of the object.</w:t>
      </w:r>
      <w:r/>
    </w:p>
    <w:p>
      <w:pPr>
        <w:pStyle w:val="659"/>
        <w:numPr>
          <w:ilvl w:val="0"/>
          <w:numId w:val="15"/>
        </w:numPr>
      </w:pPr>
      <w:r>
        <w:rPr>
          <w:rStyle w:val="687"/>
        </w:rPr>
        <w:t xml:space="preserve">colData()</w:t>
      </w:r>
      <w:r/>
    </w:p>
    <w:p>
      <w:pPr>
        <w:pStyle w:val="658"/>
      </w:pPr>
      <w:r>
        <w:t xml:space="preserve">An</w:t>
      </w:r>
      <w:r>
        <w:t xml:space="preserve"> </w:t>
      </w:r>
      <w:r>
        <w:rPr>
          <w:rStyle w:val="687"/>
        </w:rPr>
        <w:t xml:space="preserve">S4</w:t>
      </w:r>
      <w:r>
        <w:t xml:space="preserve"> </w:t>
      </w:r>
      <w:r>
        <w:t xml:space="preserve">method that can set or get</w:t>
      </w:r>
      <w:r>
        <w:t xml:space="preserve"> </w:t>
      </w:r>
      <w:r>
        <w:rPr>
          <w:rStyle w:val="687"/>
        </w:rPr>
        <w:t xml:space="preserve">colData</w:t>
      </w:r>
      <w:r>
        <w:t xml:space="preserve"> </w:t>
      </w:r>
      <w:r>
        <w:t xml:space="preserve">(columns or cells or samples metadata) associated with the current object. In our package, we additionally add support to set or get</w:t>
      </w:r>
      <w:r>
        <w:t xml:space="preserve"> </w:t>
      </w:r>
      <w:r>
        <w:rPr>
          <w:rStyle w:val="687"/>
        </w:rPr>
        <w:t xml:space="preserve">colData</w:t>
      </w:r>
      <w:r>
        <w:t xml:space="preserve"> </w:t>
      </w:r>
      <w:r>
        <w:t xml:space="preserve">specifically from a subset by specifying the name of the subset in the additional</w:t>
      </w:r>
      <w:r>
        <w:t xml:space="preserve"> </w:t>
      </w:r>
      <w:r>
        <w:rPr>
          <w:rStyle w:val="687"/>
        </w:rPr>
        <w:t xml:space="preserve">subsetName</w:t>
      </w:r>
      <w:r>
        <w:t xml:space="preserve"> </w:t>
      </w:r>
      <w:r>
        <w:t xml:space="preserve">parameter. This data may also include additional information about the samples such as computed clusters or sample information.</w:t>
      </w:r>
      <w:r/>
    </w:p>
    <w:p>
      <w:pPr>
        <w:pStyle w:val="659"/>
        <w:numPr>
          <w:ilvl w:val="0"/>
          <w:numId w:val="16"/>
        </w:numPr>
      </w:pPr>
      <w:r>
        <w:rPr>
          <w:rStyle w:val="687"/>
        </w:rPr>
        <w:t xml:space="preserve">metadata()</w:t>
      </w:r>
      <w:r/>
    </w:p>
    <w:p>
      <w:pPr>
        <w:pStyle w:val="658"/>
      </w:pPr>
      <w:r>
        <w:t xml:space="preserve">A general</w:t>
      </w:r>
      <w:r>
        <w:t xml:space="preserve"> </w:t>
      </w:r>
      <w:r>
        <w:rPr>
          <w:rStyle w:val="687"/>
        </w:rPr>
        <w:t xml:space="preserve">S4</w:t>
      </w:r>
      <w:r>
        <w:t xml:space="preserve"> </w:t>
      </w:r>
      <w:r>
        <w:t xml:space="preserve">method to store additional metadata about the dataset which cannot be included in the</w:t>
      </w:r>
      <w:r>
        <w:t xml:space="preserve"> </w:t>
      </w:r>
      <w:r>
        <w:rPr>
          <w:rStyle w:val="687"/>
        </w:rPr>
        <w:t xml:space="preserve">rowData</w:t>
      </w:r>
      <w:r>
        <w:t xml:space="preserve"> </w:t>
      </w:r>
      <w:r>
        <w:t xml:space="preserve">or</w:t>
      </w:r>
      <w:r>
        <w:t xml:space="preserve"> </w:t>
      </w:r>
      <w:r>
        <w:rPr>
          <w:rStyle w:val="687"/>
        </w:rPr>
        <w:t xml:space="preserve">colData</w:t>
      </w:r>
      <w:r>
        <w:t xml:space="preserve">. This slot generally includes information about how the data was extracted by a particular protocol. Here, we allow the users to use the additional</w:t>
      </w:r>
      <w:r>
        <w:t xml:space="preserve"> </w:t>
      </w:r>
      <w:r>
        <w:rPr>
          <w:rStyle w:val="687"/>
        </w:rPr>
        <w:t xml:space="preserve">subsetName</w:t>
      </w:r>
      <w:r>
        <w:t xml:space="preserve"> </w:t>
      </w:r>
      <w:r>
        <w:t xml:space="preserve">parameter to additionally store metadata for just a particular subset of interest.</w:t>
      </w:r>
      <w:r/>
    </w:p>
    <w:p>
      <w:pPr>
        <w:pStyle w:val="659"/>
        <w:numPr>
          <w:ilvl w:val="0"/>
          <w:numId w:val="17"/>
        </w:numPr>
      </w:pPr>
      <w:r>
        <w:rPr>
          <w:rStyle w:val="687"/>
        </w:rPr>
        <w:t xml:space="preserve">reducedDim()</w:t>
      </w:r>
      <w:r/>
    </w:p>
    <w:p>
      <w:pPr>
        <w:pStyle w:val="658"/>
      </w:pPr>
      <w:r>
        <w:t xml:space="preserve">The</w:t>
      </w:r>
      <w:r>
        <w:t xml:space="preserve"> </w:t>
      </w:r>
      <w:r>
        <w:rPr>
          <w:rStyle w:val="687"/>
        </w:rPr>
        <w:t xml:space="preserve">reducedDim</w:t>
      </w:r>
      <w:r>
        <w:t xml:space="preserve"> </w:t>
      </w:r>
      <w:r>
        <w:rPr>
          <w:rStyle w:val="687"/>
        </w:rPr>
        <w:t xml:space="preserve">S4</w:t>
      </w:r>
      <w:r>
        <w:t xml:space="preserve"> </w:t>
      </w:r>
      <w:r>
        <w:t xml:space="preserve">method sets or gets the dimensionality reduction results to or from an</w:t>
      </w:r>
      <w:r>
        <w:t xml:space="preserve"> </w:t>
      </w:r>
      <w:r>
        <w:rPr>
          <w:rStyle w:val="687"/>
        </w:rPr>
        <w:t xml:space="preserve">Experiment</w:t>
      </w:r>
      <w:r>
        <w:t xml:space="preserve"> </w:t>
      </w:r>
      <w:r>
        <w:t xml:space="preserve">object. Additional support for storage and retrieval of dimensionality reduction results for subsets is added through the</w:t>
      </w:r>
      <w:r>
        <w:t xml:space="preserve"> </w:t>
      </w:r>
      <w:r>
        <w:rPr>
          <w:rStyle w:val="687"/>
        </w:rPr>
        <w:t xml:space="preserve">subsetName</w:t>
      </w:r>
      <w:r>
        <w:t xml:space="preserve"> </w:t>
      </w:r>
      <w:r>
        <w:t xml:space="preserve">parameter.</w:t>
      </w:r>
      <w:r/>
    </w:p>
    <w:p>
      <w:pPr>
        <w:pStyle w:val="659"/>
        <w:numPr>
          <w:ilvl w:val="0"/>
          <w:numId w:val="18"/>
        </w:numPr>
      </w:pPr>
      <w:r>
        <w:rPr>
          <w:rStyle w:val="687"/>
        </w:rPr>
        <w:t xml:space="preserve">reducedDims()</w:t>
      </w:r>
      <w:r/>
    </w:p>
    <w:p>
      <w:pPr>
        <w:pStyle w:val="658"/>
      </w:pPr>
      <w:r>
        <w:t xml:space="preserve">The</w:t>
      </w:r>
      <w:r>
        <w:t xml:space="preserve"> </w:t>
      </w:r>
      <w:r>
        <w:rPr>
          <w:rStyle w:val="687"/>
        </w:rPr>
        <w:t xml:space="preserve">reducedDims</w:t>
      </w:r>
      <w:r>
        <w:t xml:space="preserve"> </w:t>
      </w:r>
      <w:r>
        <w:rPr>
          <w:rStyle w:val="687"/>
        </w:rPr>
        <w:t xml:space="preserve">S4</w:t>
      </w:r>
      <w:r>
        <w:t xml:space="preserve"> </w:t>
      </w:r>
      <w:r>
        <w:t xml:space="preserve">method sets or gets multiple reducedDims to or from an</w:t>
      </w:r>
      <w:r>
        <w:t xml:space="preserve"> </w:t>
      </w:r>
      <w:r>
        <w:rPr>
          <w:rStyle w:val="687"/>
        </w:rPr>
        <w:t xml:space="preserve">Experiment</w:t>
      </w:r>
      <w:r>
        <w:t xml:space="preserve"> </w:t>
      </w:r>
      <w:r>
        <w:t xml:space="preserve">object. Additional support for doing so with subsets is added through the</w:t>
      </w:r>
      <w:r>
        <w:t xml:space="preserve"> </w:t>
      </w:r>
      <w:r>
        <w:rPr>
          <w:rStyle w:val="687"/>
        </w:rPr>
        <w:t xml:space="preserve">subsetName</w:t>
      </w:r>
      <w:r>
        <w:t xml:space="preserve"> </w:t>
      </w:r>
      <w:r>
        <w:t xml:space="preserve">parameter.</w:t>
      </w:r>
      <w:r/>
    </w:p>
    <w:p>
      <w:pPr>
        <w:pStyle w:val="659"/>
        <w:numPr>
          <w:ilvl w:val="0"/>
          <w:numId w:val="19"/>
        </w:numPr>
      </w:pPr>
      <w:r>
        <w:rPr>
          <w:rStyle w:val="687"/>
        </w:rPr>
        <w:t xml:space="preserve">reducedDimNames()</w:t>
      </w:r>
      <w:r/>
    </w:p>
    <w:p>
      <w:pPr>
        <w:pStyle w:val="658"/>
      </w:pPr>
      <w:r>
        <w:t xml:space="preserve">The</w:t>
      </w:r>
      <w:r>
        <w:t xml:space="preserve"> </w:t>
      </w:r>
      <w:r>
        <w:rPr>
          <w:rStyle w:val="687"/>
        </w:rPr>
        <w:t xml:space="preserve">reducedDimNames</w:t>
      </w:r>
      <w:r>
        <w:t xml:space="preserve"> </w:t>
      </w:r>
      <w:r>
        <w:rPr>
          <w:rStyle w:val="687"/>
        </w:rPr>
        <w:t xml:space="preserve">S4</w:t>
      </w:r>
      <w:r>
        <w:t xml:space="preserve"> </w:t>
      </w:r>
      <w:r>
        <w:t xml:space="preserve">method sets or gets the names of the stored dimensionality reduction results in an Experiment object. By using the</w:t>
      </w:r>
      <w:r>
        <w:t xml:space="preserve"> </w:t>
      </w:r>
      <w:r>
        <w:rPr>
          <w:rStyle w:val="687"/>
        </w:rPr>
        <w:t xml:space="preserve">subsetName</w:t>
      </w:r>
      <w:r>
        <w:t xml:space="preserve"> </w:t>
      </w:r>
      <w:r>
        <w:t xml:space="preserve">parameter, names of the</w:t>
      </w:r>
      <w:r>
        <w:t xml:space="preserve"> </w:t>
      </w:r>
      <w:r>
        <w:rPr>
          <w:rStyle w:val="687"/>
        </w:rPr>
        <w:t xml:space="preserve">reducedDims</w:t>
      </w:r>
      <w:r>
        <w:t xml:space="preserve"> </w:t>
      </w:r>
      <w:r>
        <w:t xml:space="preserve">can be retrieved or modified from a subset.</w:t>
      </w:r>
      <w:r/>
    </w:p>
    <w:p>
      <w:pPr>
        <w:pStyle w:val="659"/>
        <w:numPr>
          <w:ilvl w:val="0"/>
          <w:numId w:val="20"/>
        </w:numPr>
      </w:pPr>
      <w:r>
        <w:rPr>
          <w:rStyle w:val="687"/>
        </w:rPr>
        <w:t xml:space="preserve">altExp()</w:t>
      </w:r>
      <w:r/>
    </w:p>
    <w:p>
      <w:pPr>
        <w:pStyle w:val="658"/>
      </w:pPr>
      <w:r>
        <w:t xml:space="preserve">The</w:t>
      </w:r>
      <w:r>
        <w:t xml:space="preserve"> </w:t>
      </w:r>
      <w:r>
        <w:rPr>
          <w:rStyle w:val="687"/>
        </w:rPr>
        <w:t xml:space="preserve">altExp</w:t>
      </w:r>
      <w:r>
        <w:t xml:space="preserve"> </w:t>
      </w:r>
      <w:r>
        <w:rPr>
          <w:rStyle w:val="687"/>
        </w:rPr>
        <w:t xml:space="preserve">S4</w:t>
      </w:r>
      <w:r>
        <w:t xml:space="preserve"> </w:t>
      </w:r>
      <w:r>
        <w:t xml:space="preserve">method sets or gets additional alternative experiment objects to the parent</w:t>
      </w:r>
      <w:r>
        <w:t xml:space="preserve"> </w:t>
      </w:r>
      <w:r>
        <w:rPr>
          <w:rStyle w:val="687"/>
        </w:rPr>
        <w:t xml:space="preserve">Experiment</w:t>
      </w:r>
      <w:r>
        <w:t xml:space="preserve"> </w:t>
      </w:r>
      <w:r>
        <w:t xml:space="preserve">object. We have added support to add or remove (or retrieve) alternative experiments to each specific subset by using the</w:t>
      </w:r>
      <w:r>
        <w:t xml:space="preserve"> </w:t>
      </w:r>
      <w:r>
        <w:rPr>
          <w:rStyle w:val="687"/>
        </w:rPr>
        <w:t xml:space="preserve">subsetName</w:t>
      </w:r>
      <w:r>
        <w:t xml:space="preserve"> </w:t>
      </w:r>
      <w:r>
        <w:t xml:space="preserve">parameter.</w:t>
      </w:r>
      <w:r/>
    </w:p>
    <w:p>
      <w:pPr>
        <w:pStyle w:val="659"/>
        <w:numPr>
          <w:ilvl w:val="0"/>
          <w:numId w:val="21"/>
        </w:numPr>
      </w:pPr>
      <w:r>
        <w:rPr>
          <w:rStyle w:val="687"/>
        </w:rPr>
        <w:t xml:space="preserve">altExps()</w:t>
      </w:r>
      <w:r/>
    </w:p>
    <w:p>
      <w:pPr>
        <w:pStyle w:val="658"/>
      </w:pPr>
      <w:r>
        <w:t xml:space="preserve">The</w:t>
      </w:r>
      <w:r>
        <w:t xml:space="preserve"> </w:t>
      </w:r>
      <w:r>
        <w:rPr>
          <w:rStyle w:val="687"/>
        </w:rPr>
        <w:t xml:space="preserve">altExps</w:t>
      </w:r>
      <w:r>
        <w:t xml:space="preserve"> </w:t>
      </w:r>
      <w:r>
        <w:rPr>
          <w:rStyle w:val="687"/>
        </w:rPr>
        <w:t xml:space="preserve">S4</w:t>
      </w:r>
      <w:r>
        <w:t xml:space="preserve"> </w:t>
      </w:r>
      <w:r>
        <w:t xml:space="preserve">method sets or gets multiple alternative experiment objects to the parent</w:t>
      </w:r>
      <w:r>
        <w:t xml:space="preserve"> </w:t>
      </w:r>
      <w:r>
        <w:rPr>
          <w:rStyle w:val="687"/>
        </w:rPr>
        <w:t xml:space="preserve">Experiment</w:t>
      </w:r>
      <w:r>
        <w:t xml:space="preserve"> </w:t>
      </w:r>
      <w:r>
        <w:t xml:space="preserve">object. We have added support for adding, removing or retrieving of multiple alternative experiments from a specific subset by using the</w:t>
      </w:r>
      <w:r>
        <w:t xml:space="preserve"> </w:t>
      </w:r>
      <w:r>
        <w:rPr>
          <w:rStyle w:val="687"/>
        </w:rPr>
        <w:t xml:space="preserve">subsetName</w:t>
      </w:r>
      <w:r>
        <w:t xml:space="preserve"> </w:t>
      </w:r>
      <w:r>
        <w:t xml:space="preserve">parameter.</w:t>
      </w:r>
      <w:r/>
    </w:p>
    <w:p>
      <w:pPr>
        <w:pStyle w:val="659"/>
        <w:numPr>
          <w:ilvl w:val="0"/>
          <w:numId w:val="22"/>
        </w:numPr>
      </w:pPr>
      <w:r>
        <w:rPr>
          <w:rStyle w:val="687"/>
        </w:rPr>
        <w:t xml:space="preserve">altExpNames()</w:t>
      </w:r>
      <w:r/>
    </w:p>
    <w:p>
      <w:pPr>
        <w:pStyle w:val="658"/>
      </w:pPr>
      <w:r>
        <w:t xml:space="preserve">The</w:t>
      </w:r>
      <w:r>
        <w:t xml:space="preserve"> </w:t>
      </w:r>
      <w:r>
        <w:rPr>
          <w:rStyle w:val="687"/>
        </w:rPr>
        <w:t xml:space="preserve">altExpNames</w:t>
      </w:r>
      <w:r>
        <w:t xml:space="preserve"> </w:t>
      </w:r>
      <w:r>
        <w:rPr>
          <w:rStyle w:val="687"/>
        </w:rPr>
        <w:t xml:space="preserve">S4</w:t>
      </w:r>
      <w:r>
        <w:t xml:space="preserve"> </w:t>
      </w:r>
      <w:r>
        <w:t xml:space="preserve">method gets or sets names of the stored alternative experiments in an</w:t>
      </w:r>
      <w:r>
        <w:t xml:space="preserve"> </w:t>
      </w:r>
      <w:r>
        <w:rPr>
          <w:rStyle w:val="687"/>
        </w:rPr>
        <w:t xml:space="preserve">Experiment</w:t>
      </w:r>
      <w:r>
        <w:t xml:space="preserve"> </w:t>
      </w:r>
      <w:r>
        <w:t xml:space="preserve">object. Similarly, names of the stored alternative experiments can be set or get from subsets using the additional</w:t>
      </w:r>
      <w:r>
        <w:t xml:space="preserve"> </w:t>
      </w:r>
      <w:r>
        <w:rPr>
          <w:rStyle w:val="687"/>
        </w:rPr>
        <w:t xml:space="preserve">subsetName</w:t>
      </w:r>
      <w:r>
        <w:t xml:space="preserve"> </w:t>
      </w:r>
      <w:r>
        <w:t xml:space="preserve">parameter.</w:t>
      </w:r>
      <w:r/>
    </w:p>
    <w:p>
      <w:pPr>
        <w:pStyle w:val="659"/>
        <w:numPr>
          <w:ilvl w:val="0"/>
          <w:numId w:val="23"/>
        </w:numPr>
      </w:pPr>
      <w:r>
        <w:rPr>
          <w:rStyle w:val="687"/>
        </w:rPr>
        <w:t xml:space="preserve">spatialData()</w:t>
      </w:r>
      <w:r/>
    </w:p>
    <w:p>
      <w:pPr>
        <w:pStyle w:val="658"/>
      </w:pPr>
      <w:r>
        <w:t xml:space="preserve">The</w:t>
      </w:r>
      <w:r>
        <w:t xml:space="preserve"> </w:t>
      </w:r>
      <w:r>
        <w:rPr>
          <w:rStyle w:val="687"/>
        </w:rPr>
        <w:t xml:space="preserve">spatialData</w:t>
      </w:r>
      <w:r>
        <w:t xml:space="preserve"> </w:t>
      </w:r>
      <w:r>
        <w:rPr>
          <w:rStyle w:val="687"/>
        </w:rPr>
        <w:t xml:space="preserve">S4</w:t>
      </w:r>
      <w:r>
        <w:t xml:space="preserve"> </w:t>
      </w:r>
      <w:r>
        <w:t xml:space="preserve">method is explicitly available in the</w:t>
      </w:r>
      <w:r>
        <w:t xml:space="preserve"> </w:t>
      </w:r>
      <w:r>
        <w:rPr>
          <w:rStyle w:val="687"/>
        </w:rPr>
        <w:t xml:space="preserve">SpatialExperiment</w:t>
      </w:r>
      <w:r>
        <w:t xml:space="preserve"> </w:t>
      </w:r>
      <w:r>
        <w:t xml:space="preserve">class to set or get the spatial data from an object. We have added subset support to set or get spatial data to or from a subset using the additional</w:t>
      </w:r>
      <w:r>
        <w:t xml:space="preserve"> </w:t>
      </w:r>
      <w:r>
        <w:rPr>
          <w:rStyle w:val="687"/>
        </w:rPr>
        <w:t xml:space="preserve">subsetName</w:t>
      </w:r>
      <w:r>
        <w:t xml:space="preserve"> </w:t>
      </w:r>
      <w:r>
        <w:t xml:space="preserve">parameter as long as the object is inherited from the parent</w:t>
      </w:r>
      <w:r>
        <w:t xml:space="preserve"> </w:t>
      </w:r>
      <w:r>
        <w:rPr>
          <w:rStyle w:val="687"/>
        </w:rPr>
        <w:t xml:space="preserve">SpatialExperiment</w:t>
      </w:r>
      <w:r>
        <w:t xml:space="preserve"> </w:t>
      </w:r>
      <w:r>
        <w:t xml:space="preserve">class.</w:t>
      </w:r>
      <w:r/>
    </w:p>
    <w:p>
      <w:pPr>
        <w:pStyle w:val="659"/>
        <w:numPr>
          <w:ilvl w:val="0"/>
          <w:numId w:val="24"/>
        </w:numPr>
      </w:pPr>
      <w:r>
        <w:rPr>
          <w:rStyle w:val="687"/>
        </w:rPr>
        <w:t xml:space="preserve">spatialCoords()</w:t>
      </w:r>
      <w:r/>
    </w:p>
    <w:p>
      <w:pPr>
        <w:pStyle w:val="658"/>
      </w:pPr>
      <w:r>
        <w:t xml:space="preserve">The</w:t>
      </w:r>
      <w:r>
        <w:t xml:space="preserve"> </w:t>
      </w:r>
      <w:r>
        <w:rPr>
          <w:rStyle w:val="687"/>
        </w:rPr>
        <w:t xml:space="preserve">spatialCoords</w:t>
      </w:r>
      <w:r>
        <w:t xml:space="preserve"> </w:t>
      </w:r>
      <w:r>
        <w:t xml:space="preserve">getter is a complimentary method to the</w:t>
      </w:r>
      <w:r>
        <w:t xml:space="preserve"> </w:t>
      </w:r>
      <w:r>
        <w:rPr>
          <w:rStyle w:val="687"/>
        </w:rPr>
        <w:t xml:space="preserve">spatialData</w:t>
      </w:r>
      <w:r>
        <w:t xml:space="preserve"> </w:t>
      </w:r>
      <w:r>
        <w:t xml:space="preserve">method and </w:t>
      </w:r>
      <w:r>
        <w:t xml:space="preserve">retrieves only the spatial coordinates from the overall spatial data. We have added subset support to this method which allows the users to retrieve the spatial coordinates just for a particular subset by specifying the name of the subset in the additional</w:t>
      </w:r>
      <w:r>
        <w:t xml:space="preserve"> </w:t>
      </w:r>
      <w:r>
        <w:rPr>
          <w:rStyle w:val="687"/>
        </w:rPr>
        <w:t xml:space="preserve">subsetName</w:t>
      </w:r>
      <w:r>
        <w:t xml:space="preserve"> </w:t>
      </w:r>
      <w:r>
        <w:t xml:space="preserve">parameter.</w:t>
      </w:r>
      <w:r/>
    </w:p>
    <w:p>
      <w:pPr>
        <w:pStyle w:val="659"/>
        <w:numPr>
          <w:ilvl w:val="0"/>
          <w:numId w:val="25"/>
        </w:numPr>
      </w:pPr>
      <w:r>
        <w:rPr>
          <w:rStyle w:val="687"/>
        </w:rPr>
        <w:t xml:space="preserve">rowLinks()</w:t>
      </w:r>
      <w:r/>
    </w:p>
    <w:p>
      <w:pPr>
        <w:pStyle w:val="658"/>
      </w:pPr>
      <w:r>
        <w:t xml:space="preserve">The</w:t>
      </w:r>
      <w:r>
        <w:t xml:space="preserve"> </w:t>
      </w:r>
      <w:r>
        <w:rPr>
          <w:rStyle w:val="687"/>
        </w:rPr>
        <w:t xml:space="preserve">rowLinks</w:t>
      </w:r>
      <w:r>
        <w:t xml:space="preserve"> </w:t>
      </w:r>
      <w:r>
        <w:t xml:space="preserve">accessor method retrieves the information of the rows linked with the row tree in the</w:t>
      </w:r>
      <w:r>
        <w:t xml:space="preserve"> </w:t>
      </w:r>
      <w:r>
        <w:rPr>
          <w:rStyle w:val="687"/>
        </w:rPr>
        <w:t xml:space="preserve">TreeSummarizedExperiment</w:t>
      </w:r>
      <w:r>
        <w:t xml:space="preserve"> </w:t>
      </w:r>
      <w:r>
        <w:t xml:space="preserve">class. Here we have added support for subsets using the</w:t>
      </w:r>
      <w:r>
        <w:t xml:space="preserve"> </w:t>
      </w:r>
      <w:r>
        <w:rPr>
          <w:rStyle w:val="687"/>
        </w:rPr>
        <w:t xml:space="preserve">subsetName</w:t>
      </w:r>
      <w:r>
        <w:t xml:space="preserve"> </w:t>
      </w:r>
      <w:r>
        <w:t xml:space="preserve">parameter which lets us retrieve the</w:t>
      </w:r>
      <w:r>
        <w:t xml:space="preserve"> </w:t>
      </w:r>
      <w:r>
        <w:rPr>
          <w:rStyle w:val="687"/>
        </w:rPr>
        <w:t xml:space="preserve">rowLinks</w:t>
      </w:r>
      <w:r>
        <w:t xml:space="preserve"> </w:t>
      </w:r>
      <w:r>
        <w:t xml:space="preserve">for just a particular subset as long as the object is inherited from the same parent class.</w:t>
      </w:r>
      <w:r/>
    </w:p>
    <w:p>
      <w:pPr>
        <w:pStyle w:val="659"/>
        <w:numPr>
          <w:ilvl w:val="0"/>
          <w:numId w:val="26"/>
        </w:numPr>
      </w:pPr>
      <w:r>
        <w:rPr>
          <w:rStyle w:val="687"/>
        </w:rPr>
        <w:t xml:space="preserve">colLinks()</w:t>
      </w:r>
      <w:r/>
    </w:p>
    <w:p>
      <w:pPr>
        <w:pStyle w:val="658"/>
      </w:pPr>
      <w:r>
        <w:t xml:space="preserve">The</w:t>
      </w:r>
      <w:r>
        <w:t xml:space="preserve"> </w:t>
      </w:r>
      <w:r>
        <w:rPr>
          <w:rStyle w:val="687"/>
        </w:rPr>
        <w:t xml:space="preserve">colLinks</w:t>
      </w:r>
      <w:r>
        <w:t xml:space="preserve"> </w:t>
      </w:r>
      <w:r>
        <w:t xml:space="preserve">accessor method retrieves the information of the columns linked with the col tree in the</w:t>
      </w:r>
      <w:r>
        <w:t xml:space="preserve"> </w:t>
      </w:r>
      <w:r>
        <w:rPr>
          <w:rStyle w:val="687"/>
        </w:rPr>
        <w:t xml:space="preserve">TreeSummarizedExperiment</w:t>
      </w:r>
      <w:r>
        <w:t xml:space="preserve"> </w:t>
      </w:r>
      <w:r>
        <w:t xml:space="preserve">class. Here we have added support for subsets using the</w:t>
      </w:r>
      <w:r>
        <w:t xml:space="preserve"> </w:t>
      </w:r>
      <w:r>
        <w:rPr>
          <w:rStyle w:val="687"/>
        </w:rPr>
        <w:t xml:space="preserve">subsetName</w:t>
      </w:r>
      <w:r>
        <w:t xml:space="preserve"> </w:t>
      </w:r>
      <w:r>
        <w:t xml:space="preserve">parameter which lets us retrieve the</w:t>
      </w:r>
      <w:r>
        <w:t xml:space="preserve"> </w:t>
      </w:r>
      <w:r>
        <w:rPr>
          <w:rStyle w:val="687"/>
        </w:rPr>
        <w:t xml:space="preserve">colLinks</w:t>
      </w:r>
      <w:r>
        <w:t xml:space="preserve"> </w:t>
      </w:r>
      <w:r>
        <w:t xml:space="preserve">for just a particular subset as long as the object is inherited from the same parent class.</w:t>
      </w:r>
      <w:bookmarkEnd w:id="75"/>
      <w:r/>
    </w:p>
    <w:p>
      <w:pPr>
        <w:pStyle w:val="667"/>
      </w:pPr>
      <w:r/>
      <w:bookmarkStart w:id="246" w:name="_Toc46"/>
      <w:r/>
      <w:bookmarkStart w:id="79" w:name="create-documentation-add-unit-tests"/>
      <w:r>
        <w:t xml:space="preserve">Create documentation &amp; add unit tests</w:t>
      </w:r>
      <w:r/>
      <w:bookmarkEnd w:id="246"/>
      <w:r/>
      <w:r/>
    </w:p>
    <w:p>
      <w:pPr>
        <w:pStyle w:val="668"/>
      </w:pPr>
      <w:r/>
      <w:bookmarkStart w:id="247" w:name="_Toc47"/>
      <w:r/>
      <w:bookmarkStart w:id="77" w:name="document-package"/>
      <w:r>
        <w:t xml:space="preserve">Document package</w:t>
      </w:r>
      <w:r/>
      <w:bookmarkEnd w:id="247"/>
      <w:r/>
      <w:r/>
    </w:p>
    <w:p>
      <w:pPr>
        <w:pStyle w:val="658"/>
      </w:pPr>
      <w:r>
        <w:t xml:space="preserve">R packages are generally documented in two standard ways, one through</w:t>
      </w:r>
      <w:r>
        <w:t xml:space="preserve"> </w:t>
      </w:r>
      <w:r>
        <w:rPr>
          <w:rStyle w:val="687"/>
        </w:rPr>
        <w:t xml:space="preserve">roxygen2</w:t>
      </w:r>
      <w:r>
        <w:t xml:space="preserve"> </w:t>
      </w:r>
      <w:r>
        <w:t xml:space="preserve">[38]</w:t>
      </w:r>
      <w:r>
        <w:t xml:space="preserve"> </w:t>
      </w:r>
      <w:r>
        <w:t xml:space="preserve">package that creates a documentation page for each function or method and secondly through a package vignette which is more of a user guide. Following both of these standards, we used the</w:t>
      </w:r>
      <w:r>
        <w:t xml:space="preserve"> </w:t>
      </w:r>
      <w:r>
        <w:rPr>
          <w:rStyle w:val="687"/>
        </w:rPr>
        <w:t xml:space="preserve">roxygen2</w:t>
      </w:r>
      <w:r>
        <w:t xml:space="preserve"> </w:t>
      </w:r>
      <w:r>
        <w:t xml:space="preserve">R package to create documentation (</w:t>
      </w:r>
      <w:r>
        <w:rPr>
          <w:rStyle w:val="687"/>
        </w:rPr>
        <w:t xml:space="preserve">Rd</w:t>
      </w:r>
      <w:r>
        <w:t xml:space="preserve"> </w:t>
      </w:r>
      <w:r>
        <w:t xml:space="preserve">files) for each of the function/method in our package that describes the function/method name, short description, input/output of the function/method and a runnable example to show the working of the function/method. These</w:t>
      </w:r>
      <w:r>
        <w:t xml:space="preserve"> </w:t>
      </w:r>
      <w:r>
        <w:rPr>
          <w:rStyle w:val="687"/>
        </w:rPr>
        <w:t xml:space="preserve">Rd</w:t>
      </w:r>
      <w:r>
        <w:t xml:space="preserve"> </w:t>
      </w:r>
      <w:r>
        <w:t xml:space="preserve">files generated by</w:t>
      </w:r>
      <w:r>
        <w:t xml:space="preserve"> </w:t>
      </w:r>
      <w:r>
        <w:rPr>
          <w:rStyle w:val="687"/>
        </w:rPr>
        <w:t xml:space="preserve">roxygen2</w:t>
      </w:r>
      <w:r>
        <w:t xml:space="preserve"> </w:t>
      </w:r>
      <w:r>
        <w:t xml:space="preserve">then become available online repositories for users to view such as the</w:t>
      </w:r>
      <w:r>
        <w:t xml:space="preserve"> </w:t>
      </w:r>
      <w:hyperlink r:id="rId31" w:tooltip="rddr.io" w:history="1">
        <w:r>
          <w:rPr>
            <w:rStyle w:val="690"/>
          </w:rPr>
          <w:t xml:space="preserve">rddr</w:t>
        </w:r>
      </w:hyperlink>
      <w:r>
        <w:t xml:space="preserve">.</w:t>
      </w:r>
      <w:r/>
    </w:p>
    <w:p>
      <w:pPr>
        <w:pStyle w:val="657"/>
      </w:pPr>
      <w:r>
        <w:t xml:space="preserve">Additionally, to document the usage of the package, we used</w:t>
      </w:r>
      <w:r>
        <w:t xml:space="preserve"> </w:t>
      </w:r>
      <w:r>
        <w:rPr>
          <w:rStyle w:val="687"/>
        </w:rPr>
        <w:t xml:space="preserve">rmarkdown</w:t>
      </w:r>
      <w:r>
        <w:t xml:space="preserve"> </w:t>
      </w:r>
      <w:r>
        <w:t xml:space="preserve">[39]</w:t>
      </w:r>
      <w:r>
        <w:t xml:space="preserve">[40]</w:t>
      </w:r>
      <w:r>
        <w:t xml:space="preserve">[41]</w:t>
      </w:r>
      <w:r>
        <w:t xml:space="preserve"> </w:t>
      </w:r>
      <w:r>
        <w:t xml:space="preserve">to </w:t>
      </w:r>
      <w:r>
        <w:t xml:space="preserve">create a vignette to serve as a user manual. In the vignette, we describe the overall purpose/motivation of the package, the structure of the package, available functions/methods and a sample toy example. Moreover, we have added a sample workflow using the</w:t>
      </w:r>
      <w:r>
        <w:t xml:space="preserve"> </w:t>
      </w:r>
      <w:r>
        <w:rPr>
          <w:rStyle w:val="687"/>
        </w:rPr>
        <w:t xml:space="preserve">pbmc3k</w:t>
      </w:r>
      <w:r>
        <w:t xml:space="preserve"> </w:t>
      </w:r>
      <w:r>
        <w:t xml:space="preserve">dataset that illustrates the usefulness of our package. This vignette is available with the package and can either be viewed from the</w:t>
      </w:r>
      <w:r>
        <w:t xml:space="preserve"> </w:t>
      </w:r>
      <w:r>
        <w:rPr>
          <w:rStyle w:val="687"/>
        </w:rPr>
        <w:t xml:space="preserve">Bioconductor</w:t>
      </w:r>
      <w:r>
        <w:t xml:space="preserve"> </w:t>
      </w:r>
      <w:r>
        <w:t xml:space="preserve">landing page or from within the R console.</w:t>
      </w:r>
      <w:bookmarkEnd w:id="77"/>
      <w:r/>
    </w:p>
    <w:p>
      <w:pPr>
        <w:pStyle w:val="668"/>
      </w:pPr>
      <w:r/>
      <w:bookmarkStart w:id="248" w:name="_Toc48"/>
      <w:r/>
      <w:bookmarkStart w:id="78" w:name="test-package"/>
      <w:r>
        <w:t xml:space="preserve">Test package</w:t>
      </w:r>
      <w:r/>
      <w:bookmarkEnd w:id="248"/>
      <w:r/>
      <w:r/>
    </w:p>
    <w:p>
      <w:pPr>
        <w:pStyle w:val="658"/>
      </w:pPr>
      <w:r>
        <w:t xml:space="preserve">To ensure the correctness of the our package throughout its development and post-development life-cycle, we make use of unit testing through the R</w:t>
      </w:r>
      <w:r>
        <w:t xml:space="preserve"> </w:t>
      </w:r>
      <w:r>
        <w:rPr>
          <w:rStyle w:val="687"/>
        </w:rPr>
        <w:t xml:space="preserve">testthat</w:t>
      </w:r>
      <w:r>
        <w:t xml:space="preserve"> </w:t>
      </w:r>
      <w:r>
        <w:t xml:space="preserve">[42]</w:t>
      </w:r>
      <w:r>
        <w:t xml:space="preserve"> </w:t>
      </w:r>
      <w:r>
        <w:t xml:space="preserve">package to test our package in small units, particularly each function and method in our package. We particularly use unit-testing because the github</w:t>
      </w:r>
      <w:r>
        <w:t xml:space="preserve"> </w:t>
      </w:r>
      <w:r>
        <w:rPr>
          <w:rStyle w:val="687"/>
        </w:rPr>
        <w:t xml:space="preserve">travis</w:t>
      </w:r>
      <w:r>
        <w:t xml:space="preserve"> </w:t>
      </w:r>
      <w:r>
        <w:t xml:space="preserve">build allows us to automatically run the unit tests for each commit/update and ensures that with each update none of the functionality breaks. For each function or method that we have either created or overrided from the other</w:t>
      </w:r>
      <w:r>
        <w:t xml:space="preserve"> </w:t>
      </w:r>
      <w:r>
        <w:rPr>
          <w:rStyle w:val="687"/>
        </w:rPr>
        <w:t xml:space="preserve">Experiment</w:t>
      </w:r>
      <w:r>
        <w:t xml:space="preserve"> </w:t>
      </w:r>
      <w:r>
        <w:t xml:space="preserve">classes, we specify a set of input and outputs and test these at each iteration of the development life-cycle and later with the updates and ensure that the output returned by these functions are exactly the ones that are expected with the functionality.</w:t>
      </w:r>
      <w:r/>
    </w:p>
    <w:p>
      <w:pPr>
        <w:pStyle w:val="657"/>
      </w:pPr>
      <w:r>
        <w:t xml:space="preserve">The</w:t>
      </w:r>
      <w:r>
        <w:t xml:space="preserve"> </w:t>
      </w:r>
      <w:r>
        <w:rPr>
          <w:rStyle w:val="687"/>
        </w:rPr>
        <w:t xml:space="preserve">testthat</w:t>
      </w:r>
      <w:r>
        <w:t xml:space="preserve"> </w:t>
      </w:r>
      <w:r>
        <w:t xml:space="preserve">package allows us to specify all unit tests within a single</w:t>
      </w:r>
      <w:r>
        <w:t xml:space="preserve"> </w:t>
      </w:r>
      <w:r>
        <w:rPr>
          <w:rStyle w:val="687"/>
        </w:rPr>
        <w:t xml:space="preserve">testthat.R</w:t>
      </w:r>
      <w:r>
        <w:t xml:space="preserve"> </w:t>
      </w:r>
      <w:r>
        <w:t xml:space="preserve">file with their corresponding inputs and the expected outputs.</w:t>
      </w:r>
      <w:bookmarkEnd w:id="78"/>
      <w:bookmarkEnd w:id="79"/>
      <w:r/>
    </w:p>
    <w:p>
      <w:pPr>
        <w:pStyle w:val="667"/>
      </w:pPr>
      <w:r/>
      <w:bookmarkStart w:id="249" w:name="_Toc49"/>
      <w:r/>
      <w:bookmarkStart w:id="80" w:name="validate-package"/>
      <w:r>
        <w:t xml:space="preserve">Validate package</w:t>
      </w:r>
      <w:r/>
      <w:bookmarkEnd w:id="249"/>
      <w:r/>
      <w:r/>
    </w:p>
    <w:p>
      <w:pPr>
        <w:pStyle w:val="658"/>
      </w:pPr>
      <w:r>
        <w:t xml:space="preserve">To validate that the package and the subset classes that we have created by inheriting from the existing Experiment classes do actually store and r</w:t>
      </w:r>
      <w:r>
        <w:t xml:space="preserve">etrieve the same data as they would without using our subset classes, we create subsets and inspect the data that is available through our package and compare it with the existing Experiment classes. For this validation, we follow the workflow given below:</w:t>
      </w:r>
      <w:r/>
    </w:p>
    <w:p>
      <w:pPr>
        <w:pStyle w:val="659"/>
        <w:numPr>
          <w:ilvl w:val="0"/>
          <w:numId w:val="27"/>
        </w:numPr>
      </w:pPr>
      <w:r>
        <w:t xml:space="preserve">Import a sample dataset in the form of a</w:t>
      </w:r>
      <w:r>
        <w:t xml:space="preserve"> </w:t>
      </w:r>
      <w:r>
        <w:rPr>
          <w:rStyle w:val="687"/>
        </w:rPr>
        <w:t xml:space="preserve">SingleCellExperiment</w:t>
      </w:r>
      <w:r>
        <w:t xml:space="preserve"> </w:t>
      </w:r>
      <w:r>
        <w:t xml:space="preserve">object.</w:t>
      </w:r>
      <w:r/>
    </w:p>
    <w:p>
      <w:pPr>
        <w:pStyle w:val="659"/>
        <w:numPr>
          <w:ilvl w:val="0"/>
          <w:numId w:val="27"/>
        </w:numPr>
      </w:pPr>
      <w:r>
        <w:t xml:space="preserve">Convert this</w:t>
      </w:r>
      <w:r>
        <w:t xml:space="preserve"> </w:t>
      </w:r>
      <w:r>
        <w:rPr>
          <w:rStyle w:val="687"/>
        </w:rPr>
        <w:t xml:space="preserve">SingleCellExperiment</w:t>
      </w:r>
      <w:r>
        <w:t xml:space="preserve"> </w:t>
      </w:r>
      <w:r>
        <w:t xml:space="preserve">object into</w:t>
      </w:r>
      <w:r>
        <w:t xml:space="preserve"> </w:t>
      </w:r>
      <w:r>
        <w:rPr>
          <w:rStyle w:val="687"/>
        </w:rPr>
        <w:t xml:space="preserve">ExperimentSubset</w:t>
      </w:r>
      <w:r>
        <w:t xml:space="preserve"> </w:t>
      </w:r>
      <w:r>
        <w:t xml:space="preserve">(our package) object.</w:t>
      </w:r>
      <w:r/>
    </w:p>
    <w:p>
      <w:pPr>
        <w:pStyle w:val="659"/>
        <w:numPr>
          <w:ilvl w:val="0"/>
          <w:numId w:val="27"/>
        </w:numPr>
      </w:pPr>
      <w:r>
        <w:t xml:space="preserve">Create a subset with a selected number of rows/columns with our package and create a new object for the</w:t>
      </w:r>
      <w:r>
        <w:t xml:space="preserve"> </w:t>
      </w:r>
      <w:r>
        <w:rPr>
          <w:rStyle w:val="687"/>
        </w:rPr>
        <w:t xml:space="preserve">SingleCellExperiment</w:t>
      </w:r>
      <w:r>
        <w:t xml:space="preserve"> </w:t>
      </w:r>
      <w:r>
        <w:t xml:space="preserve">class with the same rows/columns.</w:t>
      </w:r>
      <w:r/>
    </w:p>
    <w:p>
      <w:pPr>
        <w:pStyle w:val="659"/>
        <w:numPr>
          <w:ilvl w:val="0"/>
          <w:numId w:val="27"/>
        </w:numPr>
      </w:pPr>
      <w:r>
        <w:t xml:space="preserve">Inspect data through both the newly created subset in</w:t>
      </w:r>
      <w:r>
        <w:t xml:space="preserve"> </w:t>
      </w:r>
      <w:r>
        <w:rPr>
          <w:rStyle w:val="687"/>
        </w:rPr>
        <w:t xml:space="preserve">ExperimentSubset</w:t>
      </w:r>
      <w:r>
        <w:t xml:space="preserve"> </w:t>
      </w:r>
      <w:r>
        <w:t xml:space="preserve">object and the additional</w:t>
      </w:r>
      <w:r>
        <w:t xml:space="preserve"> </w:t>
      </w:r>
      <w:r>
        <w:rPr>
          <w:rStyle w:val="687"/>
        </w:rPr>
        <w:t xml:space="preserve">SingleCellExperiment</w:t>
      </w:r>
      <w:r>
        <w:t xml:space="preserve"> </w:t>
      </w:r>
      <w:r>
        <w:t xml:space="preserve">object.</w:t>
      </w:r>
      <w:r/>
    </w:p>
    <w:p>
      <w:pPr>
        <w:pStyle w:val="659"/>
        <w:numPr>
          <w:ilvl w:val="0"/>
          <w:numId w:val="27"/>
        </w:numPr>
      </w:pPr>
      <w:r>
        <w:t xml:space="preserve">Run a normalization algorithm on just the subset rows/columns and inspect the normalized data through both the approaches.</w:t>
      </w:r>
      <w:r/>
    </w:p>
    <w:p>
      <w:pPr>
        <w:pStyle w:val="659"/>
        <w:numPr>
          <w:ilvl w:val="0"/>
          <w:numId w:val="27"/>
        </w:numPr>
      </w:pPr>
      <w:r>
        <w:t xml:space="preserve">Run a dimensionality reduction algorithm on just the subset rows/columns and inspect the</w:t>
      </w:r>
      <w:r>
        <w:t xml:space="preserve"> </w:t>
      </w:r>
      <w:r>
        <w:rPr>
          <w:rStyle w:val="687"/>
        </w:rPr>
        <w:t xml:space="preserve">reducedDim</w:t>
      </w:r>
      <w:r>
        <w:t xml:space="preserve"> </w:t>
      </w:r>
      <w:r>
        <w:t xml:space="preserve">data through both approaches.</w:t>
      </w:r>
      <w:r/>
    </w:p>
    <w:p>
      <w:pPr>
        <w:pStyle w:val="658"/>
      </w:pPr>
      <w:r>
        <w:t xml:space="preserve">The steps 4, 5 &amp; 6 are can be used to validate the package by ensuring the the data stored, computed and manipulated through our package (</w:t>
      </w:r>
      <w:r>
        <w:rPr>
          <w:rStyle w:val="687"/>
        </w:rPr>
        <w:t xml:space="preserve">ExperimentSubset</w:t>
      </w:r>
      <w:r>
        <w:t xml:space="preserve">) and the other Experiment package (</w:t>
      </w:r>
      <w:r>
        <w:rPr>
          <w:rStyle w:val="687"/>
        </w:rPr>
        <w:t xml:space="preserve">SingleCellExperiment</w:t>
      </w:r>
      <w:r>
        <w:t xml:space="preserve">) are actually the same with no loss of information with our design of the package. The validation and the output from this workflow is further discussed in detail in the</w:t>
      </w:r>
      <w:r>
        <w:t xml:space="preserve"> </w:t>
      </w:r>
      <w:r>
        <w:t xml:space="preserve">“</w:t>
      </w:r>
      <w:r>
        <w:t xml:space="preserve">Validation</w:t>
      </w:r>
      <w:r>
        <w:t xml:space="preserve">”</w:t>
      </w:r>
      <w:r>
        <w:t xml:space="preserve"> </w:t>
      </w:r>
      <w:r>
        <w:t xml:space="preserve">sub-section of the</w:t>
      </w:r>
      <w:r>
        <w:t xml:space="preserve"> </w:t>
      </w:r>
      <w:r>
        <w:t xml:space="preserve">“</w:t>
      </w:r>
      <w:r>
        <w:t xml:space="preserve">Results &amp; Discussion</w:t>
      </w:r>
      <w:r>
        <w:t xml:space="preserve">”</w:t>
      </w:r>
      <w:r>
        <w:t xml:space="preserve"> </w:t>
      </w:r>
      <w:r>
        <w:t xml:space="preserve">section of the document.</w:t>
      </w:r>
      <w:bookmarkEnd w:id="80"/>
      <w:r/>
    </w:p>
    <w:p>
      <w:pPr>
        <w:pStyle w:val="667"/>
      </w:pPr>
      <w:r/>
      <w:bookmarkStart w:id="250" w:name="_Toc50"/>
      <w:r/>
      <w:bookmarkStart w:id="81" w:name="Xe5bedc31400a5b7d8f0436fb2413f15ca38d789"/>
      <w:r>
        <w:t xml:space="preserve">Performance comparison with existing Experiment classes</w:t>
      </w:r>
      <w:r/>
      <w:bookmarkEnd w:id="250"/>
      <w:r/>
      <w:r/>
    </w:p>
    <w:p>
      <w:pPr>
        <w:pStyle w:val="658"/>
      </w:pPr>
      <w:r>
        <w:t xml:space="preserve">To ensure that our package is actually efficient when compared to the existing state of the art Experiment packages, we run a perf</w:t>
      </w:r>
      <w:r>
        <w:t xml:space="preserve">ormance comparison using a sample workflow and then measuring the package efficiency in terms of memory savings that are offered by our package in comparison to the other packages. The sample workflow and the results obtained are discussed in detail in the</w:t>
      </w:r>
      <w:r>
        <w:t xml:space="preserve"> </w:t>
      </w:r>
      <w:r>
        <w:t xml:space="preserve">“</w:t>
      </w:r>
      <w:r>
        <w:t xml:space="preserve">Results &amp; Discussion</w:t>
      </w:r>
      <w:r>
        <w:t xml:space="preserve">”</w:t>
      </w:r>
      <w:r>
        <w:t xml:space="preserve"> </w:t>
      </w:r>
      <w:r>
        <w:t xml:space="preserve">section of the document.</w:t>
      </w:r>
      <w:bookmarkEnd w:id="81"/>
      <w:bookmarkEnd w:id="82"/>
      <w:r/>
    </w:p>
    <w:p>
      <w:pPr>
        <w:pStyle w:val="666"/>
      </w:pPr>
      <w:r/>
      <w:bookmarkStart w:id="251" w:name="_Toc51"/>
      <w:r/>
      <w:bookmarkStart w:id="97" w:name="results-discussion"/>
      <w:r>
        <w:t xml:space="preserve">Results &amp; Discussion</w:t>
      </w:r>
      <w:r/>
      <w:bookmarkEnd w:id="251"/>
      <w:r/>
      <w:r/>
    </w:p>
    <w:p>
      <w:pPr>
        <w:pStyle w:val="658"/>
      </w:pPr>
      <w:r>
        <w:t xml:space="preserve">The</w:t>
      </w:r>
      <w:r>
        <w:t xml:space="preserve"> </w:t>
      </w:r>
      <w:r>
        <w:rPr>
          <w:rStyle w:val="687"/>
        </w:rPr>
        <w:t xml:space="preserve">ExperimentSubset</w:t>
      </w:r>
      <w:r>
        <w:t xml:space="preserve"> </w:t>
      </w:r>
      <w:r>
        <w:t xml:space="preserve">R package was developed based on the implementation specified in the</w:t>
      </w:r>
      <w:r>
        <w:t xml:space="preserve"> </w:t>
      </w:r>
      <w:r>
        <w:t xml:space="preserve">‘</w:t>
      </w:r>
      <w:r>
        <w:t xml:space="preserve">Methods</w:t>
      </w:r>
      <w:r>
        <w:t xml:space="preserve">’</w:t>
      </w:r>
      <w:r>
        <w:t xml:space="preserve"> </w:t>
      </w:r>
      <w:r>
        <w:t xml:space="preserve">section of this document. To compare the memory savings offered by our package in contrast to other data structure packages such as the</w:t>
      </w:r>
      <w:r>
        <w:t xml:space="preserve"> </w:t>
      </w:r>
      <w:r>
        <w:rPr>
          <w:rStyle w:val="687"/>
        </w:rPr>
        <w:t xml:space="preserve">SingleCellExperiment</w:t>
      </w:r>
      <w:r>
        <w:t xml:space="preserve">, we performed a thorough testing on a </w:t>
      </w:r>
      <w:r>
        <w:t xml:space="preserve">number of real and sample datasets. The overall goal of this experimentation and testing was to evaluate if our package can offer memory utilization and savings especially when creation and manipulation of subsets of data are vital in an analysis workflow.</w:t>
      </w:r>
      <w:r/>
    </w:p>
    <w:p>
      <w:pPr>
        <w:pStyle w:val="667"/>
      </w:pPr>
      <w:r/>
      <w:bookmarkStart w:id="252" w:name="_Toc52"/>
      <w:r/>
      <w:bookmarkStart w:id="83" w:name="implemented-methods"/>
      <w:r>
        <w:t xml:space="preserve">Implemented Methods</w:t>
      </w:r>
      <w:r/>
      <w:bookmarkEnd w:id="252"/>
      <w:r/>
      <w:r/>
    </w:p>
    <w:p>
      <w:pPr>
        <w:pStyle w:val="659"/>
        <w:numPr>
          <w:ilvl w:val="0"/>
          <w:numId w:val="28"/>
        </w:numPr>
      </w:pPr>
      <w:r>
        <w:rPr>
          <w:rStyle w:val="687"/>
        </w:rPr>
        <w:t xml:space="preserve">ExperimentSubset</w:t>
      </w:r>
      <w:r>
        <w:t xml:space="preserve"> </w:t>
      </w:r>
      <w:r>
        <w:t xml:space="preserve">constructor</w:t>
      </w:r>
      <w:r/>
    </w:p>
    <w:p>
      <w:pPr>
        <w:pStyle w:val="659"/>
        <w:numPr>
          <w:ilvl w:val="0"/>
          <w:numId w:val="28"/>
        </w:numPr>
      </w:pPr>
      <w:r>
        <w:rPr>
          <w:rStyle w:val="687"/>
        </w:rPr>
        <w:t xml:space="preserve">createSubset</w:t>
      </w:r>
      <w:r/>
    </w:p>
    <w:p>
      <w:pPr>
        <w:pStyle w:val="659"/>
        <w:numPr>
          <w:ilvl w:val="0"/>
          <w:numId w:val="28"/>
        </w:numPr>
      </w:pPr>
      <w:r>
        <w:rPr>
          <w:rStyle w:val="687"/>
        </w:rPr>
        <w:t xml:space="preserve">setSubsetAssay</w:t>
      </w:r>
      <w:r/>
    </w:p>
    <w:p>
      <w:pPr>
        <w:pStyle w:val="659"/>
        <w:numPr>
          <w:ilvl w:val="0"/>
          <w:numId w:val="28"/>
        </w:numPr>
      </w:pPr>
      <w:r>
        <w:rPr>
          <w:rStyle w:val="687"/>
        </w:rPr>
        <w:t xml:space="preserve">getSubsetAssay</w:t>
      </w:r>
      <w:r/>
    </w:p>
    <w:p>
      <w:pPr>
        <w:pStyle w:val="659"/>
        <w:numPr>
          <w:ilvl w:val="0"/>
          <w:numId w:val="28"/>
        </w:numPr>
      </w:pPr>
      <w:r>
        <w:rPr>
          <w:rStyle w:val="687"/>
        </w:rPr>
        <w:t xml:space="preserve">subsetSummary</w:t>
      </w:r>
      <w:r/>
    </w:p>
    <w:p>
      <w:pPr>
        <w:pStyle w:val="659"/>
        <w:numPr>
          <w:ilvl w:val="0"/>
          <w:numId w:val="28"/>
        </w:numPr>
      </w:pPr>
      <w:r>
        <w:rPr>
          <w:rStyle w:val="687"/>
        </w:rPr>
        <w:t xml:space="preserve">subsetParent</w:t>
      </w:r>
      <w:r/>
    </w:p>
    <w:p>
      <w:pPr>
        <w:pStyle w:val="659"/>
        <w:numPr>
          <w:ilvl w:val="0"/>
          <w:numId w:val="28"/>
        </w:numPr>
      </w:pPr>
      <w:r>
        <w:rPr>
          <w:rStyle w:val="687"/>
        </w:rPr>
        <w:t xml:space="preserve">subsetCount</w:t>
      </w:r>
      <w:r/>
    </w:p>
    <w:p>
      <w:pPr>
        <w:pStyle w:val="659"/>
        <w:numPr>
          <w:ilvl w:val="0"/>
          <w:numId w:val="28"/>
        </w:numPr>
      </w:pPr>
      <w:r>
        <w:rPr>
          <w:rStyle w:val="687"/>
        </w:rPr>
        <w:t xml:space="preserve">subsetAssayCount</w:t>
      </w:r>
      <w:r/>
    </w:p>
    <w:p>
      <w:pPr>
        <w:pStyle w:val="659"/>
        <w:numPr>
          <w:ilvl w:val="0"/>
          <w:numId w:val="28"/>
        </w:numPr>
      </w:pPr>
      <w:r>
        <w:rPr>
          <w:rStyle w:val="687"/>
        </w:rPr>
        <w:t xml:space="preserve">subsetNames</w:t>
      </w:r>
      <w:r/>
    </w:p>
    <w:p>
      <w:pPr>
        <w:pStyle w:val="659"/>
        <w:numPr>
          <w:ilvl w:val="0"/>
          <w:numId w:val="28"/>
        </w:numPr>
      </w:pPr>
      <w:r>
        <w:rPr>
          <w:rStyle w:val="687"/>
        </w:rPr>
        <w:t xml:space="preserve">subsetAssayNames</w:t>
      </w:r>
      <w:r/>
    </w:p>
    <w:p>
      <w:pPr>
        <w:pStyle w:val="659"/>
        <w:numPr>
          <w:ilvl w:val="0"/>
          <w:numId w:val="28"/>
        </w:numPr>
      </w:pPr>
      <w:r>
        <w:rPr>
          <w:rStyle w:val="687"/>
        </w:rPr>
        <w:t xml:space="preserve">subsetDim</w:t>
      </w:r>
      <w:r/>
    </w:p>
    <w:p>
      <w:pPr>
        <w:pStyle w:val="659"/>
        <w:numPr>
          <w:ilvl w:val="0"/>
          <w:numId w:val="28"/>
        </w:numPr>
      </w:pPr>
      <w:r>
        <w:rPr>
          <w:rStyle w:val="687"/>
        </w:rPr>
        <w:t xml:space="preserve">subsetRowData</w:t>
      </w:r>
      <w:r/>
    </w:p>
    <w:p>
      <w:pPr>
        <w:pStyle w:val="659"/>
        <w:numPr>
          <w:ilvl w:val="0"/>
          <w:numId w:val="28"/>
        </w:numPr>
      </w:pPr>
      <w:r>
        <w:rPr>
          <w:rStyle w:val="687"/>
        </w:rPr>
        <w:t xml:space="preserve">subsetColData</w:t>
      </w:r>
      <w:r/>
    </w:p>
    <w:p>
      <w:pPr>
        <w:pStyle w:val="659"/>
        <w:numPr>
          <w:ilvl w:val="0"/>
          <w:numId w:val="28"/>
        </w:numPr>
      </w:pPr>
      <w:r>
        <w:rPr>
          <w:rStyle w:val="687"/>
        </w:rPr>
        <w:t xml:space="preserve">subsetColnames</w:t>
      </w:r>
      <w:r/>
    </w:p>
    <w:p>
      <w:pPr>
        <w:pStyle w:val="659"/>
        <w:numPr>
          <w:ilvl w:val="0"/>
          <w:numId w:val="28"/>
        </w:numPr>
      </w:pPr>
      <w:r>
        <w:rPr>
          <w:rStyle w:val="687"/>
        </w:rPr>
        <w:t xml:space="preserve">subsetRownames</w:t>
      </w:r>
      <w:r/>
    </w:p>
    <w:p>
      <w:pPr>
        <w:pStyle w:val="659"/>
        <w:numPr>
          <w:ilvl w:val="0"/>
          <w:numId w:val="28"/>
        </w:numPr>
      </w:pPr>
      <w:r>
        <w:rPr>
          <w:rStyle w:val="687"/>
        </w:rPr>
        <w:t xml:space="preserve">subsetRowData&lt;-</w:t>
      </w:r>
      <w:r/>
    </w:p>
    <w:p>
      <w:pPr>
        <w:pStyle w:val="659"/>
        <w:numPr>
          <w:ilvl w:val="0"/>
          <w:numId w:val="28"/>
        </w:numPr>
      </w:pPr>
      <w:r>
        <w:rPr>
          <w:rStyle w:val="687"/>
        </w:rPr>
        <w:t xml:space="preserve">subsetColData&lt;-</w:t>
      </w:r>
      <w:r/>
    </w:p>
    <w:p>
      <w:pPr>
        <w:pStyle w:val="659"/>
        <w:numPr>
          <w:ilvl w:val="0"/>
          <w:numId w:val="28"/>
        </w:numPr>
      </w:pPr>
      <w:r>
        <w:rPr>
          <w:rStyle w:val="687"/>
        </w:rPr>
        <w:t xml:space="preserve">subsetColnames&lt;-</w:t>
      </w:r>
      <w:r/>
    </w:p>
    <w:p>
      <w:pPr>
        <w:pStyle w:val="659"/>
        <w:numPr>
          <w:ilvl w:val="0"/>
          <w:numId w:val="28"/>
        </w:numPr>
      </w:pPr>
      <w:r>
        <w:rPr>
          <w:rStyle w:val="687"/>
        </w:rPr>
        <w:t xml:space="preserve">subsetRownames&lt;-</w:t>
      </w:r>
      <w:r/>
    </w:p>
    <w:p>
      <w:pPr>
        <w:pStyle w:val="659"/>
        <w:numPr>
          <w:ilvl w:val="0"/>
          <w:numId w:val="28"/>
        </w:numPr>
      </w:pPr>
      <w:r>
        <w:rPr>
          <w:rStyle w:val="687"/>
        </w:rPr>
        <w:t xml:space="preserve">show</w:t>
      </w:r>
      <w:r/>
    </w:p>
    <w:p>
      <w:pPr>
        <w:pStyle w:val="659"/>
        <w:numPr>
          <w:ilvl w:val="0"/>
          <w:numId w:val="28"/>
        </w:numPr>
      </w:pPr>
      <w:r>
        <w:rPr>
          <w:rStyle w:val="687"/>
        </w:rPr>
        <w:t xml:space="preserve">assay</w:t>
      </w:r>
      <w:r/>
    </w:p>
    <w:p>
      <w:pPr>
        <w:pStyle w:val="659"/>
        <w:numPr>
          <w:ilvl w:val="0"/>
          <w:numId w:val="28"/>
        </w:numPr>
      </w:pPr>
      <w:r>
        <w:rPr>
          <w:rStyle w:val="687"/>
        </w:rPr>
        <w:t xml:space="preserve">assay&lt;-</w:t>
      </w:r>
      <w:r/>
    </w:p>
    <w:p>
      <w:pPr>
        <w:pStyle w:val="659"/>
        <w:numPr>
          <w:ilvl w:val="0"/>
          <w:numId w:val="28"/>
        </w:numPr>
      </w:pPr>
      <w:r>
        <w:rPr>
          <w:rStyle w:val="687"/>
        </w:rPr>
        <w:t xml:space="preserve">rowData</w:t>
      </w:r>
      <w:r/>
    </w:p>
    <w:p>
      <w:pPr>
        <w:pStyle w:val="659"/>
        <w:numPr>
          <w:ilvl w:val="0"/>
          <w:numId w:val="28"/>
        </w:numPr>
      </w:pPr>
      <w:r>
        <w:rPr>
          <w:rStyle w:val="687"/>
        </w:rPr>
        <w:t xml:space="preserve">rowData&lt;-</w:t>
      </w:r>
      <w:r/>
    </w:p>
    <w:p>
      <w:pPr>
        <w:pStyle w:val="659"/>
        <w:numPr>
          <w:ilvl w:val="0"/>
          <w:numId w:val="28"/>
        </w:numPr>
      </w:pPr>
      <w:r>
        <w:rPr>
          <w:rStyle w:val="687"/>
        </w:rPr>
        <w:t xml:space="preserve">colData</w:t>
      </w:r>
      <w:r/>
    </w:p>
    <w:p>
      <w:pPr>
        <w:pStyle w:val="659"/>
        <w:numPr>
          <w:ilvl w:val="0"/>
          <w:numId w:val="28"/>
        </w:numPr>
      </w:pPr>
      <w:r>
        <w:rPr>
          <w:rStyle w:val="687"/>
        </w:rPr>
        <w:t xml:space="preserve">colData&lt;-</w:t>
      </w:r>
      <w:r/>
    </w:p>
    <w:p>
      <w:pPr>
        <w:pStyle w:val="659"/>
        <w:numPr>
          <w:ilvl w:val="0"/>
          <w:numId w:val="28"/>
        </w:numPr>
      </w:pPr>
      <w:r>
        <w:rPr>
          <w:rStyle w:val="687"/>
        </w:rPr>
        <w:t xml:space="preserve">metadata</w:t>
      </w:r>
      <w:r/>
    </w:p>
    <w:p>
      <w:pPr>
        <w:pStyle w:val="659"/>
        <w:numPr>
          <w:ilvl w:val="0"/>
          <w:numId w:val="28"/>
        </w:numPr>
      </w:pPr>
      <w:r>
        <w:rPr>
          <w:rStyle w:val="687"/>
        </w:rPr>
        <w:t xml:space="preserve">metadata&lt;-</w:t>
      </w:r>
      <w:r/>
    </w:p>
    <w:p>
      <w:pPr>
        <w:pStyle w:val="659"/>
        <w:numPr>
          <w:ilvl w:val="0"/>
          <w:numId w:val="28"/>
        </w:numPr>
      </w:pPr>
      <w:r>
        <w:rPr>
          <w:rStyle w:val="687"/>
        </w:rPr>
        <w:t xml:space="preserve">reducedDim</w:t>
      </w:r>
      <w:r/>
    </w:p>
    <w:p>
      <w:pPr>
        <w:pStyle w:val="659"/>
        <w:numPr>
          <w:ilvl w:val="0"/>
          <w:numId w:val="28"/>
        </w:numPr>
      </w:pPr>
      <w:r>
        <w:rPr>
          <w:rStyle w:val="687"/>
        </w:rPr>
        <w:t xml:space="preserve">reducedDim&lt;-</w:t>
      </w:r>
      <w:r/>
    </w:p>
    <w:p>
      <w:pPr>
        <w:pStyle w:val="659"/>
        <w:numPr>
          <w:ilvl w:val="0"/>
          <w:numId w:val="28"/>
        </w:numPr>
      </w:pPr>
      <w:r>
        <w:rPr>
          <w:rStyle w:val="687"/>
        </w:rPr>
        <w:t xml:space="preserve">reducedDims</w:t>
      </w:r>
      <w:r/>
    </w:p>
    <w:p>
      <w:pPr>
        <w:pStyle w:val="659"/>
        <w:numPr>
          <w:ilvl w:val="0"/>
          <w:numId w:val="28"/>
        </w:numPr>
      </w:pPr>
      <w:r>
        <w:rPr>
          <w:rStyle w:val="687"/>
        </w:rPr>
        <w:t xml:space="preserve">reducedDims&lt;-</w:t>
      </w:r>
      <w:r/>
    </w:p>
    <w:p>
      <w:pPr>
        <w:pStyle w:val="659"/>
        <w:numPr>
          <w:ilvl w:val="0"/>
          <w:numId w:val="28"/>
        </w:numPr>
      </w:pPr>
      <w:r>
        <w:rPr>
          <w:rStyle w:val="687"/>
        </w:rPr>
        <w:t xml:space="preserve">reducedDimNames</w:t>
      </w:r>
      <w:r/>
    </w:p>
    <w:p>
      <w:pPr>
        <w:pStyle w:val="659"/>
        <w:numPr>
          <w:ilvl w:val="0"/>
          <w:numId w:val="28"/>
        </w:numPr>
      </w:pPr>
      <w:r>
        <w:rPr>
          <w:rStyle w:val="687"/>
        </w:rPr>
        <w:t xml:space="preserve">reducedDimNames&lt;-</w:t>
      </w:r>
      <w:r/>
    </w:p>
    <w:p>
      <w:pPr>
        <w:pStyle w:val="659"/>
        <w:numPr>
          <w:ilvl w:val="0"/>
          <w:numId w:val="28"/>
        </w:numPr>
      </w:pPr>
      <w:r>
        <w:rPr>
          <w:rStyle w:val="687"/>
        </w:rPr>
        <w:t xml:space="preserve">altExp</w:t>
      </w:r>
      <w:r/>
    </w:p>
    <w:p>
      <w:pPr>
        <w:pStyle w:val="659"/>
        <w:numPr>
          <w:ilvl w:val="0"/>
          <w:numId w:val="28"/>
        </w:numPr>
      </w:pPr>
      <w:r>
        <w:rPr>
          <w:rStyle w:val="687"/>
        </w:rPr>
        <w:t xml:space="preserve">altExp&lt;-</w:t>
      </w:r>
      <w:r/>
    </w:p>
    <w:p>
      <w:pPr>
        <w:pStyle w:val="659"/>
        <w:numPr>
          <w:ilvl w:val="0"/>
          <w:numId w:val="28"/>
        </w:numPr>
      </w:pPr>
      <w:r>
        <w:rPr>
          <w:rStyle w:val="687"/>
        </w:rPr>
        <w:t xml:space="preserve">altExps</w:t>
      </w:r>
      <w:r/>
    </w:p>
    <w:p>
      <w:pPr>
        <w:pStyle w:val="659"/>
        <w:numPr>
          <w:ilvl w:val="0"/>
          <w:numId w:val="28"/>
        </w:numPr>
      </w:pPr>
      <w:r>
        <w:rPr>
          <w:rStyle w:val="687"/>
        </w:rPr>
        <w:t xml:space="preserve">altExps&lt;-</w:t>
      </w:r>
      <w:r/>
    </w:p>
    <w:p>
      <w:pPr>
        <w:pStyle w:val="659"/>
        <w:numPr>
          <w:ilvl w:val="0"/>
          <w:numId w:val="28"/>
        </w:numPr>
      </w:pPr>
      <w:r>
        <w:rPr>
          <w:rStyle w:val="687"/>
        </w:rPr>
        <w:t xml:space="preserve">altExpNames</w:t>
      </w:r>
      <w:r/>
    </w:p>
    <w:p>
      <w:pPr>
        <w:pStyle w:val="659"/>
        <w:numPr>
          <w:ilvl w:val="0"/>
          <w:numId w:val="28"/>
        </w:numPr>
      </w:pPr>
      <w:r>
        <w:rPr>
          <w:rStyle w:val="687"/>
        </w:rPr>
        <w:t xml:space="preserve">altExpNames&lt;-</w:t>
      </w:r>
      <w:r/>
    </w:p>
    <w:p>
      <w:pPr>
        <w:pStyle w:val="659"/>
        <w:numPr>
          <w:ilvl w:val="0"/>
          <w:numId w:val="28"/>
        </w:numPr>
      </w:pPr>
      <w:r>
        <w:rPr>
          <w:rStyle w:val="687"/>
        </w:rPr>
        <w:t xml:space="preserve">subsetSpatialCoords</w:t>
      </w:r>
      <w:r/>
    </w:p>
    <w:p>
      <w:pPr>
        <w:pStyle w:val="659"/>
        <w:numPr>
          <w:ilvl w:val="0"/>
          <w:numId w:val="28"/>
        </w:numPr>
      </w:pPr>
      <w:r>
        <w:rPr>
          <w:rStyle w:val="687"/>
        </w:rPr>
        <w:t xml:space="preserve">subsetSpatialData</w:t>
      </w:r>
      <w:r/>
    </w:p>
    <w:p>
      <w:pPr>
        <w:pStyle w:val="659"/>
        <w:numPr>
          <w:ilvl w:val="0"/>
          <w:numId w:val="28"/>
        </w:numPr>
      </w:pPr>
      <w:r>
        <w:rPr>
          <w:rStyle w:val="687"/>
        </w:rPr>
        <w:t xml:space="preserve">subsetSpatialData&lt;-</w:t>
      </w:r>
      <w:r/>
    </w:p>
    <w:p>
      <w:pPr>
        <w:pStyle w:val="659"/>
        <w:numPr>
          <w:ilvl w:val="0"/>
          <w:numId w:val="28"/>
        </w:numPr>
      </w:pPr>
      <w:r>
        <w:rPr>
          <w:rStyle w:val="687"/>
        </w:rPr>
        <w:t xml:space="preserve">subsetRowLinks</w:t>
      </w:r>
      <w:r/>
    </w:p>
    <w:p>
      <w:pPr>
        <w:pStyle w:val="659"/>
        <w:numPr>
          <w:ilvl w:val="0"/>
          <w:numId w:val="28"/>
        </w:numPr>
      </w:pPr>
      <w:r>
        <w:rPr>
          <w:rStyle w:val="687"/>
        </w:rPr>
        <w:t xml:space="preserve">subsetColLinks</w:t>
      </w:r>
      <w:r/>
    </w:p>
    <w:p>
      <w:pPr>
        <w:pStyle w:val="659"/>
        <w:numPr>
          <w:ilvl w:val="0"/>
          <w:numId w:val="28"/>
        </w:numPr>
      </w:pPr>
      <w:r>
        <w:rPr>
          <w:rStyle w:val="687"/>
        </w:rPr>
        <w:t xml:space="preserve">spatialCoords</w:t>
      </w:r>
      <w:r/>
    </w:p>
    <w:p>
      <w:pPr>
        <w:pStyle w:val="659"/>
        <w:numPr>
          <w:ilvl w:val="0"/>
          <w:numId w:val="28"/>
        </w:numPr>
      </w:pPr>
      <w:r>
        <w:rPr>
          <w:rStyle w:val="687"/>
        </w:rPr>
        <w:t xml:space="preserve">spatialData</w:t>
      </w:r>
      <w:r/>
    </w:p>
    <w:p>
      <w:pPr>
        <w:pStyle w:val="659"/>
        <w:numPr>
          <w:ilvl w:val="0"/>
          <w:numId w:val="28"/>
        </w:numPr>
      </w:pPr>
      <w:r>
        <w:rPr>
          <w:rStyle w:val="687"/>
        </w:rPr>
        <w:t xml:space="preserve">spatialData&lt;-</w:t>
      </w:r>
      <w:r/>
    </w:p>
    <w:p>
      <w:pPr>
        <w:pStyle w:val="659"/>
        <w:numPr>
          <w:ilvl w:val="0"/>
          <w:numId w:val="28"/>
        </w:numPr>
      </w:pPr>
      <w:r>
        <w:rPr>
          <w:rStyle w:val="687"/>
        </w:rPr>
        <w:t xml:space="preserve">rowLinks</w:t>
      </w:r>
      <w:r/>
    </w:p>
    <w:p>
      <w:pPr>
        <w:pStyle w:val="659"/>
        <w:numPr>
          <w:ilvl w:val="0"/>
          <w:numId w:val="28"/>
        </w:numPr>
      </w:pPr>
      <w:r>
        <w:rPr>
          <w:rStyle w:val="687"/>
        </w:rPr>
        <w:t xml:space="preserve">colLinks</w:t>
      </w:r>
      <w:bookmarkEnd w:id="83"/>
      <w:r/>
    </w:p>
    <w:p>
      <w:pPr>
        <w:pStyle w:val="667"/>
      </w:pPr>
      <w:r/>
      <w:bookmarkStart w:id="253" w:name="_Toc53"/>
      <w:r/>
      <w:bookmarkStart w:id="85" w:name="sample-analysis-workflow"/>
      <w:r>
        <w:t xml:space="preserve">Sample Analysis Workflow</w:t>
      </w:r>
      <w:r/>
      <w:bookmarkEnd w:id="253"/>
      <w:r/>
      <w:r/>
    </w:p>
    <w:p>
      <w:pPr>
        <w:pStyle w:val="658"/>
      </w:pPr>
      <w:r>
        <w:t xml:space="preserve">As the overall purpose of the package is to conserve memory and provide provenance tracking in an anal</w:t>
      </w:r>
      <w:r>
        <w:t xml:space="preserve">ysis when subsets are created, we use a sample workflow to demonstrate both of the objectives. The sample workflow used here is a common workflow generally acceptable for single cell RNA sequencing and accommodated in multiple guides and official tutorials</w:t>
      </w:r>
      <w:r>
        <w:t xml:space="preserve"> </w:t>
      </w:r>
      <w:r>
        <w:t xml:space="preserve">[43]</w:t>
      </w:r>
      <w:r>
        <w:t xml:space="preserve">. The step-by-step workflow is illustrated and described below:</w:t>
      </w:r>
      <w:r/>
    </w:p>
    <w:p>
      <w:pPr>
        <w:pStyle w:val="657"/>
        <w:jc w:val="center"/>
      </w:pPr>
      <w:r>
        <mc:AlternateContent>
          <mc:Choice Requires="wpg">
            <w:drawing>
              <wp:inline xmlns:wp="http://schemas.openxmlformats.org/drawingml/2006/wordprocessingDrawing" distT="0" distB="0" distL="0" distR="0">
                <wp:extent cx="5334000" cy="1494955"/>
                <wp:effectExtent l="0" t="0" r="0" b="0"/>
                <wp:docPr id="21"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descr="sampleWorkflow.png" hidden="0"/>
                        <pic:cNvPicPr>
                          <a:picLocks noChangeAspect="1" noChangeArrowheads="1"/>
                        </pic:cNvPicPr>
                        <pic:nvPr isPhoto="0" userDrawn="0"/>
                      </pic:nvPicPr>
                      <pic:blipFill>
                        <a:blip r:embed="rId32"/>
                        <a:stretch/>
                      </pic:blipFill>
                      <pic:spPr bwMode="auto">
                        <a:xfrm>
                          <a:off x="0" y="0"/>
                          <a:ext cx="5334000" cy="1494955"/>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420.0pt;height:117.7pt;" stroked="f" strokeweight="0.75pt">
                <v:path textboxrect="0,0,0,0"/>
                <v:imagedata r:id="rId32" o:title=""/>
              </v:shape>
            </w:pict>
          </mc:Fallback>
        </mc:AlternateContent>
      </w:r>
      <w:r/>
    </w:p>
    <w:p>
      <w:pPr>
        <w:pStyle w:val="681"/>
      </w:pPr>
      <w:r>
        <w:t xml:space="preserve">Figure </w:t>
      </w:r>
      <w:r>
        <w:fldChar w:fldCharType="begin"/>
        <w:instrText xml:space="preserve"> SEQ Figure \* Arabic </w:instrText>
        <w:fldChar w:fldCharType="separate"/>
      </w:r>
      <w:r>
        <w:t xml:space="preserve">19</w:t>
      </w:r>
      <w:r/>
      <w:r>
        <w:fldChar w:fldCharType="end"/>
      </w:r>
      <w:r>
        <w:t xml:space="preserve"> In this very simple sample workflow, we demonstrate the usefulness of the ExperimentSubset package by creating subsets at different steps and storing them in the same object as well as manipulate them for computation such as during the PCA computation of only the top variable genes represented by hvg1000. </w:t>
      </w:r>
      <w:r/>
    </w:p>
    <w:p>
      <w:pPr>
        <w:pStyle w:val="659"/>
        <w:numPr>
          <w:ilvl w:val="0"/>
          <w:numId w:val="29"/>
        </w:numPr>
      </w:pPr>
      <w:r>
        <w:t xml:space="preserve">Load scRNA-Seq data for analysis (this generally includes raw data such as counts matrices) into the data-structure.</w:t>
      </w:r>
      <w:r/>
    </w:p>
    <w:p>
      <w:pPr>
        <w:pStyle w:val="659"/>
        <w:numPr>
          <w:ilvl w:val="0"/>
          <w:numId w:val="29"/>
        </w:numPr>
      </w:pPr>
      <w:r>
        <w:t xml:space="preserve">Quality Control metrics are computed for this data and stored into the</w:t>
      </w:r>
      <w:r>
        <w:t xml:space="preserve"> </w:t>
      </w:r>
      <w:r>
        <w:rPr>
          <w:rStyle w:val="687"/>
        </w:rPr>
        <w:t xml:space="preserve">colData</w:t>
      </w:r>
      <w:r>
        <w:t xml:space="preserve"> </w:t>
      </w:r>
      <w:r>
        <w:t xml:space="preserve">slot of the object.</w:t>
      </w:r>
      <w:r/>
    </w:p>
    <w:p>
      <w:pPr>
        <w:pStyle w:val="659"/>
        <w:numPr>
          <w:ilvl w:val="0"/>
          <w:numId w:val="29"/>
        </w:numPr>
      </w:pPr>
      <w:r>
        <w:t xml:space="preserve">Colsums (sums</w:t>
      </w:r>
      <w:r>
        <w:t xml:space="preserve"> of read counts for each cell) computed in the previous step are used to filter the data (only the top 40% of the cells are kept for downstream analysis to make sure that the number of cells selected in this step are uniform throughout different datasets).</w:t>
      </w:r>
      <w:r/>
    </w:p>
    <w:p>
      <w:pPr>
        <w:pStyle w:val="659"/>
        <w:numPr>
          <w:ilvl w:val="0"/>
          <w:numId w:val="29"/>
        </w:numPr>
      </w:pPr>
      <w:r>
        <w:t xml:space="preserve">The raw data is normalized and the normalized matrix is stored alongside the raw counts matrix.</w:t>
      </w:r>
      <w:r/>
    </w:p>
    <w:p>
      <w:pPr>
        <w:pStyle w:val="659"/>
        <w:numPr>
          <w:ilvl w:val="0"/>
          <w:numId w:val="29"/>
        </w:numPr>
      </w:pPr>
      <w:r>
        <w:t xml:space="preserve">Statistics for the variable features are computed and the data is once again filtered to keep only the top 1000 most variable features.</w:t>
      </w:r>
      <w:r/>
    </w:p>
    <w:p>
      <w:pPr>
        <w:pStyle w:val="659"/>
        <w:numPr>
          <w:ilvl w:val="0"/>
          <w:numId w:val="29"/>
        </w:numPr>
      </w:pPr>
      <w:r>
        <w:t xml:space="preserve">Dimensionality reduction (PCA) is performed on these top variable genes using the normalized assay and the computed results are stored back into the object.</w:t>
      </w:r>
      <w:r/>
    </w:p>
    <w:p>
      <w:pPr>
        <w:pStyle w:val="659"/>
        <w:numPr>
          <w:ilvl w:val="0"/>
          <w:numId w:val="29"/>
        </w:numPr>
      </w:pPr>
      <w:r>
        <w:t xml:space="preserve">Kmeans clustering is performed on the dimensionality reduction results computed on the top 1000 variable genes and the cluster labels are stored back into the object.</w:t>
      </w:r>
      <w:r/>
    </w:p>
    <w:p>
      <w:pPr>
        <w:pStyle w:val="658"/>
      </w:pPr>
      <w:r>
        <w:t xml:space="preserve">An R script that can be used to compute the analysis above with a</w:t>
      </w:r>
      <w:r>
        <w:t xml:space="preserve"> </w:t>
      </w:r>
      <w:r>
        <w:rPr>
          <w:rStyle w:val="687"/>
        </w:rPr>
        <w:t xml:space="preserve">SingleCellExperiment</w:t>
      </w:r>
      <w:r>
        <w:t xml:space="preserve"> </w:t>
      </w:r>
      <w:r>
        <w:t xml:space="preserve">class and with our</w:t>
      </w:r>
      <w:r>
        <w:t xml:space="preserve"> </w:t>
      </w:r>
      <w:r>
        <w:rPr>
          <w:rStyle w:val="687"/>
        </w:rPr>
        <w:t xml:space="preserve">ExperimentSubset</w:t>
      </w:r>
      <w:r>
        <w:t xml:space="preserve"> </w:t>
      </w:r>
      <w:r>
        <w:t xml:space="preserve">package is available in Appendix A. The sample analysis described above creates multiple subsets and as can be seen that</w:t>
      </w:r>
      <w:r>
        <w:t xml:space="preserve"> </w:t>
      </w:r>
      <w:r>
        <w:rPr>
          <w:b/>
          <w:bCs/>
        </w:rPr>
        <w:t xml:space="preserve">3</w:t>
      </w:r>
      <w:r>
        <w:t xml:space="preserve"> </w:t>
      </w:r>
      <w:r>
        <w:rPr>
          <w:rStyle w:val="687"/>
        </w:rPr>
        <w:t xml:space="preserve">SingleCellExperiments</w:t>
      </w:r>
      <w:r>
        <w:t xml:space="preserve"> </w:t>
      </w:r>
      <w:r>
        <w:t xml:space="preserve">objects are required to complete the analysis, therefore adding to the redundancy of the data. As explicitly evident from the R scripts (Appendix A), to run the workflow we use a</w:t>
      </w:r>
      <w:r>
        <w:t xml:space="preserve"> </w:t>
      </w:r>
      <w:r>
        <w:rPr>
          <w:b/>
          <w:bCs/>
        </w:rPr>
        <w:t xml:space="preserve">single</w:t>
      </w:r>
      <w:r>
        <w:t xml:space="preserve"> </w:t>
      </w:r>
      <w:r>
        <w:rPr>
          <w:rStyle w:val="687"/>
        </w:rPr>
        <w:t xml:space="preserve">ExperimentSubset</w:t>
      </w:r>
      <w:r>
        <w:t xml:space="preserve"> </w:t>
      </w:r>
      <w:r>
        <w:t xml:space="preserve">object in contrast to</w:t>
      </w:r>
      <w:r>
        <w:t xml:space="preserve"> </w:t>
      </w:r>
      <w:r>
        <w:rPr>
          <w:b/>
          <w:bCs/>
        </w:rPr>
        <w:t xml:space="preserve">3</w:t>
      </w:r>
      <w:r>
        <w:t xml:space="preserve"> </w:t>
      </w:r>
      <w:r>
        <w:rPr>
          <w:rStyle w:val="687"/>
        </w:rPr>
        <w:t xml:space="preserve">SingleCellExperiment</w:t>
      </w:r>
      <w:r>
        <w:t xml:space="preserve"> </w:t>
      </w:r>
      <w:r>
        <w:t xml:space="preserve">objects for the same analysis.</w:t>
      </w:r>
      <w:bookmarkEnd w:id="85"/>
      <w:r/>
    </w:p>
    <w:p>
      <w:pPr>
        <w:pStyle w:val="667"/>
      </w:pPr>
      <w:r/>
      <w:bookmarkStart w:id="254" w:name="_Toc54"/>
      <w:r/>
      <w:bookmarkStart w:id="86" w:name="supported-classes"/>
      <w:r>
        <w:t xml:space="preserve">Supported Classes</w:t>
      </w:r>
      <w:r/>
      <w:bookmarkEnd w:id="254"/>
      <w:r/>
      <w:r/>
    </w:p>
    <w:p>
      <w:pPr>
        <w:pStyle w:val="659"/>
        <w:numPr>
          <w:ilvl w:val="0"/>
          <w:numId w:val="30"/>
        </w:numPr>
      </w:pPr>
      <w:r>
        <w:rPr>
          <w:rStyle w:val="687"/>
        </w:rPr>
        <w:t xml:space="preserve">SummarizedExperiment</w:t>
      </w:r>
      <w:r/>
    </w:p>
    <w:p>
      <w:pPr>
        <w:pStyle w:val="659"/>
        <w:numPr>
          <w:ilvl w:val="0"/>
          <w:numId w:val="30"/>
        </w:numPr>
      </w:pPr>
      <w:r>
        <w:rPr>
          <w:rStyle w:val="687"/>
        </w:rPr>
        <w:t xml:space="preserve">RangedSummarizedExperiment</w:t>
      </w:r>
      <w:r/>
    </w:p>
    <w:p>
      <w:pPr>
        <w:pStyle w:val="659"/>
        <w:numPr>
          <w:ilvl w:val="0"/>
          <w:numId w:val="30"/>
        </w:numPr>
      </w:pPr>
      <w:r>
        <w:rPr>
          <w:rStyle w:val="687"/>
        </w:rPr>
        <w:t xml:space="preserve">SingleCellExperiment</w:t>
      </w:r>
      <w:r/>
    </w:p>
    <w:p>
      <w:pPr>
        <w:pStyle w:val="659"/>
        <w:numPr>
          <w:ilvl w:val="0"/>
          <w:numId w:val="30"/>
        </w:numPr>
      </w:pPr>
      <w:r>
        <w:rPr>
          <w:rStyle w:val="687"/>
        </w:rPr>
        <w:t xml:space="preserve">TreeSummarizedExperiment</w:t>
      </w:r>
      <w:r/>
    </w:p>
    <w:p>
      <w:pPr>
        <w:pStyle w:val="659"/>
        <w:numPr>
          <w:ilvl w:val="0"/>
          <w:numId w:val="30"/>
        </w:numPr>
      </w:pPr>
      <w:r>
        <w:rPr>
          <w:rStyle w:val="687"/>
        </w:rPr>
        <w:t xml:space="preserve">SpatialExperiment</w:t>
      </w:r>
      <w:bookmarkEnd w:id="86"/>
      <w:r/>
    </w:p>
    <w:p>
      <w:pPr>
        <w:pStyle w:val="667"/>
      </w:pPr>
      <w:r/>
      <w:bookmarkStart w:id="255" w:name="_Toc55"/>
      <w:r/>
      <w:bookmarkStart w:id="94" w:name="memory-savings"/>
      <w:r>
        <w:t xml:space="preserve">Memory Savings</w:t>
      </w:r>
      <w:r/>
      <w:bookmarkEnd w:id="255"/>
      <w:r/>
      <w:r/>
    </w:p>
    <w:p>
      <w:pPr>
        <w:pStyle w:val="658"/>
      </w:pPr>
      <w:r>
        <w:t xml:space="preserve">To further demonstrate the effectiveness of our package, we run the same scripts with datasets described in the</w:t>
      </w:r>
      <w:r>
        <w:t xml:space="preserve"> </w:t>
      </w:r>
      <w:r>
        <w:rPr>
          <w:b/>
          <w:bCs/>
        </w:rPr>
        <w:t xml:space="preserve">Selected Datasets</w:t>
      </w:r>
      <w:r>
        <w:t xml:space="preserve"> </w:t>
      </w:r>
      <w:r>
        <w:t xml:space="preserve">section and tabulate the results according to each of the approach described below.</w:t>
      </w:r>
      <w:r/>
    </w:p>
    <w:p>
      <w:pPr>
        <w:pStyle w:val="668"/>
      </w:pPr>
      <w:r/>
      <w:bookmarkStart w:id="256" w:name="_Toc56"/>
      <w:r/>
      <w:bookmarkStart w:id="87" w:name="selected-datasets-for-benchmarking"/>
      <w:r>
        <w:t xml:space="preserve">Selected Datasets for Benchmarking</w:t>
      </w:r>
      <w:r/>
      <w:bookmarkEnd w:id="256"/>
      <w:r/>
      <w:r/>
    </w:p>
    <w:p>
      <w:pPr>
        <w:pStyle w:val="658"/>
      </w:pPr>
      <w:r>
        <w:t xml:space="preserve">To benchmark our package, we selected a number of datasets with varying degree of dimensions and nature of the data to get an accurate depiction of memory saving capability of our package. In doing so, we selected</w:t>
      </w:r>
      <w:r>
        <w:t xml:space="preserve"> </w:t>
      </w:r>
      <w:r>
        <w:rPr>
          <w:b/>
          <w:bCs/>
        </w:rPr>
        <w:t xml:space="preserve">6 pbmc datasets</w:t>
      </w:r>
      <w:r>
        <w:t xml:space="preserve"> </w:t>
      </w:r>
      <w:r>
        <w:t xml:space="preserve">[19]</w:t>
      </w:r>
      <w:r>
        <w:t xml:space="preserve"> </w:t>
      </w:r>
      <w:r>
        <w:t xml:space="preserve">that are generally considered as standard datasets to test when working with or developing new packages in the single cell and R community. Additionally, because we wanted to get an accurate picture of memory savings, we used</w:t>
      </w:r>
      <w:r>
        <w:t xml:space="preserve"> </w:t>
      </w:r>
      <w:r>
        <w:rPr>
          <w:b/>
          <w:bCs/>
        </w:rPr>
        <w:t xml:space="preserve">7 real published datasets</w:t>
      </w:r>
      <w:r>
        <w:t xml:space="preserve"> </w:t>
      </w:r>
      <w:r>
        <w:t xml:space="preserve">for benchmarking all of which had varying degree of sparsity and dimensions curated together in the</w:t>
      </w:r>
      <w:r>
        <w:t xml:space="preserve"> </w:t>
      </w:r>
      <w:r>
        <w:rPr>
          <w:rStyle w:val="687"/>
        </w:rPr>
        <w:t xml:space="preserve">scRNASeq</w:t>
      </w:r>
      <w:r>
        <w:t xml:space="preserve"> </w:t>
      </w:r>
      <w:r>
        <w:t xml:space="preserve">[44]</w:t>
      </w:r>
      <w:r>
        <w:t xml:space="preserve"> </w:t>
      </w:r>
      <w:r>
        <w:t xml:space="preserve">R package. One of the issues with single cell datasets is the sparsity associated with the data, where each dataset largely consist</w:t>
      </w:r>
      <w:r>
        <w:t xml:space="preserve">s of zeros which makes these resultant datasets extremely sparse in contrast to microarray or bulk RNA-seq datasets. While the original usage of the package is considered for single cell data, the package itself supports all expression data regardless of t</w:t>
      </w:r>
      <w:r>
        <w:t xml:space="preserve">he protocol and technology used. As such, the package supports expression data from microarrays as well as from bulk RNA-seq protocols. Keeping this in mind, we also benchmark non-sparse datasets which is typical to microarrays and bulk-RNA seq by creating</w:t>
      </w:r>
      <w:r>
        <w:t xml:space="preserve"> </w:t>
      </w:r>
      <w:r>
        <w:rPr>
          <w:b/>
          <w:bCs/>
        </w:rPr>
        <w:t xml:space="preserve">randomly populated datasets with the same dimensions as the 1-7 real datasets with near to zero sparsity</w:t>
      </w:r>
      <w:r>
        <w:t xml:space="preserve">. This diverse range of datasets allow us to provide an accurate picture of memory savings provided by our package. A list and brief description of the selected datasets is given below:</w:t>
      </w:r>
      <w:r/>
    </w:p>
    <w:p>
      <w:pPr>
        <w:pStyle w:val="681"/>
      </w:pPr>
      <w:r>
        <w:t xml:space="preserve">Table </w:t>
      </w:r>
      <w:r>
        <w:fldChar w:fldCharType="begin"/>
        <w:instrText xml:space="preserve"> SEQ Table \* Arabic </w:instrText>
        <w:fldChar w:fldCharType="separate"/>
      </w:r>
      <w:r>
        <w:t xml:space="preserve">1</w:t>
      </w:r>
      <w:r/>
      <w:r>
        <w:fldChar w:fldCharType="end"/>
      </w:r>
      <w:r>
        <w:t xml:space="preserve"> Description of datasets selected for performance comparison. </w:t>
      </w:r>
      <w:r/>
    </w:p>
    <w:tbl>
      <w:tblPr>
        <w:tblStyle w:val="678"/>
        <w:tblW w:w="5000" w:type="pct"/>
        <w:tblLook w:val="0020" w:firstRow="1" w:lastRow="0" w:firstColumn="0" w:lastColumn="0" w:noHBand="0" w:noVBand="0"/>
      </w:tblPr>
      <w:tblGrid>
        <w:gridCol w:w="1712"/>
        <w:gridCol w:w="1498"/>
        <w:gridCol w:w="2140"/>
        <w:gridCol w:w="1712"/>
        <w:gridCol w:w="856"/>
      </w:tblGrid>
      <w:tr>
        <w:trPr/>
        <w:tc>
          <w:tcPr>
            <w:textDirection w:val="lrTb"/>
            <w:noWrap w:val="false"/>
          </w:tcPr>
          <w:p>
            <w:pPr>
              <w:pStyle w:val="659"/>
              <w:jc w:val="left"/>
            </w:pPr>
            <w:r>
              <w:t xml:space="preserve">Serial No.</w:t>
            </w:r>
            <w:r/>
          </w:p>
        </w:tc>
        <w:tc>
          <w:tcPr>
            <w:textDirection w:val="lrTb"/>
            <w:noWrap w:val="false"/>
          </w:tcPr>
          <w:p>
            <w:pPr>
              <w:pStyle w:val="659"/>
              <w:jc w:val="left"/>
            </w:pPr>
            <w:r>
              <w:t xml:space="preserve">Dataset</w:t>
            </w:r>
            <w:r/>
          </w:p>
        </w:tc>
        <w:tc>
          <w:tcPr>
            <w:textDirection w:val="lrTb"/>
            <w:noWrap w:val="false"/>
          </w:tcPr>
          <w:p>
            <w:pPr>
              <w:pStyle w:val="659"/>
              <w:jc w:val="left"/>
            </w:pPr>
            <w:r>
              <w:t xml:space="preserve">Dimensions</w:t>
            </w:r>
            <w:r/>
          </w:p>
        </w:tc>
        <w:tc>
          <w:tcPr>
            <w:textDirection w:val="lrTb"/>
            <w:noWrap w:val="false"/>
          </w:tcPr>
          <w:p>
            <w:pPr>
              <w:pStyle w:val="659"/>
              <w:jc w:val="left"/>
            </w:pPr>
            <w:r>
              <w:t xml:space="preserve">Sparsity</w:t>
            </w:r>
            <w:r/>
          </w:p>
        </w:tc>
        <w:tc>
          <w:tcPr>
            <w:textDirection w:val="lrTb"/>
            <w:noWrap w:val="false"/>
          </w:tcPr>
          <w:p>
            <w:pPr>
              <w:pStyle w:val="659"/>
              <w:jc w:val="left"/>
            </w:pPr>
            <w:r>
              <w:t xml:space="preserve">Type of Dataset</w:t>
            </w:r>
            <w:r/>
          </w:p>
        </w:tc>
      </w:tr>
      <w:tr>
        <w:trPr/>
        <w:tc>
          <w:tcPr>
            <w:textDirection w:val="lrTb"/>
            <w:noWrap w:val="false"/>
          </w:tcPr>
          <w:p>
            <w:pPr>
              <w:pStyle w:val="659"/>
              <w:jc w:val="left"/>
            </w:pPr>
            <w:r>
              <w:t xml:space="preserve">1</w:t>
            </w:r>
            <w:r/>
          </w:p>
        </w:tc>
        <w:tc>
          <w:tcPr>
            <w:textDirection w:val="lrTb"/>
            <w:noWrap w:val="false"/>
          </w:tcPr>
          <w:p>
            <w:pPr>
              <w:pStyle w:val="659"/>
              <w:jc w:val="left"/>
            </w:pPr>
            <w:r>
              <w:t xml:space="preserve">AztekinTailData</w:t>
            </w:r>
            <w:r/>
          </w:p>
        </w:tc>
        <w:tc>
          <w:tcPr>
            <w:textDirection w:val="lrTb"/>
            <w:noWrap w:val="false"/>
          </w:tcPr>
          <w:p>
            <w:pPr>
              <w:pStyle w:val="659"/>
              <w:jc w:val="left"/>
            </w:pPr>
            <w:r>
              <w:t xml:space="preserve">31535 13199</w:t>
            </w:r>
            <w:r/>
          </w:p>
        </w:tc>
        <w:tc>
          <w:tcPr>
            <w:textDirection w:val="lrTb"/>
            <w:noWrap w:val="false"/>
          </w:tcPr>
          <w:p>
            <w:pPr>
              <w:pStyle w:val="659"/>
              <w:jc w:val="left"/>
            </w:pPr>
            <w:r>
              <w:t xml:space="preserve">0.9296133</w:t>
            </w:r>
            <w:r/>
          </w:p>
        </w:tc>
        <w:tc>
          <w:tcPr>
            <w:textDirection w:val="lrTb"/>
            <w:noWrap w:val="false"/>
          </w:tcPr>
          <w:p>
            <w:pPr>
              <w:pStyle w:val="659"/>
              <w:jc w:val="left"/>
            </w:pPr>
            <w:r>
              <w:t xml:space="preserve">Real dataset</w:t>
            </w:r>
            <w:r/>
          </w:p>
        </w:tc>
      </w:tr>
      <w:tr>
        <w:trPr/>
        <w:tc>
          <w:tcPr>
            <w:textDirection w:val="lrTb"/>
            <w:noWrap w:val="false"/>
          </w:tcPr>
          <w:p>
            <w:pPr>
              <w:pStyle w:val="659"/>
              <w:jc w:val="left"/>
            </w:pPr>
            <w:r>
              <w:t xml:space="preserve">2</w:t>
            </w:r>
            <w:r/>
          </w:p>
        </w:tc>
        <w:tc>
          <w:tcPr>
            <w:textDirection w:val="lrTb"/>
            <w:noWrap w:val="false"/>
          </w:tcPr>
          <w:p>
            <w:pPr>
              <w:pStyle w:val="659"/>
              <w:jc w:val="left"/>
            </w:pPr>
            <w:r>
              <w:t xml:space="preserve">BachMammaryData</w:t>
            </w:r>
            <w:r/>
          </w:p>
        </w:tc>
        <w:tc>
          <w:tcPr>
            <w:textDirection w:val="lrTb"/>
            <w:noWrap w:val="false"/>
          </w:tcPr>
          <w:p>
            <w:pPr>
              <w:pStyle w:val="659"/>
              <w:jc w:val="left"/>
            </w:pPr>
            <w:r>
              <w:t xml:space="preserve">27998 25806</w:t>
            </w:r>
            <w:r/>
          </w:p>
        </w:tc>
        <w:tc>
          <w:tcPr>
            <w:textDirection w:val="lrTb"/>
            <w:noWrap w:val="false"/>
          </w:tcPr>
          <w:p>
            <w:pPr>
              <w:pStyle w:val="659"/>
              <w:jc w:val="left"/>
            </w:pPr>
            <w:r>
              <w:t xml:space="preserve">0.9152684</w:t>
            </w:r>
            <w:r/>
          </w:p>
        </w:tc>
        <w:tc>
          <w:tcPr>
            <w:textDirection w:val="lrTb"/>
            <w:noWrap w:val="false"/>
          </w:tcPr>
          <w:p>
            <w:pPr>
              <w:pStyle w:val="659"/>
              <w:jc w:val="left"/>
            </w:pPr>
            <w:r>
              <w:t xml:space="preserve">Real dataset</w:t>
            </w:r>
            <w:r/>
          </w:p>
        </w:tc>
      </w:tr>
      <w:tr>
        <w:trPr/>
        <w:tc>
          <w:tcPr>
            <w:textDirection w:val="lrTb"/>
            <w:noWrap w:val="false"/>
          </w:tcPr>
          <w:p>
            <w:pPr>
              <w:pStyle w:val="659"/>
              <w:jc w:val="left"/>
            </w:pPr>
            <w:r>
              <w:t xml:space="preserve">3</w:t>
            </w:r>
            <w:r/>
          </w:p>
        </w:tc>
        <w:tc>
          <w:tcPr>
            <w:textDirection w:val="lrTb"/>
            <w:noWrap w:val="false"/>
          </w:tcPr>
          <w:p>
            <w:pPr>
              <w:pStyle w:val="659"/>
              <w:jc w:val="left"/>
            </w:pPr>
            <w:r>
              <w:t xml:space="preserve">BaronPancreasData(</w:t>
            </w:r>
            <w:r>
              <w:t xml:space="preserve">‘</w:t>
            </w:r>
            <w:r>
              <w:t xml:space="preserve">human</w:t>
            </w:r>
            <w:r>
              <w:t xml:space="preserve">’</w:t>
            </w:r>
            <w:r>
              <w:t xml:space="preserve">)</w:t>
            </w:r>
            <w:r/>
          </w:p>
        </w:tc>
        <w:tc>
          <w:tcPr>
            <w:textDirection w:val="lrTb"/>
            <w:noWrap w:val="false"/>
          </w:tcPr>
          <w:p>
            <w:pPr>
              <w:pStyle w:val="659"/>
              <w:jc w:val="left"/>
            </w:pPr>
            <w:r>
              <w:t xml:space="preserve">20125 8569</w:t>
            </w:r>
            <w:r/>
          </w:p>
        </w:tc>
        <w:tc>
          <w:tcPr>
            <w:textDirection w:val="lrTb"/>
            <w:noWrap w:val="false"/>
          </w:tcPr>
          <w:p>
            <w:pPr>
              <w:pStyle w:val="659"/>
              <w:jc w:val="left"/>
            </w:pPr>
            <w:r>
              <w:t xml:space="preserve">0.9062241</w:t>
            </w:r>
            <w:r/>
          </w:p>
        </w:tc>
        <w:tc>
          <w:tcPr>
            <w:textDirection w:val="lrTb"/>
            <w:noWrap w:val="false"/>
          </w:tcPr>
          <w:p>
            <w:pPr>
              <w:pStyle w:val="659"/>
              <w:jc w:val="left"/>
            </w:pPr>
            <w:r>
              <w:t xml:space="preserve">Real dataset</w:t>
            </w:r>
            <w:r/>
          </w:p>
        </w:tc>
      </w:tr>
      <w:tr>
        <w:trPr/>
        <w:tc>
          <w:tcPr>
            <w:textDirection w:val="lrTb"/>
            <w:noWrap w:val="false"/>
          </w:tcPr>
          <w:p>
            <w:pPr>
              <w:pStyle w:val="659"/>
              <w:jc w:val="left"/>
            </w:pPr>
            <w:r>
              <w:t xml:space="preserve">4</w:t>
            </w:r>
            <w:r/>
          </w:p>
        </w:tc>
        <w:tc>
          <w:tcPr>
            <w:textDirection w:val="lrTb"/>
            <w:noWrap w:val="false"/>
          </w:tcPr>
          <w:p>
            <w:pPr>
              <w:pStyle w:val="659"/>
              <w:jc w:val="left"/>
            </w:pPr>
            <w:r>
              <w:t xml:space="preserve">BaronPancreasData(</w:t>
            </w:r>
            <w:r>
              <w:t xml:space="preserve">‘</w:t>
            </w:r>
            <w:r>
              <w:t xml:space="preserve">mouse</w:t>
            </w:r>
            <w:r>
              <w:t xml:space="preserve">’</w:t>
            </w:r>
            <w:r>
              <w:t xml:space="preserve">)</w:t>
            </w:r>
            <w:r/>
          </w:p>
        </w:tc>
        <w:tc>
          <w:tcPr>
            <w:textDirection w:val="lrTb"/>
            <w:noWrap w:val="false"/>
          </w:tcPr>
          <w:p>
            <w:pPr>
              <w:pStyle w:val="659"/>
              <w:jc w:val="left"/>
            </w:pPr>
            <w:r>
              <w:t xml:space="preserve">14878 1886</w:t>
            </w:r>
            <w:r/>
          </w:p>
        </w:tc>
        <w:tc>
          <w:tcPr>
            <w:textDirection w:val="lrTb"/>
            <w:noWrap w:val="false"/>
          </w:tcPr>
          <w:p>
            <w:pPr>
              <w:pStyle w:val="659"/>
              <w:jc w:val="left"/>
            </w:pPr>
            <w:r>
              <w:t xml:space="preserve">0.8897182</w:t>
            </w:r>
            <w:r/>
          </w:p>
        </w:tc>
        <w:tc>
          <w:tcPr>
            <w:textDirection w:val="lrTb"/>
            <w:noWrap w:val="false"/>
          </w:tcPr>
          <w:p>
            <w:pPr>
              <w:pStyle w:val="659"/>
              <w:jc w:val="left"/>
            </w:pPr>
            <w:r>
              <w:t xml:space="preserve">Real dataset</w:t>
            </w:r>
            <w:r/>
          </w:p>
        </w:tc>
      </w:tr>
      <w:tr>
        <w:trPr/>
        <w:tc>
          <w:tcPr>
            <w:textDirection w:val="lrTb"/>
            <w:noWrap w:val="false"/>
          </w:tcPr>
          <w:p>
            <w:pPr>
              <w:pStyle w:val="659"/>
              <w:jc w:val="left"/>
            </w:pPr>
            <w:r>
              <w:t xml:space="preserve">5</w:t>
            </w:r>
            <w:r/>
          </w:p>
        </w:tc>
        <w:tc>
          <w:tcPr>
            <w:textDirection w:val="lrTb"/>
            <w:noWrap w:val="false"/>
          </w:tcPr>
          <w:p>
            <w:pPr>
              <w:pStyle w:val="659"/>
              <w:jc w:val="left"/>
            </w:pPr>
            <w:r>
              <w:t xml:space="preserve">KotliarovPBMCData</w:t>
            </w:r>
            <w:r/>
          </w:p>
        </w:tc>
        <w:tc>
          <w:tcPr>
            <w:textDirection w:val="lrTb"/>
            <w:noWrap w:val="false"/>
          </w:tcPr>
          <w:p>
            <w:pPr>
              <w:pStyle w:val="659"/>
              <w:jc w:val="left"/>
            </w:pPr>
            <w:r>
              <w:t xml:space="preserve">32738 58654</w:t>
            </w:r>
            <w:r/>
          </w:p>
        </w:tc>
        <w:tc>
          <w:tcPr>
            <w:textDirection w:val="lrTb"/>
            <w:noWrap w:val="false"/>
          </w:tcPr>
          <w:p>
            <w:pPr>
              <w:pStyle w:val="659"/>
              <w:jc w:val="left"/>
            </w:pPr>
            <w:r>
              <w:t xml:space="preserve">0.9780209</w:t>
            </w:r>
            <w:r/>
          </w:p>
        </w:tc>
        <w:tc>
          <w:tcPr>
            <w:textDirection w:val="lrTb"/>
            <w:noWrap w:val="false"/>
          </w:tcPr>
          <w:p>
            <w:pPr>
              <w:pStyle w:val="659"/>
              <w:jc w:val="left"/>
            </w:pPr>
            <w:r>
              <w:t xml:space="preserve">Real dataset</w:t>
            </w:r>
            <w:r/>
          </w:p>
        </w:tc>
      </w:tr>
      <w:tr>
        <w:trPr/>
        <w:tc>
          <w:tcPr>
            <w:textDirection w:val="lrTb"/>
            <w:noWrap w:val="false"/>
          </w:tcPr>
          <w:p>
            <w:pPr>
              <w:pStyle w:val="659"/>
              <w:jc w:val="left"/>
            </w:pPr>
            <w:r>
              <w:t xml:space="preserve">6</w:t>
            </w:r>
            <w:r/>
          </w:p>
        </w:tc>
        <w:tc>
          <w:tcPr>
            <w:textDirection w:val="lrTb"/>
            <w:noWrap w:val="false"/>
          </w:tcPr>
          <w:p>
            <w:pPr>
              <w:pStyle w:val="659"/>
              <w:jc w:val="left"/>
            </w:pPr>
            <w:r>
              <w:t xml:space="preserve">BuettnerESCData</w:t>
            </w:r>
            <w:r/>
          </w:p>
        </w:tc>
        <w:tc>
          <w:tcPr>
            <w:textDirection w:val="lrTb"/>
            <w:noWrap w:val="false"/>
          </w:tcPr>
          <w:p>
            <w:pPr>
              <w:pStyle w:val="659"/>
              <w:jc w:val="left"/>
            </w:pPr>
            <w:r>
              <w:t xml:space="preserve">38293 288</w:t>
            </w:r>
            <w:r/>
          </w:p>
        </w:tc>
        <w:tc>
          <w:tcPr>
            <w:textDirection w:val="lrTb"/>
            <w:noWrap w:val="false"/>
          </w:tcPr>
          <w:p>
            <w:pPr>
              <w:pStyle w:val="659"/>
              <w:jc w:val="left"/>
            </w:pPr>
            <w:r>
              <w:t xml:space="preserve">0.7440639</w:t>
            </w:r>
            <w:r/>
          </w:p>
        </w:tc>
        <w:tc>
          <w:tcPr>
            <w:textDirection w:val="lrTb"/>
            <w:noWrap w:val="false"/>
          </w:tcPr>
          <w:p>
            <w:pPr>
              <w:pStyle w:val="659"/>
              <w:jc w:val="left"/>
            </w:pPr>
            <w:r>
              <w:t xml:space="preserve">Real dataset</w:t>
            </w:r>
            <w:r/>
          </w:p>
        </w:tc>
      </w:tr>
      <w:tr>
        <w:trPr/>
        <w:tc>
          <w:tcPr>
            <w:textDirection w:val="lrTb"/>
            <w:noWrap w:val="false"/>
          </w:tcPr>
          <w:p>
            <w:pPr>
              <w:pStyle w:val="659"/>
              <w:jc w:val="left"/>
            </w:pPr>
            <w:r>
              <w:t xml:space="preserve">7</w:t>
            </w:r>
            <w:r/>
          </w:p>
        </w:tc>
        <w:tc>
          <w:tcPr>
            <w:textDirection w:val="lrTb"/>
            <w:noWrap w:val="false"/>
          </w:tcPr>
          <w:p>
            <w:pPr>
              <w:pStyle w:val="659"/>
              <w:jc w:val="left"/>
            </w:pPr>
            <w:r>
              <w:t xml:space="preserve">CampbellBrainData</w:t>
            </w:r>
            <w:r/>
          </w:p>
        </w:tc>
        <w:tc>
          <w:tcPr>
            <w:textDirection w:val="lrTb"/>
            <w:noWrap w:val="false"/>
          </w:tcPr>
          <w:p>
            <w:pPr>
              <w:pStyle w:val="659"/>
              <w:jc w:val="left"/>
            </w:pPr>
            <w:r>
              <w:t xml:space="preserve">26774 21086</w:t>
            </w:r>
            <w:r/>
          </w:p>
        </w:tc>
        <w:tc>
          <w:tcPr>
            <w:textDirection w:val="lrTb"/>
            <w:noWrap w:val="false"/>
          </w:tcPr>
          <w:p>
            <w:pPr>
              <w:pStyle w:val="659"/>
              <w:jc w:val="left"/>
            </w:pPr>
            <w:r>
              <w:t xml:space="preserve">0.9279162</w:t>
            </w:r>
            <w:r/>
          </w:p>
        </w:tc>
        <w:tc>
          <w:tcPr>
            <w:textDirection w:val="lrTb"/>
            <w:noWrap w:val="false"/>
          </w:tcPr>
          <w:p>
            <w:pPr>
              <w:pStyle w:val="659"/>
              <w:jc w:val="left"/>
            </w:pPr>
            <w:r>
              <w:t xml:space="preserve">Real dataset</w:t>
            </w:r>
            <w:r/>
          </w:p>
        </w:tc>
      </w:tr>
      <w:tr>
        <w:trPr/>
        <w:tc>
          <w:tcPr>
            <w:textDirection w:val="lrTb"/>
            <w:noWrap w:val="false"/>
          </w:tcPr>
          <w:p>
            <w:pPr>
              <w:pStyle w:val="659"/>
              <w:jc w:val="left"/>
            </w:pPr>
            <w:r>
              <w:t xml:space="preserve">8</w:t>
            </w:r>
            <w:r/>
          </w:p>
        </w:tc>
        <w:tc>
          <w:tcPr>
            <w:textDirection w:val="lrTb"/>
            <w:noWrap w:val="false"/>
          </w:tcPr>
          <w:p>
            <w:pPr>
              <w:pStyle w:val="659"/>
              <w:jc w:val="left"/>
            </w:pPr>
            <w:r>
              <w:t xml:space="preserve">Random 31k x 13k</w:t>
            </w:r>
            <w:r/>
          </w:p>
        </w:tc>
        <w:tc>
          <w:tcPr>
            <w:textDirection w:val="lrTb"/>
            <w:noWrap w:val="false"/>
          </w:tcPr>
          <w:p>
            <w:pPr>
              <w:pStyle w:val="659"/>
              <w:jc w:val="left"/>
            </w:pPr>
            <w:r>
              <w:t xml:space="preserve">31535 13199</w:t>
            </w:r>
            <w:r/>
          </w:p>
        </w:tc>
        <w:tc>
          <w:tcPr>
            <w:textDirection w:val="lrTb"/>
            <w:noWrap w:val="false"/>
          </w:tcPr>
          <w:p>
            <w:pPr>
              <w:pStyle w:val="659"/>
              <w:jc w:val="left"/>
            </w:pPr>
            <w:r>
              <w:t xml:space="preserve">0.00012</w:t>
            </w:r>
            <w:r/>
          </w:p>
        </w:tc>
        <w:tc>
          <w:tcPr>
            <w:textDirection w:val="lrTb"/>
            <w:noWrap w:val="false"/>
          </w:tcPr>
          <w:p>
            <w:pPr>
              <w:pStyle w:val="659"/>
              <w:jc w:val="left"/>
            </w:pPr>
            <w:r>
              <w:t xml:space="preserve">Dense dataset filled with random values</w:t>
            </w:r>
            <w:r/>
          </w:p>
        </w:tc>
      </w:tr>
      <w:tr>
        <w:trPr/>
        <w:tc>
          <w:tcPr>
            <w:textDirection w:val="lrTb"/>
            <w:noWrap w:val="false"/>
          </w:tcPr>
          <w:p>
            <w:pPr>
              <w:pStyle w:val="659"/>
              <w:jc w:val="left"/>
            </w:pPr>
            <w:r>
              <w:t xml:space="preserve">9</w:t>
            </w:r>
            <w:r/>
          </w:p>
        </w:tc>
        <w:tc>
          <w:tcPr>
            <w:textDirection w:val="lrTb"/>
            <w:noWrap w:val="false"/>
          </w:tcPr>
          <w:p>
            <w:pPr>
              <w:pStyle w:val="659"/>
              <w:jc w:val="left"/>
            </w:pPr>
            <w:r>
              <w:t xml:space="preserve">Random 28k x 25k</w:t>
            </w:r>
            <w:r/>
          </w:p>
        </w:tc>
        <w:tc>
          <w:tcPr>
            <w:textDirection w:val="lrTb"/>
            <w:noWrap w:val="false"/>
          </w:tcPr>
          <w:p>
            <w:pPr>
              <w:pStyle w:val="659"/>
              <w:jc w:val="left"/>
            </w:pPr>
            <w:r>
              <w:t xml:space="preserve">27998 25806</w:t>
            </w:r>
            <w:r/>
          </w:p>
        </w:tc>
        <w:tc>
          <w:tcPr>
            <w:textDirection w:val="lrTb"/>
            <w:noWrap w:val="false"/>
          </w:tcPr>
          <w:p>
            <w:pPr>
              <w:pStyle w:val="659"/>
              <w:jc w:val="left"/>
            </w:pPr>
            <w:r>
              <w:t xml:space="preserve">0.00012</w:t>
            </w:r>
            <w:r/>
          </w:p>
        </w:tc>
        <w:tc>
          <w:tcPr>
            <w:textDirection w:val="lrTb"/>
            <w:noWrap w:val="false"/>
          </w:tcPr>
          <w:p>
            <w:pPr>
              <w:pStyle w:val="659"/>
              <w:jc w:val="left"/>
            </w:pPr>
            <w:r>
              <w:t xml:space="preserve">Dense dataset filled with random values</w:t>
            </w:r>
            <w:r/>
          </w:p>
        </w:tc>
      </w:tr>
      <w:tr>
        <w:trPr/>
        <w:tc>
          <w:tcPr>
            <w:textDirection w:val="lrTb"/>
            <w:noWrap w:val="false"/>
          </w:tcPr>
          <w:p>
            <w:pPr>
              <w:pStyle w:val="659"/>
              <w:jc w:val="left"/>
            </w:pPr>
            <w:r>
              <w:t xml:space="preserve">10</w:t>
            </w:r>
            <w:r/>
          </w:p>
        </w:tc>
        <w:tc>
          <w:tcPr>
            <w:textDirection w:val="lrTb"/>
            <w:noWrap w:val="false"/>
          </w:tcPr>
          <w:p>
            <w:pPr>
              <w:pStyle w:val="659"/>
              <w:jc w:val="left"/>
            </w:pPr>
            <w:r>
              <w:t xml:space="preserve">Random 20k x 8k</w:t>
            </w:r>
            <w:r/>
          </w:p>
        </w:tc>
        <w:tc>
          <w:tcPr>
            <w:textDirection w:val="lrTb"/>
            <w:noWrap w:val="false"/>
          </w:tcPr>
          <w:p>
            <w:pPr>
              <w:pStyle w:val="659"/>
              <w:jc w:val="left"/>
            </w:pPr>
            <w:r>
              <w:t xml:space="preserve">20125 8569</w:t>
            </w:r>
            <w:r/>
          </w:p>
        </w:tc>
        <w:tc>
          <w:tcPr>
            <w:textDirection w:val="lrTb"/>
            <w:noWrap w:val="false"/>
          </w:tcPr>
          <w:p>
            <w:pPr>
              <w:pStyle w:val="659"/>
              <w:jc w:val="left"/>
            </w:pPr>
            <w:r>
              <w:t xml:space="preserve">0.00012</w:t>
            </w:r>
            <w:r/>
          </w:p>
        </w:tc>
        <w:tc>
          <w:tcPr>
            <w:textDirection w:val="lrTb"/>
            <w:noWrap w:val="false"/>
          </w:tcPr>
          <w:p>
            <w:pPr>
              <w:pStyle w:val="659"/>
              <w:jc w:val="left"/>
            </w:pPr>
            <w:r>
              <w:t xml:space="preserve">Dense dataset filled with random values</w:t>
            </w:r>
            <w:r/>
          </w:p>
        </w:tc>
      </w:tr>
      <w:tr>
        <w:trPr/>
        <w:tc>
          <w:tcPr>
            <w:textDirection w:val="lrTb"/>
            <w:noWrap w:val="false"/>
          </w:tcPr>
          <w:p>
            <w:pPr>
              <w:pStyle w:val="659"/>
              <w:jc w:val="left"/>
            </w:pPr>
            <w:r>
              <w:t xml:space="preserve">11</w:t>
            </w:r>
            <w:r/>
          </w:p>
        </w:tc>
        <w:tc>
          <w:tcPr>
            <w:textDirection w:val="lrTb"/>
            <w:noWrap w:val="false"/>
          </w:tcPr>
          <w:p>
            <w:pPr>
              <w:pStyle w:val="659"/>
              <w:jc w:val="left"/>
            </w:pPr>
            <w:r>
              <w:t xml:space="preserve">Random 15k x 2k</w:t>
            </w:r>
            <w:r/>
          </w:p>
        </w:tc>
        <w:tc>
          <w:tcPr>
            <w:textDirection w:val="lrTb"/>
            <w:noWrap w:val="false"/>
          </w:tcPr>
          <w:p>
            <w:pPr>
              <w:pStyle w:val="659"/>
              <w:jc w:val="left"/>
            </w:pPr>
            <w:r>
              <w:t xml:space="preserve">14878 1886</w:t>
            </w:r>
            <w:r/>
          </w:p>
        </w:tc>
        <w:tc>
          <w:tcPr>
            <w:textDirection w:val="lrTb"/>
            <w:noWrap w:val="false"/>
          </w:tcPr>
          <w:p>
            <w:pPr>
              <w:pStyle w:val="659"/>
              <w:jc w:val="left"/>
            </w:pPr>
            <w:r>
              <w:t xml:space="preserve">0.00012</w:t>
            </w:r>
            <w:r/>
          </w:p>
        </w:tc>
        <w:tc>
          <w:tcPr>
            <w:textDirection w:val="lrTb"/>
            <w:noWrap w:val="false"/>
          </w:tcPr>
          <w:p>
            <w:pPr>
              <w:pStyle w:val="659"/>
              <w:jc w:val="left"/>
            </w:pPr>
            <w:r>
              <w:t xml:space="preserve">Dense dataset filled with random values</w:t>
            </w:r>
            <w:r/>
          </w:p>
        </w:tc>
      </w:tr>
      <w:tr>
        <w:trPr/>
        <w:tc>
          <w:tcPr>
            <w:textDirection w:val="lrTb"/>
            <w:noWrap w:val="false"/>
          </w:tcPr>
          <w:p>
            <w:pPr>
              <w:pStyle w:val="659"/>
              <w:jc w:val="left"/>
            </w:pPr>
            <w:r>
              <w:t xml:space="preserve">12</w:t>
            </w:r>
            <w:r/>
          </w:p>
        </w:tc>
        <w:tc>
          <w:tcPr>
            <w:textDirection w:val="lrTb"/>
            <w:noWrap w:val="false"/>
          </w:tcPr>
          <w:p>
            <w:pPr>
              <w:pStyle w:val="659"/>
              <w:jc w:val="left"/>
            </w:pPr>
            <w:r>
              <w:t xml:space="preserve">Random 33k x 59k</w:t>
            </w:r>
            <w:r/>
          </w:p>
        </w:tc>
        <w:tc>
          <w:tcPr>
            <w:textDirection w:val="lrTb"/>
            <w:noWrap w:val="false"/>
          </w:tcPr>
          <w:p>
            <w:pPr>
              <w:pStyle w:val="659"/>
              <w:jc w:val="left"/>
            </w:pPr>
            <w:r>
              <w:t xml:space="preserve">32738 58654</w:t>
            </w:r>
            <w:r/>
          </w:p>
        </w:tc>
        <w:tc>
          <w:tcPr>
            <w:textDirection w:val="lrTb"/>
            <w:noWrap w:val="false"/>
          </w:tcPr>
          <w:p>
            <w:pPr>
              <w:pStyle w:val="659"/>
              <w:jc w:val="left"/>
            </w:pPr>
            <w:r>
              <w:t xml:space="preserve">0.00012</w:t>
            </w:r>
            <w:r/>
          </w:p>
        </w:tc>
        <w:tc>
          <w:tcPr>
            <w:textDirection w:val="lrTb"/>
            <w:noWrap w:val="false"/>
          </w:tcPr>
          <w:p>
            <w:pPr>
              <w:pStyle w:val="659"/>
              <w:jc w:val="left"/>
            </w:pPr>
            <w:r>
              <w:t xml:space="preserve">Dense dataset filled with random values</w:t>
            </w:r>
            <w:r/>
          </w:p>
        </w:tc>
      </w:tr>
      <w:tr>
        <w:trPr/>
        <w:tc>
          <w:tcPr>
            <w:textDirection w:val="lrTb"/>
            <w:noWrap w:val="false"/>
          </w:tcPr>
          <w:p>
            <w:pPr>
              <w:pStyle w:val="659"/>
              <w:jc w:val="left"/>
            </w:pPr>
            <w:r>
              <w:t xml:space="preserve">13</w:t>
            </w:r>
            <w:r/>
          </w:p>
        </w:tc>
        <w:tc>
          <w:tcPr>
            <w:textDirection w:val="lrTb"/>
            <w:noWrap w:val="false"/>
          </w:tcPr>
          <w:p>
            <w:pPr>
              <w:pStyle w:val="659"/>
              <w:jc w:val="left"/>
            </w:pPr>
            <w:r>
              <w:t xml:space="preserve">Random 38k x 0.3k</w:t>
            </w:r>
            <w:r/>
          </w:p>
        </w:tc>
        <w:tc>
          <w:tcPr>
            <w:textDirection w:val="lrTb"/>
            <w:noWrap w:val="false"/>
          </w:tcPr>
          <w:p>
            <w:pPr>
              <w:pStyle w:val="659"/>
              <w:jc w:val="left"/>
            </w:pPr>
            <w:r>
              <w:t xml:space="preserve">38293 288</w:t>
            </w:r>
            <w:r/>
          </w:p>
        </w:tc>
        <w:tc>
          <w:tcPr>
            <w:textDirection w:val="lrTb"/>
            <w:noWrap w:val="false"/>
          </w:tcPr>
          <w:p>
            <w:pPr>
              <w:pStyle w:val="659"/>
              <w:jc w:val="left"/>
            </w:pPr>
            <w:r>
              <w:t xml:space="preserve">0.00012</w:t>
            </w:r>
            <w:r/>
          </w:p>
        </w:tc>
        <w:tc>
          <w:tcPr>
            <w:textDirection w:val="lrTb"/>
            <w:noWrap w:val="false"/>
          </w:tcPr>
          <w:p>
            <w:pPr>
              <w:pStyle w:val="659"/>
              <w:jc w:val="left"/>
            </w:pPr>
            <w:r>
              <w:t xml:space="preserve">Dense dataset filled with random values</w:t>
            </w:r>
            <w:r/>
          </w:p>
        </w:tc>
      </w:tr>
      <w:tr>
        <w:trPr/>
        <w:tc>
          <w:tcPr>
            <w:textDirection w:val="lrTb"/>
            <w:noWrap w:val="false"/>
          </w:tcPr>
          <w:p>
            <w:pPr>
              <w:pStyle w:val="659"/>
              <w:jc w:val="left"/>
            </w:pPr>
            <w:r>
              <w:t xml:space="preserve">14</w:t>
            </w:r>
            <w:r/>
          </w:p>
        </w:tc>
        <w:tc>
          <w:tcPr>
            <w:textDirection w:val="lrTb"/>
            <w:noWrap w:val="false"/>
          </w:tcPr>
          <w:p>
            <w:pPr>
              <w:pStyle w:val="659"/>
              <w:jc w:val="left"/>
            </w:pPr>
            <w:r>
              <w:t xml:space="preserve">Random 27k x 21k</w:t>
            </w:r>
            <w:r/>
          </w:p>
        </w:tc>
        <w:tc>
          <w:tcPr>
            <w:textDirection w:val="lrTb"/>
            <w:noWrap w:val="false"/>
          </w:tcPr>
          <w:p>
            <w:pPr>
              <w:pStyle w:val="659"/>
              <w:jc w:val="left"/>
            </w:pPr>
            <w:r>
              <w:t xml:space="preserve">26774 21086</w:t>
            </w:r>
            <w:r/>
          </w:p>
        </w:tc>
        <w:tc>
          <w:tcPr>
            <w:textDirection w:val="lrTb"/>
            <w:noWrap w:val="false"/>
          </w:tcPr>
          <w:p>
            <w:pPr>
              <w:pStyle w:val="659"/>
              <w:jc w:val="left"/>
            </w:pPr>
            <w:r>
              <w:t xml:space="preserve">0.00012</w:t>
            </w:r>
            <w:r/>
          </w:p>
        </w:tc>
        <w:tc>
          <w:tcPr>
            <w:textDirection w:val="lrTb"/>
            <w:noWrap w:val="false"/>
          </w:tcPr>
          <w:p>
            <w:pPr>
              <w:pStyle w:val="659"/>
              <w:jc w:val="left"/>
            </w:pPr>
            <w:r>
              <w:t xml:space="preserve">Dense dataset filled with random values</w:t>
            </w:r>
            <w:r/>
          </w:p>
        </w:tc>
      </w:tr>
      <w:tr>
        <w:trPr/>
        <w:tc>
          <w:tcPr>
            <w:textDirection w:val="lrTb"/>
            <w:noWrap w:val="false"/>
          </w:tcPr>
          <w:p>
            <w:pPr>
              <w:pStyle w:val="659"/>
              <w:jc w:val="left"/>
            </w:pPr>
            <w:r>
              <w:t xml:space="preserve">15</w:t>
            </w:r>
            <w:r/>
          </w:p>
        </w:tc>
        <w:tc>
          <w:tcPr>
            <w:textDirection w:val="lrTb"/>
            <w:noWrap w:val="false"/>
          </w:tcPr>
          <w:p>
            <w:pPr>
              <w:pStyle w:val="659"/>
              <w:jc w:val="left"/>
            </w:pPr>
            <w:r>
              <w:t xml:space="preserve">pbmc3k</w:t>
            </w:r>
            <w:r/>
          </w:p>
        </w:tc>
        <w:tc>
          <w:tcPr>
            <w:textDirection w:val="lrTb"/>
            <w:noWrap w:val="false"/>
          </w:tcPr>
          <w:p>
            <w:pPr>
              <w:pStyle w:val="659"/>
              <w:jc w:val="left"/>
            </w:pPr>
            <w:r>
              <w:t xml:space="preserve">32738 2700</w:t>
            </w:r>
            <w:r/>
          </w:p>
        </w:tc>
        <w:tc>
          <w:tcPr>
            <w:textDirection w:val="lrTb"/>
            <w:noWrap w:val="false"/>
          </w:tcPr>
          <w:p>
            <w:pPr>
              <w:pStyle w:val="659"/>
              <w:jc w:val="left"/>
            </w:pPr>
            <w:r>
              <w:t xml:space="preserve">0.9741281</w:t>
            </w:r>
            <w:r/>
          </w:p>
        </w:tc>
        <w:tc>
          <w:tcPr>
            <w:textDirection w:val="lrTb"/>
            <w:noWrap w:val="false"/>
          </w:tcPr>
          <w:p>
            <w:pPr>
              <w:pStyle w:val="659"/>
              <w:jc w:val="left"/>
            </w:pPr>
            <w:r>
              <w:t xml:space="preserve">Standard dataset (3k cells)</w:t>
            </w:r>
            <w:r/>
          </w:p>
        </w:tc>
      </w:tr>
      <w:tr>
        <w:trPr/>
        <w:tc>
          <w:tcPr>
            <w:textDirection w:val="lrTb"/>
            <w:noWrap w:val="false"/>
          </w:tcPr>
          <w:p>
            <w:pPr>
              <w:pStyle w:val="659"/>
              <w:jc w:val="left"/>
            </w:pPr>
            <w:r>
              <w:t xml:space="preserve">16</w:t>
            </w:r>
            <w:r/>
          </w:p>
        </w:tc>
        <w:tc>
          <w:tcPr>
            <w:textDirection w:val="lrTb"/>
            <w:noWrap w:val="false"/>
          </w:tcPr>
          <w:p>
            <w:pPr>
              <w:pStyle w:val="659"/>
              <w:jc w:val="left"/>
            </w:pPr>
            <w:r>
              <w:t xml:space="preserve">pbmc4k</w:t>
            </w:r>
            <w:r/>
          </w:p>
        </w:tc>
        <w:tc>
          <w:tcPr>
            <w:textDirection w:val="lrTb"/>
            <w:noWrap w:val="false"/>
          </w:tcPr>
          <w:p>
            <w:pPr>
              <w:pStyle w:val="659"/>
              <w:jc w:val="left"/>
            </w:pPr>
            <w:r>
              <w:t xml:space="preserve">33694 4340</w:t>
            </w:r>
            <w:r/>
          </w:p>
        </w:tc>
        <w:tc>
          <w:tcPr>
            <w:textDirection w:val="lrTb"/>
            <w:noWrap w:val="false"/>
          </w:tcPr>
          <w:p>
            <w:pPr>
              <w:pStyle w:val="659"/>
              <w:jc w:val="left"/>
            </w:pPr>
            <w:r>
              <w:t xml:space="preserve">0.9608314</w:t>
            </w:r>
            <w:r/>
          </w:p>
        </w:tc>
        <w:tc>
          <w:tcPr>
            <w:textDirection w:val="lrTb"/>
            <w:noWrap w:val="false"/>
          </w:tcPr>
          <w:p>
            <w:pPr>
              <w:pStyle w:val="659"/>
              <w:jc w:val="left"/>
            </w:pPr>
            <w:r>
              <w:t xml:space="preserve">Standard dataset (4k cells)</w:t>
            </w:r>
            <w:r/>
          </w:p>
        </w:tc>
      </w:tr>
      <w:tr>
        <w:trPr/>
        <w:tc>
          <w:tcPr>
            <w:textDirection w:val="lrTb"/>
            <w:noWrap w:val="false"/>
          </w:tcPr>
          <w:p>
            <w:pPr>
              <w:pStyle w:val="659"/>
              <w:jc w:val="left"/>
            </w:pPr>
            <w:r>
              <w:t xml:space="preserve">17</w:t>
            </w:r>
            <w:r/>
          </w:p>
        </w:tc>
        <w:tc>
          <w:tcPr>
            <w:textDirection w:val="lrTb"/>
            <w:noWrap w:val="false"/>
          </w:tcPr>
          <w:p>
            <w:pPr>
              <w:pStyle w:val="659"/>
              <w:jc w:val="left"/>
            </w:pPr>
            <w:r>
              <w:t xml:space="preserve">pbmc6k</w:t>
            </w:r>
            <w:r/>
          </w:p>
        </w:tc>
        <w:tc>
          <w:tcPr>
            <w:textDirection w:val="lrTb"/>
            <w:noWrap w:val="false"/>
          </w:tcPr>
          <w:p>
            <w:pPr>
              <w:pStyle w:val="659"/>
              <w:jc w:val="left"/>
            </w:pPr>
            <w:r>
              <w:t xml:space="preserve">32738 5419</w:t>
            </w:r>
            <w:r/>
          </w:p>
        </w:tc>
        <w:tc>
          <w:tcPr>
            <w:textDirection w:val="lrTb"/>
            <w:noWrap w:val="false"/>
          </w:tcPr>
          <w:p>
            <w:pPr>
              <w:pStyle w:val="659"/>
              <w:jc w:val="left"/>
            </w:pPr>
            <w:r>
              <w:t xml:space="preserve">0.9771501</w:t>
            </w:r>
            <w:r/>
          </w:p>
        </w:tc>
        <w:tc>
          <w:tcPr>
            <w:textDirection w:val="lrTb"/>
            <w:noWrap w:val="false"/>
          </w:tcPr>
          <w:p>
            <w:pPr>
              <w:pStyle w:val="659"/>
              <w:jc w:val="left"/>
            </w:pPr>
            <w:r>
              <w:t xml:space="preserve">Standard dataset (6k cells)</w:t>
            </w:r>
            <w:r/>
          </w:p>
        </w:tc>
      </w:tr>
      <w:tr>
        <w:trPr/>
        <w:tc>
          <w:tcPr>
            <w:textDirection w:val="lrTb"/>
            <w:noWrap w:val="false"/>
          </w:tcPr>
          <w:p>
            <w:pPr>
              <w:pStyle w:val="659"/>
              <w:jc w:val="left"/>
            </w:pPr>
            <w:r>
              <w:t xml:space="preserve">18</w:t>
            </w:r>
            <w:r/>
          </w:p>
        </w:tc>
        <w:tc>
          <w:tcPr>
            <w:textDirection w:val="lrTb"/>
            <w:noWrap w:val="false"/>
          </w:tcPr>
          <w:p>
            <w:pPr>
              <w:pStyle w:val="659"/>
              <w:jc w:val="left"/>
            </w:pPr>
            <w:r>
              <w:t xml:space="preserve">pbmc8k</w:t>
            </w:r>
            <w:r/>
          </w:p>
        </w:tc>
        <w:tc>
          <w:tcPr>
            <w:textDirection w:val="lrTb"/>
            <w:noWrap w:val="false"/>
          </w:tcPr>
          <w:p>
            <w:pPr>
              <w:pStyle w:val="659"/>
              <w:jc w:val="left"/>
            </w:pPr>
            <w:r>
              <w:t xml:space="preserve">33694 8381</w:t>
            </w:r>
            <w:r/>
          </w:p>
        </w:tc>
        <w:tc>
          <w:tcPr>
            <w:textDirection w:val="lrTb"/>
            <w:noWrap w:val="false"/>
          </w:tcPr>
          <w:p>
            <w:pPr>
              <w:pStyle w:val="659"/>
              <w:jc w:val="left"/>
            </w:pPr>
            <w:r>
              <w:t xml:space="preserve">0.9582552</w:t>
            </w:r>
            <w:r/>
          </w:p>
        </w:tc>
        <w:tc>
          <w:tcPr>
            <w:textDirection w:val="lrTb"/>
            <w:noWrap w:val="false"/>
          </w:tcPr>
          <w:p>
            <w:pPr>
              <w:pStyle w:val="659"/>
              <w:jc w:val="left"/>
            </w:pPr>
            <w:r>
              <w:t xml:space="preserve">Standard dataset (8k cells)</w:t>
            </w:r>
            <w:r/>
          </w:p>
        </w:tc>
      </w:tr>
      <w:tr>
        <w:trPr/>
        <w:tc>
          <w:tcPr>
            <w:textDirection w:val="lrTb"/>
            <w:noWrap w:val="false"/>
          </w:tcPr>
          <w:p>
            <w:pPr>
              <w:pStyle w:val="659"/>
              <w:jc w:val="left"/>
            </w:pPr>
            <w:r>
              <w:t xml:space="preserve">19</w:t>
            </w:r>
            <w:r/>
          </w:p>
        </w:tc>
        <w:tc>
          <w:tcPr>
            <w:textDirection w:val="lrTb"/>
            <w:noWrap w:val="false"/>
          </w:tcPr>
          <w:p>
            <w:pPr>
              <w:pStyle w:val="659"/>
              <w:jc w:val="left"/>
            </w:pPr>
            <w:r>
              <w:t xml:space="preserve">pbmc33k</w:t>
            </w:r>
            <w:r/>
          </w:p>
        </w:tc>
        <w:tc>
          <w:tcPr>
            <w:textDirection w:val="lrTb"/>
            <w:noWrap w:val="false"/>
          </w:tcPr>
          <w:p>
            <w:pPr>
              <w:pStyle w:val="659"/>
              <w:jc w:val="left"/>
            </w:pPr>
            <w:r>
              <w:t xml:space="preserve">32738 33148</w:t>
            </w:r>
            <w:r/>
          </w:p>
        </w:tc>
        <w:tc>
          <w:tcPr>
            <w:textDirection w:val="lrTb"/>
            <w:noWrap w:val="false"/>
          </w:tcPr>
          <w:p>
            <w:pPr>
              <w:pStyle w:val="659"/>
              <w:jc w:val="left"/>
            </w:pPr>
            <w:r>
              <w:t xml:space="preserve">0.9766104</w:t>
            </w:r>
            <w:r/>
          </w:p>
        </w:tc>
        <w:tc>
          <w:tcPr>
            <w:textDirection w:val="lrTb"/>
            <w:noWrap w:val="false"/>
          </w:tcPr>
          <w:p>
            <w:pPr>
              <w:pStyle w:val="659"/>
              <w:jc w:val="left"/>
            </w:pPr>
            <w:r>
              <w:t xml:space="preserve">Standard dataset (33k cells)</w:t>
            </w:r>
            <w:bookmarkEnd w:id="87"/>
            <w:r/>
          </w:p>
        </w:tc>
      </w:tr>
    </w:tbl>
    <w:p>
      <w:pPr>
        <w:pStyle w:val="668"/>
      </w:pPr>
      <w:r/>
      <w:bookmarkStart w:id="257" w:name="_Toc57"/>
      <w:r/>
      <w:bookmarkStart w:id="88" w:name="approach-1-dgcmatrix"/>
      <w:r>
        <w:t xml:space="preserve">Approach 1: dgCMatrix</w:t>
      </w:r>
      <w:r/>
      <w:bookmarkEnd w:id="257"/>
      <w:r/>
      <w:r/>
    </w:p>
    <w:p>
      <w:pPr>
        <w:pStyle w:val="658"/>
      </w:pPr>
      <w:r>
        <w:rPr>
          <w:rStyle w:val="687"/>
        </w:rPr>
        <w:t xml:space="preserve">dgCMatrix</w:t>
      </w:r>
      <w:r>
        <w:t xml:space="preserve"> </w:t>
      </w:r>
      <w:r>
        <w:t xml:space="preserve">[45]</w:t>
      </w:r>
      <w:r>
        <w:t xml:space="preserve"> </w:t>
      </w:r>
      <w:r>
        <w:t xml:space="preserve">is a compressed form of matrices available in R and particularly useful when matrices are sparse since it is able to extensively compress the zero cells of the matrix. This approach is by default used with all</w:t>
      </w:r>
      <w:r>
        <w:t xml:space="preserve"> </w:t>
      </w:r>
      <w:r>
        <w:rPr>
          <w:rStyle w:val="687"/>
        </w:rPr>
        <w:t xml:space="preserve">Experiment</w:t>
      </w:r>
      <w:r>
        <w:t xml:space="preserve"> </w:t>
      </w:r>
      <w:r>
        <w:t xml:space="preserve">classes for storage and manipulation of matrices within the objects apart from some other more efficient approaches such as</w:t>
      </w:r>
      <w:r>
        <w:t xml:space="preserve"> </w:t>
      </w:r>
      <w:r>
        <w:rPr>
          <w:rStyle w:val="687"/>
        </w:rPr>
        <w:t xml:space="preserve">hdf5</w:t>
      </w:r>
      <w:r>
        <w:t xml:space="preserve"> </w:t>
      </w:r>
      <w:r>
        <w:t xml:space="preserve">[46]</w:t>
      </w:r>
      <w:r>
        <w:t xml:space="preserve"> </w:t>
      </w:r>
      <w:r>
        <w:t xml:space="preserve">and</w:t>
      </w:r>
      <w:r>
        <w:t xml:space="preserve"> </w:t>
      </w:r>
      <w:r>
        <w:rPr>
          <w:rStyle w:val="687"/>
        </w:rPr>
        <w:t xml:space="preserve">tileDB</w:t>
      </w:r>
      <w:r>
        <w:t xml:space="preserve"> </w:t>
      </w:r>
      <w:r>
        <w:t xml:space="preserve">[47]</w:t>
      </w:r>
      <w:r>
        <w:t xml:space="preserve"> </w:t>
      </w:r>
      <w:r>
        <w:t xml:space="preserve">that have recently become popular. Below we tabulate the the results from various datasets, their descriptions and the memory savings offered by our package for all of these datasets:</w:t>
      </w:r>
      <w:r/>
    </w:p>
    <w:p>
      <w:pPr>
        <w:pStyle w:val="681"/>
      </w:pPr>
      <w:r>
        <w:t xml:space="preserve">Table </w:t>
      </w:r>
      <w:r>
        <w:fldChar w:fldCharType="begin"/>
        <w:instrText xml:space="preserve"> SEQ Table \* Arabic </w:instrText>
        <w:fldChar w:fldCharType="separate"/>
      </w:r>
      <w:r>
        <w:t xml:space="preserve">2</w:t>
      </w:r>
      <w:r/>
      <w:r>
        <w:fldChar w:fldCharType="end"/>
      </w:r>
      <w:r>
        <w:t xml:space="preserve"> Description of memory statistics by passing each dataset through the same workflow and consequent memory savings offered by ExperimentSubset when compared to SingleCellExperiment using sparse matrix data format. </w:t>
      </w:r>
      <w:r/>
    </w:p>
    <w:tbl>
      <w:tblPr>
        <w:tblStyle w:val="678"/>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extDirection w:val="lrTb"/>
            <w:noWrap w:val="false"/>
          </w:tcPr>
          <w:p>
            <w:pPr>
              <w:pStyle w:val="659"/>
              <w:jc w:val="left"/>
            </w:pPr>
            <w:r>
              <w:t xml:space="preserve">Serial No.</w:t>
            </w:r>
            <w:r/>
          </w:p>
        </w:tc>
        <w:tc>
          <w:tcPr>
            <w:textDirection w:val="lrTb"/>
            <w:noWrap w:val="false"/>
          </w:tcPr>
          <w:p>
            <w:pPr>
              <w:pStyle w:val="659"/>
              <w:jc w:val="left"/>
            </w:pPr>
            <w:r>
              <w:t xml:space="preserve">Dataset</w:t>
            </w:r>
            <w:r/>
          </w:p>
        </w:tc>
        <w:tc>
          <w:tcPr>
            <w:textDirection w:val="lrTb"/>
            <w:noWrap w:val="false"/>
          </w:tcPr>
          <w:p>
            <w:pPr>
              <w:pStyle w:val="659"/>
              <w:jc w:val="left"/>
            </w:pPr>
            <w:r>
              <w:t xml:space="preserve">Dimensions</w:t>
            </w:r>
            <w:r/>
          </w:p>
        </w:tc>
        <w:tc>
          <w:tcPr>
            <w:textDirection w:val="lrTb"/>
            <w:noWrap w:val="false"/>
          </w:tcPr>
          <w:p>
            <w:pPr>
              <w:pStyle w:val="659"/>
              <w:jc w:val="left"/>
            </w:pPr>
            <w:r>
              <w:t xml:space="preserve">Avg. Counts/Cell</w:t>
            </w:r>
            <w:r/>
          </w:p>
        </w:tc>
        <w:tc>
          <w:tcPr>
            <w:textDirection w:val="lrTb"/>
            <w:noWrap w:val="false"/>
          </w:tcPr>
          <w:p>
            <w:pPr>
              <w:pStyle w:val="659"/>
              <w:jc w:val="left"/>
            </w:pPr>
            <w:r>
              <w:t xml:space="preserve">Sparsity</w:t>
            </w:r>
            <w:r/>
          </w:p>
        </w:tc>
        <w:tc>
          <w:tcPr>
            <w:textDirection w:val="lrTb"/>
            <w:noWrap w:val="false"/>
          </w:tcPr>
          <w:p>
            <w:pPr>
              <w:pStyle w:val="659"/>
              <w:jc w:val="left"/>
            </w:pPr>
            <w:r>
              <w:t xml:space="preserve">SCE</w:t>
            </w:r>
            <w:r/>
          </w:p>
        </w:tc>
        <w:tc>
          <w:tcPr>
            <w:textDirection w:val="lrTb"/>
            <w:noWrap w:val="false"/>
          </w:tcPr>
          <w:p>
            <w:pPr>
              <w:pStyle w:val="659"/>
              <w:jc w:val="left"/>
            </w:pPr>
            <w:r>
              <w:t xml:space="preserve">ES</w:t>
            </w:r>
            <w:r/>
          </w:p>
        </w:tc>
        <w:tc>
          <w:tcPr>
            <w:textDirection w:val="lrTb"/>
            <w:noWrap w:val="false"/>
          </w:tcPr>
          <w:p>
            <w:pPr>
              <w:pStyle w:val="659"/>
              <w:jc w:val="left"/>
            </w:pPr>
            <w:r>
              <w:t xml:space="preserve">Savings</w:t>
            </w:r>
            <w:r/>
          </w:p>
        </w:tc>
      </w:tr>
      <w:tr>
        <w:trPr/>
        <w:tc>
          <w:tcPr>
            <w:textDirection w:val="lrTb"/>
            <w:noWrap w:val="false"/>
          </w:tcPr>
          <w:p>
            <w:pPr>
              <w:pStyle w:val="659"/>
              <w:jc w:val="left"/>
            </w:pPr>
            <w:r>
              <w:t xml:space="preserve">1</w:t>
            </w:r>
            <w:r/>
          </w:p>
        </w:tc>
        <w:tc>
          <w:tcPr>
            <w:textDirection w:val="lrTb"/>
            <w:noWrap w:val="false"/>
          </w:tcPr>
          <w:p>
            <w:pPr>
              <w:pStyle w:val="659"/>
              <w:jc w:val="left"/>
            </w:pPr>
            <w:r>
              <w:t xml:space="preserve">AztekinTailData</w:t>
            </w:r>
            <w:r/>
          </w:p>
        </w:tc>
        <w:tc>
          <w:tcPr>
            <w:textDirection w:val="lrTb"/>
            <w:noWrap w:val="false"/>
          </w:tcPr>
          <w:p>
            <w:pPr>
              <w:pStyle w:val="659"/>
              <w:jc w:val="left"/>
            </w:pPr>
            <w:r>
              <w:t xml:space="preserve">31535 13199</w:t>
            </w:r>
            <w:r/>
          </w:p>
        </w:tc>
        <w:tc>
          <w:tcPr>
            <w:textDirection w:val="lrTb"/>
            <w:noWrap w:val="false"/>
          </w:tcPr>
          <w:p>
            <w:pPr>
              <w:pStyle w:val="659"/>
              <w:jc w:val="left"/>
            </w:pPr>
            <w:r>
              <w:t xml:space="preserve">13434.67</w:t>
            </w:r>
            <w:r/>
          </w:p>
        </w:tc>
        <w:tc>
          <w:tcPr>
            <w:textDirection w:val="lrTb"/>
            <w:noWrap w:val="false"/>
          </w:tcPr>
          <w:p>
            <w:pPr>
              <w:pStyle w:val="659"/>
              <w:jc w:val="left"/>
            </w:pPr>
            <w:r>
              <w:t xml:space="preserve">0.9296133</w:t>
            </w:r>
            <w:r/>
          </w:p>
        </w:tc>
        <w:tc>
          <w:tcPr>
            <w:textDirection w:val="lrTb"/>
            <w:noWrap w:val="false"/>
          </w:tcPr>
          <w:p>
            <w:pPr>
              <w:pStyle w:val="659"/>
              <w:jc w:val="left"/>
            </w:pPr>
            <w:r>
              <w:t xml:space="preserve">1280 MB</w:t>
            </w:r>
            <w:r/>
          </w:p>
        </w:tc>
        <w:tc>
          <w:tcPr>
            <w:textDirection w:val="lrTb"/>
            <w:noWrap w:val="false"/>
          </w:tcPr>
          <w:p>
            <w:pPr>
              <w:pStyle w:val="659"/>
              <w:jc w:val="left"/>
            </w:pPr>
            <w:r>
              <w:t xml:space="preserve">650 MB</w:t>
            </w:r>
            <w:r/>
          </w:p>
        </w:tc>
        <w:tc>
          <w:tcPr>
            <w:textDirection w:val="lrTb"/>
            <w:noWrap w:val="false"/>
          </w:tcPr>
          <w:p>
            <w:pPr>
              <w:pStyle w:val="659"/>
              <w:jc w:val="left"/>
            </w:pPr>
            <w:r>
              <w:t xml:space="preserve">49.22%</w:t>
            </w:r>
            <w:r/>
          </w:p>
        </w:tc>
      </w:tr>
      <w:tr>
        <w:trPr/>
        <w:tc>
          <w:tcPr>
            <w:textDirection w:val="lrTb"/>
            <w:noWrap w:val="false"/>
          </w:tcPr>
          <w:p>
            <w:pPr>
              <w:pStyle w:val="659"/>
              <w:jc w:val="left"/>
            </w:pPr>
            <w:r>
              <w:t xml:space="preserve">2</w:t>
            </w:r>
            <w:r/>
          </w:p>
        </w:tc>
        <w:tc>
          <w:tcPr>
            <w:textDirection w:val="lrTb"/>
            <w:noWrap w:val="false"/>
          </w:tcPr>
          <w:p>
            <w:pPr>
              <w:pStyle w:val="659"/>
              <w:jc w:val="left"/>
            </w:pPr>
            <w:r>
              <w:t xml:space="preserve">BachMammaryData</w:t>
            </w:r>
            <w:r/>
          </w:p>
        </w:tc>
        <w:tc>
          <w:tcPr>
            <w:textDirection w:val="lrTb"/>
            <w:noWrap w:val="false"/>
          </w:tcPr>
          <w:p>
            <w:pPr>
              <w:pStyle w:val="659"/>
              <w:jc w:val="left"/>
            </w:pPr>
            <w:r>
              <w:t xml:space="preserve">27998 25806</w:t>
            </w:r>
            <w:r/>
          </w:p>
        </w:tc>
        <w:tc>
          <w:tcPr>
            <w:textDirection w:val="lrTb"/>
            <w:noWrap w:val="false"/>
          </w:tcPr>
          <w:p>
            <w:pPr>
              <w:pStyle w:val="659"/>
              <w:jc w:val="left"/>
            </w:pPr>
            <w:r>
              <w:t xml:space="preserve">8239.648</w:t>
            </w:r>
            <w:r/>
          </w:p>
        </w:tc>
        <w:tc>
          <w:tcPr>
            <w:textDirection w:val="lrTb"/>
            <w:noWrap w:val="false"/>
          </w:tcPr>
          <w:p>
            <w:pPr>
              <w:pStyle w:val="659"/>
              <w:jc w:val="left"/>
            </w:pPr>
            <w:r>
              <w:t xml:space="preserve">0.9152684</w:t>
            </w:r>
            <w:r/>
          </w:p>
        </w:tc>
        <w:tc>
          <w:tcPr>
            <w:textDirection w:val="lrTb"/>
            <w:noWrap w:val="false"/>
          </w:tcPr>
          <w:p>
            <w:pPr>
              <w:pStyle w:val="659"/>
              <w:jc w:val="left"/>
            </w:pPr>
            <w:r>
              <w:t xml:space="preserve">2230 MB</w:t>
            </w:r>
            <w:r/>
          </w:p>
        </w:tc>
        <w:tc>
          <w:tcPr>
            <w:textDirection w:val="lrTb"/>
            <w:noWrap w:val="false"/>
          </w:tcPr>
          <w:p>
            <w:pPr>
              <w:pStyle w:val="659"/>
              <w:jc w:val="left"/>
            </w:pPr>
            <w:r>
              <w:t xml:space="preserve">1.16 MB</w:t>
            </w:r>
            <w:r/>
          </w:p>
        </w:tc>
        <w:tc>
          <w:tcPr>
            <w:textDirection w:val="lrTb"/>
            <w:noWrap w:val="false"/>
          </w:tcPr>
          <w:p>
            <w:pPr>
              <w:pStyle w:val="659"/>
              <w:jc w:val="left"/>
            </w:pPr>
            <w:r>
              <w:t xml:space="preserve">47.98%</w:t>
            </w:r>
            <w:r/>
          </w:p>
        </w:tc>
      </w:tr>
      <w:tr>
        <w:trPr/>
        <w:tc>
          <w:tcPr>
            <w:textDirection w:val="lrTb"/>
            <w:noWrap w:val="false"/>
          </w:tcPr>
          <w:p>
            <w:pPr>
              <w:pStyle w:val="659"/>
              <w:jc w:val="left"/>
            </w:pPr>
            <w:r>
              <w:t xml:space="preserve">3</w:t>
            </w:r>
            <w:r/>
          </w:p>
        </w:tc>
        <w:tc>
          <w:tcPr>
            <w:textDirection w:val="lrTb"/>
            <w:noWrap w:val="false"/>
          </w:tcPr>
          <w:p>
            <w:pPr>
              <w:pStyle w:val="659"/>
              <w:jc w:val="left"/>
            </w:pPr>
            <w:r>
              <w:t xml:space="preserve">BaronPancreasData(</w:t>
            </w:r>
            <w:r>
              <w:t xml:space="preserve">‘</w:t>
            </w:r>
            <w:r>
              <w:t xml:space="preserve">human</w:t>
            </w:r>
            <w:r>
              <w:t xml:space="preserve">’</w:t>
            </w:r>
            <w:r>
              <w:t xml:space="preserve">)</w:t>
            </w:r>
            <w:r/>
          </w:p>
        </w:tc>
        <w:tc>
          <w:tcPr>
            <w:textDirection w:val="lrTb"/>
            <w:noWrap w:val="false"/>
          </w:tcPr>
          <w:p>
            <w:pPr>
              <w:pStyle w:val="659"/>
              <w:jc w:val="left"/>
            </w:pPr>
            <w:r>
              <w:t xml:space="preserve">20125 8569</w:t>
            </w:r>
            <w:r/>
          </w:p>
        </w:tc>
        <w:tc>
          <w:tcPr>
            <w:textDirection w:val="lrTb"/>
            <w:noWrap w:val="false"/>
          </w:tcPr>
          <w:p>
            <w:pPr>
              <w:pStyle w:val="659"/>
              <w:jc w:val="left"/>
            </w:pPr>
            <w:r>
              <w:t xml:space="preserve">5828.225</w:t>
            </w:r>
            <w:r/>
          </w:p>
        </w:tc>
        <w:tc>
          <w:tcPr>
            <w:textDirection w:val="lrTb"/>
            <w:noWrap w:val="false"/>
          </w:tcPr>
          <w:p>
            <w:pPr>
              <w:pStyle w:val="659"/>
              <w:jc w:val="left"/>
            </w:pPr>
            <w:r>
              <w:t xml:space="preserve">0.9062241</w:t>
            </w:r>
            <w:r/>
          </w:p>
        </w:tc>
        <w:tc>
          <w:tcPr>
            <w:textDirection w:val="lrTb"/>
            <w:noWrap w:val="false"/>
          </w:tcPr>
          <w:p>
            <w:pPr>
              <w:pStyle w:val="659"/>
              <w:jc w:val="left"/>
            </w:pPr>
            <w:r>
              <w:t xml:space="preserve">718 MB</w:t>
            </w:r>
            <w:r/>
          </w:p>
        </w:tc>
        <w:tc>
          <w:tcPr>
            <w:textDirection w:val="lrTb"/>
            <w:noWrap w:val="false"/>
          </w:tcPr>
          <w:p>
            <w:pPr>
              <w:pStyle w:val="659"/>
              <w:jc w:val="left"/>
            </w:pPr>
            <w:r>
              <w:t xml:space="preserve">364 MB</w:t>
            </w:r>
            <w:r/>
          </w:p>
        </w:tc>
        <w:tc>
          <w:tcPr>
            <w:textDirection w:val="lrTb"/>
            <w:noWrap w:val="false"/>
          </w:tcPr>
          <w:p>
            <w:pPr>
              <w:pStyle w:val="659"/>
              <w:jc w:val="left"/>
            </w:pPr>
            <w:r>
              <w:t xml:space="preserve">49.3%</w:t>
            </w:r>
            <w:r/>
          </w:p>
        </w:tc>
      </w:tr>
      <w:tr>
        <w:trPr/>
        <w:tc>
          <w:tcPr>
            <w:textDirection w:val="lrTb"/>
            <w:noWrap w:val="false"/>
          </w:tcPr>
          <w:p>
            <w:pPr>
              <w:pStyle w:val="659"/>
              <w:jc w:val="left"/>
            </w:pPr>
            <w:r>
              <w:t xml:space="preserve">4</w:t>
            </w:r>
            <w:r/>
          </w:p>
        </w:tc>
        <w:tc>
          <w:tcPr>
            <w:textDirection w:val="lrTb"/>
            <w:noWrap w:val="false"/>
          </w:tcPr>
          <w:p>
            <w:pPr>
              <w:pStyle w:val="659"/>
              <w:jc w:val="left"/>
            </w:pPr>
            <w:r>
              <w:t xml:space="preserve">BaronPancreasData(</w:t>
            </w:r>
            <w:r>
              <w:t xml:space="preserve">‘</w:t>
            </w:r>
            <w:r>
              <w:t xml:space="preserve">mouse</w:t>
            </w:r>
            <w:r>
              <w:t xml:space="preserve">’</w:t>
            </w:r>
            <w:r>
              <w:t xml:space="preserve">)</w:t>
            </w:r>
            <w:r/>
          </w:p>
        </w:tc>
        <w:tc>
          <w:tcPr>
            <w:textDirection w:val="lrTb"/>
            <w:noWrap w:val="false"/>
          </w:tcPr>
          <w:p>
            <w:pPr>
              <w:pStyle w:val="659"/>
              <w:jc w:val="left"/>
            </w:pPr>
            <w:r>
              <w:t xml:space="preserve">14878 1886</w:t>
            </w:r>
            <w:r/>
          </w:p>
        </w:tc>
        <w:tc>
          <w:tcPr>
            <w:textDirection w:val="lrTb"/>
            <w:noWrap w:val="false"/>
          </w:tcPr>
          <w:p>
            <w:pPr>
              <w:pStyle w:val="659"/>
              <w:jc w:val="left"/>
            </w:pPr>
            <w:r>
              <w:t xml:space="preserve">4990.086</w:t>
            </w:r>
            <w:r/>
          </w:p>
        </w:tc>
        <w:tc>
          <w:tcPr>
            <w:textDirection w:val="lrTb"/>
            <w:noWrap w:val="false"/>
          </w:tcPr>
          <w:p>
            <w:pPr>
              <w:pStyle w:val="659"/>
              <w:jc w:val="left"/>
            </w:pPr>
            <w:r>
              <w:t xml:space="preserve">0.8897182</w:t>
            </w:r>
            <w:r/>
          </w:p>
        </w:tc>
        <w:tc>
          <w:tcPr>
            <w:textDirection w:val="lrTb"/>
            <w:noWrap w:val="false"/>
          </w:tcPr>
          <w:p>
            <w:pPr>
              <w:pStyle w:val="659"/>
              <w:jc w:val="left"/>
            </w:pPr>
            <w:r>
              <w:t xml:space="preserve">137 MB</w:t>
            </w:r>
            <w:r/>
          </w:p>
        </w:tc>
        <w:tc>
          <w:tcPr>
            <w:textDirection w:val="lrTb"/>
            <w:noWrap w:val="false"/>
          </w:tcPr>
          <w:p>
            <w:pPr>
              <w:pStyle w:val="659"/>
              <w:jc w:val="left"/>
            </w:pPr>
            <w:r>
              <w:t xml:space="preserve">73.5 MB</w:t>
            </w:r>
            <w:r/>
          </w:p>
        </w:tc>
        <w:tc>
          <w:tcPr>
            <w:textDirection w:val="lrTb"/>
            <w:noWrap w:val="false"/>
          </w:tcPr>
          <w:p>
            <w:pPr>
              <w:pStyle w:val="659"/>
              <w:jc w:val="left"/>
            </w:pPr>
            <w:r>
              <w:t xml:space="preserve">46.35%</w:t>
            </w:r>
            <w:r/>
          </w:p>
        </w:tc>
      </w:tr>
      <w:tr>
        <w:trPr/>
        <w:tc>
          <w:tcPr>
            <w:textDirection w:val="lrTb"/>
            <w:noWrap w:val="false"/>
          </w:tcPr>
          <w:p>
            <w:pPr>
              <w:pStyle w:val="659"/>
              <w:jc w:val="left"/>
            </w:pPr>
            <w:r>
              <w:t xml:space="preserve">5</w:t>
            </w:r>
            <w:r/>
          </w:p>
        </w:tc>
        <w:tc>
          <w:tcPr>
            <w:textDirection w:val="lrTb"/>
            <w:noWrap w:val="false"/>
          </w:tcPr>
          <w:p>
            <w:pPr>
              <w:pStyle w:val="659"/>
              <w:jc w:val="left"/>
            </w:pPr>
            <w:r>
              <w:t xml:space="preserve">KotliarovPBMCData</w:t>
            </w:r>
            <w:r/>
          </w:p>
        </w:tc>
        <w:tc>
          <w:tcPr>
            <w:textDirection w:val="lrTb"/>
            <w:noWrap w:val="false"/>
          </w:tcPr>
          <w:p>
            <w:pPr>
              <w:pStyle w:val="659"/>
              <w:jc w:val="left"/>
            </w:pPr>
            <w:r>
              <w:t xml:space="preserve">32738 58654</w:t>
            </w:r>
            <w:r/>
          </w:p>
        </w:tc>
        <w:tc>
          <w:tcPr>
            <w:textDirection w:val="lrTb"/>
            <w:noWrap w:val="false"/>
          </w:tcPr>
          <w:p>
            <w:pPr>
              <w:pStyle w:val="659"/>
              <w:jc w:val="left"/>
            </w:pPr>
            <w:r>
              <w:t xml:space="preserve">2065.245</w:t>
            </w:r>
            <w:r/>
          </w:p>
        </w:tc>
        <w:tc>
          <w:tcPr>
            <w:textDirection w:val="lrTb"/>
            <w:noWrap w:val="false"/>
          </w:tcPr>
          <w:p>
            <w:pPr>
              <w:pStyle w:val="659"/>
              <w:jc w:val="left"/>
            </w:pPr>
            <w:r>
              <w:t xml:space="preserve">0.9780209</w:t>
            </w:r>
            <w:r/>
          </w:p>
        </w:tc>
        <w:tc>
          <w:tcPr>
            <w:textDirection w:val="lrTb"/>
            <w:noWrap w:val="false"/>
          </w:tcPr>
          <w:p>
            <w:pPr>
              <w:pStyle w:val="659"/>
              <w:jc w:val="left"/>
            </w:pPr>
            <w:r>
              <w:t xml:space="preserve">1920 MB</w:t>
            </w:r>
            <w:r/>
          </w:p>
        </w:tc>
        <w:tc>
          <w:tcPr>
            <w:textDirection w:val="lrTb"/>
            <w:noWrap w:val="false"/>
          </w:tcPr>
          <w:p>
            <w:pPr>
              <w:pStyle w:val="659"/>
              <w:jc w:val="left"/>
            </w:pPr>
            <w:r>
              <w:t xml:space="preserve">1040 MB</w:t>
            </w:r>
            <w:r/>
          </w:p>
        </w:tc>
        <w:tc>
          <w:tcPr>
            <w:textDirection w:val="lrTb"/>
            <w:noWrap w:val="false"/>
          </w:tcPr>
          <w:p>
            <w:pPr>
              <w:pStyle w:val="659"/>
              <w:jc w:val="left"/>
            </w:pPr>
            <w:r>
              <w:t xml:space="preserve">45.83%</w:t>
            </w:r>
            <w:r/>
          </w:p>
        </w:tc>
      </w:tr>
      <w:tr>
        <w:trPr/>
        <w:tc>
          <w:tcPr>
            <w:textDirection w:val="lrTb"/>
            <w:noWrap w:val="false"/>
          </w:tcPr>
          <w:p>
            <w:pPr>
              <w:pStyle w:val="659"/>
              <w:jc w:val="left"/>
            </w:pPr>
            <w:r>
              <w:t xml:space="preserve">6</w:t>
            </w:r>
            <w:r/>
          </w:p>
        </w:tc>
        <w:tc>
          <w:tcPr>
            <w:textDirection w:val="lrTb"/>
            <w:noWrap w:val="false"/>
          </w:tcPr>
          <w:p>
            <w:pPr>
              <w:pStyle w:val="659"/>
              <w:jc w:val="left"/>
            </w:pPr>
            <w:r>
              <w:t xml:space="preserve">BuettnerESCData</w:t>
            </w:r>
            <w:r/>
          </w:p>
        </w:tc>
        <w:tc>
          <w:tcPr>
            <w:textDirection w:val="lrTb"/>
            <w:noWrap w:val="false"/>
          </w:tcPr>
          <w:p>
            <w:pPr>
              <w:pStyle w:val="659"/>
              <w:jc w:val="left"/>
            </w:pPr>
            <w:r>
              <w:t xml:space="preserve">38293 288</w:t>
            </w:r>
            <w:r/>
          </w:p>
        </w:tc>
        <w:tc>
          <w:tcPr>
            <w:textDirection w:val="lrTb"/>
            <w:noWrap w:val="false"/>
          </w:tcPr>
          <w:p>
            <w:pPr>
              <w:pStyle w:val="659"/>
              <w:jc w:val="left"/>
            </w:pPr>
            <w:r>
              <w:t xml:space="preserve">2767864</w:t>
            </w:r>
            <w:r/>
          </w:p>
        </w:tc>
        <w:tc>
          <w:tcPr>
            <w:textDirection w:val="lrTb"/>
            <w:noWrap w:val="false"/>
          </w:tcPr>
          <w:p>
            <w:pPr>
              <w:pStyle w:val="659"/>
              <w:jc w:val="left"/>
            </w:pPr>
            <w:r>
              <w:t xml:space="preserve">0.7440639</w:t>
            </w:r>
            <w:r/>
          </w:p>
        </w:tc>
        <w:tc>
          <w:tcPr>
            <w:textDirection w:val="lrTb"/>
            <w:noWrap w:val="false"/>
          </w:tcPr>
          <w:p>
            <w:pPr>
              <w:pStyle w:val="659"/>
              <w:jc w:val="left"/>
            </w:pPr>
            <w:r>
              <w:t xml:space="preserve">204 MB</w:t>
            </w:r>
            <w:r/>
          </w:p>
        </w:tc>
        <w:tc>
          <w:tcPr>
            <w:textDirection w:val="lrTb"/>
            <w:noWrap w:val="false"/>
          </w:tcPr>
          <w:p>
            <w:pPr>
              <w:pStyle w:val="659"/>
              <w:jc w:val="left"/>
            </w:pPr>
            <w:r>
              <w:t xml:space="preserve">91 MB</w:t>
            </w:r>
            <w:r/>
          </w:p>
        </w:tc>
        <w:tc>
          <w:tcPr>
            <w:textDirection w:val="lrTb"/>
            <w:noWrap w:val="false"/>
          </w:tcPr>
          <w:p>
            <w:pPr>
              <w:pStyle w:val="659"/>
              <w:jc w:val="left"/>
            </w:pPr>
            <w:r>
              <w:t xml:space="preserve">55.39%</w:t>
            </w:r>
            <w:r/>
          </w:p>
        </w:tc>
      </w:tr>
      <w:tr>
        <w:trPr/>
        <w:tc>
          <w:tcPr>
            <w:textDirection w:val="lrTb"/>
            <w:noWrap w:val="false"/>
          </w:tcPr>
          <w:p>
            <w:pPr>
              <w:pStyle w:val="659"/>
              <w:jc w:val="left"/>
            </w:pPr>
            <w:r>
              <w:t xml:space="preserve">7</w:t>
            </w:r>
            <w:r/>
          </w:p>
        </w:tc>
        <w:tc>
          <w:tcPr>
            <w:textDirection w:val="lrTb"/>
            <w:noWrap w:val="false"/>
          </w:tcPr>
          <w:p>
            <w:pPr>
              <w:pStyle w:val="659"/>
              <w:jc w:val="left"/>
            </w:pPr>
            <w:r>
              <w:t xml:space="preserve">CampbellBrainData</w:t>
            </w:r>
            <w:r/>
          </w:p>
        </w:tc>
        <w:tc>
          <w:tcPr>
            <w:textDirection w:val="lrTb"/>
            <w:noWrap w:val="false"/>
          </w:tcPr>
          <w:p>
            <w:pPr>
              <w:pStyle w:val="659"/>
              <w:jc w:val="left"/>
            </w:pPr>
            <w:r>
              <w:t xml:space="preserve">26774 21086</w:t>
            </w:r>
            <w:r/>
          </w:p>
        </w:tc>
        <w:tc>
          <w:tcPr>
            <w:textDirection w:val="lrTb"/>
            <w:noWrap w:val="false"/>
          </w:tcPr>
          <w:p>
            <w:pPr>
              <w:pStyle w:val="659"/>
              <w:jc w:val="left"/>
            </w:pPr>
            <w:r>
              <w:t xml:space="preserve">4024.644</w:t>
            </w:r>
            <w:r/>
          </w:p>
        </w:tc>
        <w:tc>
          <w:tcPr>
            <w:textDirection w:val="lrTb"/>
            <w:noWrap w:val="false"/>
          </w:tcPr>
          <w:p>
            <w:pPr>
              <w:pStyle w:val="659"/>
              <w:jc w:val="left"/>
            </w:pPr>
            <w:r>
              <w:t xml:space="preserve">0.9279162</w:t>
            </w:r>
            <w:r/>
          </w:p>
        </w:tc>
        <w:tc>
          <w:tcPr>
            <w:textDirection w:val="lrTb"/>
            <w:noWrap w:val="false"/>
          </w:tcPr>
          <w:p>
            <w:pPr>
              <w:pStyle w:val="659"/>
              <w:jc w:val="left"/>
            </w:pPr>
            <w:r>
              <w:t xml:space="preserve">1710 MB</w:t>
            </w:r>
            <w:r/>
          </w:p>
        </w:tc>
        <w:tc>
          <w:tcPr>
            <w:textDirection w:val="lrTb"/>
            <w:noWrap w:val="false"/>
          </w:tcPr>
          <w:p>
            <w:pPr>
              <w:pStyle w:val="659"/>
              <w:jc w:val="left"/>
            </w:pPr>
            <w:r>
              <w:t xml:space="preserve">992 MB</w:t>
            </w:r>
            <w:r/>
          </w:p>
        </w:tc>
        <w:tc>
          <w:tcPr>
            <w:textDirection w:val="lrTb"/>
            <w:noWrap w:val="false"/>
          </w:tcPr>
          <w:p>
            <w:pPr>
              <w:pStyle w:val="659"/>
              <w:jc w:val="left"/>
            </w:pPr>
            <w:r>
              <w:t xml:space="preserve">41.99%</w:t>
            </w:r>
            <w:r/>
          </w:p>
        </w:tc>
      </w:tr>
      <w:tr>
        <w:trPr/>
        <w:tc>
          <w:tcPr>
            <w:textDirection w:val="lrTb"/>
            <w:noWrap w:val="false"/>
          </w:tcPr>
          <w:p>
            <w:pPr>
              <w:pStyle w:val="659"/>
              <w:jc w:val="left"/>
            </w:pPr>
            <w:r>
              <w:t xml:space="preserve">8</w:t>
            </w:r>
            <w:r/>
          </w:p>
        </w:tc>
        <w:tc>
          <w:tcPr>
            <w:textDirection w:val="lrTb"/>
            <w:noWrap w:val="false"/>
          </w:tcPr>
          <w:p>
            <w:pPr>
              <w:pStyle w:val="659"/>
              <w:jc w:val="left"/>
            </w:pPr>
            <w:r>
              <w:t xml:space="preserve">Random 31k x 13k</w:t>
            </w:r>
            <w:r/>
          </w:p>
        </w:tc>
        <w:tc>
          <w:tcPr>
            <w:textDirection w:val="lrTb"/>
            <w:noWrap w:val="false"/>
          </w:tcPr>
          <w:p>
            <w:pPr>
              <w:pStyle w:val="659"/>
              <w:jc w:val="left"/>
            </w:pPr>
            <w:r>
              <w:t xml:space="preserve">31535 13199</w:t>
            </w:r>
            <w:r/>
          </w:p>
        </w:tc>
        <w:tc>
          <w:tcPr>
            <w:textDirection w:val="lrTb"/>
            <w:noWrap w:val="false"/>
          </w:tcPr>
          <w:p>
            <w:pPr>
              <w:pStyle w:val="659"/>
              <w:jc w:val="left"/>
            </w:pPr>
            <w:r>
              <w:t xml:space="preserve">283814.4</w:t>
            </w:r>
            <w:r/>
          </w:p>
        </w:tc>
        <w:tc>
          <w:tcPr>
            <w:textDirection w:val="lrTb"/>
            <w:noWrap w:val="false"/>
          </w:tcPr>
          <w:p>
            <w:pPr>
              <w:pStyle w:val="659"/>
              <w:jc w:val="left"/>
            </w:pPr>
            <w:r>
              <w:t xml:space="preserve">0.000123194</w:t>
            </w:r>
            <w:r/>
          </w:p>
        </w:tc>
        <w:tc>
          <w:tcPr>
            <w:textDirection w:val="lrTb"/>
            <w:noWrap w:val="false"/>
          </w:tcPr>
          <w:p>
            <w:pPr>
              <w:pStyle w:val="659"/>
              <w:jc w:val="left"/>
            </w:pPr>
            <w:r>
              <w:t xml:space="preserve">17000 MB</w:t>
            </w:r>
            <w:r/>
          </w:p>
        </w:tc>
        <w:tc>
          <w:tcPr>
            <w:textDirection w:val="lrTb"/>
            <w:noWrap w:val="false"/>
          </w:tcPr>
          <w:p>
            <w:pPr>
              <w:pStyle w:val="659"/>
              <w:jc w:val="left"/>
            </w:pPr>
            <w:r>
              <w:t xml:space="preserve">8330 MB</w:t>
            </w:r>
            <w:r/>
          </w:p>
        </w:tc>
        <w:tc>
          <w:tcPr>
            <w:textDirection w:val="lrTb"/>
            <w:noWrap w:val="false"/>
          </w:tcPr>
          <w:p>
            <w:pPr>
              <w:pStyle w:val="659"/>
              <w:jc w:val="left"/>
            </w:pPr>
            <w:r>
              <w:t xml:space="preserve">51%</w:t>
            </w:r>
            <w:r/>
          </w:p>
        </w:tc>
      </w:tr>
      <w:tr>
        <w:trPr/>
        <w:tc>
          <w:tcPr>
            <w:textDirection w:val="lrTb"/>
            <w:noWrap w:val="false"/>
          </w:tcPr>
          <w:p>
            <w:pPr>
              <w:pStyle w:val="659"/>
              <w:jc w:val="left"/>
            </w:pPr>
            <w:r>
              <w:t xml:space="preserve">9</w:t>
            </w:r>
            <w:r/>
          </w:p>
        </w:tc>
        <w:tc>
          <w:tcPr>
            <w:textDirection w:val="lrTb"/>
            <w:noWrap w:val="false"/>
          </w:tcPr>
          <w:p>
            <w:pPr>
              <w:pStyle w:val="659"/>
              <w:jc w:val="left"/>
            </w:pPr>
            <w:r>
              <w:t xml:space="preserve">Random 28k x 25k</w:t>
            </w:r>
            <w:r/>
          </w:p>
        </w:tc>
        <w:tc>
          <w:tcPr>
            <w:textDirection w:val="lrTb"/>
            <w:noWrap w:val="false"/>
          </w:tcPr>
          <w:p>
            <w:pPr>
              <w:pStyle w:val="659"/>
              <w:jc w:val="left"/>
            </w:pPr>
            <w:r>
              <w:t xml:space="preserve">27998 25806</w:t>
            </w:r>
            <w:r/>
          </w:p>
        </w:tc>
        <w:tc>
          <w:tcPr>
            <w:textDirection w:val="lrTb"/>
            <w:noWrap w:val="false"/>
          </w:tcPr>
          <w:p>
            <w:pPr>
              <w:pStyle w:val="659"/>
              <w:jc w:val="left"/>
            </w:pPr>
            <w:r>
              <w:t xml:space="preserve">251977.7</w:t>
            </w:r>
            <w:r/>
          </w:p>
        </w:tc>
        <w:tc>
          <w:tcPr>
            <w:textDirection w:val="lrTb"/>
            <w:noWrap w:val="false"/>
          </w:tcPr>
          <w:p>
            <w:pPr>
              <w:pStyle w:val="659"/>
              <w:jc w:val="left"/>
            </w:pPr>
            <w:r>
              <w:t xml:space="preserve">0.000123218</w:t>
            </w:r>
            <w:r/>
          </w:p>
        </w:tc>
        <w:tc>
          <w:tcPr>
            <w:textDirection w:val="lrTb"/>
            <w:noWrap w:val="false"/>
          </w:tcPr>
          <w:p>
            <w:pPr>
              <w:pStyle w:val="659"/>
              <w:jc w:val="left"/>
            </w:pPr>
            <w:r>
              <w:t xml:space="preserve">29500 MB</w:t>
            </w:r>
            <w:r/>
          </w:p>
        </w:tc>
        <w:tc>
          <w:tcPr>
            <w:textDirection w:val="lrTb"/>
            <w:noWrap w:val="false"/>
          </w:tcPr>
          <w:p>
            <w:pPr>
              <w:pStyle w:val="659"/>
              <w:jc w:val="left"/>
            </w:pPr>
            <w:r>
              <w:t xml:space="preserve">14500 MB</w:t>
            </w:r>
            <w:r/>
          </w:p>
        </w:tc>
        <w:tc>
          <w:tcPr>
            <w:textDirection w:val="lrTb"/>
            <w:noWrap w:val="false"/>
          </w:tcPr>
          <w:p>
            <w:pPr>
              <w:pStyle w:val="659"/>
              <w:jc w:val="left"/>
            </w:pPr>
            <w:r>
              <w:t xml:space="preserve">50.85%</w:t>
            </w:r>
            <w:r/>
          </w:p>
        </w:tc>
      </w:tr>
      <w:tr>
        <w:trPr/>
        <w:tc>
          <w:tcPr>
            <w:textDirection w:val="lrTb"/>
            <w:noWrap w:val="false"/>
          </w:tcPr>
          <w:p>
            <w:pPr>
              <w:pStyle w:val="659"/>
              <w:jc w:val="left"/>
            </w:pPr>
            <w:r>
              <w:t xml:space="preserve">10</w:t>
            </w:r>
            <w:r/>
          </w:p>
        </w:tc>
        <w:tc>
          <w:tcPr>
            <w:textDirection w:val="lrTb"/>
            <w:noWrap w:val="false"/>
          </w:tcPr>
          <w:p>
            <w:pPr>
              <w:pStyle w:val="659"/>
              <w:jc w:val="left"/>
            </w:pPr>
            <w:r>
              <w:t xml:space="preserve">Random 20k x 8k</w:t>
            </w:r>
            <w:r/>
          </w:p>
        </w:tc>
        <w:tc>
          <w:tcPr>
            <w:textDirection w:val="lrTb"/>
            <w:noWrap w:val="false"/>
          </w:tcPr>
          <w:p>
            <w:pPr>
              <w:pStyle w:val="659"/>
              <w:jc w:val="left"/>
            </w:pPr>
            <w:r>
              <w:t xml:space="preserve">20125 8569</w:t>
            </w:r>
            <w:r/>
          </w:p>
        </w:tc>
        <w:tc>
          <w:tcPr>
            <w:textDirection w:val="lrTb"/>
            <w:noWrap w:val="false"/>
          </w:tcPr>
          <w:p>
            <w:pPr>
              <w:pStyle w:val="659"/>
              <w:jc w:val="left"/>
            </w:pPr>
            <w:r>
              <w:t xml:space="preserve">181130.1</w:t>
            </w:r>
            <w:r/>
          </w:p>
        </w:tc>
        <w:tc>
          <w:tcPr>
            <w:textDirection w:val="lrTb"/>
            <w:noWrap w:val="false"/>
          </w:tcPr>
          <w:p>
            <w:pPr>
              <w:pStyle w:val="659"/>
              <w:jc w:val="left"/>
            </w:pPr>
            <w:r>
              <w:t xml:space="preserve">0.000123687</w:t>
            </w:r>
            <w:r/>
          </w:p>
        </w:tc>
        <w:tc>
          <w:tcPr>
            <w:textDirection w:val="lrTb"/>
            <w:noWrap w:val="false"/>
          </w:tcPr>
          <w:p>
            <w:pPr>
              <w:pStyle w:val="659"/>
              <w:jc w:val="left"/>
            </w:pPr>
            <w:r>
              <w:t xml:space="preserve">7110 MB</w:t>
            </w:r>
            <w:r/>
          </w:p>
        </w:tc>
        <w:tc>
          <w:tcPr>
            <w:textDirection w:val="lrTb"/>
            <w:noWrap w:val="false"/>
          </w:tcPr>
          <w:p>
            <w:pPr>
              <w:pStyle w:val="659"/>
              <w:jc w:val="left"/>
            </w:pPr>
            <w:r>
              <w:t xml:space="preserve">3450 MB</w:t>
            </w:r>
            <w:r/>
          </w:p>
        </w:tc>
        <w:tc>
          <w:tcPr>
            <w:textDirection w:val="lrTb"/>
            <w:noWrap w:val="false"/>
          </w:tcPr>
          <w:p>
            <w:pPr>
              <w:pStyle w:val="659"/>
              <w:jc w:val="left"/>
            </w:pPr>
            <w:r>
              <w:t xml:space="preserve">51.48%</w:t>
            </w:r>
            <w:r/>
          </w:p>
        </w:tc>
      </w:tr>
      <w:tr>
        <w:trPr/>
        <w:tc>
          <w:tcPr>
            <w:textDirection w:val="lrTb"/>
            <w:noWrap w:val="false"/>
          </w:tcPr>
          <w:p>
            <w:pPr>
              <w:pStyle w:val="659"/>
              <w:jc w:val="left"/>
            </w:pPr>
            <w:r>
              <w:t xml:space="preserve">11</w:t>
            </w:r>
            <w:r/>
          </w:p>
        </w:tc>
        <w:tc>
          <w:tcPr>
            <w:textDirection w:val="lrTb"/>
            <w:noWrap w:val="false"/>
          </w:tcPr>
          <w:p>
            <w:pPr>
              <w:pStyle w:val="659"/>
              <w:jc w:val="left"/>
            </w:pPr>
            <w:r>
              <w:t xml:space="preserve">Random 15k x 2k</w:t>
            </w:r>
            <w:r/>
          </w:p>
        </w:tc>
        <w:tc>
          <w:tcPr>
            <w:textDirection w:val="lrTb"/>
            <w:noWrap w:val="false"/>
          </w:tcPr>
          <w:p>
            <w:pPr>
              <w:pStyle w:val="659"/>
              <w:jc w:val="left"/>
            </w:pPr>
            <w:r>
              <w:t xml:space="preserve">14878 1886</w:t>
            </w:r>
            <w:r/>
          </w:p>
        </w:tc>
        <w:tc>
          <w:tcPr>
            <w:textDirection w:val="lrTb"/>
            <w:noWrap w:val="false"/>
          </w:tcPr>
          <w:p>
            <w:pPr>
              <w:pStyle w:val="659"/>
              <w:jc w:val="left"/>
            </w:pPr>
            <w:r>
              <w:t xml:space="preserve">133908.9</w:t>
            </w:r>
            <w:r/>
          </w:p>
        </w:tc>
        <w:tc>
          <w:tcPr>
            <w:textDirection w:val="lrTb"/>
            <w:noWrap w:val="false"/>
          </w:tcPr>
          <w:p>
            <w:pPr>
              <w:pStyle w:val="659"/>
              <w:jc w:val="left"/>
            </w:pPr>
            <w:r>
              <w:t xml:space="preserve">0.000124662</w:t>
            </w:r>
            <w:r/>
          </w:p>
        </w:tc>
        <w:tc>
          <w:tcPr>
            <w:textDirection w:val="lrTb"/>
            <w:noWrap w:val="false"/>
          </w:tcPr>
          <w:p>
            <w:pPr>
              <w:pStyle w:val="659"/>
              <w:jc w:val="left"/>
            </w:pPr>
            <w:r>
              <w:t xml:space="preserve">1170 MB</w:t>
            </w:r>
            <w:r/>
          </w:p>
        </w:tc>
        <w:tc>
          <w:tcPr>
            <w:textDirection w:val="lrTb"/>
            <w:noWrap w:val="false"/>
          </w:tcPr>
          <w:p>
            <w:pPr>
              <w:pStyle w:val="659"/>
              <w:jc w:val="left"/>
            </w:pPr>
            <w:r>
              <w:t xml:space="preserve">563 MB</w:t>
            </w:r>
            <w:r/>
          </w:p>
        </w:tc>
        <w:tc>
          <w:tcPr>
            <w:textDirection w:val="lrTb"/>
            <w:noWrap w:val="false"/>
          </w:tcPr>
          <w:p>
            <w:pPr>
              <w:pStyle w:val="659"/>
              <w:jc w:val="left"/>
            </w:pPr>
            <w:r>
              <w:t xml:space="preserve">51.88%</w:t>
            </w:r>
            <w:r/>
          </w:p>
        </w:tc>
      </w:tr>
      <w:tr>
        <w:trPr/>
        <w:tc>
          <w:tcPr>
            <w:textDirection w:val="lrTb"/>
            <w:noWrap w:val="false"/>
          </w:tcPr>
          <w:p>
            <w:pPr>
              <w:pStyle w:val="659"/>
              <w:jc w:val="left"/>
            </w:pPr>
            <w:r>
              <w:t xml:space="preserve">12</w:t>
            </w:r>
            <w:r/>
          </w:p>
        </w:tc>
        <w:tc>
          <w:tcPr>
            <w:textDirection w:val="lrTb"/>
            <w:noWrap w:val="false"/>
          </w:tcPr>
          <w:p>
            <w:pPr>
              <w:pStyle w:val="659"/>
              <w:jc w:val="left"/>
            </w:pPr>
            <w:r>
              <w:t xml:space="preserve">Random 33k x 59k</w:t>
            </w:r>
            <w:r/>
          </w:p>
        </w:tc>
        <w:tc>
          <w:tcPr>
            <w:textDirection w:val="lrTb"/>
            <w:noWrap w:val="false"/>
          </w:tcPr>
          <w:p>
            <w:pPr>
              <w:pStyle w:val="659"/>
              <w:jc w:val="left"/>
            </w:pPr>
            <w:r>
              <w:t xml:space="preserve">32738 58654</w:t>
            </w:r>
            <w:r/>
          </w:p>
        </w:tc>
        <w:tc>
          <w:tcPr>
            <w:textDirection w:val="lrTb"/>
            <w:noWrap w:val="false"/>
          </w:tcPr>
          <w:p>
            <w:pPr>
              <w:pStyle w:val="659"/>
              <w:jc w:val="left"/>
            </w:pPr>
            <w:r>
              <w:t xml:space="preserve">294641.4</w:t>
            </w:r>
            <w:r/>
          </w:p>
        </w:tc>
        <w:tc>
          <w:tcPr>
            <w:textDirection w:val="lrTb"/>
            <w:noWrap w:val="false"/>
          </w:tcPr>
          <w:p>
            <w:pPr>
              <w:pStyle w:val="659"/>
              <w:jc w:val="left"/>
            </w:pPr>
            <w:r>
              <w:t xml:space="preserve">0.000123562</w:t>
            </w:r>
            <w:r/>
          </w:p>
        </w:tc>
        <w:tc>
          <w:tcPr>
            <w:textDirection w:val="lrTb"/>
            <w:noWrap w:val="false"/>
          </w:tcPr>
          <w:p>
            <w:pPr>
              <w:pStyle w:val="659"/>
              <w:jc w:val="left"/>
            </w:pPr>
            <w:r>
              <w:t xml:space="preserve">78300 MB</w:t>
            </w:r>
            <w:r/>
          </w:p>
        </w:tc>
        <w:tc>
          <w:tcPr>
            <w:textDirection w:val="lrTb"/>
            <w:noWrap w:val="false"/>
          </w:tcPr>
          <w:p>
            <w:pPr>
              <w:pStyle w:val="659"/>
              <w:jc w:val="left"/>
            </w:pPr>
            <w:r>
              <w:t xml:space="preserve">38400 MB</w:t>
            </w:r>
            <w:r/>
          </w:p>
        </w:tc>
        <w:tc>
          <w:tcPr>
            <w:textDirection w:val="lrTb"/>
            <w:noWrap w:val="false"/>
          </w:tcPr>
          <w:p>
            <w:pPr>
              <w:pStyle w:val="659"/>
              <w:jc w:val="left"/>
            </w:pPr>
            <w:r>
              <w:t xml:space="preserve">50.96%</w:t>
            </w:r>
            <w:r/>
          </w:p>
        </w:tc>
      </w:tr>
      <w:tr>
        <w:trPr/>
        <w:tc>
          <w:tcPr>
            <w:textDirection w:val="lrTb"/>
            <w:noWrap w:val="false"/>
          </w:tcPr>
          <w:p>
            <w:pPr>
              <w:pStyle w:val="659"/>
              <w:jc w:val="left"/>
            </w:pPr>
            <w:r>
              <w:t xml:space="preserve">13</w:t>
            </w:r>
            <w:r/>
          </w:p>
        </w:tc>
        <w:tc>
          <w:tcPr>
            <w:textDirection w:val="lrTb"/>
            <w:noWrap w:val="false"/>
          </w:tcPr>
          <w:p>
            <w:pPr>
              <w:pStyle w:val="659"/>
              <w:jc w:val="left"/>
            </w:pPr>
            <w:r>
              <w:t xml:space="preserve">Random 38k x 0.3k</w:t>
            </w:r>
            <w:r/>
          </w:p>
        </w:tc>
        <w:tc>
          <w:tcPr>
            <w:textDirection w:val="lrTb"/>
            <w:noWrap w:val="false"/>
          </w:tcPr>
          <w:p>
            <w:pPr>
              <w:pStyle w:val="659"/>
              <w:jc w:val="left"/>
            </w:pPr>
            <w:r>
              <w:t xml:space="preserve">38293 288</w:t>
            </w:r>
            <w:r/>
          </w:p>
        </w:tc>
        <w:tc>
          <w:tcPr>
            <w:textDirection w:val="lrTb"/>
            <w:noWrap w:val="false"/>
          </w:tcPr>
          <w:p>
            <w:pPr>
              <w:pStyle w:val="659"/>
              <w:jc w:val="left"/>
            </w:pPr>
            <w:r>
              <w:t xml:space="preserve">344673.6</w:t>
            </w:r>
            <w:r/>
          </w:p>
        </w:tc>
        <w:tc>
          <w:tcPr>
            <w:textDirection w:val="lrTb"/>
            <w:noWrap w:val="false"/>
          </w:tcPr>
          <w:p>
            <w:pPr>
              <w:pStyle w:val="659"/>
              <w:jc w:val="left"/>
            </w:pPr>
            <w:r>
              <w:t xml:space="preserve">0.000125404</w:t>
            </w:r>
            <w:r/>
          </w:p>
        </w:tc>
        <w:tc>
          <w:tcPr>
            <w:textDirection w:val="lrTb"/>
            <w:noWrap w:val="false"/>
          </w:tcPr>
          <w:p>
            <w:pPr>
              <w:pStyle w:val="659"/>
              <w:jc w:val="left"/>
            </w:pPr>
            <w:r>
              <w:t xml:space="preserve">454 MB</w:t>
            </w:r>
            <w:r/>
          </w:p>
        </w:tc>
        <w:tc>
          <w:tcPr>
            <w:textDirection w:val="lrTb"/>
            <w:noWrap w:val="false"/>
          </w:tcPr>
          <w:p>
            <w:pPr>
              <w:pStyle w:val="659"/>
              <w:jc w:val="left"/>
            </w:pPr>
            <w:r>
              <w:t xml:space="preserve">224 MB</w:t>
            </w:r>
            <w:r/>
          </w:p>
        </w:tc>
        <w:tc>
          <w:tcPr>
            <w:textDirection w:val="lrTb"/>
            <w:noWrap w:val="false"/>
          </w:tcPr>
          <w:p>
            <w:pPr>
              <w:pStyle w:val="659"/>
              <w:jc w:val="left"/>
            </w:pPr>
            <w:r>
              <w:t xml:space="preserve">50.66%</w:t>
            </w:r>
            <w:r/>
          </w:p>
        </w:tc>
      </w:tr>
      <w:tr>
        <w:trPr/>
        <w:tc>
          <w:tcPr>
            <w:textDirection w:val="lrTb"/>
            <w:noWrap w:val="false"/>
          </w:tcPr>
          <w:p>
            <w:pPr>
              <w:pStyle w:val="659"/>
              <w:jc w:val="left"/>
            </w:pPr>
            <w:r>
              <w:t xml:space="preserve">14</w:t>
            </w:r>
            <w:r/>
          </w:p>
        </w:tc>
        <w:tc>
          <w:tcPr>
            <w:textDirection w:val="lrTb"/>
            <w:noWrap w:val="false"/>
          </w:tcPr>
          <w:p>
            <w:pPr>
              <w:pStyle w:val="659"/>
              <w:jc w:val="left"/>
            </w:pPr>
            <w:r>
              <w:t xml:space="preserve">Random 27k x 21k</w:t>
            </w:r>
            <w:r/>
          </w:p>
        </w:tc>
        <w:tc>
          <w:tcPr>
            <w:textDirection w:val="lrTb"/>
            <w:noWrap w:val="false"/>
          </w:tcPr>
          <w:p>
            <w:pPr>
              <w:pStyle w:val="659"/>
              <w:jc w:val="left"/>
            </w:pPr>
            <w:r>
              <w:t xml:space="preserve">26774 21086</w:t>
            </w:r>
            <w:r/>
          </w:p>
        </w:tc>
        <w:tc>
          <w:tcPr>
            <w:textDirection w:val="lrTb"/>
            <w:noWrap w:val="false"/>
          </w:tcPr>
          <w:p>
            <w:pPr>
              <w:pStyle w:val="659"/>
              <w:jc w:val="left"/>
            </w:pPr>
            <w:r>
              <w:t xml:space="preserve">240964.1</w:t>
            </w:r>
            <w:r/>
          </w:p>
        </w:tc>
        <w:tc>
          <w:tcPr>
            <w:textDirection w:val="lrTb"/>
            <w:noWrap w:val="false"/>
          </w:tcPr>
          <w:p>
            <w:pPr>
              <w:pStyle w:val="659"/>
              <w:jc w:val="left"/>
            </w:pPr>
            <w:r>
              <w:t xml:space="preserve">0.000123049</w:t>
            </w:r>
            <w:r/>
          </w:p>
        </w:tc>
        <w:tc>
          <w:tcPr>
            <w:textDirection w:val="lrTb"/>
            <w:noWrap w:val="false"/>
          </w:tcPr>
          <w:p>
            <w:pPr>
              <w:pStyle w:val="659"/>
              <w:jc w:val="left"/>
            </w:pPr>
            <w:r>
              <w:t xml:space="preserve">23100 MB</w:t>
            </w:r>
            <w:r/>
          </w:p>
        </w:tc>
        <w:tc>
          <w:tcPr>
            <w:textDirection w:val="lrTb"/>
            <w:noWrap w:val="false"/>
          </w:tcPr>
          <w:p>
            <w:pPr>
              <w:pStyle w:val="659"/>
              <w:jc w:val="left"/>
            </w:pPr>
            <w:r>
              <w:t xml:space="preserve">11300 MB</w:t>
            </w:r>
            <w:r/>
          </w:p>
        </w:tc>
        <w:tc>
          <w:tcPr>
            <w:textDirection w:val="lrTb"/>
            <w:noWrap w:val="false"/>
          </w:tcPr>
          <w:p>
            <w:pPr>
              <w:pStyle w:val="659"/>
              <w:jc w:val="left"/>
            </w:pPr>
            <w:r>
              <w:t xml:space="preserve">51.08%</w:t>
            </w:r>
            <w:r/>
          </w:p>
        </w:tc>
      </w:tr>
      <w:tr>
        <w:trPr/>
        <w:tc>
          <w:tcPr>
            <w:textDirection w:val="lrTb"/>
            <w:noWrap w:val="false"/>
          </w:tcPr>
          <w:p>
            <w:pPr>
              <w:pStyle w:val="659"/>
              <w:jc w:val="left"/>
            </w:pPr>
            <w:r>
              <w:t xml:space="preserve">15</w:t>
            </w:r>
            <w:r/>
          </w:p>
        </w:tc>
        <w:tc>
          <w:tcPr>
            <w:textDirection w:val="lrTb"/>
            <w:noWrap w:val="false"/>
          </w:tcPr>
          <w:p>
            <w:pPr>
              <w:pStyle w:val="659"/>
              <w:jc w:val="left"/>
            </w:pPr>
            <w:r>
              <w:t xml:space="preserve">pbmc3k</w:t>
            </w:r>
            <w:r/>
          </w:p>
        </w:tc>
        <w:tc>
          <w:tcPr>
            <w:textDirection w:val="lrTb"/>
            <w:noWrap w:val="false"/>
          </w:tcPr>
          <w:p>
            <w:pPr>
              <w:pStyle w:val="659"/>
              <w:jc w:val="left"/>
            </w:pPr>
            <w:r>
              <w:t xml:space="preserve">32738 2700</w:t>
            </w:r>
            <w:r/>
          </w:p>
        </w:tc>
        <w:tc>
          <w:tcPr>
            <w:textDirection w:val="lrTb"/>
            <w:noWrap w:val="false"/>
          </w:tcPr>
          <w:p>
            <w:pPr>
              <w:pStyle w:val="659"/>
              <w:jc w:val="left"/>
            </w:pPr>
            <w:r>
              <w:t xml:space="preserve">2366.9</w:t>
            </w:r>
            <w:r/>
          </w:p>
        </w:tc>
        <w:tc>
          <w:tcPr>
            <w:textDirection w:val="lrTb"/>
            <w:noWrap w:val="false"/>
          </w:tcPr>
          <w:p>
            <w:pPr>
              <w:pStyle w:val="659"/>
              <w:jc w:val="left"/>
            </w:pPr>
            <w:r>
              <w:t xml:space="preserve">0.9741281</w:t>
            </w:r>
            <w:r/>
          </w:p>
        </w:tc>
        <w:tc>
          <w:tcPr>
            <w:textDirection w:val="lrTb"/>
            <w:noWrap w:val="false"/>
          </w:tcPr>
          <w:p>
            <w:pPr>
              <w:pStyle w:val="659"/>
              <w:jc w:val="left"/>
            </w:pPr>
            <w:r>
              <w:t xml:space="preserve">16.3 MB</w:t>
            </w:r>
            <w:r/>
          </w:p>
        </w:tc>
        <w:tc>
          <w:tcPr>
            <w:textDirection w:val="lrTb"/>
            <w:noWrap w:val="false"/>
          </w:tcPr>
          <w:p>
            <w:pPr>
              <w:pStyle w:val="659"/>
              <w:jc w:val="left"/>
            </w:pPr>
            <w:r>
              <w:t xml:space="preserve">7.16 MB</w:t>
            </w:r>
            <w:r/>
          </w:p>
        </w:tc>
        <w:tc>
          <w:tcPr>
            <w:textDirection w:val="lrTb"/>
            <w:noWrap w:val="false"/>
          </w:tcPr>
          <w:p>
            <w:pPr>
              <w:pStyle w:val="659"/>
              <w:jc w:val="left"/>
            </w:pPr>
            <w:r>
              <w:t xml:space="preserve">56.07%</w:t>
            </w:r>
            <w:r/>
          </w:p>
        </w:tc>
      </w:tr>
      <w:tr>
        <w:trPr/>
        <w:tc>
          <w:tcPr>
            <w:textDirection w:val="lrTb"/>
            <w:noWrap w:val="false"/>
          </w:tcPr>
          <w:p>
            <w:pPr>
              <w:pStyle w:val="659"/>
              <w:jc w:val="left"/>
            </w:pPr>
            <w:r>
              <w:t xml:space="preserve">16</w:t>
            </w:r>
            <w:r/>
          </w:p>
        </w:tc>
        <w:tc>
          <w:tcPr>
            <w:textDirection w:val="lrTb"/>
            <w:noWrap w:val="false"/>
          </w:tcPr>
          <w:p>
            <w:pPr>
              <w:pStyle w:val="659"/>
              <w:jc w:val="left"/>
            </w:pPr>
            <w:r>
              <w:t xml:space="preserve">pbmc4k</w:t>
            </w:r>
            <w:r/>
          </w:p>
        </w:tc>
        <w:tc>
          <w:tcPr>
            <w:textDirection w:val="lrTb"/>
            <w:noWrap w:val="false"/>
          </w:tcPr>
          <w:p>
            <w:pPr>
              <w:pStyle w:val="659"/>
              <w:jc w:val="left"/>
            </w:pPr>
            <w:r>
              <w:t xml:space="preserve">33694 4340</w:t>
            </w:r>
            <w:r/>
          </w:p>
        </w:tc>
        <w:tc>
          <w:tcPr>
            <w:textDirection w:val="lrTb"/>
            <w:noWrap w:val="false"/>
          </w:tcPr>
          <w:p>
            <w:pPr>
              <w:pStyle w:val="659"/>
              <w:jc w:val="left"/>
            </w:pPr>
            <w:r>
              <w:t xml:space="preserve">4349.038</w:t>
            </w:r>
            <w:r/>
          </w:p>
        </w:tc>
        <w:tc>
          <w:tcPr>
            <w:textDirection w:val="lrTb"/>
            <w:noWrap w:val="false"/>
          </w:tcPr>
          <w:p>
            <w:pPr>
              <w:pStyle w:val="659"/>
              <w:jc w:val="left"/>
            </w:pPr>
            <w:r>
              <w:t xml:space="preserve">0.9608314</w:t>
            </w:r>
            <w:r/>
          </w:p>
        </w:tc>
        <w:tc>
          <w:tcPr>
            <w:textDirection w:val="lrTb"/>
            <w:noWrap w:val="false"/>
          </w:tcPr>
          <w:p>
            <w:pPr>
              <w:pStyle w:val="659"/>
              <w:jc w:val="left"/>
            </w:pPr>
            <w:r>
              <w:t xml:space="preserve">19.1 MB</w:t>
            </w:r>
            <w:r/>
          </w:p>
        </w:tc>
        <w:tc>
          <w:tcPr>
            <w:textDirection w:val="lrTb"/>
            <w:noWrap w:val="false"/>
          </w:tcPr>
          <w:p>
            <w:pPr>
              <w:pStyle w:val="659"/>
              <w:jc w:val="left"/>
            </w:pPr>
            <w:r>
              <w:t xml:space="preserve">8.08 MB</w:t>
            </w:r>
            <w:r/>
          </w:p>
        </w:tc>
        <w:tc>
          <w:tcPr>
            <w:textDirection w:val="lrTb"/>
            <w:noWrap w:val="false"/>
          </w:tcPr>
          <w:p>
            <w:pPr>
              <w:pStyle w:val="659"/>
              <w:jc w:val="left"/>
            </w:pPr>
            <w:r>
              <w:t xml:space="preserve">57.7%</w:t>
            </w:r>
            <w:r/>
          </w:p>
        </w:tc>
      </w:tr>
      <w:tr>
        <w:trPr/>
        <w:tc>
          <w:tcPr>
            <w:textDirection w:val="lrTb"/>
            <w:noWrap w:val="false"/>
          </w:tcPr>
          <w:p>
            <w:pPr>
              <w:pStyle w:val="659"/>
              <w:jc w:val="left"/>
            </w:pPr>
            <w:r>
              <w:t xml:space="preserve">17</w:t>
            </w:r>
            <w:r/>
          </w:p>
        </w:tc>
        <w:tc>
          <w:tcPr>
            <w:textDirection w:val="lrTb"/>
            <w:noWrap w:val="false"/>
          </w:tcPr>
          <w:p>
            <w:pPr>
              <w:pStyle w:val="659"/>
              <w:jc w:val="left"/>
            </w:pPr>
            <w:r>
              <w:t xml:space="preserve">pbmc6k</w:t>
            </w:r>
            <w:r/>
          </w:p>
        </w:tc>
        <w:tc>
          <w:tcPr>
            <w:textDirection w:val="lrTb"/>
            <w:noWrap w:val="false"/>
          </w:tcPr>
          <w:p>
            <w:pPr>
              <w:pStyle w:val="659"/>
              <w:jc w:val="left"/>
            </w:pPr>
            <w:r>
              <w:t xml:space="preserve">32738 5419</w:t>
            </w:r>
            <w:r/>
          </w:p>
        </w:tc>
        <w:tc>
          <w:tcPr>
            <w:textDirection w:val="lrTb"/>
            <w:noWrap w:val="false"/>
          </w:tcPr>
          <w:p>
            <w:pPr>
              <w:pStyle w:val="659"/>
              <w:jc w:val="left"/>
            </w:pPr>
            <w:r>
              <w:t xml:space="preserve">2027.635</w:t>
            </w:r>
            <w:r/>
          </w:p>
        </w:tc>
        <w:tc>
          <w:tcPr>
            <w:textDirection w:val="lrTb"/>
            <w:noWrap w:val="false"/>
          </w:tcPr>
          <w:p>
            <w:pPr>
              <w:pStyle w:val="659"/>
              <w:jc w:val="left"/>
            </w:pPr>
            <w:r>
              <w:t xml:space="preserve">0.9771501</w:t>
            </w:r>
            <w:r/>
          </w:p>
        </w:tc>
        <w:tc>
          <w:tcPr>
            <w:textDirection w:val="lrTb"/>
            <w:noWrap w:val="false"/>
          </w:tcPr>
          <w:p>
            <w:pPr>
              <w:pStyle w:val="659"/>
              <w:jc w:val="left"/>
            </w:pPr>
            <w:r>
              <w:t xml:space="preserve">18.5 MB</w:t>
            </w:r>
            <w:r/>
          </w:p>
        </w:tc>
        <w:tc>
          <w:tcPr>
            <w:textDirection w:val="lrTb"/>
            <w:noWrap w:val="false"/>
          </w:tcPr>
          <w:p>
            <w:pPr>
              <w:pStyle w:val="659"/>
              <w:jc w:val="left"/>
            </w:pPr>
            <w:r>
              <w:t xml:space="preserve">8.37 MB</w:t>
            </w:r>
            <w:r/>
          </w:p>
        </w:tc>
        <w:tc>
          <w:tcPr>
            <w:textDirection w:val="lrTb"/>
            <w:noWrap w:val="false"/>
          </w:tcPr>
          <w:p>
            <w:pPr>
              <w:pStyle w:val="659"/>
              <w:jc w:val="left"/>
            </w:pPr>
            <w:r>
              <w:t xml:space="preserve">54.76%</w:t>
            </w:r>
            <w:r/>
          </w:p>
        </w:tc>
      </w:tr>
      <w:tr>
        <w:trPr/>
        <w:tc>
          <w:tcPr>
            <w:textDirection w:val="lrTb"/>
            <w:noWrap w:val="false"/>
          </w:tcPr>
          <w:p>
            <w:pPr>
              <w:pStyle w:val="659"/>
              <w:jc w:val="left"/>
            </w:pPr>
            <w:r>
              <w:t xml:space="preserve">18</w:t>
            </w:r>
            <w:r/>
          </w:p>
        </w:tc>
        <w:tc>
          <w:tcPr>
            <w:textDirection w:val="lrTb"/>
            <w:noWrap w:val="false"/>
          </w:tcPr>
          <w:p>
            <w:pPr>
              <w:pStyle w:val="659"/>
              <w:jc w:val="left"/>
            </w:pPr>
            <w:r>
              <w:t xml:space="preserve">pbmc8k</w:t>
            </w:r>
            <w:r/>
          </w:p>
        </w:tc>
        <w:tc>
          <w:tcPr>
            <w:textDirection w:val="lrTb"/>
            <w:noWrap w:val="false"/>
          </w:tcPr>
          <w:p>
            <w:pPr>
              <w:pStyle w:val="659"/>
              <w:jc w:val="left"/>
            </w:pPr>
            <w:r>
              <w:t xml:space="preserve">33694 8381</w:t>
            </w:r>
            <w:r/>
          </w:p>
        </w:tc>
        <w:tc>
          <w:tcPr>
            <w:textDirection w:val="lrTb"/>
            <w:noWrap w:val="false"/>
          </w:tcPr>
          <w:p>
            <w:pPr>
              <w:pStyle w:val="659"/>
              <w:jc w:val="left"/>
            </w:pPr>
            <w:r>
              <w:t xml:space="preserve">4639.048</w:t>
            </w:r>
            <w:r/>
          </w:p>
        </w:tc>
        <w:tc>
          <w:tcPr>
            <w:textDirection w:val="lrTb"/>
            <w:noWrap w:val="false"/>
          </w:tcPr>
          <w:p>
            <w:pPr>
              <w:pStyle w:val="659"/>
              <w:jc w:val="left"/>
            </w:pPr>
            <w:r>
              <w:t xml:space="preserve">0.9582552</w:t>
            </w:r>
            <w:r/>
          </w:p>
        </w:tc>
        <w:tc>
          <w:tcPr>
            <w:textDirection w:val="lrTb"/>
            <w:noWrap w:val="false"/>
          </w:tcPr>
          <w:p>
            <w:pPr>
              <w:pStyle w:val="659"/>
              <w:jc w:val="left"/>
            </w:pPr>
            <w:r>
              <w:t xml:space="preserve">24 MB</w:t>
            </w:r>
            <w:r/>
          </w:p>
        </w:tc>
        <w:tc>
          <w:tcPr>
            <w:textDirection w:val="lrTb"/>
            <w:noWrap w:val="false"/>
          </w:tcPr>
          <w:p>
            <w:pPr>
              <w:pStyle w:val="659"/>
              <w:jc w:val="left"/>
            </w:pPr>
            <w:r>
              <w:t xml:space="preserve">9.93 MB</w:t>
            </w:r>
            <w:r/>
          </w:p>
        </w:tc>
        <w:tc>
          <w:tcPr>
            <w:textDirection w:val="lrTb"/>
            <w:noWrap w:val="false"/>
          </w:tcPr>
          <w:p>
            <w:pPr>
              <w:pStyle w:val="659"/>
              <w:jc w:val="left"/>
            </w:pPr>
            <w:r>
              <w:t xml:space="preserve">58.63%</w:t>
            </w:r>
            <w:r/>
          </w:p>
        </w:tc>
      </w:tr>
      <w:tr>
        <w:trPr/>
        <w:tc>
          <w:tcPr>
            <w:textDirection w:val="lrTb"/>
            <w:noWrap w:val="false"/>
          </w:tcPr>
          <w:p>
            <w:pPr>
              <w:pStyle w:val="659"/>
              <w:jc w:val="left"/>
            </w:pPr>
            <w:r>
              <w:t xml:space="preserve">19</w:t>
            </w:r>
            <w:r/>
          </w:p>
        </w:tc>
        <w:tc>
          <w:tcPr>
            <w:textDirection w:val="lrTb"/>
            <w:noWrap w:val="false"/>
          </w:tcPr>
          <w:p>
            <w:pPr>
              <w:pStyle w:val="659"/>
              <w:jc w:val="left"/>
            </w:pPr>
            <w:r>
              <w:t xml:space="preserve">pbmc33k</w:t>
            </w:r>
            <w:r/>
          </w:p>
        </w:tc>
        <w:tc>
          <w:tcPr>
            <w:textDirection w:val="lrTb"/>
            <w:noWrap w:val="false"/>
          </w:tcPr>
          <w:p>
            <w:pPr>
              <w:pStyle w:val="659"/>
              <w:jc w:val="left"/>
            </w:pPr>
            <w:r>
              <w:t xml:space="preserve">32738 33148</w:t>
            </w:r>
            <w:r/>
          </w:p>
        </w:tc>
        <w:tc>
          <w:tcPr>
            <w:textDirection w:val="lrTb"/>
            <w:noWrap w:val="false"/>
          </w:tcPr>
          <w:p>
            <w:pPr>
              <w:pStyle w:val="659"/>
              <w:jc w:val="left"/>
            </w:pPr>
            <w:r>
              <w:t xml:space="preserve">2057.882</w:t>
            </w:r>
            <w:r/>
          </w:p>
        </w:tc>
        <w:tc>
          <w:tcPr>
            <w:textDirection w:val="lrTb"/>
            <w:noWrap w:val="false"/>
          </w:tcPr>
          <w:p>
            <w:pPr>
              <w:pStyle w:val="659"/>
              <w:jc w:val="left"/>
            </w:pPr>
            <w:r>
              <w:t xml:space="preserve">0.9766104</w:t>
            </w:r>
            <w:r/>
          </w:p>
        </w:tc>
        <w:tc>
          <w:tcPr>
            <w:textDirection w:val="lrTb"/>
            <w:noWrap w:val="false"/>
          </w:tcPr>
          <w:p>
            <w:pPr>
              <w:pStyle w:val="659"/>
              <w:jc w:val="left"/>
            </w:pPr>
            <w:r>
              <w:t xml:space="preserve">43.8 MB</w:t>
            </w:r>
            <w:r/>
          </w:p>
        </w:tc>
        <w:tc>
          <w:tcPr>
            <w:textDirection w:val="lrTb"/>
            <w:noWrap w:val="false"/>
          </w:tcPr>
          <w:p>
            <w:pPr>
              <w:pStyle w:val="659"/>
              <w:jc w:val="left"/>
            </w:pPr>
            <w:r>
              <w:t xml:space="preserve">20.6 MB</w:t>
            </w:r>
            <w:r/>
          </w:p>
        </w:tc>
        <w:tc>
          <w:tcPr>
            <w:textDirection w:val="lrTb"/>
            <w:noWrap w:val="false"/>
          </w:tcPr>
          <w:p>
            <w:pPr>
              <w:pStyle w:val="659"/>
              <w:jc w:val="left"/>
            </w:pPr>
            <w:r>
              <w:t xml:space="preserve">52.97%</w:t>
            </w:r>
            <w:bookmarkEnd w:id="88"/>
            <w:r/>
          </w:p>
        </w:tc>
      </w:tr>
    </w:tbl>
    <w:p>
      <w:pPr>
        <w:pStyle w:val="668"/>
      </w:pPr>
      <w:r/>
      <w:bookmarkStart w:id="258" w:name="_Toc58"/>
      <w:r/>
      <w:bookmarkStart w:id="89" w:name="approach-2-matrix"/>
      <w:r>
        <w:t xml:space="preserve">Approach 2: Matrix</w:t>
      </w:r>
      <w:r/>
      <w:bookmarkEnd w:id="258"/>
      <w:r/>
      <w:r/>
    </w:p>
    <w:p>
      <w:pPr>
        <w:pStyle w:val="658"/>
      </w:pPr>
      <w:r>
        <w:rPr>
          <w:rStyle w:val="687"/>
        </w:rPr>
        <w:t xml:space="preserve">Matrix</w:t>
      </w:r>
      <w:r>
        <w:t xml:space="preserve"> </w:t>
      </w:r>
      <w:r>
        <w:t xml:space="preserve">is the standard form of 2D matrices in R and is the non-compressed form of matrices as compared to the</w:t>
      </w:r>
      <w:r>
        <w:t xml:space="preserve"> </w:t>
      </w:r>
      <w:r>
        <w:rPr>
          <w:rStyle w:val="687"/>
        </w:rPr>
        <w:t xml:space="preserve">dgCMatrix</w:t>
      </w:r>
      <w:r>
        <w:t xml:space="preserve">. While this is not the default way to store matrices in</w:t>
      </w:r>
      <w:r>
        <w:t xml:space="preserve"> </w:t>
      </w:r>
      <w:r>
        <w:rPr>
          <w:rStyle w:val="687"/>
        </w:rPr>
        <w:t xml:space="preserve">Experiment</w:t>
      </w:r>
      <w:r>
        <w:t xml:space="preserve"> </w:t>
      </w:r>
      <w:r>
        <w:t xml:space="preserve">classes, in many methods the</w:t>
      </w:r>
      <w:r>
        <w:t xml:space="preserve"> </w:t>
      </w:r>
      <w:r>
        <w:rPr>
          <w:rStyle w:val="687"/>
        </w:rPr>
        <w:t xml:space="preserve">dgcMatrix</w:t>
      </w:r>
      <w:r>
        <w:t xml:space="preserve"> </w:t>
      </w:r>
      <w:r>
        <w:t xml:space="preserve">matrix form is indeed converted to this</w:t>
      </w:r>
      <w:r>
        <w:t xml:space="preserve"> standard form for manipulation and processing and it is therefore important to consider this case as well. Below we tabulate the the results from various datasets, their descriptions and the memory savings offered by our package for all of these datasets:</w:t>
      </w:r>
      <w:r/>
    </w:p>
    <w:p>
      <w:pPr>
        <w:pStyle w:val="681"/>
      </w:pPr>
      <w:r>
        <w:t xml:space="preserve">Table </w:t>
      </w:r>
      <w:r>
        <w:fldChar w:fldCharType="begin"/>
        <w:instrText xml:space="preserve"> SEQ Table \* Arabic </w:instrText>
        <w:fldChar w:fldCharType="separate"/>
      </w:r>
      <w:r>
        <w:t xml:space="preserve">3</w:t>
      </w:r>
      <w:r/>
      <w:r>
        <w:fldChar w:fldCharType="end"/>
      </w:r>
      <w:r>
        <w:t xml:space="preserve">  Description of memory statistics by passing each dataset through the same workflow and consequent memory savings offered by ExperimentSubset when compared to SingleCellExperiment using standard matrix data format. </w:t>
      </w:r>
      <w:r/>
    </w:p>
    <w:tbl>
      <w:tblPr>
        <w:tblStyle w:val="678"/>
        <w:tblW w:w="5000" w:type="pct"/>
        <w:tblLook w:val="0020" w:firstRow="1" w:lastRow="0" w:firstColumn="0" w:lastColumn="0" w:noHBand="0" w:noVBand="0"/>
      </w:tblPr>
      <w:tblGrid>
        <w:gridCol w:w="1257"/>
        <w:gridCol w:w="880"/>
        <w:gridCol w:w="1257"/>
        <w:gridCol w:w="2011"/>
        <w:gridCol w:w="1005"/>
        <w:gridCol w:w="377"/>
        <w:gridCol w:w="251"/>
        <w:gridCol w:w="880"/>
      </w:tblGrid>
      <w:tr>
        <w:trPr/>
        <w:tc>
          <w:tcPr>
            <w:textDirection w:val="lrTb"/>
            <w:noWrap w:val="false"/>
          </w:tcPr>
          <w:p>
            <w:pPr>
              <w:pStyle w:val="659"/>
              <w:jc w:val="left"/>
            </w:pPr>
            <w:r>
              <w:t xml:space="preserve">Serial No.</w:t>
            </w:r>
            <w:r/>
          </w:p>
        </w:tc>
        <w:tc>
          <w:tcPr>
            <w:textDirection w:val="lrTb"/>
            <w:noWrap w:val="false"/>
          </w:tcPr>
          <w:p>
            <w:pPr>
              <w:pStyle w:val="659"/>
              <w:jc w:val="left"/>
            </w:pPr>
            <w:r>
              <w:t xml:space="preserve">Dataset</w:t>
            </w:r>
            <w:r/>
          </w:p>
        </w:tc>
        <w:tc>
          <w:tcPr>
            <w:textDirection w:val="lrTb"/>
            <w:noWrap w:val="false"/>
          </w:tcPr>
          <w:p>
            <w:pPr>
              <w:pStyle w:val="659"/>
              <w:jc w:val="left"/>
            </w:pPr>
            <w:r>
              <w:t xml:space="preserve">Dimensions</w:t>
            </w:r>
            <w:r/>
          </w:p>
        </w:tc>
        <w:tc>
          <w:tcPr>
            <w:textDirection w:val="lrTb"/>
            <w:noWrap w:val="false"/>
          </w:tcPr>
          <w:p>
            <w:pPr>
              <w:pStyle w:val="659"/>
              <w:jc w:val="left"/>
            </w:pPr>
            <w:r>
              <w:t xml:space="preserve">Avg. Counts/Cell</w:t>
            </w:r>
            <w:r/>
          </w:p>
        </w:tc>
        <w:tc>
          <w:tcPr>
            <w:textDirection w:val="lrTb"/>
            <w:noWrap w:val="false"/>
          </w:tcPr>
          <w:p>
            <w:pPr>
              <w:pStyle w:val="659"/>
              <w:jc w:val="left"/>
            </w:pPr>
            <w:r>
              <w:t xml:space="preserve">Sparsity</w:t>
            </w:r>
            <w:r/>
          </w:p>
        </w:tc>
        <w:tc>
          <w:tcPr>
            <w:textDirection w:val="lrTb"/>
            <w:noWrap w:val="false"/>
          </w:tcPr>
          <w:p>
            <w:pPr>
              <w:pStyle w:val="659"/>
              <w:jc w:val="left"/>
            </w:pPr>
            <w:r>
              <w:t xml:space="preserve">SCE</w:t>
            </w:r>
            <w:r/>
          </w:p>
        </w:tc>
        <w:tc>
          <w:tcPr>
            <w:textDirection w:val="lrTb"/>
            <w:noWrap w:val="false"/>
          </w:tcPr>
          <w:p>
            <w:pPr>
              <w:pStyle w:val="659"/>
              <w:jc w:val="left"/>
            </w:pPr>
            <w:r>
              <w:t xml:space="preserve">ES</w:t>
            </w:r>
            <w:r/>
          </w:p>
        </w:tc>
        <w:tc>
          <w:tcPr>
            <w:textDirection w:val="lrTb"/>
            <w:noWrap w:val="false"/>
          </w:tcPr>
          <w:p>
            <w:pPr>
              <w:pStyle w:val="659"/>
              <w:jc w:val="left"/>
            </w:pPr>
            <w:r>
              <w:t xml:space="preserve">Savings</w:t>
            </w:r>
            <w:r/>
          </w:p>
        </w:tc>
      </w:tr>
      <w:tr>
        <w:trPr/>
        <w:tc>
          <w:tcPr>
            <w:textDirection w:val="lrTb"/>
            <w:noWrap w:val="false"/>
          </w:tcPr>
          <w:p>
            <w:pPr>
              <w:pStyle w:val="659"/>
              <w:jc w:val="left"/>
            </w:pPr>
            <w:r>
              <w:t xml:space="preserve">1</w:t>
            </w:r>
            <w:r/>
          </w:p>
        </w:tc>
        <w:tc>
          <w:tcPr>
            <w:textDirection w:val="lrTb"/>
            <w:noWrap w:val="false"/>
          </w:tcPr>
          <w:p>
            <w:pPr>
              <w:pStyle w:val="659"/>
              <w:jc w:val="left"/>
            </w:pPr>
            <w:r>
              <w:t xml:space="preserve">AztekinTailData</w:t>
            </w:r>
            <w:r/>
          </w:p>
        </w:tc>
        <w:tc>
          <w:tcPr>
            <w:textDirection w:val="lrTb"/>
            <w:noWrap w:val="false"/>
          </w:tcPr>
          <w:p>
            <w:pPr>
              <w:pStyle w:val="659"/>
              <w:jc w:val="left"/>
            </w:pPr>
            <w:r>
              <w:t xml:space="preserve">31535 13199</w:t>
            </w:r>
            <w:r/>
          </w:p>
        </w:tc>
        <w:tc>
          <w:tcPr>
            <w:textDirection w:val="lrTb"/>
            <w:noWrap w:val="false"/>
          </w:tcPr>
          <w:p>
            <w:pPr>
              <w:pStyle w:val="659"/>
              <w:jc w:val="left"/>
            </w:pPr>
            <w:r>
              <w:t xml:space="preserve">13434.67</w:t>
            </w:r>
            <w:r/>
          </w:p>
        </w:tc>
        <w:tc>
          <w:tcPr>
            <w:textDirection w:val="lrTb"/>
            <w:noWrap w:val="false"/>
          </w:tcPr>
          <w:p>
            <w:pPr>
              <w:pStyle w:val="659"/>
              <w:jc w:val="left"/>
            </w:pPr>
            <w:r>
              <w:t xml:space="preserve">0.9296133</w:t>
            </w:r>
            <w:r/>
          </w:p>
        </w:tc>
        <w:tc>
          <w:tcPr>
            <w:textDirection w:val="lrTb"/>
            <w:noWrap w:val="false"/>
          </w:tcPr>
          <w:p>
            <w:pPr>
              <w:pStyle w:val="659"/>
              <w:jc w:val="left"/>
            </w:pPr>
            <w:r>
              <w:t xml:space="preserve">10200 MB</w:t>
            </w:r>
            <w:r/>
          </w:p>
        </w:tc>
        <w:tc>
          <w:tcPr>
            <w:textDirection w:val="lrTb"/>
            <w:noWrap w:val="false"/>
          </w:tcPr>
          <w:p>
            <w:pPr>
              <w:pStyle w:val="659"/>
              <w:jc w:val="left"/>
            </w:pPr>
            <w:r>
              <w:t xml:space="preserve">4670 MB</w:t>
            </w:r>
            <w:r/>
          </w:p>
        </w:tc>
        <w:tc>
          <w:tcPr>
            <w:textDirection w:val="lrTb"/>
            <w:noWrap w:val="false"/>
          </w:tcPr>
          <w:p>
            <w:pPr>
              <w:pStyle w:val="659"/>
              <w:jc w:val="left"/>
            </w:pPr>
            <w:r>
              <w:t xml:space="preserve">54.22%</w:t>
            </w:r>
            <w:r/>
          </w:p>
        </w:tc>
      </w:tr>
      <w:tr>
        <w:trPr/>
        <w:tc>
          <w:tcPr>
            <w:textDirection w:val="lrTb"/>
            <w:noWrap w:val="false"/>
          </w:tcPr>
          <w:p>
            <w:pPr>
              <w:pStyle w:val="659"/>
              <w:jc w:val="left"/>
            </w:pPr>
            <w:r>
              <w:t xml:space="preserve">2</w:t>
            </w:r>
            <w:r/>
          </w:p>
        </w:tc>
        <w:tc>
          <w:tcPr>
            <w:textDirection w:val="lrTb"/>
            <w:noWrap w:val="false"/>
          </w:tcPr>
          <w:p>
            <w:pPr>
              <w:pStyle w:val="659"/>
              <w:jc w:val="left"/>
            </w:pPr>
            <w:r>
              <w:t xml:space="preserve">BachMammaryData</w:t>
            </w:r>
            <w:r/>
          </w:p>
        </w:tc>
        <w:tc>
          <w:tcPr>
            <w:textDirection w:val="lrTb"/>
            <w:noWrap w:val="false"/>
          </w:tcPr>
          <w:p>
            <w:pPr>
              <w:pStyle w:val="659"/>
              <w:jc w:val="left"/>
            </w:pPr>
            <w:r>
              <w:t xml:space="preserve">27998 25806</w:t>
            </w:r>
            <w:r/>
          </w:p>
        </w:tc>
        <w:tc>
          <w:tcPr>
            <w:textDirection w:val="lrTb"/>
            <w:noWrap w:val="false"/>
          </w:tcPr>
          <w:p>
            <w:pPr>
              <w:pStyle w:val="659"/>
              <w:jc w:val="left"/>
            </w:pPr>
            <w:r>
              <w:t xml:space="preserve">8239.648</w:t>
            </w:r>
            <w:r/>
          </w:p>
        </w:tc>
        <w:tc>
          <w:tcPr>
            <w:textDirection w:val="lrTb"/>
            <w:noWrap w:val="false"/>
          </w:tcPr>
          <w:p>
            <w:pPr>
              <w:pStyle w:val="659"/>
              <w:jc w:val="left"/>
            </w:pPr>
            <w:r>
              <w:t xml:space="preserve">0.9152684</w:t>
            </w:r>
            <w:r/>
          </w:p>
        </w:tc>
        <w:tc>
          <w:tcPr>
            <w:textDirection w:val="lrTb"/>
            <w:noWrap w:val="false"/>
          </w:tcPr>
          <w:p>
            <w:pPr>
              <w:pStyle w:val="659"/>
              <w:jc w:val="left"/>
            </w:pPr>
            <w:r>
              <w:t xml:space="preserve">17800 MB</w:t>
            </w:r>
            <w:r/>
          </w:p>
        </w:tc>
        <w:tc>
          <w:tcPr>
            <w:textDirection w:val="lrTb"/>
            <w:noWrap w:val="false"/>
          </w:tcPr>
          <w:p>
            <w:pPr>
              <w:pStyle w:val="659"/>
              <w:jc w:val="left"/>
            </w:pPr>
            <w:r>
              <w:t xml:space="preserve">8110 MB</w:t>
            </w:r>
            <w:r/>
          </w:p>
        </w:tc>
        <w:tc>
          <w:tcPr>
            <w:textDirection w:val="lrTb"/>
            <w:noWrap w:val="false"/>
          </w:tcPr>
          <w:p>
            <w:pPr>
              <w:pStyle w:val="659"/>
              <w:jc w:val="left"/>
            </w:pPr>
            <w:r>
              <w:t xml:space="preserve">54.44%</w:t>
            </w:r>
            <w:r/>
          </w:p>
        </w:tc>
      </w:tr>
      <w:tr>
        <w:trPr/>
        <w:tc>
          <w:tcPr>
            <w:textDirection w:val="lrTb"/>
            <w:noWrap w:val="false"/>
          </w:tcPr>
          <w:p>
            <w:pPr>
              <w:pStyle w:val="659"/>
              <w:jc w:val="left"/>
            </w:pPr>
            <w:r>
              <w:t xml:space="preserve">3</w:t>
            </w:r>
            <w:r/>
          </w:p>
        </w:tc>
        <w:tc>
          <w:tcPr>
            <w:textDirection w:val="lrTb"/>
            <w:noWrap w:val="false"/>
          </w:tcPr>
          <w:p>
            <w:pPr>
              <w:pStyle w:val="659"/>
              <w:jc w:val="left"/>
            </w:pPr>
            <w:r>
              <w:t xml:space="preserve">BaronPancreasData(</w:t>
            </w:r>
            <w:r>
              <w:t xml:space="preserve">‘</w:t>
            </w:r>
            <w:r>
              <w:t xml:space="preserve">human</w:t>
            </w:r>
            <w:r>
              <w:t xml:space="preserve">’</w:t>
            </w:r>
            <w:r>
              <w:t xml:space="preserve">)</w:t>
            </w:r>
            <w:r/>
          </w:p>
        </w:tc>
        <w:tc>
          <w:tcPr>
            <w:textDirection w:val="lrTb"/>
            <w:noWrap w:val="false"/>
          </w:tcPr>
          <w:p>
            <w:pPr>
              <w:pStyle w:val="659"/>
              <w:jc w:val="left"/>
            </w:pPr>
            <w:r>
              <w:t xml:space="preserve">20125 8569</w:t>
            </w:r>
            <w:r/>
          </w:p>
        </w:tc>
        <w:tc>
          <w:tcPr>
            <w:textDirection w:val="lrTb"/>
            <w:noWrap w:val="false"/>
          </w:tcPr>
          <w:p>
            <w:pPr>
              <w:pStyle w:val="659"/>
              <w:jc w:val="left"/>
            </w:pPr>
            <w:r>
              <w:t xml:space="preserve">5828.225</w:t>
            </w:r>
            <w:r/>
          </w:p>
        </w:tc>
        <w:tc>
          <w:tcPr>
            <w:textDirection w:val="lrTb"/>
            <w:noWrap w:val="false"/>
          </w:tcPr>
          <w:p>
            <w:pPr>
              <w:pStyle w:val="659"/>
              <w:jc w:val="left"/>
            </w:pPr>
            <w:r>
              <w:t xml:space="preserve">0.9062241</w:t>
            </w:r>
            <w:r/>
          </w:p>
        </w:tc>
        <w:tc>
          <w:tcPr>
            <w:textDirection w:val="lrTb"/>
            <w:noWrap w:val="false"/>
          </w:tcPr>
          <w:p>
            <w:pPr>
              <w:pStyle w:val="659"/>
              <w:jc w:val="left"/>
            </w:pPr>
            <w:r>
              <w:t xml:space="preserve">4280 MB</w:t>
            </w:r>
            <w:r/>
          </w:p>
        </w:tc>
        <w:tc>
          <w:tcPr>
            <w:textDirection w:val="lrTb"/>
            <w:noWrap w:val="false"/>
          </w:tcPr>
          <w:p>
            <w:pPr>
              <w:pStyle w:val="659"/>
              <w:jc w:val="left"/>
            </w:pPr>
            <w:r>
              <w:t xml:space="preserve">1940 MB</w:t>
            </w:r>
            <w:r/>
          </w:p>
        </w:tc>
        <w:tc>
          <w:tcPr>
            <w:textDirection w:val="lrTb"/>
            <w:noWrap w:val="false"/>
          </w:tcPr>
          <w:p>
            <w:pPr>
              <w:pStyle w:val="659"/>
              <w:jc w:val="left"/>
            </w:pPr>
            <w:r>
              <w:t xml:space="preserve">54.67%</w:t>
            </w:r>
            <w:r/>
          </w:p>
        </w:tc>
      </w:tr>
      <w:tr>
        <w:trPr/>
        <w:tc>
          <w:tcPr>
            <w:textDirection w:val="lrTb"/>
            <w:noWrap w:val="false"/>
          </w:tcPr>
          <w:p>
            <w:pPr>
              <w:pStyle w:val="659"/>
              <w:jc w:val="left"/>
            </w:pPr>
            <w:r>
              <w:t xml:space="preserve">4</w:t>
            </w:r>
            <w:r/>
          </w:p>
        </w:tc>
        <w:tc>
          <w:tcPr>
            <w:textDirection w:val="lrTb"/>
            <w:noWrap w:val="false"/>
          </w:tcPr>
          <w:p>
            <w:pPr>
              <w:pStyle w:val="659"/>
              <w:jc w:val="left"/>
            </w:pPr>
            <w:r>
              <w:t xml:space="preserve">BaronPancreasData(</w:t>
            </w:r>
            <w:r>
              <w:t xml:space="preserve">‘</w:t>
            </w:r>
            <w:r>
              <w:t xml:space="preserve">mouse</w:t>
            </w:r>
            <w:r>
              <w:t xml:space="preserve">’</w:t>
            </w:r>
            <w:r>
              <w:t xml:space="preserve">)</w:t>
            </w:r>
            <w:r/>
          </w:p>
        </w:tc>
        <w:tc>
          <w:tcPr>
            <w:textDirection w:val="lrTb"/>
            <w:noWrap w:val="false"/>
          </w:tcPr>
          <w:p>
            <w:pPr>
              <w:pStyle w:val="659"/>
              <w:jc w:val="left"/>
            </w:pPr>
            <w:r>
              <w:t xml:space="preserve">14878 1886</w:t>
            </w:r>
            <w:r/>
          </w:p>
        </w:tc>
        <w:tc>
          <w:tcPr>
            <w:textDirection w:val="lrTb"/>
            <w:noWrap w:val="false"/>
          </w:tcPr>
          <w:p>
            <w:pPr>
              <w:pStyle w:val="659"/>
              <w:jc w:val="left"/>
            </w:pPr>
            <w:r>
              <w:t xml:space="preserve">4990.086</w:t>
            </w:r>
            <w:r/>
          </w:p>
        </w:tc>
        <w:tc>
          <w:tcPr>
            <w:textDirection w:val="lrTb"/>
            <w:noWrap w:val="false"/>
          </w:tcPr>
          <w:p>
            <w:pPr>
              <w:pStyle w:val="659"/>
              <w:jc w:val="left"/>
            </w:pPr>
            <w:r>
              <w:t xml:space="preserve">0.8897182</w:t>
            </w:r>
            <w:r/>
          </w:p>
        </w:tc>
        <w:tc>
          <w:tcPr>
            <w:textDirection w:val="lrTb"/>
            <w:noWrap w:val="false"/>
          </w:tcPr>
          <w:p>
            <w:pPr>
              <w:pStyle w:val="659"/>
              <w:jc w:val="left"/>
            </w:pPr>
            <w:r>
              <w:t xml:space="preserve">681 MB</w:t>
            </w:r>
            <w:r/>
          </w:p>
        </w:tc>
        <w:tc>
          <w:tcPr>
            <w:textDirection w:val="lrTb"/>
            <w:noWrap w:val="false"/>
          </w:tcPr>
          <w:p>
            <w:pPr>
              <w:pStyle w:val="659"/>
              <w:jc w:val="left"/>
            </w:pPr>
            <w:r>
              <w:t xml:space="preserve">317 MB</w:t>
            </w:r>
            <w:r/>
          </w:p>
        </w:tc>
        <w:tc>
          <w:tcPr>
            <w:textDirection w:val="lrTb"/>
            <w:noWrap w:val="false"/>
          </w:tcPr>
          <w:p>
            <w:pPr>
              <w:pStyle w:val="659"/>
              <w:jc w:val="left"/>
            </w:pPr>
            <w:r>
              <w:t xml:space="preserve">53.45%</w:t>
            </w:r>
            <w:r/>
          </w:p>
        </w:tc>
      </w:tr>
      <w:tr>
        <w:trPr/>
        <w:tc>
          <w:tcPr>
            <w:textDirection w:val="lrTb"/>
            <w:noWrap w:val="false"/>
          </w:tcPr>
          <w:p>
            <w:pPr>
              <w:pStyle w:val="659"/>
              <w:jc w:val="left"/>
            </w:pPr>
            <w:r>
              <w:t xml:space="preserve">5</w:t>
            </w:r>
            <w:r/>
          </w:p>
        </w:tc>
        <w:tc>
          <w:tcPr>
            <w:textDirection w:val="lrTb"/>
            <w:noWrap w:val="false"/>
          </w:tcPr>
          <w:p>
            <w:pPr>
              <w:pStyle w:val="659"/>
              <w:jc w:val="left"/>
            </w:pPr>
            <w:r>
              <w:t xml:space="preserve">KotliarovPBMCData</w:t>
            </w:r>
            <w:r/>
          </w:p>
        </w:tc>
        <w:tc>
          <w:tcPr>
            <w:textDirection w:val="lrTb"/>
            <w:noWrap w:val="false"/>
          </w:tcPr>
          <w:p>
            <w:pPr>
              <w:pStyle w:val="659"/>
              <w:jc w:val="left"/>
            </w:pPr>
            <w:r>
              <w:t xml:space="preserve">32738 58654</w:t>
            </w:r>
            <w:r/>
          </w:p>
        </w:tc>
        <w:tc>
          <w:tcPr>
            <w:textDirection w:val="lrTb"/>
            <w:noWrap w:val="false"/>
          </w:tcPr>
          <w:p>
            <w:pPr>
              <w:pStyle w:val="659"/>
              <w:jc w:val="left"/>
            </w:pPr>
            <w:r>
              <w:t xml:space="preserve">2065.245</w:t>
            </w:r>
            <w:r/>
          </w:p>
        </w:tc>
        <w:tc>
          <w:tcPr>
            <w:textDirection w:val="lrTb"/>
            <w:noWrap w:val="false"/>
          </w:tcPr>
          <w:p>
            <w:pPr>
              <w:pStyle w:val="659"/>
              <w:jc w:val="left"/>
            </w:pPr>
            <w:r>
              <w:t xml:space="preserve">0.9780209</w:t>
            </w:r>
            <w:r/>
          </w:p>
        </w:tc>
        <w:tc>
          <w:tcPr>
            <w:textDirection w:val="lrTb"/>
            <w:noWrap w:val="false"/>
          </w:tcPr>
          <w:p>
            <w:pPr>
              <w:pStyle w:val="659"/>
              <w:jc w:val="left"/>
            </w:pPr>
            <w:r>
              <w:t xml:space="preserve">39000 MB</w:t>
            </w:r>
            <w:r/>
          </w:p>
        </w:tc>
        <w:tc>
          <w:tcPr>
            <w:textDirection w:val="lrTb"/>
            <w:noWrap w:val="false"/>
          </w:tcPr>
          <w:p>
            <w:pPr>
              <w:pStyle w:val="659"/>
              <w:jc w:val="left"/>
            </w:pPr>
            <w:r>
              <w:t xml:space="preserve">21600 MB</w:t>
            </w:r>
            <w:r/>
          </w:p>
        </w:tc>
        <w:tc>
          <w:tcPr>
            <w:textDirection w:val="lrTb"/>
            <w:noWrap w:val="false"/>
          </w:tcPr>
          <w:p>
            <w:pPr>
              <w:pStyle w:val="659"/>
              <w:jc w:val="left"/>
            </w:pPr>
            <w:r>
              <w:t xml:space="preserve">44.62%</w:t>
            </w:r>
            <w:r/>
          </w:p>
        </w:tc>
      </w:tr>
      <w:tr>
        <w:trPr/>
        <w:tc>
          <w:tcPr>
            <w:textDirection w:val="lrTb"/>
            <w:noWrap w:val="false"/>
          </w:tcPr>
          <w:p>
            <w:pPr>
              <w:pStyle w:val="659"/>
              <w:jc w:val="left"/>
            </w:pPr>
            <w:r>
              <w:t xml:space="preserve">6</w:t>
            </w:r>
            <w:r/>
          </w:p>
        </w:tc>
        <w:tc>
          <w:tcPr>
            <w:textDirection w:val="lrTb"/>
            <w:noWrap w:val="false"/>
          </w:tcPr>
          <w:p>
            <w:pPr>
              <w:pStyle w:val="659"/>
              <w:jc w:val="left"/>
            </w:pPr>
            <w:r>
              <w:t xml:space="preserve">BuettnerESCData</w:t>
            </w:r>
            <w:r/>
          </w:p>
        </w:tc>
        <w:tc>
          <w:tcPr>
            <w:textDirection w:val="lrTb"/>
            <w:noWrap w:val="false"/>
          </w:tcPr>
          <w:p>
            <w:pPr>
              <w:pStyle w:val="659"/>
              <w:jc w:val="left"/>
            </w:pPr>
            <w:r>
              <w:t xml:space="preserve">38293 288</w:t>
            </w:r>
            <w:r/>
          </w:p>
        </w:tc>
        <w:tc>
          <w:tcPr>
            <w:textDirection w:val="lrTb"/>
            <w:noWrap w:val="false"/>
          </w:tcPr>
          <w:p>
            <w:pPr>
              <w:pStyle w:val="659"/>
              <w:jc w:val="left"/>
            </w:pPr>
            <w:r>
              <w:t xml:space="preserve">2767864</w:t>
            </w:r>
            <w:r/>
          </w:p>
        </w:tc>
        <w:tc>
          <w:tcPr>
            <w:textDirection w:val="lrTb"/>
            <w:noWrap w:val="false"/>
          </w:tcPr>
          <w:p>
            <w:pPr>
              <w:pStyle w:val="659"/>
              <w:jc w:val="left"/>
            </w:pPr>
            <w:r>
              <w:t xml:space="preserve">0.7440639</w:t>
            </w:r>
            <w:r/>
          </w:p>
        </w:tc>
        <w:tc>
          <w:tcPr>
            <w:textDirection w:val="lrTb"/>
            <w:noWrap w:val="false"/>
          </w:tcPr>
          <w:p>
            <w:pPr>
              <w:pStyle w:val="659"/>
              <w:jc w:val="left"/>
            </w:pPr>
            <w:r>
              <w:t xml:space="preserve">204 MB</w:t>
            </w:r>
            <w:r/>
          </w:p>
        </w:tc>
        <w:tc>
          <w:tcPr>
            <w:textDirection w:val="lrTb"/>
            <w:noWrap w:val="false"/>
          </w:tcPr>
          <w:p>
            <w:pPr>
              <w:pStyle w:val="659"/>
              <w:jc w:val="left"/>
            </w:pPr>
            <w:r>
              <w:t xml:space="preserve">91 MB</w:t>
            </w:r>
            <w:r/>
          </w:p>
        </w:tc>
        <w:tc>
          <w:tcPr>
            <w:textDirection w:val="lrTb"/>
            <w:noWrap w:val="false"/>
          </w:tcPr>
          <w:p>
            <w:pPr>
              <w:pStyle w:val="659"/>
              <w:jc w:val="left"/>
            </w:pPr>
            <w:r>
              <w:t xml:space="preserve">55.39%</w:t>
            </w:r>
            <w:r/>
          </w:p>
        </w:tc>
      </w:tr>
      <w:tr>
        <w:trPr/>
        <w:tc>
          <w:tcPr>
            <w:textDirection w:val="lrTb"/>
            <w:noWrap w:val="false"/>
          </w:tcPr>
          <w:p>
            <w:pPr>
              <w:pStyle w:val="659"/>
              <w:jc w:val="left"/>
            </w:pPr>
            <w:r>
              <w:t xml:space="preserve">7</w:t>
            </w:r>
            <w:r/>
          </w:p>
        </w:tc>
        <w:tc>
          <w:tcPr>
            <w:textDirection w:val="lrTb"/>
            <w:noWrap w:val="false"/>
          </w:tcPr>
          <w:p>
            <w:pPr>
              <w:pStyle w:val="659"/>
              <w:jc w:val="left"/>
            </w:pPr>
            <w:r>
              <w:t xml:space="preserve">CampbellBrainData</w:t>
            </w:r>
            <w:r/>
          </w:p>
        </w:tc>
        <w:tc>
          <w:tcPr>
            <w:textDirection w:val="lrTb"/>
            <w:noWrap w:val="false"/>
          </w:tcPr>
          <w:p>
            <w:pPr>
              <w:pStyle w:val="659"/>
              <w:jc w:val="left"/>
            </w:pPr>
            <w:r>
              <w:t xml:space="preserve">26774 21086</w:t>
            </w:r>
            <w:r/>
          </w:p>
        </w:tc>
        <w:tc>
          <w:tcPr>
            <w:textDirection w:val="lrTb"/>
            <w:noWrap w:val="false"/>
          </w:tcPr>
          <w:p>
            <w:pPr>
              <w:pStyle w:val="659"/>
              <w:jc w:val="left"/>
            </w:pPr>
            <w:r>
              <w:t xml:space="preserve">4024.644</w:t>
            </w:r>
            <w:r/>
          </w:p>
        </w:tc>
        <w:tc>
          <w:tcPr>
            <w:textDirection w:val="lrTb"/>
            <w:noWrap w:val="false"/>
          </w:tcPr>
          <w:p>
            <w:pPr>
              <w:pStyle w:val="659"/>
              <w:jc w:val="left"/>
            </w:pPr>
            <w:r>
              <w:t xml:space="preserve">0.9279162</w:t>
            </w:r>
            <w:r/>
          </w:p>
        </w:tc>
        <w:tc>
          <w:tcPr>
            <w:textDirection w:val="lrTb"/>
            <w:noWrap w:val="false"/>
          </w:tcPr>
          <w:p>
            <w:pPr>
              <w:pStyle w:val="659"/>
              <w:jc w:val="left"/>
            </w:pPr>
            <w:r>
              <w:t xml:space="preserve">12600 MB</w:t>
            </w:r>
            <w:r/>
          </w:p>
        </w:tc>
        <w:tc>
          <w:tcPr>
            <w:textDirection w:val="lrTb"/>
            <w:noWrap w:val="false"/>
          </w:tcPr>
          <w:p>
            <w:pPr>
              <w:pStyle w:val="659"/>
              <w:jc w:val="left"/>
            </w:pPr>
            <w:r>
              <w:t xml:space="preserve">6330 MB</w:t>
            </w:r>
            <w:r/>
          </w:p>
        </w:tc>
        <w:tc>
          <w:tcPr>
            <w:textDirection w:val="lrTb"/>
            <w:noWrap w:val="false"/>
          </w:tcPr>
          <w:p>
            <w:pPr>
              <w:pStyle w:val="659"/>
              <w:jc w:val="left"/>
            </w:pPr>
            <w:r>
              <w:t xml:space="preserve">49.76%</w:t>
            </w:r>
            <w:r/>
          </w:p>
        </w:tc>
      </w:tr>
      <w:tr>
        <w:trPr/>
        <w:tc>
          <w:tcPr>
            <w:textDirection w:val="lrTb"/>
            <w:noWrap w:val="false"/>
          </w:tcPr>
          <w:p>
            <w:pPr>
              <w:pStyle w:val="659"/>
              <w:jc w:val="left"/>
            </w:pPr>
            <w:r>
              <w:t xml:space="preserve">8</w:t>
            </w:r>
            <w:r/>
          </w:p>
        </w:tc>
        <w:tc>
          <w:tcPr>
            <w:textDirection w:val="lrTb"/>
            <w:noWrap w:val="false"/>
          </w:tcPr>
          <w:p>
            <w:pPr>
              <w:pStyle w:val="659"/>
              <w:jc w:val="left"/>
            </w:pPr>
            <w:r>
              <w:t xml:space="preserve">Random 31k x 13k</w:t>
            </w:r>
            <w:r/>
          </w:p>
        </w:tc>
        <w:tc>
          <w:tcPr>
            <w:textDirection w:val="lrTb"/>
            <w:noWrap w:val="false"/>
          </w:tcPr>
          <w:p>
            <w:pPr>
              <w:pStyle w:val="659"/>
              <w:jc w:val="left"/>
            </w:pPr>
            <w:r>
              <w:t xml:space="preserve">31535 13199</w:t>
            </w:r>
            <w:r/>
          </w:p>
        </w:tc>
        <w:tc>
          <w:tcPr>
            <w:textDirection w:val="lrTb"/>
            <w:noWrap w:val="false"/>
          </w:tcPr>
          <w:p>
            <w:pPr>
              <w:pStyle w:val="659"/>
              <w:jc w:val="left"/>
            </w:pPr>
            <w:r>
              <w:t xml:space="preserve">283814.4</w:t>
            </w:r>
            <w:r/>
          </w:p>
        </w:tc>
        <w:tc>
          <w:tcPr>
            <w:textDirection w:val="lrTb"/>
            <w:noWrap w:val="false"/>
          </w:tcPr>
          <w:p>
            <w:pPr>
              <w:pStyle w:val="659"/>
              <w:jc w:val="left"/>
            </w:pPr>
            <w:r>
              <w:t xml:space="preserve">0.000123194</w:t>
            </w:r>
            <w:r/>
          </w:p>
        </w:tc>
        <w:tc>
          <w:tcPr>
            <w:textDirection w:val="lrTb"/>
            <w:noWrap w:val="false"/>
          </w:tcPr>
          <w:p>
            <w:pPr>
              <w:pStyle w:val="659"/>
              <w:jc w:val="left"/>
            </w:pPr>
            <w:r>
              <w:t xml:space="preserve">6830 MB</w:t>
            </w:r>
            <w:r/>
          </w:p>
        </w:tc>
        <w:tc>
          <w:tcPr>
            <w:textDirection w:val="lrTb"/>
            <w:noWrap w:val="false"/>
          </w:tcPr>
          <w:p>
            <w:pPr>
              <w:pStyle w:val="659"/>
              <w:jc w:val="left"/>
            </w:pPr>
            <w:r>
              <w:t xml:space="preserve">3000 MB</w:t>
            </w:r>
            <w:r/>
          </w:p>
        </w:tc>
        <w:tc>
          <w:tcPr>
            <w:textDirection w:val="lrTb"/>
            <w:noWrap w:val="false"/>
          </w:tcPr>
          <w:p>
            <w:pPr>
              <w:pStyle w:val="659"/>
              <w:jc w:val="left"/>
            </w:pPr>
            <w:r>
              <w:t xml:space="preserve">56.08%</w:t>
            </w:r>
            <w:r/>
          </w:p>
        </w:tc>
      </w:tr>
      <w:tr>
        <w:trPr/>
        <w:tc>
          <w:tcPr>
            <w:textDirection w:val="lrTb"/>
            <w:noWrap w:val="false"/>
          </w:tcPr>
          <w:p>
            <w:pPr>
              <w:pStyle w:val="659"/>
              <w:jc w:val="left"/>
            </w:pPr>
            <w:r>
              <w:t xml:space="preserve">9</w:t>
            </w:r>
            <w:r/>
          </w:p>
        </w:tc>
        <w:tc>
          <w:tcPr>
            <w:textDirection w:val="lrTb"/>
            <w:noWrap w:val="false"/>
          </w:tcPr>
          <w:p>
            <w:pPr>
              <w:pStyle w:val="659"/>
              <w:jc w:val="left"/>
            </w:pPr>
            <w:r>
              <w:t xml:space="preserve">Random 28k x 25k</w:t>
            </w:r>
            <w:r/>
          </w:p>
        </w:tc>
        <w:tc>
          <w:tcPr>
            <w:textDirection w:val="lrTb"/>
            <w:noWrap w:val="false"/>
          </w:tcPr>
          <w:p>
            <w:pPr>
              <w:pStyle w:val="659"/>
              <w:jc w:val="left"/>
            </w:pPr>
            <w:r>
              <w:t xml:space="preserve">27998 25806</w:t>
            </w:r>
            <w:r/>
          </w:p>
        </w:tc>
        <w:tc>
          <w:tcPr>
            <w:textDirection w:val="lrTb"/>
            <w:noWrap w:val="false"/>
          </w:tcPr>
          <w:p>
            <w:pPr>
              <w:pStyle w:val="659"/>
              <w:jc w:val="left"/>
            </w:pPr>
            <w:r>
              <w:t xml:space="preserve">251977.7</w:t>
            </w:r>
            <w:r/>
          </w:p>
        </w:tc>
        <w:tc>
          <w:tcPr>
            <w:textDirection w:val="lrTb"/>
            <w:noWrap w:val="false"/>
          </w:tcPr>
          <w:p>
            <w:pPr>
              <w:pStyle w:val="659"/>
              <w:jc w:val="left"/>
            </w:pPr>
            <w:r>
              <w:t xml:space="preserve">0.000123218</w:t>
            </w:r>
            <w:r/>
          </w:p>
        </w:tc>
        <w:tc>
          <w:tcPr>
            <w:textDirection w:val="lrTb"/>
            <w:noWrap w:val="false"/>
          </w:tcPr>
          <w:p>
            <w:pPr>
              <w:pStyle w:val="659"/>
              <w:jc w:val="left"/>
            </w:pPr>
            <w:r>
              <w:t xml:space="preserve">11900 MB</w:t>
            </w:r>
            <w:r/>
          </w:p>
        </w:tc>
        <w:tc>
          <w:tcPr>
            <w:textDirection w:val="lrTb"/>
            <w:noWrap w:val="false"/>
          </w:tcPr>
          <w:p>
            <w:pPr>
              <w:pStyle w:val="659"/>
              <w:jc w:val="left"/>
            </w:pPr>
            <w:r>
              <w:t xml:space="preserve">5210 MB</w:t>
            </w:r>
            <w:r/>
          </w:p>
        </w:tc>
        <w:tc>
          <w:tcPr>
            <w:textDirection w:val="lrTb"/>
            <w:noWrap w:val="false"/>
          </w:tcPr>
          <w:p>
            <w:pPr>
              <w:pStyle w:val="659"/>
              <w:jc w:val="left"/>
            </w:pPr>
            <w:r>
              <w:t xml:space="preserve">56.22%</w:t>
            </w:r>
            <w:r/>
          </w:p>
        </w:tc>
      </w:tr>
      <w:tr>
        <w:trPr/>
        <w:tc>
          <w:tcPr>
            <w:textDirection w:val="lrTb"/>
            <w:noWrap w:val="false"/>
          </w:tcPr>
          <w:p>
            <w:pPr>
              <w:pStyle w:val="659"/>
              <w:jc w:val="left"/>
            </w:pPr>
            <w:r>
              <w:t xml:space="preserve">10</w:t>
            </w:r>
            <w:r/>
          </w:p>
        </w:tc>
        <w:tc>
          <w:tcPr>
            <w:textDirection w:val="lrTb"/>
            <w:noWrap w:val="false"/>
          </w:tcPr>
          <w:p>
            <w:pPr>
              <w:pStyle w:val="659"/>
              <w:jc w:val="left"/>
            </w:pPr>
            <w:r>
              <w:t xml:space="preserve">Random 20k x 8k</w:t>
            </w:r>
            <w:r/>
          </w:p>
        </w:tc>
        <w:tc>
          <w:tcPr>
            <w:textDirection w:val="lrTb"/>
            <w:noWrap w:val="false"/>
          </w:tcPr>
          <w:p>
            <w:pPr>
              <w:pStyle w:val="659"/>
              <w:jc w:val="left"/>
            </w:pPr>
            <w:r>
              <w:t xml:space="preserve">20125 8569</w:t>
            </w:r>
            <w:r/>
          </w:p>
        </w:tc>
        <w:tc>
          <w:tcPr>
            <w:textDirection w:val="lrTb"/>
            <w:noWrap w:val="false"/>
          </w:tcPr>
          <w:p>
            <w:pPr>
              <w:pStyle w:val="659"/>
              <w:jc w:val="left"/>
            </w:pPr>
            <w:r>
              <w:t xml:space="preserve">181130.1</w:t>
            </w:r>
            <w:r/>
          </w:p>
        </w:tc>
        <w:tc>
          <w:tcPr>
            <w:textDirection w:val="lrTb"/>
            <w:noWrap w:val="false"/>
          </w:tcPr>
          <w:p>
            <w:pPr>
              <w:pStyle w:val="659"/>
              <w:jc w:val="left"/>
            </w:pPr>
            <w:r>
              <w:t xml:space="preserve">0.000123687</w:t>
            </w:r>
            <w:r/>
          </w:p>
        </w:tc>
        <w:tc>
          <w:tcPr>
            <w:textDirection w:val="lrTb"/>
            <w:noWrap w:val="false"/>
          </w:tcPr>
          <w:p>
            <w:pPr>
              <w:pStyle w:val="659"/>
              <w:jc w:val="left"/>
            </w:pPr>
            <w:r>
              <w:t xml:space="preserve">2870 MB</w:t>
            </w:r>
            <w:r/>
          </w:p>
        </w:tc>
        <w:tc>
          <w:tcPr>
            <w:textDirection w:val="lrTb"/>
            <w:noWrap w:val="false"/>
          </w:tcPr>
          <w:p>
            <w:pPr>
              <w:pStyle w:val="659"/>
              <w:jc w:val="left"/>
            </w:pPr>
            <w:r>
              <w:t xml:space="preserve">1250 MB</w:t>
            </w:r>
            <w:r/>
          </w:p>
        </w:tc>
        <w:tc>
          <w:tcPr>
            <w:textDirection w:val="lrTb"/>
            <w:noWrap w:val="false"/>
          </w:tcPr>
          <w:p>
            <w:pPr>
              <w:pStyle w:val="659"/>
              <w:jc w:val="left"/>
            </w:pPr>
            <w:r>
              <w:t xml:space="preserve">56.45%</w:t>
            </w:r>
            <w:r/>
          </w:p>
        </w:tc>
      </w:tr>
      <w:tr>
        <w:trPr/>
        <w:tc>
          <w:tcPr>
            <w:textDirection w:val="lrTb"/>
            <w:noWrap w:val="false"/>
          </w:tcPr>
          <w:p>
            <w:pPr>
              <w:pStyle w:val="659"/>
              <w:jc w:val="left"/>
            </w:pPr>
            <w:r>
              <w:t xml:space="preserve">11</w:t>
            </w:r>
            <w:r/>
          </w:p>
        </w:tc>
        <w:tc>
          <w:tcPr>
            <w:textDirection w:val="lrTb"/>
            <w:noWrap w:val="false"/>
          </w:tcPr>
          <w:p>
            <w:pPr>
              <w:pStyle w:val="659"/>
              <w:jc w:val="left"/>
            </w:pPr>
            <w:r>
              <w:t xml:space="preserve">Random 15k x 2k</w:t>
            </w:r>
            <w:r/>
          </w:p>
        </w:tc>
        <w:tc>
          <w:tcPr>
            <w:textDirection w:val="lrTb"/>
            <w:noWrap w:val="false"/>
          </w:tcPr>
          <w:p>
            <w:pPr>
              <w:pStyle w:val="659"/>
              <w:jc w:val="left"/>
            </w:pPr>
            <w:r>
              <w:t xml:space="preserve">14878 1886</w:t>
            </w:r>
            <w:r/>
          </w:p>
        </w:tc>
        <w:tc>
          <w:tcPr>
            <w:textDirection w:val="lrTb"/>
            <w:noWrap w:val="false"/>
          </w:tcPr>
          <w:p>
            <w:pPr>
              <w:pStyle w:val="659"/>
              <w:jc w:val="left"/>
            </w:pPr>
            <w:r>
              <w:t xml:space="preserve">133908.9</w:t>
            </w:r>
            <w:r/>
          </w:p>
        </w:tc>
        <w:tc>
          <w:tcPr>
            <w:textDirection w:val="lrTb"/>
            <w:noWrap w:val="false"/>
          </w:tcPr>
          <w:p>
            <w:pPr>
              <w:pStyle w:val="659"/>
              <w:jc w:val="left"/>
            </w:pPr>
            <w:r>
              <w:t xml:space="preserve">0.000124662</w:t>
            </w:r>
            <w:r/>
          </w:p>
        </w:tc>
        <w:tc>
          <w:tcPr>
            <w:textDirection w:val="lrTb"/>
            <w:noWrap w:val="false"/>
          </w:tcPr>
          <w:p>
            <w:pPr>
              <w:pStyle w:val="659"/>
              <w:jc w:val="left"/>
            </w:pPr>
            <w:r>
              <w:t xml:space="preserve">475 MB</w:t>
            </w:r>
            <w:r/>
          </w:p>
        </w:tc>
        <w:tc>
          <w:tcPr>
            <w:textDirection w:val="lrTb"/>
            <w:noWrap w:val="false"/>
          </w:tcPr>
          <w:p>
            <w:pPr>
              <w:pStyle w:val="659"/>
              <w:jc w:val="left"/>
            </w:pPr>
            <w:r>
              <w:t xml:space="preserve">204 MB</w:t>
            </w:r>
            <w:r/>
          </w:p>
        </w:tc>
        <w:tc>
          <w:tcPr>
            <w:textDirection w:val="lrTb"/>
            <w:noWrap w:val="false"/>
          </w:tcPr>
          <w:p>
            <w:pPr>
              <w:pStyle w:val="659"/>
              <w:jc w:val="left"/>
            </w:pPr>
            <w:r>
              <w:t xml:space="preserve">57.05%</w:t>
            </w:r>
            <w:r/>
          </w:p>
        </w:tc>
      </w:tr>
      <w:tr>
        <w:trPr/>
        <w:tc>
          <w:tcPr>
            <w:textDirection w:val="lrTb"/>
            <w:noWrap w:val="false"/>
          </w:tcPr>
          <w:p>
            <w:pPr>
              <w:pStyle w:val="659"/>
              <w:jc w:val="left"/>
            </w:pPr>
            <w:r>
              <w:t xml:space="preserve">12</w:t>
            </w:r>
            <w:r/>
          </w:p>
        </w:tc>
        <w:tc>
          <w:tcPr>
            <w:textDirection w:val="lrTb"/>
            <w:noWrap w:val="false"/>
          </w:tcPr>
          <w:p>
            <w:pPr>
              <w:pStyle w:val="659"/>
              <w:jc w:val="left"/>
            </w:pPr>
            <w:r>
              <w:t xml:space="preserve">Random 33k x 59k</w:t>
            </w:r>
            <w:r/>
          </w:p>
        </w:tc>
        <w:tc>
          <w:tcPr>
            <w:textDirection w:val="lrTb"/>
            <w:noWrap w:val="false"/>
          </w:tcPr>
          <w:p>
            <w:pPr>
              <w:pStyle w:val="659"/>
              <w:jc w:val="left"/>
            </w:pPr>
            <w:r>
              <w:t xml:space="preserve">32738 58654</w:t>
            </w:r>
            <w:r/>
          </w:p>
        </w:tc>
        <w:tc>
          <w:tcPr>
            <w:textDirection w:val="lrTb"/>
            <w:noWrap w:val="false"/>
          </w:tcPr>
          <w:p>
            <w:pPr>
              <w:pStyle w:val="659"/>
              <w:jc w:val="left"/>
            </w:pPr>
            <w:r>
              <w:t xml:space="preserve">294641.4</w:t>
            </w:r>
            <w:r/>
          </w:p>
        </w:tc>
        <w:tc>
          <w:tcPr>
            <w:textDirection w:val="lrTb"/>
            <w:noWrap w:val="false"/>
          </w:tcPr>
          <w:p>
            <w:pPr>
              <w:pStyle w:val="659"/>
              <w:jc w:val="left"/>
            </w:pPr>
            <w:r>
              <w:t xml:space="preserve">0.000123562</w:t>
            </w:r>
            <w:r/>
          </w:p>
        </w:tc>
        <w:tc>
          <w:tcPr>
            <w:textDirection w:val="lrTb"/>
            <w:noWrap w:val="false"/>
          </w:tcPr>
          <w:p>
            <w:pPr>
              <w:pStyle w:val="659"/>
              <w:jc w:val="left"/>
            </w:pPr>
            <w:r>
              <w:t xml:space="preserve">31500 MB</w:t>
            </w:r>
            <w:r/>
          </w:p>
        </w:tc>
        <w:tc>
          <w:tcPr>
            <w:textDirection w:val="lrTb"/>
            <w:noWrap w:val="false"/>
          </w:tcPr>
          <w:p>
            <w:pPr>
              <w:pStyle w:val="659"/>
              <w:jc w:val="left"/>
            </w:pPr>
            <w:r>
              <w:t xml:space="preserve">13800 MB</w:t>
            </w:r>
            <w:r/>
          </w:p>
        </w:tc>
        <w:tc>
          <w:tcPr>
            <w:textDirection w:val="lrTb"/>
            <w:noWrap w:val="false"/>
          </w:tcPr>
          <w:p>
            <w:pPr>
              <w:pStyle w:val="659"/>
              <w:jc w:val="left"/>
            </w:pPr>
            <w:r>
              <w:t xml:space="preserve">56.19%</w:t>
            </w:r>
            <w:r/>
          </w:p>
        </w:tc>
      </w:tr>
      <w:tr>
        <w:trPr/>
        <w:tc>
          <w:tcPr>
            <w:textDirection w:val="lrTb"/>
            <w:noWrap w:val="false"/>
          </w:tcPr>
          <w:p>
            <w:pPr>
              <w:pStyle w:val="659"/>
              <w:jc w:val="left"/>
            </w:pPr>
            <w:r>
              <w:t xml:space="preserve">13</w:t>
            </w:r>
            <w:r/>
          </w:p>
        </w:tc>
        <w:tc>
          <w:tcPr>
            <w:textDirection w:val="lrTb"/>
            <w:noWrap w:val="false"/>
          </w:tcPr>
          <w:p>
            <w:pPr>
              <w:pStyle w:val="659"/>
              <w:jc w:val="left"/>
            </w:pPr>
            <w:r>
              <w:t xml:space="preserve">Random 38k x 0.3k</w:t>
            </w:r>
            <w:r/>
          </w:p>
        </w:tc>
        <w:tc>
          <w:tcPr>
            <w:textDirection w:val="lrTb"/>
            <w:noWrap w:val="false"/>
          </w:tcPr>
          <w:p>
            <w:pPr>
              <w:pStyle w:val="659"/>
              <w:jc w:val="left"/>
            </w:pPr>
            <w:r>
              <w:t xml:space="preserve">38293 288</w:t>
            </w:r>
            <w:r/>
          </w:p>
        </w:tc>
        <w:tc>
          <w:tcPr>
            <w:textDirection w:val="lrTb"/>
            <w:noWrap w:val="false"/>
          </w:tcPr>
          <w:p>
            <w:pPr>
              <w:pStyle w:val="659"/>
              <w:jc w:val="left"/>
            </w:pPr>
            <w:r>
              <w:t xml:space="preserve">344673.6</w:t>
            </w:r>
            <w:r/>
          </w:p>
        </w:tc>
        <w:tc>
          <w:tcPr>
            <w:textDirection w:val="lrTb"/>
            <w:noWrap w:val="false"/>
          </w:tcPr>
          <w:p>
            <w:pPr>
              <w:pStyle w:val="659"/>
              <w:jc w:val="left"/>
            </w:pPr>
            <w:r>
              <w:t xml:space="preserve">0.000125404</w:t>
            </w:r>
            <w:r/>
          </w:p>
        </w:tc>
        <w:tc>
          <w:tcPr>
            <w:textDirection w:val="lrTb"/>
            <w:noWrap w:val="false"/>
          </w:tcPr>
          <w:p>
            <w:pPr>
              <w:pStyle w:val="659"/>
              <w:jc w:val="left"/>
            </w:pPr>
            <w:r>
              <w:t xml:space="preserve">186 MB</w:t>
            </w:r>
            <w:r/>
          </w:p>
        </w:tc>
        <w:tc>
          <w:tcPr>
            <w:textDirection w:val="lrTb"/>
            <w:noWrap w:val="false"/>
          </w:tcPr>
          <w:p>
            <w:pPr>
              <w:pStyle w:val="659"/>
              <w:jc w:val="left"/>
            </w:pPr>
            <w:r>
              <w:t xml:space="preserve">83.1 MB</w:t>
            </w:r>
            <w:r/>
          </w:p>
        </w:tc>
        <w:tc>
          <w:tcPr>
            <w:textDirection w:val="lrTb"/>
            <w:noWrap w:val="false"/>
          </w:tcPr>
          <w:p>
            <w:pPr>
              <w:pStyle w:val="659"/>
              <w:jc w:val="left"/>
            </w:pPr>
            <w:r>
              <w:t xml:space="preserve">55.32%</w:t>
            </w:r>
            <w:r/>
          </w:p>
        </w:tc>
      </w:tr>
      <w:tr>
        <w:trPr/>
        <w:tc>
          <w:tcPr>
            <w:textDirection w:val="lrTb"/>
            <w:noWrap w:val="false"/>
          </w:tcPr>
          <w:p>
            <w:pPr>
              <w:pStyle w:val="659"/>
              <w:jc w:val="left"/>
            </w:pPr>
            <w:r>
              <w:t xml:space="preserve">14</w:t>
            </w:r>
            <w:r/>
          </w:p>
        </w:tc>
        <w:tc>
          <w:tcPr>
            <w:textDirection w:val="lrTb"/>
            <w:noWrap w:val="false"/>
          </w:tcPr>
          <w:p>
            <w:pPr>
              <w:pStyle w:val="659"/>
              <w:jc w:val="left"/>
            </w:pPr>
            <w:r>
              <w:t xml:space="preserve">Random 27k x 21k</w:t>
            </w:r>
            <w:r/>
          </w:p>
        </w:tc>
        <w:tc>
          <w:tcPr>
            <w:textDirection w:val="lrTb"/>
            <w:noWrap w:val="false"/>
          </w:tcPr>
          <w:p>
            <w:pPr>
              <w:pStyle w:val="659"/>
              <w:jc w:val="left"/>
            </w:pPr>
            <w:r>
              <w:t xml:space="preserve">26774 21086</w:t>
            </w:r>
            <w:r/>
          </w:p>
        </w:tc>
        <w:tc>
          <w:tcPr>
            <w:textDirection w:val="lrTb"/>
            <w:noWrap w:val="false"/>
          </w:tcPr>
          <w:p>
            <w:pPr>
              <w:pStyle w:val="659"/>
              <w:jc w:val="left"/>
            </w:pPr>
            <w:r>
              <w:t xml:space="preserve">240964.1</w:t>
            </w:r>
            <w:r/>
          </w:p>
        </w:tc>
        <w:tc>
          <w:tcPr>
            <w:textDirection w:val="lrTb"/>
            <w:noWrap w:val="false"/>
          </w:tcPr>
          <w:p>
            <w:pPr>
              <w:pStyle w:val="659"/>
              <w:jc w:val="left"/>
            </w:pPr>
            <w:r>
              <w:t xml:space="preserve">0.000123049</w:t>
            </w:r>
            <w:r/>
          </w:p>
        </w:tc>
        <w:tc>
          <w:tcPr>
            <w:textDirection w:val="lrTb"/>
            <w:noWrap w:val="false"/>
          </w:tcPr>
          <w:p>
            <w:pPr>
              <w:pStyle w:val="659"/>
              <w:jc w:val="left"/>
            </w:pPr>
            <w:r>
              <w:t xml:space="preserve">9300 MB</w:t>
            </w:r>
            <w:r/>
          </w:p>
        </w:tc>
        <w:tc>
          <w:tcPr>
            <w:textDirection w:val="lrTb"/>
            <w:noWrap w:val="false"/>
          </w:tcPr>
          <w:p>
            <w:pPr>
              <w:pStyle w:val="659"/>
              <w:jc w:val="left"/>
            </w:pPr>
            <w:r>
              <w:t xml:space="preserve">4070 MB</w:t>
            </w:r>
            <w:r/>
          </w:p>
        </w:tc>
        <w:tc>
          <w:tcPr>
            <w:textDirection w:val="lrTb"/>
            <w:noWrap w:val="false"/>
          </w:tcPr>
          <w:p>
            <w:pPr>
              <w:pStyle w:val="659"/>
              <w:jc w:val="left"/>
            </w:pPr>
            <w:r>
              <w:t xml:space="preserve">56.24%</w:t>
            </w:r>
            <w:r/>
          </w:p>
        </w:tc>
      </w:tr>
      <w:tr>
        <w:trPr/>
        <w:tc>
          <w:tcPr>
            <w:textDirection w:val="lrTb"/>
            <w:noWrap w:val="false"/>
          </w:tcPr>
          <w:p>
            <w:pPr>
              <w:pStyle w:val="659"/>
              <w:jc w:val="left"/>
            </w:pPr>
            <w:r>
              <w:t xml:space="preserve">15</w:t>
            </w:r>
            <w:r/>
          </w:p>
        </w:tc>
        <w:tc>
          <w:tcPr>
            <w:textDirection w:val="lrTb"/>
            <w:noWrap w:val="false"/>
          </w:tcPr>
          <w:p>
            <w:pPr>
              <w:pStyle w:val="659"/>
              <w:jc w:val="left"/>
            </w:pPr>
            <w:r>
              <w:t xml:space="preserve">pbmc3k</w:t>
            </w:r>
            <w:r/>
          </w:p>
        </w:tc>
        <w:tc>
          <w:tcPr>
            <w:textDirection w:val="lrTb"/>
            <w:noWrap w:val="false"/>
          </w:tcPr>
          <w:p>
            <w:pPr>
              <w:pStyle w:val="659"/>
              <w:jc w:val="left"/>
            </w:pPr>
            <w:r>
              <w:t xml:space="preserve">32738 2700</w:t>
            </w:r>
            <w:r/>
          </w:p>
        </w:tc>
        <w:tc>
          <w:tcPr>
            <w:textDirection w:val="lrTb"/>
            <w:noWrap w:val="false"/>
          </w:tcPr>
          <w:p>
            <w:pPr>
              <w:pStyle w:val="659"/>
              <w:jc w:val="left"/>
            </w:pPr>
            <w:r>
              <w:t xml:space="preserve">2366.9</w:t>
            </w:r>
            <w:r/>
          </w:p>
        </w:tc>
        <w:tc>
          <w:tcPr>
            <w:textDirection w:val="lrTb"/>
            <w:noWrap w:val="false"/>
          </w:tcPr>
          <w:p>
            <w:pPr>
              <w:pStyle w:val="659"/>
              <w:jc w:val="left"/>
            </w:pPr>
            <w:r>
              <w:t xml:space="preserve">0.9741281</w:t>
            </w:r>
            <w:r/>
          </w:p>
        </w:tc>
        <w:tc>
          <w:tcPr>
            <w:textDirection w:val="lrTb"/>
            <w:noWrap w:val="false"/>
          </w:tcPr>
          <w:p>
            <w:pPr>
              <w:pStyle w:val="659"/>
              <w:jc w:val="left"/>
            </w:pPr>
            <w:r>
              <w:t xml:space="preserve">1290 MB</w:t>
            </w:r>
            <w:r/>
          </w:p>
        </w:tc>
        <w:tc>
          <w:tcPr>
            <w:textDirection w:val="lrTb"/>
            <w:noWrap w:val="false"/>
          </w:tcPr>
          <w:p>
            <w:pPr>
              <w:pStyle w:val="659"/>
              <w:jc w:val="left"/>
            </w:pPr>
            <w:r>
              <w:t xml:space="preserve">644 MB</w:t>
            </w:r>
            <w:r/>
          </w:p>
        </w:tc>
        <w:tc>
          <w:tcPr>
            <w:textDirection w:val="lrTb"/>
            <w:noWrap w:val="false"/>
          </w:tcPr>
          <w:p>
            <w:pPr>
              <w:pStyle w:val="659"/>
              <w:jc w:val="left"/>
            </w:pPr>
            <w:r>
              <w:t xml:space="preserve">50.08%</w:t>
            </w:r>
            <w:r/>
          </w:p>
        </w:tc>
      </w:tr>
      <w:tr>
        <w:trPr/>
        <w:tc>
          <w:tcPr>
            <w:textDirection w:val="lrTb"/>
            <w:noWrap w:val="false"/>
          </w:tcPr>
          <w:p>
            <w:pPr>
              <w:pStyle w:val="659"/>
              <w:jc w:val="left"/>
            </w:pPr>
            <w:r>
              <w:t xml:space="preserve">16</w:t>
            </w:r>
            <w:r/>
          </w:p>
        </w:tc>
        <w:tc>
          <w:tcPr>
            <w:textDirection w:val="lrTb"/>
            <w:noWrap w:val="false"/>
          </w:tcPr>
          <w:p>
            <w:pPr>
              <w:pStyle w:val="659"/>
              <w:jc w:val="left"/>
            </w:pPr>
            <w:r>
              <w:t xml:space="preserve">pbmc4k</w:t>
            </w:r>
            <w:r/>
          </w:p>
        </w:tc>
        <w:tc>
          <w:tcPr>
            <w:textDirection w:val="lrTb"/>
            <w:noWrap w:val="false"/>
          </w:tcPr>
          <w:p>
            <w:pPr>
              <w:pStyle w:val="659"/>
              <w:jc w:val="left"/>
            </w:pPr>
            <w:r>
              <w:t xml:space="preserve">33694 4340</w:t>
            </w:r>
            <w:r/>
          </w:p>
        </w:tc>
        <w:tc>
          <w:tcPr>
            <w:textDirection w:val="lrTb"/>
            <w:noWrap w:val="false"/>
          </w:tcPr>
          <w:p>
            <w:pPr>
              <w:pStyle w:val="659"/>
              <w:jc w:val="left"/>
            </w:pPr>
            <w:r>
              <w:t xml:space="preserve">4349.038</w:t>
            </w:r>
            <w:r/>
          </w:p>
        </w:tc>
        <w:tc>
          <w:tcPr>
            <w:textDirection w:val="lrTb"/>
            <w:noWrap w:val="false"/>
          </w:tcPr>
          <w:p>
            <w:pPr>
              <w:pStyle w:val="659"/>
              <w:jc w:val="left"/>
            </w:pPr>
            <w:r>
              <w:t xml:space="preserve">0.9608314</w:t>
            </w:r>
            <w:r/>
          </w:p>
        </w:tc>
        <w:tc>
          <w:tcPr>
            <w:textDirection w:val="lrTb"/>
            <w:noWrap w:val="false"/>
          </w:tcPr>
          <w:p>
            <w:pPr>
              <w:pStyle w:val="659"/>
              <w:jc w:val="left"/>
            </w:pPr>
            <w:r>
              <w:t xml:space="preserve">2390 MB</w:t>
            </w:r>
            <w:r/>
          </w:p>
        </w:tc>
        <w:tc>
          <w:tcPr>
            <w:textDirection w:val="lrTb"/>
            <w:noWrap w:val="false"/>
          </w:tcPr>
          <w:p>
            <w:pPr>
              <w:pStyle w:val="659"/>
              <w:jc w:val="left"/>
            </w:pPr>
            <w:r>
              <w:t xml:space="preserve">1060 MB</w:t>
            </w:r>
            <w:r/>
          </w:p>
        </w:tc>
        <w:tc>
          <w:tcPr>
            <w:textDirection w:val="lrTb"/>
            <w:noWrap w:val="false"/>
          </w:tcPr>
          <w:p>
            <w:pPr>
              <w:pStyle w:val="659"/>
              <w:jc w:val="left"/>
            </w:pPr>
            <w:r>
              <w:t xml:space="preserve">55.65%</w:t>
            </w:r>
            <w:r/>
          </w:p>
        </w:tc>
      </w:tr>
      <w:tr>
        <w:trPr/>
        <w:tc>
          <w:tcPr>
            <w:textDirection w:val="lrTb"/>
            <w:noWrap w:val="false"/>
          </w:tcPr>
          <w:p>
            <w:pPr>
              <w:pStyle w:val="659"/>
              <w:jc w:val="left"/>
            </w:pPr>
            <w:r>
              <w:t xml:space="preserve">17</w:t>
            </w:r>
            <w:r/>
          </w:p>
        </w:tc>
        <w:tc>
          <w:tcPr>
            <w:textDirection w:val="lrTb"/>
            <w:noWrap w:val="false"/>
          </w:tcPr>
          <w:p>
            <w:pPr>
              <w:pStyle w:val="659"/>
              <w:jc w:val="left"/>
            </w:pPr>
            <w:r>
              <w:t xml:space="preserve">pbmc6k</w:t>
            </w:r>
            <w:r/>
          </w:p>
        </w:tc>
        <w:tc>
          <w:tcPr>
            <w:textDirection w:val="lrTb"/>
            <w:noWrap w:val="false"/>
          </w:tcPr>
          <w:p>
            <w:pPr>
              <w:pStyle w:val="659"/>
              <w:jc w:val="left"/>
            </w:pPr>
            <w:r>
              <w:t xml:space="preserve">32738 5419</w:t>
            </w:r>
            <w:r/>
          </w:p>
        </w:tc>
        <w:tc>
          <w:tcPr>
            <w:textDirection w:val="lrTb"/>
            <w:noWrap w:val="false"/>
          </w:tcPr>
          <w:p>
            <w:pPr>
              <w:pStyle w:val="659"/>
              <w:jc w:val="left"/>
            </w:pPr>
            <w:r>
              <w:t xml:space="preserve">2027.635</w:t>
            </w:r>
            <w:r/>
          </w:p>
        </w:tc>
        <w:tc>
          <w:tcPr>
            <w:textDirection w:val="lrTb"/>
            <w:noWrap w:val="false"/>
          </w:tcPr>
          <w:p>
            <w:pPr>
              <w:pStyle w:val="659"/>
              <w:jc w:val="left"/>
            </w:pPr>
            <w:r>
              <w:t xml:space="preserve">0.9771501</w:t>
            </w:r>
            <w:r/>
          </w:p>
        </w:tc>
        <w:tc>
          <w:tcPr>
            <w:textDirection w:val="lrTb"/>
            <w:noWrap w:val="false"/>
          </w:tcPr>
          <w:p>
            <w:pPr>
              <w:pStyle w:val="659"/>
              <w:jc w:val="left"/>
            </w:pPr>
            <w:r>
              <w:t xml:space="preserve">2310 MB</w:t>
            </w:r>
            <w:r/>
          </w:p>
        </w:tc>
        <w:tc>
          <w:tcPr>
            <w:textDirection w:val="lrTb"/>
            <w:noWrap w:val="false"/>
          </w:tcPr>
          <w:p>
            <w:pPr>
              <w:pStyle w:val="659"/>
              <w:jc w:val="left"/>
            </w:pPr>
            <w:r>
              <w:t xml:space="preserve">1290 MB</w:t>
            </w:r>
            <w:r/>
          </w:p>
        </w:tc>
        <w:tc>
          <w:tcPr>
            <w:textDirection w:val="lrTb"/>
            <w:noWrap w:val="false"/>
          </w:tcPr>
          <w:p>
            <w:pPr>
              <w:pStyle w:val="659"/>
              <w:jc w:val="left"/>
            </w:pPr>
            <w:r>
              <w:t xml:space="preserve">44.16%</w:t>
            </w:r>
            <w:r/>
          </w:p>
        </w:tc>
      </w:tr>
      <w:tr>
        <w:trPr/>
        <w:tc>
          <w:tcPr>
            <w:textDirection w:val="lrTb"/>
            <w:noWrap w:val="false"/>
          </w:tcPr>
          <w:p>
            <w:pPr>
              <w:pStyle w:val="659"/>
              <w:jc w:val="left"/>
            </w:pPr>
            <w:r>
              <w:t xml:space="preserve">18</w:t>
            </w:r>
            <w:r/>
          </w:p>
        </w:tc>
        <w:tc>
          <w:tcPr>
            <w:textDirection w:val="lrTb"/>
            <w:noWrap w:val="false"/>
          </w:tcPr>
          <w:p>
            <w:pPr>
              <w:pStyle w:val="659"/>
              <w:jc w:val="left"/>
            </w:pPr>
            <w:r>
              <w:t xml:space="preserve">pbmc8k</w:t>
            </w:r>
            <w:r/>
          </w:p>
        </w:tc>
        <w:tc>
          <w:tcPr>
            <w:textDirection w:val="lrTb"/>
            <w:noWrap w:val="false"/>
          </w:tcPr>
          <w:p>
            <w:pPr>
              <w:pStyle w:val="659"/>
              <w:jc w:val="left"/>
            </w:pPr>
            <w:r>
              <w:t xml:space="preserve">33694 8381</w:t>
            </w:r>
            <w:r/>
          </w:p>
        </w:tc>
        <w:tc>
          <w:tcPr>
            <w:textDirection w:val="lrTb"/>
            <w:noWrap w:val="false"/>
          </w:tcPr>
          <w:p>
            <w:pPr>
              <w:pStyle w:val="659"/>
              <w:jc w:val="left"/>
            </w:pPr>
            <w:r>
              <w:t xml:space="preserve">4639.048</w:t>
            </w:r>
            <w:r/>
          </w:p>
        </w:tc>
        <w:tc>
          <w:tcPr>
            <w:textDirection w:val="lrTb"/>
            <w:noWrap w:val="false"/>
          </w:tcPr>
          <w:p>
            <w:pPr>
              <w:pStyle w:val="659"/>
              <w:jc w:val="left"/>
            </w:pPr>
            <w:r>
              <w:t xml:space="preserve">0.9582552</w:t>
            </w:r>
            <w:r/>
          </w:p>
        </w:tc>
        <w:tc>
          <w:tcPr>
            <w:textDirection w:val="lrTb"/>
            <w:noWrap w:val="false"/>
          </w:tcPr>
          <w:p>
            <w:pPr>
              <w:pStyle w:val="659"/>
              <w:jc w:val="left"/>
            </w:pPr>
            <w:r>
              <w:t xml:space="preserve">4630 MB</w:t>
            </w:r>
            <w:r/>
          </w:p>
        </w:tc>
        <w:tc>
          <w:tcPr>
            <w:textDirection w:val="lrTb"/>
            <w:noWrap w:val="false"/>
          </w:tcPr>
          <w:p>
            <w:pPr>
              <w:pStyle w:val="659"/>
              <w:jc w:val="left"/>
            </w:pPr>
            <w:r>
              <w:t xml:space="preserve">2040 MB</w:t>
            </w:r>
            <w:r/>
          </w:p>
        </w:tc>
        <w:tc>
          <w:tcPr>
            <w:textDirection w:val="lrTb"/>
            <w:noWrap w:val="false"/>
          </w:tcPr>
          <w:p>
            <w:pPr>
              <w:pStyle w:val="659"/>
              <w:jc w:val="left"/>
            </w:pPr>
            <w:r>
              <w:t xml:space="preserve">55.94%</w:t>
            </w:r>
            <w:r/>
          </w:p>
        </w:tc>
      </w:tr>
      <w:tr>
        <w:trPr/>
        <w:tc>
          <w:tcPr>
            <w:textDirection w:val="lrTb"/>
            <w:noWrap w:val="false"/>
          </w:tcPr>
          <w:p>
            <w:pPr>
              <w:pStyle w:val="659"/>
              <w:jc w:val="left"/>
            </w:pPr>
            <w:r>
              <w:t xml:space="preserve">19</w:t>
            </w:r>
            <w:r/>
          </w:p>
        </w:tc>
        <w:tc>
          <w:tcPr>
            <w:textDirection w:val="lrTb"/>
            <w:noWrap w:val="false"/>
          </w:tcPr>
          <w:p>
            <w:pPr>
              <w:pStyle w:val="659"/>
              <w:jc w:val="left"/>
            </w:pPr>
            <w:r>
              <w:t xml:space="preserve">pbmc33k</w:t>
            </w:r>
            <w:r/>
          </w:p>
        </w:tc>
        <w:tc>
          <w:tcPr>
            <w:textDirection w:val="lrTb"/>
            <w:noWrap w:val="false"/>
          </w:tcPr>
          <w:p>
            <w:pPr>
              <w:pStyle w:val="659"/>
              <w:jc w:val="left"/>
            </w:pPr>
            <w:r>
              <w:t xml:space="preserve">32738 33148</w:t>
            </w:r>
            <w:r/>
          </w:p>
        </w:tc>
        <w:tc>
          <w:tcPr>
            <w:textDirection w:val="lrTb"/>
            <w:noWrap w:val="false"/>
          </w:tcPr>
          <w:p>
            <w:pPr>
              <w:pStyle w:val="659"/>
              <w:jc w:val="left"/>
            </w:pPr>
            <w:r>
              <w:t xml:space="preserve">2057.882</w:t>
            </w:r>
            <w:r/>
          </w:p>
        </w:tc>
        <w:tc>
          <w:tcPr>
            <w:textDirection w:val="lrTb"/>
            <w:noWrap w:val="false"/>
          </w:tcPr>
          <w:p>
            <w:pPr>
              <w:pStyle w:val="659"/>
              <w:jc w:val="left"/>
            </w:pPr>
            <w:r>
              <w:t xml:space="preserve">0.9766104</w:t>
            </w:r>
            <w:r/>
          </w:p>
        </w:tc>
        <w:tc>
          <w:tcPr>
            <w:textDirection w:val="lrTb"/>
            <w:noWrap w:val="false"/>
          </w:tcPr>
          <w:p>
            <w:pPr>
              <w:pStyle w:val="659"/>
              <w:jc w:val="left"/>
            </w:pPr>
            <w:r>
              <w:t xml:space="preserve">1420 MB</w:t>
            </w:r>
            <w:r/>
          </w:p>
        </w:tc>
        <w:tc>
          <w:tcPr>
            <w:textDirection w:val="lrTb"/>
            <w:noWrap w:val="false"/>
          </w:tcPr>
          <w:p>
            <w:pPr>
              <w:pStyle w:val="659"/>
              <w:jc w:val="left"/>
            </w:pPr>
            <w:r>
              <w:t xml:space="preserve">7830 MB</w:t>
            </w:r>
            <w:r/>
          </w:p>
        </w:tc>
        <w:tc>
          <w:tcPr>
            <w:textDirection w:val="lrTb"/>
            <w:noWrap w:val="false"/>
          </w:tcPr>
          <w:p>
            <w:pPr>
              <w:pStyle w:val="659"/>
              <w:jc w:val="left"/>
            </w:pPr>
            <w:r>
              <w:t xml:space="preserve">44.86%</w:t>
            </w:r>
            <w:bookmarkEnd w:id="89"/>
            <w:r/>
          </w:p>
        </w:tc>
      </w:tr>
    </w:tbl>
    <w:p>
      <w:pPr>
        <w:pStyle w:val="668"/>
      </w:pPr>
      <w:r/>
      <w:bookmarkStart w:id="259" w:name="_Toc59"/>
      <w:r/>
      <w:bookmarkStart w:id="93" w:name="benchmarking-results"/>
      <w:r>
        <w:t xml:space="preserve">Benchmarking Results</w:t>
      </w:r>
      <w:r/>
      <w:bookmarkEnd w:id="259"/>
      <w:r/>
      <w:r/>
    </w:p>
    <w:p>
      <w:pPr>
        <w:pStyle w:val="658"/>
      </w:pPr>
      <w:r>
        <w:t xml:space="preserve">In both approach 1 and 2, we compare the size (memory occupied) by the re</w:t>
      </w:r>
      <w:r>
        <w:t xml:space="preserve">sultant objects and illustrate the memory savings with the figure below. The grey and yellow lines that stretch across the x-axis represent the savings in each of dataset (x-axis labels) using the first and the second approach. It is evident that using the</w:t>
      </w:r>
      <w:r>
        <w:t xml:space="preserve"> </w:t>
      </w:r>
      <w:r>
        <w:rPr>
          <w:rStyle w:val="687"/>
        </w:rPr>
        <w:t xml:space="preserve">ExperimentSubset</w:t>
      </w:r>
      <w:r>
        <w:t xml:space="preserve"> </w:t>
      </w:r>
      <w:r>
        <w:t xml:space="preserve">package offers significant memory savings as compared to using other</w:t>
      </w:r>
      <w:r>
        <w:t xml:space="preserve"> </w:t>
      </w:r>
      <w:r>
        <w:rPr>
          <w:rStyle w:val="687"/>
        </w:rPr>
        <w:t xml:space="preserve">Experiment</w:t>
      </w:r>
      <w:r>
        <w:t xml:space="preserve"> </w:t>
      </w:r>
      <w:r>
        <w:t xml:space="preserve">classes where one has to use multiple objects in the case of subsets. However, sparsity and the average counts in each datas</w:t>
      </w:r>
      <w:r>
        <w:t xml:space="preserve">et do play a minor role in shaping the overall savings in an object. This pattern can be observed by the smooth line in the middle of the figure below that corresponds to the randomly populated sample datasets with zero sparsity and similar average counts.</w:t>
      </w:r>
      <w:r/>
    </w:p>
    <w:p>
      <w:pPr>
        <w:pStyle w:val="657"/>
        <w:jc w:val="center"/>
      </w:pPr>
      <w:r>
        <mc:AlternateContent>
          <mc:Choice Requires="wpg">
            <w:drawing>
              <wp:inline xmlns:wp="http://schemas.openxmlformats.org/drawingml/2006/wordprocessingDrawing" distT="0" distB="0" distL="0" distR="0">
                <wp:extent cx="5334000" cy="2027758"/>
                <wp:effectExtent l="0" t="0" r="0" b="0"/>
                <wp:docPr id="22"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descr="results1.png" hidden="0"/>
                        <pic:cNvPicPr>
                          <a:picLocks noChangeAspect="1" noChangeArrowheads="1"/>
                        </pic:cNvPicPr>
                        <pic:nvPr isPhoto="0" userDrawn="0"/>
                      </pic:nvPicPr>
                      <pic:blipFill>
                        <a:blip r:embed="rId33"/>
                        <a:stretch/>
                      </pic:blipFill>
                      <pic:spPr bwMode="auto">
                        <a:xfrm>
                          <a:off x="0" y="0"/>
                          <a:ext cx="5334000" cy="2027758"/>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20.0pt;height:159.7pt;" stroked="f" strokeweight="0.75pt">
                <v:path textboxrect="0,0,0,0"/>
                <v:imagedata r:id="rId33" o:title=""/>
              </v:shape>
            </w:pict>
          </mc:Fallback>
        </mc:AlternateContent>
      </w:r>
      <w:r/>
    </w:p>
    <w:p>
      <w:pPr>
        <w:pStyle w:val="681"/>
      </w:pPr>
      <w:r>
        <w:t xml:space="preserve">Figure </w:t>
      </w:r>
      <w:r>
        <w:fldChar w:fldCharType="begin"/>
        <w:instrText xml:space="preserve"> SEQ Figure \* Arabic </w:instrText>
        <w:fldChar w:fldCharType="separate"/>
      </w:r>
      <w:r>
        <w:t xml:space="preserve">20</w:t>
      </w:r>
      <w:r/>
      <w:r>
        <w:fldChar w:fldCharType="end"/>
      </w:r>
      <w:r>
        <w:t xml:space="preserve"> Memory consumed by ExperimentSubset and SingleCellExperiment objects in terms of object sizes are shown, with memory in megabytes on y-axis and dataset as well as the class of object used on x-axis. The multiple shaded regions for SingleCellExperiment objects represent multiple objects used for the same analysis instead of the single object for ExperimentSubset. Datasets used to compute the statistics include the standard PBMC datasets generally used for testing and improvement of methods. ExperimentSubset (single object) runs the same workflow by using almost half the memory in terms of object size. </w:t>
      </w:r>
      <w:r/>
    </w:p>
    <w:p>
      <w:pPr>
        <w:pStyle w:val="657"/>
      </w:pPr>
      <w:r>
        <w:t xml:space="preserve">The figure above highlights the memory savings offered by the Experime</w:t>
      </w:r>
      <w:r>
        <w:t xml:space="preserve">ntSubset data-container compared to the most widely used data-containers i.e. SingleCellExperiment, when run through the same analysis workflow described earlier using the standard PBMC datasets (3K, 4K, 6K, 8K and 33K cells/samples). It is evident from th</w:t>
      </w:r>
      <w:r>
        <w:t xml:space="preserve">e figure that ExperimentSubset not only conserves almost half of the memory (shown in the y-axis as megabytes of memory saved) but additionally only uses a single object instead of the three objects when compared to the SingleCellExperiment data-container.</w:t>
      </w:r>
      <w:r/>
    </w:p>
    <w:p>
      <w:pPr>
        <w:pStyle w:val="657"/>
        <w:jc w:val="center"/>
      </w:pPr>
      <w:r>
        <mc:AlternateContent>
          <mc:Choice Requires="wpg">
            <w:drawing>
              <wp:inline xmlns:wp="http://schemas.openxmlformats.org/drawingml/2006/wordprocessingDrawing" distT="0" distB="0" distL="0" distR="0">
                <wp:extent cx="5334000" cy="2111454"/>
                <wp:effectExtent l="0" t="0" r="0" b="0"/>
                <wp:docPr id="23"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descr="results2.png" hidden="0"/>
                        <pic:cNvPicPr>
                          <a:picLocks noChangeAspect="1" noChangeArrowheads="1"/>
                        </pic:cNvPicPr>
                        <pic:nvPr isPhoto="0" userDrawn="0"/>
                      </pic:nvPicPr>
                      <pic:blipFill>
                        <a:blip r:embed="rId34"/>
                        <a:stretch/>
                      </pic:blipFill>
                      <pic:spPr bwMode="auto">
                        <a:xfrm>
                          <a:off x="0" y="0"/>
                          <a:ext cx="5334000" cy="2111454"/>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166.3pt;" stroked="f" strokeweight="0.75pt">
                <v:path textboxrect="0,0,0,0"/>
                <v:imagedata r:id="rId34" o:title=""/>
              </v:shape>
            </w:pict>
          </mc:Fallback>
        </mc:AlternateContent>
      </w:r>
      <w:r/>
    </w:p>
    <w:p>
      <w:pPr>
        <w:pStyle w:val="681"/>
      </w:pPr>
      <w:r>
        <w:t xml:space="preserve">Figure </w:t>
      </w:r>
      <w:r>
        <w:fldChar w:fldCharType="begin"/>
        <w:instrText xml:space="preserve"> SEQ Figure \* Arabic </w:instrText>
        <w:fldChar w:fldCharType="separate"/>
      </w:r>
      <w:r>
        <w:t xml:space="preserve">21</w:t>
      </w:r>
      <w:r/>
      <w:r>
        <w:fldChar w:fldCharType="end"/>
      </w:r>
      <w:r>
        <w:t xml:space="preserve"> Real datasets curated by the scRNAseq package are used to show that ExperimentSubset still offers similar memory savings in term of object sizes when used with real datasets compared to SingleCellExperiment objects. The x-axis shows the dataset used and the class of the object used, while the y-axis shows the amount of memory consumed by an object in megabytes. </w:t>
      </w:r>
      <w:r/>
    </w:p>
    <w:p>
      <w:pPr>
        <w:pStyle w:val="657"/>
      </w:pPr>
      <w:r>
        <w:t xml:space="preserve">The figure above highlights the memory savings offered by the ExperimentSubset data-container using some of the real datasets contributed by different authors and curated by the</w:t>
      </w:r>
      <w:r>
        <w:t xml:space="preserve"> </w:t>
      </w:r>
      <w:r>
        <w:rPr>
          <w:rStyle w:val="687"/>
        </w:rPr>
        <w:t xml:space="preserve">scRNAseq</w:t>
      </w:r>
      <w:r>
        <w:t xml:space="preserve"> </w:t>
      </w:r>
      <w:r>
        <w:t xml:space="preserve">R package.</w:t>
      </w:r>
      <w:r/>
    </w:p>
    <w:p>
      <w:pPr>
        <w:pStyle w:val="657"/>
        <w:jc w:val="center"/>
      </w:pPr>
      <w:r>
        <mc:AlternateContent>
          <mc:Choice Requires="wpg">
            <w:drawing>
              <wp:inline xmlns:wp="http://schemas.openxmlformats.org/drawingml/2006/wordprocessingDrawing" distT="0" distB="0" distL="0" distR="0">
                <wp:extent cx="5334000" cy="2111533"/>
                <wp:effectExtent l="0" t="0" r="0" b="0"/>
                <wp:docPr id="24" name="Picture" descr="" hidden="false" titl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descr="results3.png" hidden="0"/>
                        <pic:cNvPicPr>
                          <a:picLocks noChangeAspect="1" noChangeArrowheads="1"/>
                        </pic:cNvPicPr>
                        <pic:nvPr isPhoto="0" userDrawn="0"/>
                      </pic:nvPicPr>
                      <pic:blipFill>
                        <a:blip r:embed="rId35"/>
                        <a:stretch/>
                      </pic:blipFill>
                      <pic:spPr bwMode="auto">
                        <a:xfrm>
                          <a:off x="0" y="0"/>
                          <a:ext cx="5334000" cy="2111533"/>
                        </a:xfrm>
                        <a:prstGeom prst="rect">
                          <a:avLst/>
                        </a:prstGeom>
                        <a:noFill/>
                        <a:ln w="9525">
                          <a:noFill/>
                          <a:headEnd/>
                          <a:tailEn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20.0pt;height:166.3pt;" stroked="f" strokeweight="0.75pt">
                <v:path textboxrect="0,0,0,0"/>
                <v:imagedata r:id="rId35" o:title=""/>
              </v:shape>
            </w:pict>
          </mc:Fallback>
        </mc:AlternateContent>
      </w:r>
      <w:r/>
    </w:p>
    <w:p>
      <w:pPr>
        <w:pStyle w:val="681"/>
      </w:pPr>
      <w:r>
        <w:t xml:space="preserve">Figure </w:t>
      </w:r>
      <w:r>
        <w:fldChar w:fldCharType="begin"/>
        <w:instrText xml:space="preserve"> SEQ Figure \* Arabic </w:instrText>
        <w:fldChar w:fldCharType="separate"/>
      </w:r>
      <w:r>
        <w:t xml:space="preserve">22</w:t>
      </w:r>
      <w:r/>
      <w:r>
        <w:fldChar w:fldCharType="end"/>
      </w:r>
      <w:r>
        <w:t xml:space="preserve"> For this comparison, matrices are filled with random values to remove sparseness (as it may occur during data extracted from other technologies such as bulk RNA seq)  with the same dimensions as the real datasets used in the previous approach. The results again show that ExperimentSubset saves almost half of the object sizes compared to SingleCellExperiment objects. </w:t>
      </w:r>
      <w:r/>
    </w:p>
    <w:p>
      <w:pPr>
        <w:pStyle w:val="657"/>
      </w:pPr>
      <w:r>
        <w:t xml:space="preserve">The figure above highlights the memory savin</w:t>
      </w:r>
      <w:r>
        <w:t xml:space="preserve">gs offered by the ExperimentSubset data-container using self-contributed random datasets that have the same dimensions as the previously used real datasets but are not filled with random values to make sure that it is no longer sparse and all data cells ar</w:t>
      </w:r>
      <w:r>
        <w:t xml:space="preserve">e filled with random values. One of the major reasons of testing these random datasets is to ensure that when the data-container is used with datasets (possibly bulk-RNA seq datasets that have very little sparsity), the memory savings are still consistent.</w:t>
      </w:r>
      <w:r/>
    </w:p>
    <w:p>
      <w:pPr>
        <w:pStyle w:val="657"/>
      </w:pPr>
      <w:r>
        <w:t xml:space="preserve">From all of the figures above, the memory savin</w:t>
      </w:r>
      <w:r>
        <w:t xml:space="preserve">gs in terms of object sizes (current occupied memory) are quite evident with ExperimentSubset package saving almost half of the additional memory when compared with SingleCellExperiment data-container. Although the figures shown above represent the memory </w:t>
      </w:r>
      <w:r>
        <w:t xml:space="preserve">savings offered using the approach 1 where we used the dgCMatrix (a matrix that specializes in storing sparse data), we computed results with the standard R matrix as well and obtained similar memory savings which are shown in the table but not visualized.</w:t>
      </w:r>
      <w:bookmarkEnd w:id="93"/>
      <w:bookmarkEnd w:id="94"/>
      <w:r/>
    </w:p>
    <w:p>
      <w:pPr>
        <w:pStyle w:val="667"/>
      </w:pPr>
      <w:r/>
      <w:bookmarkStart w:id="260" w:name="_Toc60"/>
      <w:r/>
      <w:bookmarkStart w:id="95" w:name="provenance-tracking"/>
      <w:r>
        <w:t xml:space="preserve">Provenance Tracking</w:t>
      </w:r>
      <w:r/>
      <w:bookmarkEnd w:id="260"/>
      <w:r/>
      <w:r/>
    </w:p>
    <w:p>
      <w:pPr>
        <w:pStyle w:val="658"/>
      </w:pPr>
      <w:r>
        <w:t xml:space="preserve">One of the issues in typi</w:t>
      </w:r>
      <w:r>
        <w:t xml:space="preserve">cal scRNA-Seq workflows is the tracking of data between different forms, shapes, sizes and structures when it undergoes manipulation in different processes in an analysis workflow. In the sample analysis workflow described above, the original input data un</w:t>
      </w:r>
      <w:r>
        <w:t xml:space="preserve">dergoes manipulation through different methods and to ensure that data in different forms are related/connected to each other, we implemented a mechanism within our package for this purpose in all of our structural functions. For users, we offer the use of</w:t>
      </w:r>
      <w:r>
        <w:t xml:space="preserve"> </w:t>
      </w:r>
      <w:r>
        <w:rPr>
          <w:rStyle w:val="687"/>
        </w:rPr>
        <w:t xml:space="preserve">subsetSummary</w:t>
      </w:r>
      <w:r>
        <w:t xml:space="preserve"> </w:t>
      </w:r>
      <w:r>
        <w:t xml:space="preserve">function to display the current form and structure of the data at any given point in an analysis workflow.</w:t>
      </w:r>
      <w:r/>
    </w:p>
    <w:p>
      <w:pPr>
        <w:pStyle w:val="692"/>
      </w:pPr>
      <w:r>
        <w:rPr>
          <w:rStyle w:val="705"/>
        </w:rPr>
        <w:t xml:space="preserve"># Read in a sample ES object</w:t>
      </w:r>
      <w:r>
        <w:br/>
      </w:r>
      <w:r>
        <w:rPr>
          <w:rStyle w:val="723"/>
        </w:rPr>
        <w:t xml:space="preserve">es </w:t>
      </w:r>
      <w:r>
        <w:rPr>
          <w:rStyle w:val="709"/>
        </w:rPr>
        <w:t xml:space="preserve">&lt;-</w:t>
      </w:r>
      <w:r>
        <w:rPr>
          <w:rStyle w:val="723"/>
        </w:rPr>
        <w:t xml:space="preserve"> </w:t>
      </w:r>
      <w:r>
        <w:rPr>
          <w:rStyle w:val="710"/>
        </w:rPr>
        <w:t xml:space="preserve">readRDS</w:t>
      </w:r>
      <w:r>
        <w:rPr>
          <w:rStyle w:val="723"/>
        </w:rPr>
        <w:t xml:space="preserve">(</w:t>
      </w:r>
      <w:r>
        <w:rPr>
          <w:rStyle w:val="701"/>
        </w:rPr>
        <w:t xml:space="preserve">"es.rds"</w:t>
      </w:r>
      <w:r>
        <w:rPr>
          <w:rStyle w:val="723"/>
        </w:rPr>
        <w:t xml:space="preserve">)</w:t>
      </w:r>
      <w:r>
        <w:br/>
      </w:r>
      <w:r>
        <w:br/>
      </w:r>
      <w:r>
        <w:rPr>
          <w:rStyle w:val="705"/>
        </w:rPr>
        <w:t xml:space="preserve"># Display the summary of subsets</w:t>
      </w:r>
      <w:r>
        <w:br/>
      </w:r>
      <w:r>
        <w:rPr>
          <w:rStyle w:val="710"/>
        </w:rPr>
        <w:t xml:space="preserve">subsetSummary</w:t>
      </w:r>
      <w:r>
        <w:rPr>
          <w:rStyle w:val="723"/>
        </w:rPr>
        <w:t xml:space="preserve">(es)</w:t>
      </w:r>
      <w:r/>
    </w:p>
    <w:p>
      <w:pPr>
        <w:pStyle w:val="692"/>
      </w:pPr>
      <w:r>
        <w:rPr>
          <w:rStyle w:val="687"/>
        </w:rPr>
        <w:t xml:space="preserve">## Main assay(s):</w:t>
      </w:r>
      <w:r>
        <w:br/>
      </w:r>
      <w:r>
        <w:rPr>
          <w:rStyle w:val="687"/>
        </w:rPr>
        <w:t xml:space="preserve">##  counts </w:t>
      </w:r>
      <w:r>
        <w:br/>
      </w:r>
      <w:r>
        <w:rPr>
          <w:rStyle w:val="687"/>
        </w:rPr>
        <w:t xml:space="preserve">## </w:t>
      </w:r>
      <w:r>
        <w:br/>
      </w:r>
      <w:r>
        <w:rPr>
          <w:rStyle w:val="687"/>
        </w:rPr>
        <w:t xml:space="preserve">## Subset(s):</w:t>
      </w:r>
      <w:r>
        <w:br/>
      </w:r>
      <w:r>
        <w:rPr>
          <w:rStyle w:val="687"/>
        </w:rPr>
        <w:t xml:space="preserve">##            Name        Dim                                             Parent</w:t>
      </w:r>
      <w:r>
        <w:br/>
      </w:r>
      <w:r>
        <w:rPr>
          <w:rStyle w:val="687"/>
        </w:rPr>
        <w:t xml:space="preserve">## 1 filteredCells 14878, 754                                             counts</w:t>
      </w:r>
      <w:r>
        <w:br/>
      </w:r>
      <w:r>
        <w:rPr>
          <w:rStyle w:val="687"/>
        </w:rPr>
        <w:t xml:space="preserve">## 2       hvg1000  1000, 754 filteredCellsNormalized -&gt; filteredCells -&gt; counts</w:t>
      </w:r>
      <w:r>
        <w:br/>
      </w:r>
      <w:r>
        <w:rPr>
          <w:rStyle w:val="687"/>
        </w:rPr>
        <w:t xml:space="preserve">##                    Assays ReducedDims</w:t>
      </w:r>
      <w:r>
        <w:br/>
      </w:r>
      <w:r>
        <w:rPr>
          <w:rStyle w:val="687"/>
        </w:rPr>
        <w:t xml:space="preserve">## 1 filteredCellsNormalized            </w:t>
      </w:r>
      <w:r>
        <w:br/>
      </w:r>
      <w:r>
        <w:rPr>
          <w:rStyle w:val="687"/>
        </w:rPr>
        <w:t xml:space="preserve">## 2                                 PCA</w:t>
      </w:r>
      <w:bookmarkEnd w:id="95"/>
      <w:r/>
    </w:p>
    <w:p>
      <w:pPr>
        <w:pStyle w:val="667"/>
      </w:pPr>
      <w:r/>
      <w:bookmarkStart w:id="261" w:name="_Toc61"/>
      <w:r/>
      <w:bookmarkStart w:id="96" w:name="validation"/>
      <w:r>
        <w:t xml:space="preserve">Validation</w:t>
      </w:r>
      <w:r/>
      <w:bookmarkEnd w:id="261"/>
      <w:r/>
      <w:r/>
    </w:p>
    <w:p>
      <w:pPr>
        <w:pStyle w:val="658"/>
      </w:pPr>
      <w:r>
        <w:t xml:space="preserve">To validate that the data stored and manipulated through the use of our package</w:t>
      </w:r>
      <w:r>
        <w:t xml:space="preserve"> </w:t>
      </w:r>
      <w:r>
        <w:rPr>
          <w:rStyle w:val="687"/>
        </w:rPr>
        <w:t xml:space="preserve">ExperimentSubset</w:t>
      </w:r>
      <w:r>
        <w:t xml:space="preserve"> </w:t>
      </w:r>
      <w:r>
        <w:t xml:space="preserve">in the form of subsets and through</w:t>
      </w:r>
      <w:r>
        <w:t xml:space="preserve"> </w:t>
      </w:r>
      <w:r>
        <w:rPr>
          <w:rStyle w:val="687"/>
        </w:rPr>
        <w:t xml:space="preserve">SingleCellExperiment</w:t>
      </w:r>
      <w:r>
        <w:t xml:space="preserve"> </w:t>
      </w:r>
      <w:r>
        <w:t xml:space="preserve">package is same throughout the analysis workflow, we match the output from both package</w:t>
      </w:r>
      <w:r>
        <w:t xml:space="preserve">s. The analysis workflow used in described in the section 4.2 of this document and the complete script is available in Appendix A of this document. For displaying the output here, we saved the objects during the workflow and reload them to show the output:</w:t>
      </w:r>
      <w:r/>
    </w:p>
    <w:p>
      <w:pPr>
        <w:pStyle w:val="692"/>
      </w:pPr>
      <w:r>
        <w:rPr>
          <w:rStyle w:val="705"/>
        </w:rPr>
        <w:t xml:space="preserve"># SingleCellExperiment</w:t>
      </w:r>
      <w:r>
        <w:br/>
      </w:r>
      <w:r>
        <w:rPr>
          <w:rStyle w:val="723"/>
        </w:rPr>
        <w:t xml:space="preserve">sce1 </w:t>
      </w:r>
      <w:r>
        <w:rPr>
          <w:rStyle w:val="709"/>
        </w:rPr>
        <w:t xml:space="preserve">&lt;-</w:t>
      </w:r>
      <w:r>
        <w:rPr>
          <w:rStyle w:val="723"/>
        </w:rPr>
        <w:t xml:space="preserve"> </w:t>
      </w:r>
      <w:r>
        <w:rPr>
          <w:rStyle w:val="710"/>
        </w:rPr>
        <w:t xml:space="preserve">readRDS</w:t>
      </w:r>
      <w:r>
        <w:rPr>
          <w:rStyle w:val="723"/>
        </w:rPr>
        <w:t xml:space="preserve">(</w:t>
      </w:r>
      <w:r>
        <w:rPr>
          <w:rStyle w:val="701"/>
        </w:rPr>
        <w:t xml:space="preserve">"sce1Validation.rds"</w:t>
      </w:r>
      <w:r>
        <w:rPr>
          <w:rStyle w:val="723"/>
        </w:rPr>
        <w:t xml:space="preserve">)</w:t>
      </w:r>
      <w:r>
        <w:br/>
      </w:r>
      <w:r>
        <w:rPr>
          <w:rStyle w:val="723"/>
        </w:rPr>
        <w:t xml:space="preserve">sce2 </w:t>
      </w:r>
      <w:r>
        <w:rPr>
          <w:rStyle w:val="709"/>
        </w:rPr>
        <w:t xml:space="preserve">&lt;-</w:t>
      </w:r>
      <w:r>
        <w:rPr>
          <w:rStyle w:val="723"/>
        </w:rPr>
        <w:t xml:space="preserve"> </w:t>
      </w:r>
      <w:r>
        <w:rPr>
          <w:rStyle w:val="710"/>
        </w:rPr>
        <w:t xml:space="preserve">readRDS</w:t>
      </w:r>
      <w:r>
        <w:rPr>
          <w:rStyle w:val="723"/>
        </w:rPr>
        <w:t xml:space="preserve">(</w:t>
      </w:r>
      <w:r>
        <w:rPr>
          <w:rStyle w:val="701"/>
        </w:rPr>
        <w:t xml:space="preserve">"sce2Validation.rds"</w:t>
      </w:r>
      <w:r>
        <w:rPr>
          <w:rStyle w:val="723"/>
        </w:rPr>
        <w:t xml:space="preserve">)</w:t>
      </w:r>
      <w:r>
        <w:br/>
      </w:r>
      <w:r>
        <w:rPr>
          <w:rStyle w:val="723"/>
        </w:rPr>
        <w:t xml:space="preserve">sce3 </w:t>
      </w:r>
      <w:r>
        <w:rPr>
          <w:rStyle w:val="709"/>
        </w:rPr>
        <w:t xml:space="preserve">&lt;-</w:t>
      </w:r>
      <w:r>
        <w:rPr>
          <w:rStyle w:val="723"/>
        </w:rPr>
        <w:t xml:space="preserve"> </w:t>
      </w:r>
      <w:r>
        <w:rPr>
          <w:rStyle w:val="710"/>
        </w:rPr>
        <w:t xml:space="preserve">readRDS</w:t>
      </w:r>
      <w:r>
        <w:rPr>
          <w:rStyle w:val="723"/>
        </w:rPr>
        <w:t xml:space="preserve">(</w:t>
      </w:r>
      <w:r>
        <w:rPr>
          <w:rStyle w:val="701"/>
        </w:rPr>
        <w:t xml:space="preserve">"sce3Validation.rds"</w:t>
      </w:r>
      <w:r>
        <w:rPr>
          <w:rStyle w:val="723"/>
        </w:rPr>
        <w:t xml:space="preserve">)</w:t>
      </w:r>
      <w:r>
        <w:br/>
      </w:r>
      <w:r>
        <w:rPr>
          <w:rStyle w:val="723"/>
        </w:rPr>
        <w:t xml:space="preserve">topHVG1000SCE </w:t>
      </w:r>
      <w:r>
        <w:rPr>
          <w:rStyle w:val="709"/>
        </w:rPr>
        <w:t xml:space="preserve">&lt;-</w:t>
      </w:r>
      <w:r>
        <w:rPr>
          <w:rStyle w:val="723"/>
        </w:rPr>
        <w:t xml:space="preserve"> scran</w:t>
      </w:r>
      <w:r>
        <w:rPr>
          <w:rStyle w:val="700"/>
        </w:rPr>
        <w:t xml:space="preserve">::</w:t>
      </w:r>
      <w:r>
        <w:rPr>
          <w:rStyle w:val="710"/>
        </w:rPr>
        <w:t xml:space="preserve">getTopHVGs</w:t>
      </w:r>
      <w:r>
        <w:rPr>
          <w:rStyle w:val="723"/>
        </w:rPr>
        <w:t xml:space="preserve">(scran</w:t>
      </w:r>
      <w:r>
        <w:rPr>
          <w:rStyle w:val="700"/>
        </w:rPr>
        <w:t xml:space="preserve">::</w:t>
      </w:r>
      <w:r>
        <w:rPr>
          <w:rStyle w:val="710"/>
        </w:rPr>
        <w:t xml:space="preserve">modelGeneVar</w:t>
      </w:r>
      <w:r>
        <w:rPr>
          <w:rStyle w:val="723"/>
        </w:rPr>
        <w:t xml:space="preserve">(</w:t>
      </w:r>
      <w:r>
        <w:rPr>
          <w:rStyle w:val="710"/>
        </w:rPr>
        <w:t xml:space="preserve">assay</w:t>
      </w:r>
      <w:r>
        <w:rPr>
          <w:rStyle w:val="723"/>
        </w:rPr>
        <w:t xml:space="preserve">(sce2, </w:t>
      </w:r>
      <w:r>
        <w:rPr>
          <w:rStyle w:val="701"/>
        </w:rPr>
        <w:t xml:space="preserve">"filteredCellsNormalized"</w:t>
      </w:r>
      <w:r>
        <w:rPr>
          <w:rStyle w:val="723"/>
        </w:rPr>
        <w:t xml:space="preserve">)), </w:t>
      </w:r>
      <w:r>
        <w:rPr>
          <w:rStyle w:val="717"/>
        </w:rPr>
        <w:t xml:space="preserve">n =</w:t>
      </w:r>
      <w:r>
        <w:rPr>
          <w:rStyle w:val="723"/>
        </w:rPr>
        <w:t xml:space="preserve"> </w:t>
      </w:r>
      <w:r>
        <w:rPr>
          <w:rStyle w:val="695"/>
        </w:rPr>
        <w:t xml:space="preserve">1000</w:t>
      </w:r>
      <w:r>
        <w:rPr>
          <w:rStyle w:val="723"/>
        </w:rPr>
        <w:t xml:space="preserve">)</w:t>
      </w:r>
      <w:r>
        <w:br/>
      </w:r>
      <w:r>
        <w:br/>
      </w:r>
      <w:r>
        <w:rPr>
          <w:rStyle w:val="705"/>
        </w:rPr>
        <w:t xml:space="preserve"># ExperimentSubset</w:t>
      </w:r>
      <w:r>
        <w:br/>
      </w:r>
      <w:r>
        <w:rPr>
          <w:rStyle w:val="723"/>
        </w:rPr>
        <w:t xml:space="preserve">es </w:t>
      </w:r>
      <w:r>
        <w:rPr>
          <w:rStyle w:val="709"/>
        </w:rPr>
        <w:t xml:space="preserve">&lt;-</w:t>
      </w:r>
      <w:r>
        <w:rPr>
          <w:rStyle w:val="723"/>
        </w:rPr>
        <w:t xml:space="preserve"> </w:t>
      </w:r>
      <w:r>
        <w:rPr>
          <w:rStyle w:val="710"/>
        </w:rPr>
        <w:t xml:space="preserve">readRDS</w:t>
      </w:r>
      <w:r>
        <w:rPr>
          <w:rStyle w:val="723"/>
        </w:rPr>
        <w:t xml:space="preserve">(</w:t>
      </w:r>
      <w:r>
        <w:rPr>
          <w:rStyle w:val="701"/>
        </w:rPr>
        <w:t xml:space="preserve">"esValidation.rds"</w:t>
      </w:r>
      <w:r>
        <w:rPr>
          <w:rStyle w:val="723"/>
        </w:rPr>
        <w:t xml:space="preserve">)</w:t>
      </w:r>
      <w:r>
        <w:br/>
      </w:r>
      <w:r>
        <w:rPr>
          <w:rStyle w:val="723"/>
        </w:rPr>
        <w:t xml:space="preserve">topHVG1000ES </w:t>
      </w:r>
      <w:r>
        <w:rPr>
          <w:rStyle w:val="709"/>
        </w:rPr>
        <w:t xml:space="preserve">&lt;-</w:t>
      </w:r>
      <w:r>
        <w:rPr>
          <w:rStyle w:val="723"/>
        </w:rPr>
        <w:t xml:space="preserve"> scran</w:t>
      </w:r>
      <w:r>
        <w:rPr>
          <w:rStyle w:val="700"/>
        </w:rPr>
        <w:t xml:space="preserve">::</w:t>
      </w:r>
      <w:r>
        <w:rPr>
          <w:rStyle w:val="710"/>
        </w:rPr>
        <w:t xml:space="preserve">getTopHVGs</w:t>
      </w:r>
      <w:r>
        <w:rPr>
          <w:rStyle w:val="723"/>
        </w:rPr>
        <w:t xml:space="preserve">(scran</w:t>
      </w:r>
      <w:r>
        <w:rPr>
          <w:rStyle w:val="700"/>
        </w:rPr>
        <w:t xml:space="preserve">::</w:t>
      </w:r>
      <w:r>
        <w:rPr>
          <w:rStyle w:val="710"/>
        </w:rPr>
        <w:t xml:space="preserve">modelGeneVar</w:t>
      </w:r>
      <w:r>
        <w:rPr>
          <w:rStyle w:val="723"/>
        </w:rPr>
        <w:t xml:space="preserve">(</w:t>
      </w:r>
      <w:r>
        <w:rPr>
          <w:rStyle w:val="710"/>
        </w:rPr>
        <w:t xml:space="preserve">assay</w:t>
      </w:r>
      <w:r>
        <w:rPr>
          <w:rStyle w:val="723"/>
        </w:rPr>
        <w:t xml:space="preserve">(es, </w:t>
      </w:r>
      <w:r>
        <w:rPr>
          <w:rStyle w:val="701"/>
        </w:rPr>
        <w:t xml:space="preserve">"filteredCellsNormalized"</w:t>
      </w:r>
      <w:r>
        <w:rPr>
          <w:rStyle w:val="723"/>
        </w:rPr>
        <w:t xml:space="preserve">)), </w:t>
      </w:r>
      <w:r>
        <w:rPr>
          <w:rStyle w:val="717"/>
        </w:rPr>
        <w:t xml:space="preserve">n =</w:t>
      </w:r>
      <w:r>
        <w:rPr>
          <w:rStyle w:val="723"/>
        </w:rPr>
        <w:t xml:space="preserve"> </w:t>
      </w:r>
      <w:r>
        <w:rPr>
          <w:rStyle w:val="695"/>
        </w:rPr>
        <w:t xml:space="preserve">1000</w:t>
      </w:r>
      <w:r>
        <w:rPr>
          <w:rStyle w:val="723"/>
        </w:rPr>
        <w:t xml:space="preserve">)</w:t>
      </w:r>
      <w:r>
        <w:br/>
      </w:r>
      <w:r>
        <w:br/>
      </w:r>
      <w:r>
        <w:rPr>
          <w:rStyle w:val="705"/>
        </w:rPr>
        <w:t xml:space="preserve"># SingleCellExperiment</w:t>
      </w:r>
      <w:r>
        <w:br/>
      </w:r>
      <w:r>
        <w:rPr>
          <w:rStyle w:val="710"/>
        </w:rPr>
        <w:t xml:space="preserve">print</w:t>
      </w:r>
      <w:r>
        <w:rPr>
          <w:rStyle w:val="723"/>
        </w:rPr>
        <w:t xml:space="preserve">(</w:t>
      </w:r>
      <w:r>
        <w:rPr>
          <w:rStyle w:val="710"/>
        </w:rPr>
        <w:t xml:space="preserve">sum</w:t>
      </w:r>
      <w:r>
        <w:rPr>
          <w:rStyle w:val="723"/>
        </w:rPr>
        <w:t xml:space="preserve">(</w:t>
      </w:r>
      <w:r>
        <w:rPr>
          <w:rStyle w:val="710"/>
        </w:rPr>
        <w:t xml:space="preserve">assay</w:t>
      </w:r>
      <w:r>
        <w:rPr>
          <w:rStyle w:val="723"/>
        </w:rPr>
        <w:t xml:space="preserve">(sce1, </w:t>
      </w:r>
      <w:r>
        <w:rPr>
          <w:rStyle w:val="701"/>
        </w:rPr>
        <w:t xml:space="preserve">"counts"</w:t>
      </w:r>
      <w:r>
        <w:rPr>
          <w:rStyle w:val="723"/>
        </w:rPr>
        <w:t xml:space="preserve">)))</w:t>
      </w:r>
      <w:r/>
    </w:p>
    <w:p>
      <w:pPr>
        <w:pStyle w:val="692"/>
      </w:pPr>
      <w:r>
        <w:rPr>
          <w:rStyle w:val="687"/>
        </w:rPr>
        <w:t xml:space="preserve">## [1] 6390631</w:t>
      </w:r>
      <w:r/>
    </w:p>
    <w:p>
      <w:pPr>
        <w:pStyle w:val="692"/>
      </w:pPr>
      <w:r>
        <w:rPr>
          <w:rStyle w:val="705"/>
        </w:rPr>
        <w:t xml:space="preserve"># ExperimentSubset</w:t>
      </w:r>
      <w:r>
        <w:br/>
      </w:r>
      <w:r>
        <w:rPr>
          <w:rStyle w:val="710"/>
        </w:rPr>
        <w:t xml:space="preserve">print</w:t>
      </w:r>
      <w:r>
        <w:rPr>
          <w:rStyle w:val="723"/>
        </w:rPr>
        <w:t xml:space="preserve">(</w:t>
      </w:r>
      <w:r>
        <w:rPr>
          <w:rStyle w:val="710"/>
        </w:rPr>
        <w:t xml:space="preserve">sum</w:t>
      </w:r>
      <w:r>
        <w:rPr>
          <w:rStyle w:val="723"/>
        </w:rPr>
        <w:t xml:space="preserve">(</w:t>
      </w:r>
      <w:r>
        <w:rPr>
          <w:rStyle w:val="710"/>
        </w:rPr>
        <w:t xml:space="preserve">assay</w:t>
      </w:r>
      <w:r>
        <w:rPr>
          <w:rStyle w:val="723"/>
        </w:rPr>
        <w:t xml:space="preserve">(es, </w:t>
      </w:r>
      <w:r>
        <w:rPr>
          <w:rStyle w:val="701"/>
        </w:rPr>
        <w:t xml:space="preserve">"counts"</w:t>
      </w:r>
      <w:r>
        <w:rPr>
          <w:rStyle w:val="723"/>
        </w:rPr>
        <w:t xml:space="preserve">)))</w:t>
      </w:r>
      <w:r/>
    </w:p>
    <w:p>
      <w:pPr>
        <w:pStyle w:val="692"/>
      </w:pPr>
      <w:r>
        <w:rPr>
          <w:rStyle w:val="687"/>
        </w:rPr>
        <w:t xml:space="preserve">## [1] 6390631</w:t>
      </w:r>
      <w:r/>
    </w:p>
    <w:p>
      <w:pPr>
        <w:pStyle w:val="692"/>
      </w:pPr>
      <w:r>
        <w:rPr>
          <w:rStyle w:val="705"/>
        </w:rPr>
        <w:t xml:space="preserve"># SingleCellExperiment</w:t>
      </w:r>
      <w:r>
        <w:br/>
      </w:r>
      <w:r>
        <w:rPr>
          <w:rStyle w:val="710"/>
        </w:rPr>
        <w:t xml:space="preserve">print</w:t>
      </w:r>
      <w:r>
        <w:rPr>
          <w:rStyle w:val="723"/>
        </w:rPr>
        <w:t xml:space="preserve">(sce1</w:t>
      </w:r>
      <w:r>
        <w:rPr>
          <w:rStyle w:val="700"/>
        </w:rPr>
        <w:t xml:space="preserve">@</w:t>
      </w:r>
      <w:r>
        <w:rPr>
          <w:rStyle w:val="723"/>
        </w:rPr>
        <w:t xml:space="preserve">colData</w:t>
      </w:r>
      <w:r>
        <w:rPr>
          <w:rStyle w:val="700"/>
        </w:rPr>
        <w:t xml:space="preserve">$</w:t>
      </w:r>
      <w:r>
        <w:rPr>
          <w:rStyle w:val="723"/>
        </w:rPr>
        <w:t xml:space="preserve">sum[</w:t>
      </w:r>
      <w:r>
        <w:rPr>
          <w:rStyle w:val="695"/>
        </w:rPr>
        <w:t xml:space="preserve">1</w:t>
      </w:r>
      <w:r>
        <w:rPr>
          <w:rStyle w:val="700"/>
        </w:rPr>
        <w:t xml:space="preserve">:</w:t>
      </w:r>
      <w:r>
        <w:rPr>
          <w:rStyle w:val="695"/>
        </w:rPr>
        <w:t xml:space="preserve">10</w:t>
      </w:r>
      <w:r>
        <w:rPr>
          <w:rStyle w:val="723"/>
        </w:rPr>
        <w:t xml:space="preserve">])</w:t>
      </w:r>
      <w:r/>
    </w:p>
    <w:p>
      <w:pPr>
        <w:pStyle w:val="692"/>
      </w:pPr>
      <w:r>
        <w:rPr>
          <w:rStyle w:val="687"/>
        </w:rPr>
        <w:t xml:space="preserve">##  [1] 15844 15301 10783 10359 10282  8931  8424  8015  7935  7171</w:t>
      </w:r>
      <w:r/>
    </w:p>
    <w:p>
      <w:pPr>
        <w:pStyle w:val="692"/>
      </w:pPr>
      <w:r>
        <w:rPr>
          <w:rStyle w:val="705"/>
        </w:rPr>
        <w:t xml:space="preserve"># ExperimentSubset</w:t>
      </w:r>
      <w:r>
        <w:br/>
      </w:r>
      <w:r>
        <w:rPr>
          <w:rStyle w:val="710"/>
        </w:rPr>
        <w:t xml:space="preserve">print</w:t>
      </w:r>
      <w:r>
        <w:rPr>
          <w:rStyle w:val="723"/>
        </w:rPr>
        <w:t xml:space="preserve">(es</w:t>
      </w:r>
      <w:r>
        <w:rPr>
          <w:rStyle w:val="700"/>
        </w:rPr>
        <w:t xml:space="preserve">@</w:t>
      </w:r>
      <w:r>
        <w:rPr>
          <w:rStyle w:val="723"/>
        </w:rPr>
        <w:t xml:space="preserve">colData</w:t>
      </w:r>
      <w:r>
        <w:rPr>
          <w:rStyle w:val="700"/>
        </w:rPr>
        <w:t xml:space="preserve">$</w:t>
      </w:r>
      <w:r>
        <w:rPr>
          <w:rStyle w:val="723"/>
        </w:rPr>
        <w:t xml:space="preserve">sum[</w:t>
      </w:r>
      <w:r>
        <w:rPr>
          <w:rStyle w:val="695"/>
        </w:rPr>
        <w:t xml:space="preserve">1</w:t>
      </w:r>
      <w:r>
        <w:rPr>
          <w:rStyle w:val="700"/>
        </w:rPr>
        <w:t xml:space="preserve">:</w:t>
      </w:r>
      <w:r>
        <w:rPr>
          <w:rStyle w:val="695"/>
        </w:rPr>
        <w:t xml:space="preserve">10</w:t>
      </w:r>
      <w:r>
        <w:rPr>
          <w:rStyle w:val="723"/>
        </w:rPr>
        <w:t xml:space="preserve">])</w:t>
      </w:r>
      <w:r/>
    </w:p>
    <w:p>
      <w:pPr>
        <w:pStyle w:val="692"/>
      </w:pPr>
      <w:r>
        <w:rPr>
          <w:rStyle w:val="687"/>
        </w:rPr>
        <w:t xml:space="preserve">##  [1] 15844 15301 10783 10359 10282  8931  8424  8015  7935  7171</w:t>
      </w:r>
      <w:r/>
    </w:p>
    <w:p>
      <w:pPr>
        <w:pStyle w:val="692"/>
      </w:pPr>
      <w:r>
        <w:rPr>
          <w:rStyle w:val="705"/>
        </w:rPr>
        <w:t xml:space="preserve"># SingleCellExperiment</w:t>
      </w:r>
      <w:r>
        <w:br/>
      </w:r>
      <w:r>
        <w:rPr>
          <w:rStyle w:val="710"/>
        </w:rPr>
        <w:t xml:space="preserve">print</w:t>
      </w:r>
      <w:r>
        <w:rPr>
          <w:rStyle w:val="723"/>
        </w:rPr>
        <w:t xml:space="preserve">(topHVG1000SCE[</w:t>
      </w:r>
      <w:r>
        <w:rPr>
          <w:rStyle w:val="695"/>
        </w:rPr>
        <w:t xml:space="preserve">1</w:t>
      </w:r>
      <w:r>
        <w:rPr>
          <w:rStyle w:val="700"/>
        </w:rPr>
        <w:t xml:space="preserve">:</w:t>
      </w:r>
      <w:r>
        <w:rPr>
          <w:rStyle w:val="695"/>
        </w:rPr>
        <w:t xml:space="preserve">10</w:t>
      </w:r>
      <w:r>
        <w:rPr>
          <w:rStyle w:val="723"/>
        </w:rPr>
        <w:t xml:space="preserve">])</w:t>
      </w:r>
      <w:r/>
    </w:p>
    <w:p>
      <w:pPr>
        <w:pStyle w:val="692"/>
      </w:pPr>
      <w:r>
        <w:rPr>
          <w:rStyle w:val="687"/>
        </w:rPr>
        <w:t xml:space="preserve">##  [1] "ENSG00000090382" "ENSG00000163220" "ENSG00000101439" "ENSG00000087086"</w:t>
      </w:r>
      <w:r>
        <w:br/>
      </w:r>
      <w:r>
        <w:rPr>
          <w:rStyle w:val="687"/>
        </w:rPr>
        <w:t xml:space="preserve">##  [5] "ENSG00000204287" "ENSG00000011600" "ENSG00000167996" "ENSG00000143546"</w:t>
      </w:r>
      <w:r>
        <w:br/>
      </w:r>
      <w:r>
        <w:rPr>
          <w:rStyle w:val="687"/>
        </w:rPr>
        <w:t xml:space="preserve">##  [9] "ENSG00000019582" "ENSG00000100097"</w:t>
      </w:r>
      <w:r/>
    </w:p>
    <w:p>
      <w:pPr>
        <w:pStyle w:val="692"/>
      </w:pPr>
      <w:r>
        <w:rPr>
          <w:rStyle w:val="705"/>
        </w:rPr>
        <w:t xml:space="preserve"># ExperimentSubset</w:t>
      </w:r>
      <w:r>
        <w:br/>
      </w:r>
      <w:r>
        <w:rPr>
          <w:rStyle w:val="710"/>
        </w:rPr>
        <w:t xml:space="preserve">print</w:t>
      </w:r>
      <w:r>
        <w:rPr>
          <w:rStyle w:val="723"/>
        </w:rPr>
        <w:t xml:space="preserve">(topHVG1000ES[</w:t>
      </w:r>
      <w:r>
        <w:rPr>
          <w:rStyle w:val="695"/>
        </w:rPr>
        <w:t xml:space="preserve">1</w:t>
      </w:r>
      <w:r>
        <w:rPr>
          <w:rStyle w:val="700"/>
        </w:rPr>
        <w:t xml:space="preserve">:</w:t>
      </w:r>
      <w:r>
        <w:rPr>
          <w:rStyle w:val="695"/>
        </w:rPr>
        <w:t xml:space="preserve">10</w:t>
      </w:r>
      <w:r>
        <w:rPr>
          <w:rStyle w:val="723"/>
        </w:rPr>
        <w:t xml:space="preserve">])</w:t>
      </w:r>
      <w:r/>
    </w:p>
    <w:p>
      <w:pPr>
        <w:pStyle w:val="692"/>
      </w:pPr>
      <w:r>
        <w:rPr>
          <w:rStyle w:val="687"/>
        </w:rPr>
        <w:t xml:space="preserve">##  [1] "ENSG00000090382" "ENSG00000163220" "ENSG00000101439" "ENSG00000087086"</w:t>
      </w:r>
      <w:r>
        <w:br/>
      </w:r>
      <w:r>
        <w:rPr>
          <w:rStyle w:val="687"/>
        </w:rPr>
        <w:t xml:space="preserve">##  [5] "ENSG00000204287" "ENSG00000011600" "ENSG00000167996" "ENSG00000143546"</w:t>
      </w:r>
      <w:r>
        <w:br/>
      </w:r>
      <w:r>
        <w:rPr>
          <w:rStyle w:val="687"/>
        </w:rPr>
        <w:t xml:space="preserve">##  [9] "ENSG00000019582" "ENSG00000100097"</w:t>
      </w:r>
      <w:r/>
    </w:p>
    <w:p>
      <w:pPr>
        <w:pStyle w:val="692"/>
      </w:pPr>
      <w:r>
        <w:rPr>
          <w:rStyle w:val="705"/>
        </w:rPr>
        <w:t xml:space="preserve"># SingleCellExperiment</w:t>
      </w:r>
      <w:r>
        <w:br/>
      </w:r>
      <w:r>
        <w:rPr>
          <w:rStyle w:val="710"/>
        </w:rPr>
        <w:t xml:space="preserve">print</w:t>
      </w:r>
      <w:r>
        <w:rPr>
          <w:rStyle w:val="723"/>
        </w:rPr>
        <w:t xml:space="preserve">(</w:t>
      </w:r>
      <w:r>
        <w:rPr>
          <w:rStyle w:val="710"/>
        </w:rPr>
        <w:t xml:space="preserve">sum</w:t>
      </w:r>
      <w:r>
        <w:rPr>
          <w:rStyle w:val="723"/>
        </w:rPr>
        <w:t xml:space="preserve">(</w:t>
      </w:r>
      <w:r>
        <w:rPr>
          <w:rStyle w:val="710"/>
        </w:rPr>
        <w:t xml:space="preserve">assay</w:t>
      </w:r>
      <w:r>
        <w:rPr>
          <w:rStyle w:val="723"/>
        </w:rPr>
        <w:t xml:space="preserve">(sce3, </w:t>
      </w:r>
      <w:r>
        <w:rPr>
          <w:rStyle w:val="701"/>
        </w:rPr>
        <w:t xml:space="preserve">"filteredCellsNormalized"</w:t>
      </w:r>
      <w:r>
        <w:rPr>
          <w:rStyle w:val="723"/>
        </w:rPr>
        <w:t xml:space="preserve">)))</w:t>
      </w:r>
      <w:r/>
    </w:p>
    <w:p>
      <w:pPr>
        <w:pStyle w:val="692"/>
      </w:pPr>
      <w:r>
        <w:rPr>
          <w:rStyle w:val="687"/>
        </w:rPr>
        <w:t xml:space="preserve">## [1] 495868.1</w:t>
      </w:r>
      <w:r/>
    </w:p>
    <w:p>
      <w:pPr>
        <w:pStyle w:val="692"/>
      </w:pPr>
      <w:r>
        <w:rPr>
          <w:rStyle w:val="705"/>
        </w:rPr>
        <w:t xml:space="preserve"># ExperimentSubset</w:t>
      </w:r>
      <w:r>
        <w:br/>
      </w:r>
      <w:r>
        <w:rPr>
          <w:rStyle w:val="710"/>
        </w:rPr>
        <w:t xml:space="preserve">print</w:t>
      </w:r>
      <w:r>
        <w:rPr>
          <w:rStyle w:val="723"/>
        </w:rPr>
        <w:t xml:space="preserve">(</w:t>
      </w:r>
      <w:r>
        <w:rPr>
          <w:rStyle w:val="710"/>
        </w:rPr>
        <w:t xml:space="preserve">sum</w:t>
      </w:r>
      <w:r>
        <w:rPr>
          <w:rStyle w:val="723"/>
        </w:rPr>
        <w:t xml:space="preserve">(</w:t>
      </w:r>
      <w:r>
        <w:rPr>
          <w:rStyle w:val="710"/>
        </w:rPr>
        <w:t xml:space="preserve">assay</w:t>
      </w:r>
      <w:r>
        <w:rPr>
          <w:rStyle w:val="723"/>
        </w:rPr>
        <w:t xml:space="preserve">(es, </w:t>
      </w:r>
      <w:r>
        <w:rPr>
          <w:rStyle w:val="701"/>
        </w:rPr>
        <w:t xml:space="preserve">"hvg1000"</w:t>
      </w:r>
      <w:r>
        <w:rPr>
          <w:rStyle w:val="723"/>
        </w:rPr>
        <w:t xml:space="preserve">)))</w:t>
      </w:r>
      <w:r/>
    </w:p>
    <w:p>
      <w:pPr>
        <w:pStyle w:val="692"/>
      </w:pPr>
      <w:r>
        <w:rPr>
          <w:rStyle w:val="687"/>
        </w:rPr>
        <w:t xml:space="preserve">## [1] 495868.1</w:t>
      </w:r>
      <w:r/>
    </w:p>
    <w:p>
      <w:pPr>
        <w:pStyle w:val="692"/>
      </w:pPr>
      <w:r>
        <w:rPr>
          <w:rStyle w:val="705"/>
        </w:rPr>
        <w:t xml:space="preserve"># SingleCellExperiment</w:t>
      </w:r>
      <w:r>
        <w:br/>
      </w:r>
      <w:r>
        <w:rPr>
          <w:rStyle w:val="710"/>
        </w:rPr>
        <w:t xml:space="preserve">print</w:t>
      </w:r>
      <w:r>
        <w:rPr>
          <w:rStyle w:val="723"/>
        </w:rPr>
        <w:t xml:space="preserve">(</w:t>
      </w:r>
      <w:r>
        <w:rPr>
          <w:rStyle w:val="710"/>
        </w:rPr>
        <w:t xml:space="preserve">abs</w:t>
      </w:r>
      <w:r>
        <w:rPr>
          <w:rStyle w:val="723"/>
        </w:rPr>
        <w:t xml:space="preserve">(</w:t>
      </w:r>
      <w:r>
        <w:rPr>
          <w:rStyle w:val="710"/>
        </w:rPr>
        <w:t xml:space="preserve">reducedDim</w:t>
      </w:r>
      <w:r>
        <w:rPr>
          <w:rStyle w:val="723"/>
        </w:rPr>
        <w:t xml:space="preserve">(sce3, </w:t>
      </w:r>
      <w:r>
        <w:rPr>
          <w:rStyle w:val="717"/>
        </w:rPr>
        <w:t xml:space="preserve">type =</w:t>
      </w:r>
      <w:r>
        <w:rPr>
          <w:rStyle w:val="723"/>
        </w:rPr>
        <w:t xml:space="preserve"> </w:t>
      </w:r>
      <w:r>
        <w:rPr>
          <w:rStyle w:val="701"/>
        </w:rPr>
        <w:t xml:space="preserve">"PCA"</w:t>
      </w:r>
      <w:r>
        <w:rPr>
          <w:rStyle w:val="723"/>
        </w:rPr>
        <w:t xml:space="preserve">)[</w:t>
      </w:r>
      <w:r>
        <w:rPr>
          <w:rStyle w:val="695"/>
        </w:rPr>
        <w:t xml:space="preserve">1</w:t>
      </w:r>
      <w:r>
        <w:rPr>
          <w:rStyle w:val="700"/>
        </w:rPr>
        <w:t xml:space="preserve">:</w:t>
      </w:r>
      <w:r>
        <w:rPr>
          <w:rStyle w:val="695"/>
        </w:rPr>
        <w:t xml:space="preserve">4</w:t>
      </w:r>
      <w:r>
        <w:rPr>
          <w:rStyle w:val="723"/>
        </w:rPr>
        <w:t xml:space="preserve">, </w:t>
      </w:r>
      <w:r>
        <w:rPr>
          <w:rStyle w:val="695"/>
        </w:rPr>
        <w:t xml:space="preserve">1</w:t>
      </w:r>
      <w:r>
        <w:rPr>
          <w:rStyle w:val="700"/>
        </w:rPr>
        <w:t xml:space="preserve">:</w:t>
      </w:r>
      <w:r>
        <w:rPr>
          <w:rStyle w:val="695"/>
        </w:rPr>
        <w:t xml:space="preserve">4</w:t>
      </w:r>
      <w:r>
        <w:rPr>
          <w:rStyle w:val="723"/>
        </w:rPr>
        <w:t xml:space="preserve">]))</w:t>
      </w:r>
      <w:r/>
    </w:p>
    <w:p>
      <w:pPr>
        <w:pStyle w:val="692"/>
      </w:pPr>
      <w:r>
        <w:rPr>
          <w:rStyle w:val="687"/>
        </w:rPr>
        <w:t xml:space="preserve">##            PC1       PC2      PC3       PC4</w:t>
      </w:r>
      <w:r>
        <w:br/>
      </w:r>
      <w:r>
        <w:rPr>
          <w:rStyle w:val="687"/>
        </w:rPr>
        <w:t xml:space="preserve">## [1,] 0.2349474 0.8651864 7.617885  5.041405</w:t>
      </w:r>
      <w:r>
        <w:br/>
      </w:r>
      <w:r>
        <w:rPr>
          <w:rStyle w:val="687"/>
        </w:rPr>
        <w:t xml:space="preserve">## [2,] 1.1268569 0.7913707 4.772599  6.016331</w:t>
      </w:r>
      <w:r>
        <w:br/>
      </w:r>
      <w:r>
        <w:rPr>
          <w:rStyle w:val="687"/>
        </w:rPr>
        <w:t xml:space="preserve">## [3,] 1.9842397 2.0383540 1.107544 11.561824</w:t>
      </w:r>
      <w:r>
        <w:br/>
      </w:r>
      <w:r>
        <w:rPr>
          <w:rStyle w:val="687"/>
        </w:rPr>
        <w:t xml:space="preserve">## [4,] 1.5243972 0.9868369 3.267039  5.114591</w:t>
      </w:r>
      <w:r/>
    </w:p>
    <w:p>
      <w:pPr>
        <w:pStyle w:val="692"/>
      </w:pPr>
      <w:r>
        <w:rPr>
          <w:rStyle w:val="705"/>
        </w:rPr>
        <w:t xml:space="preserve"># ExperimentSubset</w:t>
      </w:r>
      <w:r>
        <w:br/>
      </w:r>
      <w:r>
        <w:rPr>
          <w:rStyle w:val="710"/>
        </w:rPr>
        <w:t xml:space="preserve">print</w:t>
      </w:r>
      <w:r>
        <w:rPr>
          <w:rStyle w:val="723"/>
        </w:rPr>
        <w:t xml:space="preserve">(</w:t>
      </w:r>
      <w:r>
        <w:rPr>
          <w:rStyle w:val="710"/>
        </w:rPr>
        <w:t xml:space="preserve">abs</w:t>
      </w:r>
      <w:r>
        <w:rPr>
          <w:rStyle w:val="723"/>
        </w:rPr>
        <w:t xml:space="preserve">(</w:t>
      </w:r>
      <w:r>
        <w:rPr>
          <w:rStyle w:val="710"/>
        </w:rPr>
        <w:t xml:space="preserve">reducedDim</w:t>
      </w:r>
      <w:r>
        <w:rPr>
          <w:rStyle w:val="723"/>
        </w:rPr>
        <w:t xml:space="preserve">(es, </w:t>
      </w:r>
      <w:r>
        <w:rPr>
          <w:rStyle w:val="717"/>
        </w:rPr>
        <w:t xml:space="preserve">type =</w:t>
      </w:r>
      <w:r>
        <w:rPr>
          <w:rStyle w:val="723"/>
        </w:rPr>
        <w:t xml:space="preserve"> </w:t>
      </w:r>
      <w:r>
        <w:rPr>
          <w:rStyle w:val="701"/>
        </w:rPr>
        <w:t xml:space="preserve">"PCA"</w:t>
      </w:r>
      <w:r>
        <w:rPr>
          <w:rStyle w:val="723"/>
        </w:rPr>
        <w:t xml:space="preserve">, </w:t>
      </w:r>
      <w:r>
        <w:rPr>
          <w:rStyle w:val="717"/>
        </w:rPr>
        <w:t xml:space="preserve">subsetName =</w:t>
      </w:r>
      <w:r>
        <w:rPr>
          <w:rStyle w:val="723"/>
        </w:rPr>
        <w:t xml:space="preserve"> </w:t>
      </w:r>
      <w:r>
        <w:rPr>
          <w:rStyle w:val="701"/>
        </w:rPr>
        <w:t xml:space="preserve">"hvg1000"</w:t>
      </w:r>
      <w:r>
        <w:rPr>
          <w:rStyle w:val="723"/>
        </w:rPr>
        <w:t xml:space="preserve">)[</w:t>
      </w:r>
      <w:r>
        <w:rPr>
          <w:rStyle w:val="695"/>
        </w:rPr>
        <w:t xml:space="preserve">1</w:t>
      </w:r>
      <w:r>
        <w:rPr>
          <w:rStyle w:val="700"/>
        </w:rPr>
        <w:t xml:space="preserve">:</w:t>
      </w:r>
      <w:r>
        <w:rPr>
          <w:rStyle w:val="695"/>
        </w:rPr>
        <w:t xml:space="preserve">4</w:t>
      </w:r>
      <w:r>
        <w:rPr>
          <w:rStyle w:val="723"/>
        </w:rPr>
        <w:t xml:space="preserve">, </w:t>
      </w:r>
      <w:r>
        <w:rPr>
          <w:rStyle w:val="695"/>
        </w:rPr>
        <w:t xml:space="preserve">1</w:t>
      </w:r>
      <w:r>
        <w:rPr>
          <w:rStyle w:val="700"/>
        </w:rPr>
        <w:t xml:space="preserve">:</w:t>
      </w:r>
      <w:r>
        <w:rPr>
          <w:rStyle w:val="695"/>
        </w:rPr>
        <w:t xml:space="preserve">4</w:t>
      </w:r>
      <w:r>
        <w:rPr>
          <w:rStyle w:val="723"/>
        </w:rPr>
        <w:t xml:space="preserve">]))</w:t>
      </w:r>
      <w:r/>
    </w:p>
    <w:p>
      <w:pPr>
        <w:pStyle w:val="692"/>
      </w:pPr>
      <w:r>
        <w:rPr>
          <w:rStyle w:val="687"/>
        </w:rPr>
        <w:t xml:space="preserve">##            PC1       PC2      PC3       PC4</w:t>
      </w:r>
      <w:r>
        <w:br/>
      </w:r>
      <w:r>
        <w:rPr>
          <w:rStyle w:val="687"/>
        </w:rPr>
        <w:t xml:space="preserve">## [1,] 0.2349474 0.8651864 7.617885  5.041405</w:t>
      </w:r>
      <w:r>
        <w:br/>
      </w:r>
      <w:r>
        <w:rPr>
          <w:rStyle w:val="687"/>
        </w:rPr>
        <w:t xml:space="preserve">## [2,] 1.1268569 0.7913707 4.772599  6.016331</w:t>
      </w:r>
      <w:r>
        <w:br/>
      </w:r>
      <w:r>
        <w:rPr>
          <w:rStyle w:val="687"/>
        </w:rPr>
        <w:t xml:space="preserve">## [3,] 1.9842397 2.0383540 1.107544 11.561824</w:t>
      </w:r>
      <w:r>
        <w:br/>
      </w:r>
      <w:r>
        <w:rPr>
          <w:rStyle w:val="687"/>
        </w:rPr>
        <w:t xml:space="preserve">## [4,] 1.5243972 0.9868369 3.267039  5.114591</w:t>
      </w:r>
      <w:r/>
    </w:p>
    <w:p>
      <w:pPr>
        <w:pStyle w:val="692"/>
      </w:pPr>
      <w:r>
        <w:rPr>
          <w:rStyle w:val="705"/>
        </w:rPr>
        <w:t xml:space="preserve"># Printing objects</w:t>
      </w:r>
      <w:r>
        <w:br/>
      </w:r>
      <w:r>
        <w:rPr>
          <w:rStyle w:val="705"/>
        </w:rPr>
        <w:t xml:space="preserve"># SingleCellExperiment</w:t>
      </w:r>
      <w:r>
        <w:br/>
      </w:r>
      <w:r>
        <w:rPr>
          <w:rStyle w:val="710"/>
        </w:rPr>
        <w:t xml:space="preserve">print</w:t>
      </w:r>
      <w:r>
        <w:rPr>
          <w:rStyle w:val="723"/>
        </w:rPr>
        <w:t xml:space="preserve">(sce1)</w:t>
      </w:r>
      <w:r/>
    </w:p>
    <w:p>
      <w:pPr>
        <w:pStyle w:val="692"/>
      </w:pPr>
      <w:r>
        <w:rPr>
          <w:rStyle w:val="687"/>
        </w:rPr>
        <w:t xml:space="preserve">## class: SingleCellExperiment </w:t>
      </w:r>
      <w:r>
        <w:br/>
      </w:r>
      <w:r>
        <w:rPr>
          <w:rStyle w:val="687"/>
        </w:rPr>
        <w:t xml:space="preserve">## dim: 32738 2700 </w:t>
      </w:r>
      <w:r>
        <w:br/>
      </w:r>
      <w:r>
        <w:rPr>
          <w:rStyle w:val="687"/>
        </w:rPr>
        <w:t xml:space="preserve">## metadata(0):</w:t>
      </w:r>
      <w:r>
        <w:br/>
      </w:r>
      <w:r>
        <w:rPr>
          <w:rStyle w:val="687"/>
        </w:rPr>
        <w:t xml:space="preserve">## assays(1): counts</w:t>
      </w:r>
      <w:r>
        <w:br/>
      </w:r>
      <w:r>
        <w:rPr>
          <w:rStyle w:val="687"/>
        </w:rPr>
        <w:t xml:space="preserve">## rownames(32738): ENSG00000243485 ENSG00000237613 ... ENSG00000215616</w:t>
      </w:r>
      <w:r>
        <w:br/>
      </w:r>
      <w:r>
        <w:rPr>
          <w:rStyle w:val="687"/>
        </w:rPr>
        <w:t xml:space="preserve">##   ENSG00000215611</w:t>
      </w:r>
      <w:r>
        <w:br/>
      </w:r>
      <w:r>
        <w:rPr>
          <w:rStyle w:val="687"/>
        </w:rPr>
        <w:t xml:space="preserve">## rowData names(3): ENSEMBL_ID Symbol_TENx Symbol</w:t>
      </w:r>
      <w:r>
        <w:br/>
      </w:r>
      <w:r>
        <w:rPr>
          <w:rStyle w:val="687"/>
        </w:rPr>
        <w:t xml:space="preserve">## colnames: NULL</w:t>
      </w:r>
      <w:r>
        <w:br/>
      </w:r>
      <w:r>
        <w:rPr>
          <w:rStyle w:val="687"/>
        </w:rPr>
        <w:t xml:space="preserve">## colData names(13): Sample Barcode ... sum detected</w:t>
      </w:r>
      <w:r>
        <w:br/>
      </w:r>
      <w:r>
        <w:rPr>
          <w:rStyle w:val="687"/>
        </w:rPr>
        <w:t xml:space="preserve">## reducedDimNames(0):</w:t>
      </w:r>
      <w:r>
        <w:br/>
      </w:r>
      <w:r>
        <w:rPr>
          <w:rStyle w:val="687"/>
        </w:rPr>
        <w:t xml:space="preserve">## mainExpName: NULL</w:t>
      </w:r>
      <w:r>
        <w:br/>
      </w:r>
      <w:r>
        <w:rPr>
          <w:rStyle w:val="687"/>
        </w:rPr>
        <w:t xml:space="preserve">## altExpNames(0):</w:t>
      </w:r>
      <w:r/>
    </w:p>
    <w:p>
      <w:pPr>
        <w:pStyle w:val="692"/>
      </w:pPr>
      <w:r>
        <w:rPr>
          <w:rStyle w:val="710"/>
        </w:rPr>
        <w:t xml:space="preserve">print</w:t>
      </w:r>
      <w:r>
        <w:rPr>
          <w:rStyle w:val="723"/>
        </w:rPr>
        <w:t xml:space="preserve">(sce2)</w:t>
      </w:r>
      <w:r/>
    </w:p>
    <w:p>
      <w:pPr>
        <w:pStyle w:val="692"/>
      </w:pPr>
      <w:r>
        <w:rPr>
          <w:rStyle w:val="687"/>
        </w:rPr>
        <w:t xml:space="preserve">## class: SingleCellExperiment </w:t>
      </w:r>
      <w:r>
        <w:br/>
      </w:r>
      <w:r>
        <w:rPr>
          <w:rStyle w:val="687"/>
        </w:rPr>
        <w:t xml:space="preserve">## dim: 32738 1080 </w:t>
      </w:r>
      <w:r>
        <w:br/>
      </w:r>
      <w:r>
        <w:rPr>
          <w:rStyle w:val="687"/>
        </w:rPr>
        <w:t xml:space="preserve">## metadata(0):</w:t>
      </w:r>
      <w:r>
        <w:br/>
      </w:r>
      <w:r>
        <w:rPr>
          <w:rStyle w:val="687"/>
        </w:rPr>
        <w:t xml:space="preserve">## assays(2): counts filteredCellsNormalized</w:t>
      </w:r>
      <w:r>
        <w:br/>
      </w:r>
      <w:r>
        <w:rPr>
          <w:rStyle w:val="687"/>
        </w:rPr>
        <w:t xml:space="preserve">## rownames(32738): ENSG00000243485 ENSG00000237613 ... ENSG00000215616</w:t>
      </w:r>
      <w:r>
        <w:br/>
      </w:r>
      <w:r>
        <w:rPr>
          <w:rStyle w:val="687"/>
        </w:rPr>
        <w:t xml:space="preserve">##   ENSG00000215611</w:t>
      </w:r>
      <w:r>
        <w:br/>
      </w:r>
      <w:r>
        <w:rPr>
          <w:rStyle w:val="687"/>
        </w:rPr>
        <w:t xml:space="preserve">## rowData names(3): ENSEMBL_ID Symbol_TENx Symbol</w:t>
      </w:r>
      <w:r>
        <w:br/>
      </w:r>
      <w:r>
        <w:rPr>
          <w:rStyle w:val="687"/>
        </w:rPr>
        <w:t xml:space="preserve">## colnames: NULL</w:t>
      </w:r>
      <w:r>
        <w:br/>
      </w:r>
      <w:r>
        <w:rPr>
          <w:rStyle w:val="687"/>
        </w:rPr>
        <w:t xml:space="preserve">## colData names(13): Sample Barcode ... sum detected</w:t>
      </w:r>
      <w:r>
        <w:br/>
      </w:r>
      <w:r>
        <w:rPr>
          <w:rStyle w:val="687"/>
        </w:rPr>
        <w:t xml:space="preserve">## reducedDimNames(0):</w:t>
      </w:r>
      <w:r>
        <w:br/>
      </w:r>
      <w:r>
        <w:rPr>
          <w:rStyle w:val="687"/>
        </w:rPr>
        <w:t xml:space="preserve">## mainExpName: NULL</w:t>
      </w:r>
      <w:r>
        <w:br/>
      </w:r>
      <w:r>
        <w:rPr>
          <w:rStyle w:val="687"/>
        </w:rPr>
        <w:t xml:space="preserve">## altExpNames(0):</w:t>
      </w:r>
      <w:r/>
    </w:p>
    <w:p>
      <w:pPr>
        <w:pStyle w:val="692"/>
      </w:pPr>
      <w:r>
        <w:rPr>
          <w:rStyle w:val="710"/>
        </w:rPr>
        <w:t xml:space="preserve">print</w:t>
      </w:r>
      <w:r>
        <w:rPr>
          <w:rStyle w:val="723"/>
        </w:rPr>
        <w:t xml:space="preserve">(sce3)</w:t>
      </w:r>
      <w:r/>
    </w:p>
    <w:p>
      <w:pPr>
        <w:pStyle w:val="692"/>
      </w:pPr>
      <w:r>
        <w:rPr>
          <w:rStyle w:val="687"/>
        </w:rPr>
        <w:t xml:space="preserve">## class: SingleCellExperiment </w:t>
      </w:r>
      <w:r>
        <w:br/>
      </w:r>
      <w:r>
        <w:rPr>
          <w:rStyle w:val="687"/>
        </w:rPr>
        <w:t xml:space="preserve">## dim: 1000 1080 </w:t>
      </w:r>
      <w:r>
        <w:br/>
      </w:r>
      <w:r>
        <w:rPr>
          <w:rStyle w:val="687"/>
        </w:rPr>
        <w:t xml:space="preserve">## metadata(0):</w:t>
      </w:r>
      <w:r>
        <w:br/>
      </w:r>
      <w:r>
        <w:rPr>
          <w:rStyle w:val="687"/>
        </w:rPr>
        <w:t xml:space="preserve">## assays(2): counts filteredCellsNormalized</w:t>
      </w:r>
      <w:r>
        <w:br/>
      </w:r>
      <w:r>
        <w:rPr>
          <w:rStyle w:val="687"/>
        </w:rPr>
        <w:t xml:space="preserve">## rownames(1000): ENSG00000090382 ENSG00000163220 ... ENSG00000173638</w:t>
      </w:r>
      <w:r>
        <w:br/>
      </w:r>
      <w:r>
        <w:rPr>
          <w:rStyle w:val="687"/>
        </w:rPr>
        <w:t xml:space="preserve">##   ENSG00000172530</w:t>
      </w:r>
      <w:r>
        <w:br/>
      </w:r>
      <w:r>
        <w:rPr>
          <w:rStyle w:val="687"/>
        </w:rPr>
        <w:t xml:space="preserve">## rowData names(3): ENSEMBL_ID Symbol_TENx Symbol</w:t>
      </w:r>
      <w:r>
        <w:br/>
      </w:r>
      <w:r>
        <w:rPr>
          <w:rStyle w:val="687"/>
        </w:rPr>
        <w:t xml:space="preserve">## colnames: NULL</w:t>
      </w:r>
      <w:r>
        <w:br/>
      </w:r>
      <w:r>
        <w:rPr>
          <w:rStyle w:val="687"/>
        </w:rPr>
        <w:t xml:space="preserve">## colData names(13): Sample Barcode ... sum detected</w:t>
      </w:r>
      <w:r>
        <w:br/>
      </w:r>
      <w:r>
        <w:rPr>
          <w:rStyle w:val="687"/>
        </w:rPr>
        <w:t xml:space="preserve">## reducedDimNames(1): PCA</w:t>
      </w:r>
      <w:r>
        <w:br/>
      </w:r>
      <w:r>
        <w:rPr>
          <w:rStyle w:val="687"/>
        </w:rPr>
        <w:t xml:space="preserve">## mainExpName: NULL</w:t>
      </w:r>
      <w:r>
        <w:br/>
      </w:r>
      <w:r>
        <w:rPr>
          <w:rStyle w:val="687"/>
        </w:rPr>
        <w:t xml:space="preserve">## altExpNames(0):</w:t>
      </w:r>
      <w:r/>
    </w:p>
    <w:p>
      <w:pPr>
        <w:pStyle w:val="692"/>
      </w:pPr>
      <w:r>
        <w:rPr>
          <w:rStyle w:val="705"/>
        </w:rPr>
        <w:t xml:space="preserve"># ExperimentSubset</w:t>
      </w:r>
      <w:r>
        <w:br/>
      </w:r>
      <w:r>
        <w:rPr>
          <w:rStyle w:val="710"/>
        </w:rPr>
        <w:t xml:space="preserve">print</w:t>
      </w:r>
      <w:r>
        <w:rPr>
          <w:rStyle w:val="723"/>
        </w:rPr>
        <w:t xml:space="preserve">(es)</w:t>
      </w:r>
      <w:r/>
    </w:p>
    <w:p>
      <w:pPr>
        <w:pStyle w:val="692"/>
      </w:pPr>
      <w:r>
        <w:rPr>
          <w:rStyle w:val="687"/>
        </w:rPr>
        <w:t xml:space="preserve">## class: SubsetSingleCellExperiment </w:t>
      </w:r>
      <w:r>
        <w:br/>
      </w:r>
      <w:r>
        <w:rPr>
          <w:rStyle w:val="687"/>
        </w:rPr>
        <w:t xml:space="preserve">## dim: 32738 2700 </w:t>
      </w:r>
      <w:r>
        <w:br/>
      </w:r>
      <w:r>
        <w:rPr>
          <w:rStyle w:val="687"/>
        </w:rPr>
        <w:t xml:space="preserve">## metadata(0):</w:t>
      </w:r>
      <w:r>
        <w:br/>
      </w:r>
      <w:r>
        <w:rPr>
          <w:rStyle w:val="687"/>
        </w:rPr>
        <w:t xml:space="preserve">## assays(1): counts</w:t>
      </w:r>
      <w:r>
        <w:br/>
      </w:r>
      <w:r>
        <w:rPr>
          <w:rStyle w:val="687"/>
        </w:rPr>
        <w:t xml:space="preserve">## rownames(32738): ENSG00000243485 ENSG00000237613 ... ENSG00000215616</w:t>
      </w:r>
      <w:r>
        <w:br/>
      </w:r>
      <w:r>
        <w:rPr>
          <w:rStyle w:val="687"/>
        </w:rPr>
        <w:t xml:space="preserve">##   ENSG00000215611</w:t>
      </w:r>
      <w:r>
        <w:br/>
      </w:r>
      <w:r>
        <w:rPr>
          <w:rStyle w:val="687"/>
        </w:rPr>
        <w:t xml:space="preserve">## rowData names(3): ENSEMBL_ID Symbol_TENx Symbol</w:t>
      </w:r>
      <w:r>
        <w:br/>
      </w:r>
      <w:r>
        <w:rPr>
          <w:rStyle w:val="687"/>
        </w:rPr>
        <w:t xml:space="preserve">## colnames: NULL</w:t>
      </w:r>
      <w:r>
        <w:br/>
      </w:r>
      <w:r>
        <w:rPr>
          <w:rStyle w:val="687"/>
        </w:rPr>
        <w:t xml:space="preserve">## colData names(13): Sample Barcode ... sum detected</w:t>
      </w:r>
      <w:r>
        <w:br/>
      </w:r>
      <w:r>
        <w:rPr>
          <w:rStyle w:val="687"/>
        </w:rPr>
        <w:t xml:space="preserve">## reducedDimNames(0):</w:t>
      </w:r>
      <w:r>
        <w:br/>
      </w:r>
      <w:r>
        <w:rPr>
          <w:rStyle w:val="687"/>
        </w:rPr>
        <w:t xml:space="preserve">## mainExpName: NULL</w:t>
      </w:r>
      <w:r>
        <w:br/>
      </w:r>
      <w:r>
        <w:rPr>
          <w:rStyle w:val="687"/>
        </w:rPr>
        <w:t xml:space="preserve">## altExpNames(0):</w:t>
      </w:r>
      <w:r>
        <w:br/>
      </w:r>
      <w:r>
        <w:rPr>
          <w:rStyle w:val="687"/>
        </w:rPr>
        <w:t xml:space="preserve">## subsets(2): filteredCells hvg1000</w:t>
      </w:r>
      <w:r>
        <w:br/>
      </w:r>
      <w:r>
        <w:rPr>
          <w:rStyle w:val="687"/>
        </w:rPr>
        <w:t xml:space="preserve">## subsetAssays(3): filteredCells hvg1000 filteredCellsNormalized</w:t>
      </w:r>
      <w:r/>
    </w:p>
    <w:p>
      <w:pPr>
        <w:pStyle w:val="658"/>
      </w:pPr>
      <w:r>
        <w:t xml:space="preserve">As evident from the workflow output above, the data stored, manipulated and output for a particular input data is same throughout the workflow either using the</w:t>
      </w:r>
      <w:r>
        <w:t xml:space="preserve"> </w:t>
      </w:r>
      <w:r>
        <w:rPr>
          <w:rStyle w:val="687"/>
        </w:rPr>
        <w:t xml:space="preserve">SingleCellExperiment</w:t>
      </w:r>
      <w:r>
        <w:t xml:space="preserve"> </w:t>
      </w:r>
      <w:r>
        <w:t xml:space="preserve">object or our</w:t>
      </w:r>
      <w:r>
        <w:t xml:space="preserve"> </w:t>
      </w:r>
      <w:r>
        <w:rPr>
          <w:rStyle w:val="687"/>
        </w:rPr>
        <w:t xml:space="preserve">ExperimentSubset</w:t>
      </w:r>
      <w:r>
        <w:t xml:space="preserve"> </w:t>
      </w:r>
      <w:r>
        <w:t xml:space="preserve">object which validates our package. Additionally, the outputs from these objects (3 objects for</w:t>
      </w:r>
      <w:r>
        <w:t xml:space="preserve"> </w:t>
      </w:r>
      <w:r>
        <w:rPr>
          <w:rStyle w:val="687"/>
        </w:rPr>
        <w:t xml:space="preserve">SingleCellExperiment</w:t>
      </w:r>
      <w:r>
        <w:t xml:space="preserve"> </w:t>
      </w:r>
      <w:r>
        <w:t xml:space="preserve">and 1 for</w:t>
      </w:r>
      <w:r>
        <w:t xml:space="preserve"> </w:t>
      </w:r>
      <w:r>
        <w:rPr>
          <w:rStyle w:val="687"/>
        </w:rPr>
        <w:t xml:space="preserve">ExperimentSubset</w:t>
      </w:r>
      <w:r>
        <w:t xml:space="preserve">) are displayed that essentially contain the same data, although</w:t>
      </w:r>
      <w:r>
        <w:t xml:space="preserve"> </w:t>
      </w:r>
      <w:r>
        <w:rPr>
          <w:rStyle w:val="687"/>
        </w:rPr>
        <w:t xml:space="preserve">ExperimentSubset</w:t>
      </w:r>
      <w:r>
        <w:t xml:space="preserve"> </w:t>
      </w:r>
      <w:r>
        <w:t xml:space="preserve">contains data in the form of references instead of storing additional data where not required.</w:t>
      </w:r>
      <w:bookmarkEnd w:id="96"/>
      <w:bookmarkEnd w:id="97"/>
      <w:r/>
    </w:p>
    <w:p>
      <w:pPr>
        <w:pStyle w:val="666"/>
      </w:pPr>
      <w:r/>
      <w:bookmarkStart w:id="262" w:name="_Toc62"/>
      <w:r/>
      <w:bookmarkStart w:id="104" w:name="X1ca83b851c085b1f33974cb15b396494404c02d"/>
      <w:r>
        <w:t xml:space="preserve">Conclusion, limitations, future work &amp; availability</w:t>
      </w:r>
      <w:r/>
      <w:bookmarkEnd w:id="262"/>
      <w:r/>
      <w:r/>
    </w:p>
    <w:p>
      <w:pPr>
        <w:pStyle w:val="667"/>
      </w:pPr>
      <w:r/>
      <w:bookmarkStart w:id="263" w:name="_Toc63"/>
      <w:r/>
      <w:bookmarkStart w:id="98" w:name="conclusion"/>
      <w:r>
        <w:t xml:space="preserve">Conclusion</w:t>
      </w:r>
      <w:r/>
      <w:bookmarkEnd w:id="263"/>
      <w:r/>
      <w:r/>
    </w:p>
    <w:p>
      <w:pPr>
        <w:pStyle w:val="658"/>
      </w:pPr>
      <w:r>
        <w:t xml:space="preserve">The</w:t>
      </w:r>
      <w:r>
        <w:t xml:space="preserve"> </w:t>
      </w:r>
      <w:r>
        <w:rPr>
          <w:rStyle w:val="687"/>
        </w:rPr>
        <w:t xml:space="preserve">ExperimentSubset</w:t>
      </w:r>
      <w:r>
        <w:t xml:space="preserve"> </w:t>
      </w:r>
      <w:r>
        <w:t xml:space="preserve">package developed as a result of this thesis project offers a convenient and systematic way to manage subsets of data particularly for expression data handled by other</w:t>
      </w:r>
      <w:r>
        <w:t xml:space="preserve"> </w:t>
      </w:r>
      <w:r>
        <w:rPr>
          <w:rStyle w:val="687"/>
        </w:rPr>
        <w:t xml:space="preserve">Experiment</w:t>
      </w:r>
      <w:r>
        <w:t xml:space="preserve"> </w:t>
      </w:r>
      <w:r>
        <w:t xml:space="preserve">packages by directly </w:t>
      </w:r>
      <w:r>
        <w:t xml:space="preserve">building on top of these already available classes. The package due to its implementation offers memory saving features when redundant data is present which is not possible with other data-containers. Additionally, it offers provenance tracking as a single</w:t>
      </w:r>
      <w:r>
        <w:t xml:space="preserve"> </w:t>
      </w:r>
      <w:r>
        <w:rPr>
          <w:rStyle w:val="687"/>
        </w:rPr>
        <w:t xml:space="preserve">ExperimentSubset</w:t>
      </w:r>
      <w:r>
        <w:t xml:space="preserve"> </w:t>
      </w:r>
      <w:r>
        <w:t xml:space="preserve">object can handle multiple subsets and can manage the relationship between data in different provenance stages during an analysis workflow. The benchmarking with different real and sample datasets has shown that</w:t>
      </w:r>
      <w:r>
        <w:t xml:space="preserve"> </w:t>
      </w:r>
      <w:r>
        <w:rPr>
          <w:rStyle w:val="687"/>
        </w:rPr>
        <w:t xml:space="preserve">ExperimentSubset</w:t>
      </w:r>
      <w:r>
        <w:t xml:space="preserve"> </w:t>
      </w:r>
      <w:r>
        <w:t xml:space="preserve">package offers significant memory savings especially when subsets are created in an analysis pipeline.</w:t>
      </w:r>
      <w:bookmarkEnd w:id="98"/>
      <w:r/>
    </w:p>
    <w:p>
      <w:pPr>
        <w:pStyle w:val="667"/>
      </w:pPr>
      <w:r/>
      <w:bookmarkStart w:id="264" w:name="_Toc64"/>
      <w:r/>
      <w:bookmarkStart w:id="99" w:name="limitations"/>
      <w:r>
        <w:t xml:space="preserve">Limitations</w:t>
      </w:r>
      <w:r/>
      <w:bookmarkEnd w:id="264"/>
      <w:r/>
      <w:r/>
    </w:p>
    <w:p>
      <w:pPr>
        <w:pStyle w:val="658"/>
      </w:pPr>
      <w:r>
        <w:t xml:space="preserve">As the</w:t>
      </w:r>
      <w:r>
        <w:t xml:space="preserve"> </w:t>
      </w:r>
      <w:r>
        <w:rPr>
          <w:rStyle w:val="687"/>
        </w:rPr>
        <w:t xml:space="preserve">ExperimentSubset</w:t>
      </w:r>
      <w:r>
        <w:t xml:space="preserve"> </w:t>
      </w:r>
      <w:r>
        <w:t xml:space="preserve">package is mainly concerned with analysis workflows that may involve creation or manipulation of subsets, the main features offered by this package are also concerned with subsets. Using the</w:t>
      </w:r>
      <w:r>
        <w:t xml:space="preserve"> </w:t>
      </w:r>
      <w:r>
        <w:rPr>
          <w:rStyle w:val="687"/>
        </w:rPr>
        <w:t xml:space="preserve">ExperimentSubset</w:t>
      </w:r>
      <w:r>
        <w:t xml:space="preserve"> </w:t>
      </w:r>
      <w:r>
        <w:t xml:space="preserve">package with workflows that do not involve subsets will not offer any memory saving, however since the package is built on top of other data-containers, it will still work as originally inten</w:t>
      </w:r>
      <w:r>
        <w:t xml:space="preserve">ded. Similarly, the memory saving offered by our package is directly influenced by the nature, shape and number of subsets created in a workflow pipeline, with greater savings possible when more subsets are created and these subsets contain redundant data.</w:t>
      </w:r>
      <w:r/>
    </w:p>
    <w:p>
      <w:pPr>
        <w:pStyle w:val="657"/>
      </w:pPr>
      <w:r>
        <w:t xml:space="preserve">Sparsity and counts/cell also influence the memory that may be saved by our package, with lower sparsity and higher counts/cell increases the memory conservation. Another memory limitation is imposed by the matrices (</w:t>
      </w:r>
      <w:r>
        <w:rPr>
          <w:rStyle w:val="687"/>
        </w:rPr>
        <w:t xml:space="preserve">Matrix</w:t>
      </w:r>
      <w:r>
        <w:t xml:space="preserve">) where zeros consume more memory since the underneath R environment considers</w:t>
      </w:r>
      <w:r>
        <w:t xml:space="preserve"> </w:t>
      </w:r>
      <w:r>
        <w:rPr>
          <w:rStyle w:val="687"/>
        </w:rPr>
        <w:t xml:space="preserve">0</w:t>
      </w:r>
      <w:r>
        <w:t xml:space="preserve"> </w:t>
      </w:r>
      <w:r>
        <w:t xml:space="preserve">(</w:t>
      </w:r>
      <w:r>
        <w:rPr>
          <w:rStyle w:val="687"/>
        </w:rPr>
        <w:t xml:space="preserve">Matrix</w:t>
      </w:r>
      <w:r>
        <w:t xml:space="preserve">) as a placeholder for a maximum supported value. However, this limitation does not seem to have an effect on matrices in</w:t>
      </w:r>
      <w:r>
        <w:t xml:space="preserve"> </w:t>
      </w:r>
      <w:r>
        <w:rPr>
          <w:rStyle w:val="687"/>
        </w:rPr>
        <w:t xml:space="preserve">dgCMatrix</w:t>
      </w:r>
      <w:r>
        <w:t xml:space="preserve"> </w:t>
      </w:r>
      <w:r>
        <w:t xml:space="preserve">form.</w:t>
      </w:r>
      <w:bookmarkEnd w:id="99"/>
      <w:r/>
    </w:p>
    <w:p>
      <w:pPr>
        <w:pStyle w:val="667"/>
      </w:pPr>
      <w:r/>
      <w:bookmarkStart w:id="265" w:name="_Toc65"/>
      <w:r/>
      <w:bookmarkStart w:id="100" w:name="future-work"/>
      <w:r>
        <w:t xml:space="preserve">Future Work</w:t>
      </w:r>
      <w:r/>
      <w:bookmarkEnd w:id="265"/>
      <w:r/>
      <w:r/>
    </w:p>
    <w:p>
      <w:pPr>
        <w:pStyle w:val="658"/>
      </w:pPr>
      <w:r>
        <w:t xml:space="preserve">At the moment, the</w:t>
      </w:r>
      <w:r>
        <w:t xml:space="preserve"> </w:t>
      </w:r>
      <w:r>
        <w:rPr>
          <w:rStyle w:val="687"/>
        </w:rPr>
        <w:t xml:space="preserve">ExperimentSubset</w:t>
      </w:r>
      <w:r>
        <w:t xml:space="preserve"> </w:t>
      </w:r>
      <w:r>
        <w:t xml:space="preserve">package offers direct creation of objects from all general expression data as well as conversion from other</w:t>
      </w:r>
      <w:r>
        <w:t xml:space="preserve"> </w:t>
      </w:r>
      <w:r>
        <w:rPr>
          <w:rStyle w:val="687"/>
        </w:rPr>
        <w:t xml:space="preserve">Experiment</w:t>
      </w:r>
      <w:r>
        <w:t xml:space="preserve"> </w:t>
      </w:r>
      <w:r>
        <w:t xml:space="preserve">classes including</w:t>
      </w:r>
      <w:r>
        <w:t xml:space="preserve"> </w:t>
      </w:r>
      <w:r>
        <w:rPr>
          <w:rStyle w:val="687"/>
        </w:rPr>
        <w:t xml:space="preserve">SummarizedExperiment</w:t>
      </w:r>
      <w:r>
        <w:t xml:space="preserve">,</w:t>
      </w:r>
      <w:r>
        <w:t xml:space="preserve"> </w:t>
      </w:r>
      <w:r>
        <w:rPr>
          <w:rStyle w:val="687"/>
        </w:rPr>
        <w:t xml:space="preserve">RangedSummarizedExperiment</w:t>
      </w:r>
      <w:r>
        <w:t xml:space="preserve">,</w:t>
      </w:r>
      <w:r>
        <w:t xml:space="preserve"> </w:t>
      </w:r>
      <w:r>
        <w:rPr>
          <w:rStyle w:val="687"/>
        </w:rPr>
        <w:t xml:space="preserve">SingleCellExperiment</w:t>
      </w:r>
      <w:r>
        <w:t xml:space="preserve">,</w:t>
      </w:r>
      <w:r>
        <w:t xml:space="preserve"> </w:t>
      </w:r>
      <w:r>
        <w:rPr>
          <w:rStyle w:val="687"/>
        </w:rPr>
        <w:t xml:space="preserve">TreeSummarizedExperiment</w:t>
      </w:r>
      <w:r>
        <w:t xml:space="preserve"> </w:t>
      </w:r>
      <w:r>
        <w:t xml:space="preserve">and</w:t>
      </w:r>
      <w:r>
        <w:t xml:space="preserve"> </w:t>
      </w:r>
      <w:r>
        <w:rPr>
          <w:rStyle w:val="687"/>
        </w:rPr>
        <w:t xml:space="preserve">SpatialExperiment</w:t>
      </w:r>
      <w:r>
        <w:t xml:space="preserve">. However, it does not support conversion and support of objects from</w:t>
      </w:r>
      <w:r>
        <w:t xml:space="preserve"> </w:t>
      </w:r>
      <w:r>
        <w:rPr>
          <w:rStyle w:val="687"/>
        </w:rPr>
        <w:t xml:space="preserve">MultiAssayExperiment</w:t>
      </w:r>
      <w:r>
        <w:t xml:space="preserve"> </w:t>
      </w:r>
      <w:r>
        <w:t xml:space="preserve">which offers integration of data from multiple sources. Our future work involves the integration of multiple data sources in our package while offering the same features and memory saving capability as before.</w:t>
      </w:r>
      <w:bookmarkEnd w:id="100"/>
      <w:r/>
    </w:p>
    <w:p>
      <w:pPr>
        <w:pStyle w:val="667"/>
      </w:pPr>
      <w:r/>
      <w:bookmarkStart w:id="266" w:name="_Toc66"/>
      <w:r/>
      <w:bookmarkStart w:id="103" w:name="availability"/>
      <w:r>
        <w:t xml:space="preserve">Availability</w:t>
      </w:r>
      <w:r/>
      <w:bookmarkEnd w:id="266"/>
      <w:r/>
      <w:r/>
    </w:p>
    <w:p>
      <w:pPr>
        <w:pStyle w:val="658"/>
      </w:pPr>
      <w:r>
        <w:t xml:space="preserve">The implemented</w:t>
      </w:r>
      <w:r>
        <w:t xml:space="preserve"> </w:t>
      </w:r>
      <w:r>
        <w:rPr>
          <w:rStyle w:val="687"/>
        </w:rPr>
        <w:t xml:space="preserve">ExperimentSubset</w:t>
      </w:r>
      <w:r>
        <w:t xml:space="preserve"> </w:t>
      </w:r>
      <w:r>
        <w:t xml:space="preserve">R package is available on both</w:t>
      </w:r>
      <w:r>
        <w:t xml:space="preserve"> </w:t>
      </w:r>
      <w:r>
        <w:rPr>
          <w:rStyle w:val="687"/>
        </w:rPr>
        <w:t xml:space="preserve">Bioconductor</w:t>
      </w:r>
      <w:r>
        <w:t xml:space="preserve"> </w:t>
      </w:r>
      <w:r>
        <w:t xml:space="preserve">&amp;</w:t>
      </w:r>
      <w:r>
        <w:t xml:space="preserve"> </w:t>
      </w:r>
      <w:r>
        <w:rPr>
          <w:rStyle w:val="687"/>
        </w:rPr>
        <w:t xml:space="preserve">Github</w:t>
      </w:r>
      <w:r>
        <w:t xml:space="preserve"> </w:t>
      </w:r>
      <w:r>
        <w:t xml:space="preserve">through the links below:</w:t>
      </w:r>
      <w:r/>
    </w:p>
    <w:p>
      <w:pPr>
        <w:pStyle w:val="657"/>
      </w:pPr>
      <w:r/>
      <w:hyperlink r:id="rId36" w:tooltip="https://bioconductor.org/packages/release/bioc/html/ExperimentSubset.html" w:history="1">
        <w:r>
          <w:rPr>
            <w:rStyle w:val="690"/>
          </w:rPr>
          <w:t xml:space="preserve">https://bioconductor.org/packages/release/bioc/html/ExperimentSubset.html</w:t>
        </w:r>
      </w:hyperlink>
      <w:r/>
      <w:r/>
    </w:p>
    <w:p>
      <w:pPr>
        <w:pStyle w:val="657"/>
        <w:rPr>
          <w:highlight w:val="none"/>
        </w:rPr>
      </w:pPr>
      <w:r/>
      <w:hyperlink r:id="rId37" w:tooltip="https://github.com/campbio/ExperimentSubset" w:history="1">
        <w:r>
          <w:rPr>
            <w:rStyle w:val="690"/>
          </w:rPr>
          <w:t xml:space="preserve">https://github.com/campbio/ExperimentSubset</w:t>
        </w:r>
      </w:hyperlink>
      <w:r/>
      <w:bookmarkEnd w:id="103"/>
      <w:bookmarkEnd w:id="104"/>
      <w:r/>
    </w:p>
    <w:p>
      <w:pPr>
        <w:shd w:val="nil"/>
      </w:pPr>
      <w:r>
        <w:br w:type="page"/>
      </w:r>
      <w:r/>
      <w:r>
        <w:rPr>
          <w:highlight w:val="none"/>
        </w:rPr>
      </w:r>
      <w:r>
        <w:rPr>
          <w:highlight w:val="none"/>
        </w:rPr>
      </w:r>
    </w:p>
    <w:p>
      <w:pPr>
        <w:pStyle w:val="666"/>
      </w:pPr>
      <w:r/>
      <w:bookmarkStart w:id="267" w:name="_Toc67"/>
      <w:r/>
      <w:bookmarkStart w:id="197" w:name="references"/>
      <w:r>
        <w:t xml:space="preserve">References</w:t>
      </w:r>
      <w:r/>
      <w:bookmarkEnd w:id="267"/>
      <w:r/>
      <w:r/>
    </w:p>
    <w:p>
      <w:pPr>
        <w:pStyle w:val="665"/>
      </w:pPr>
      <w:r/>
      <w:bookmarkStart w:id="196" w:name="refs"/>
      <w:r/>
      <w:bookmarkStart w:id="106" w:name="ref-Bayat2002"/>
      <w:r>
        <w:t xml:space="preserve">[1]</w:t>
      </w:r>
      <w:r>
        <w:t xml:space="preserve"> </w:t>
      </w:r>
      <w:r>
        <w:tab/>
      </w:r>
      <w:r>
        <w:t xml:space="preserve">A. Bayat,</w:t>
      </w:r>
      <w:r>
        <w:t xml:space="preserve"> </w:t>
      </w:r>
      <w:r>
        <w:t xml:space="preserve">“</w:t>
      </w:r>
      <w:r>
        <w:t xml:space="preserve">Bioinformatics</w:t>
      </w:r>
      <w:r>
        <w:t xml:space="preserve">,”</w:t>
      </w:r>
      <w:r>
        <w:t xml:space="preserve"> </w:t>
      </w:r>
      <w:r>
        <w:rPr>
          <w:i/>
          <w:iCs/>
        </w:rPr>
        <w:t xml:space="preserve">BMJ</w:t>
      </w:r>
      <w:r>
        <w:t xml:space="preserve">, vol. 324, no. 7344, pp. 1018–1022, Apr. 2002, doi:</w:t>
      </w:r>
      <w:r>
        <w:t xml:space="preserve"> </w:t>
      </w:r>
      <w:hyperlink r:id="rId38" w:tooltip="https://doi.org/10.1136/BMJ.324.7344.1018" w:history="1">
        <w:r>
          <w:rPr>
            <w:rStyle w:val="690"/>
          </w:rPr>
          <w:t xml:space="preserve">10.1136/BMJ.324.7344.1018</w:t>
        </w:r>
      </w:hyperlink>
      <w:r>
        <w:t xml:space="preserve">.</w:t>
      </w:r>
      <w:bookmarkEnd w:id="106"/>
      <w:r/>
    </w:p>
    <w:p>
      <w:pPr>
        <w:pStyle w:val="665"/>
      </w:pPr>
      <w:r/>
      <w:bookmarkStart w:id="108" w:name="ref-Chukwudozie2021"/>
      <w:r>
        <w:t xml:space="preserve">[2]</w:t>
      </w:r>
      <w:r>
        <w:t xml:space="preserve"> </w:t>
      </w:r>
      <w:r>
        <w:tab/>
      </w:r>
      <w:r>
        <w:t xml:space="preserve">O. S. Chukwudozie, V. C. Duru, C. C. Ndiribe, A. T. Aborode, V. O. Oyebanji, and B. O. Emikpe,</w:t>
      </w:r>
      <w:r>
        <w:t xml:space="preserve"> </w:t>
      </w:r>
      <w:r>
        <w:t xml:space="preserve">“</w:t>
      </w:r>
      <w:r>
        <w:t xml:space="preserve">The Relevance of Bioinformatics Applications in the Discovery of Vaccine Candidates and Potential Drugs for COVID-19 Treatment:</w:t>
      </w:r>
      <w:r>
        <w:t xml:space="preserve">”</w:t>
      </w:r>
      <w:r>
        <w:t xml:space="preserve"> </w:t>
      </w:r>
      <w:r>
        <w:rPr>
          <w:i/>
          <w:iCs/>
        </w:rPr>
        <w:t xml:space="preserve">https://doi.org/10.1177/11779322211002168</w:t>
      </w:r>
      <w:r>
        <w:t xml:space="preserve">, vol. 15, Mar. 2021, doi:</w:t>
      </w:r>
      <w:r>
        <w:t xml:space="preserve"> </w:t>
      </w:r>
      <w:hyperlink r:id="rId39" w:tooltip="https://doi.org/10.1177/11779322211002168" w:history="1">
        <w:r>
          <w:rPr>
            <w:rStyle w:val="690"/>
          </w:rPr>
          <w:t xml:space="preserve">10.1177/11779322211002168</w:t>
        </w:r>
      </w:hyperlink>
      <w:r>
        <w:t xml:space="preserve">.</w:t>
      </w:r>
      <w:bookmarkEnd w:id="108"/>
      <w:r/>
    </w:p>
    <w:p>
      <w:pPr>
        <w:pStyle w:val="665"/>
      </w:pPr>
      <w:r/>
      <w:bookmarkStart w:id="110" w:name="ref-Dewey2012"/>
      <w:r>
        <w:t xml:space="preserve">[3]</w:t>
      </w:r>
      <w:r>
        <w:t xml:space="preserve"> </w:t>
      </w:r>
      <w:r>
        <w:tab/>
      </w:r>
      <w:r>
        <w:t xml:space="preserve">F. E. Dewey, S. Pan, M. T. Wheeler, S. R. Quake, and E. A. Ashley,</w:t>
      </w:r>
      <w:r>
        <w:t xml:space="preserve"> </w:t>
      </w:r>
      <w:r>
        <w:t xml:space="preserve">“</w:t>
      </w:r>
      <w:r>
        <w:t xml:space="preserve">DNA Sequencing</w:t>
      </w:r>
      <w:r>
        <w:t xml:space="preserve">,”</w:t>
      </w:r>
      <w:r>
        <w:t xml:space="preserve"> </w:t>
      </w:r>
      <w:r>
        <w:rPr>
          <w:i/>
          <w:iCs/>
        </w:rPr>
        <w:t xml:space="preserve">Circulation</w:t>
      </w:r>
      <w:r>
        <w:t xml:space="preserve">, vol. 125, no. 7, pp. 931–944, Feb. 2012, doi:</w:t>
      </w:r>
      <w:r>
        <w:t xml:space="preserve"> </w:t>
      </w:r>
      <w:hyperlink r:id="rId40" w:tooltip="https://doi.org/10.1161/CIRCULATIONAHA.110.972828" w:history="1">
        <w:r>
          <w:rPr>
            <w:rStyle w:val="690"/>
          </w:rPr>
          <w:t xml:space="preserve">10.1161/CIRCULATIONAHA.110.972828</w:t>
        </w:r>
      </w:hyperlink>
      <w:r>
        <w:t xml:space="preserve">.</w:t>
      </w:r>
      <w:bookmarkEnd w:id="110"/>
      <w:r/>
    </w:p>
    <w:p>
      <w:pPr>
        <w:pStyle w:val="665"/>
      </w:pPr>
      <w:r/>
      <w:bookmarkStart w:id="112" w:name="ref-Cui2007"/>
      <w:r>
        <w:t xml:space="preserve">[4]</w:t>
      </w:r>
      <w:r>
        <w:t xml:space="preserve"> </w:t>
      </w:r>
      <w:r>
        <w:tab/>
      </w:r>
      <w:r>
        <w:t xml:space="preserve">X. Cui, T. Vinař, B. Brejová, D. Shasha, and M. Li,</w:t>
      </w:r>
      <w:r>
        <w:t xml:space="preserve"> </w:t>
      </w:r>
      <w:r>
        <w:t xml:space="preserve">“</w:t>
      </w:r>
      <w:r>
        <w:t xml:space="preserve">Homology search for genes</w:t>
      </w:r>
      <w:r>
        <w:t xml:space="preserve">,”</w:t>
      </w:r>
      <w:r>
        <w:t xml:space="preserve"> </w:t>
      </w:r>
      <w:r>
        <w:rPr>
          <w:i/>
          <w:iCs/>
        </w:rPr>
        <w:t xml:space="preserve">Bioinformatics</w:t>
      </w:r>
      <w:r>
        <w:t xml:space="preserve">, vol. 23, no. 13, pp. i97–i103, Jul. 2007, doi:</w:t>
      </w:r>
      <w:r>
        <w:t xml:space="preserve"> </w:t>
      </w:r>
      <w:hyperlink r:id="rId41" w:tooltip="https://doi.org/10.1093/BIOINFORMATICS/BTM225" w:history="1">
        <w:r>
          <w:rPr>
            <w:rStyle w:val="690"/>
          </w:rPr>
          <w:t xml:space="preserve">10.1093/BIOINFORMATICS/BTM225</w:t>
        </w:r>
      </w:hyperlink>
      <w:r>
        <w:t xml:space="preserve">.</w:t>
      </w:r>
      <w:bookmarkEnd w:id="112"/>
      <w:r/>
    </w:p>
    <w:p>
      <w:pPr>
        <w:pStyle w:val="665"/>
      </w:pPr>
      <w:r/>
      <w:bookmarkStart w:id="114" w:name="ref-Breda2007"/>
      <w:r>
        <w:t xml:space="preserve">[5]</w:t>
      </w:r>
      <w:r>
        <w:t xml:space="preserve"> </w:t>
      </w:r>
      <w:r>
        <w:tab/>
      </w:r>
      <w:r>
        <w:t xml:space="preserve">A. Breda, N. F. Valadares, O. N. de Souza, and R. C. Garratt,</w:t>
      </w:r>
      <w:r>
        <w:t xml:space="preserve"> </w:t>
      </w:r>
      <w:r>
        <w:t xml:space="preserve">“</w:t>
      </w:r>
      <w:r>
        <w:t xml:space="preserve">Protein Structure, Modelling and Applications</w:t>
      </w:r>
      <w:r>
        <w:t xml:space="preserve">,”</w:t>
      </w:r>
      <w:r>
        <w:t xml:space="preserve"> </w:t>
      </w:r>
      <w:r>
        <w:t xml:space="preserve">Sep. 2007,Available:</w:t>
      </w:r>
      <w:r>
        <w:t xml:space="preserve"> </w:t>
      </w:r>
      <w:hyperlink r:id="rId42" w:tooltip="https://www.ncbi.nlm.nih.gov/books/NBK6824/" w:history="1">
        <w:r>
          <w:rPr>
            <w:rStyle w:val="690"/>
          </w:rPr>
          <w:t xml:space="preserve">https://www.ncbi.nlm.nih.gov/books/NBK6824/</w:t>
        </w:r>
      </w:hyperlink>
      <w:r/>
      <w:bookmarkEnd w:id="114"/>
      <w:r/>
    </w:p>
    <w:p>
      <w:pPr>
        <w:pStyle w:val="665"/>
      </w:pPr>
      <w:r/>
      <w:bookmarkStart w:id="116" w:name="ref-Leonelli2019"/>
      <w:r>
        <w:t xml:space="preserve">[6]</w:t>
      </w:r>
      <w:r>
        <w:t xml:space="preserve"> </w:t>
      </w:r>
      <w:r>
        <w:tab/>
      </w:r>
      <w:r>
        <w:t xml:space="preserve">S. Leonelli,</w:t>
      </w:r>
      <w:r>
        <w:t xml:space="preserve"> </w:t>
      </w:r>
      <w:r>
        <w:t xml:space="preserve">“</w:t>
      </w:r>
      <w:r>
        <w:t xml:space="preserve">The challenges of big data biology</w:t>
      </w:r>
      <w:r>
        <w:t xml:space="preserve">,”</w:t>
      </w:r>
      <w:r>
        <w:t xml:space="preserve"> </w:t>
      </w:r>
      <w:r>
        <w:rPr>
          <w:i/>
          <w:iCs/>
        </w:rPr>
        <w:t xml:space="preserve">eLife</w:t>
      </w:r>
      <w:r>
        <w:t xml:space="preserve">, vol. 8, Apr. 2019, doi:</w:t>
      </w:r>
      <w:r>
        <w:t xml:space="preserve"> </w:t>
      </w:r>
      <w:hyperlink r:id="rId43" w:tooltip="https://doi.org/10.7554/ELIFE.47381" w:history="1">
        <w:r>
          <w:rPr>
            <w:rStyle w:val="690"/>
          </w:rPr>
          <w:t xml:space="preserve">10.7554/ELIFE.47381</w:t>
        </w:r>
      </w:hyperlink>
      <w:r>
        <w:t xml:space="preserve">.</w:t>
      </w:r>
      <w:bookmarkEnd w:id="116"/>
      <w:r/>
    </w:p>
    <w:p>
      <w:pPr>
        <w:pStyle w:val="665"/>
      </w:pPr>
      <w:r/>
      <w:bookmarkStart w:id="118" w:name="ref-Ashley2010"/>
      <w:r>
        <w:t xml:space="preserve">[7]</w:t>
      </w:r>
      <w:r>
        <w:t xml:space="preserve"> </w:t>
      </w:r>
      <w:r>
        <w:tab/>
      </w:r>
      <w:r>
        <w:t xml:space="preserve">E. A. Ashley</w:t>
      </w:r>
      <w:r>
        <w:t xml:space="preserve"> </w:t>
      </w:r>
      <w:r>
        <w:rPr>
          <w:i/>
          <w:iCs/>
        </w:rPr>
        <w:t xml:space="preserve">et al.</w:t>
      </w:r>
      <w:r>
        <w:t xml:space="preserve">,</w:t>
      </w:r>
      <w:r>
        <w:t xml:space="preserve"> </w:t>
      </w:r>
      <w:r>
        <w:t xml:space="preserve">“</w:t>
      </w:r>
      <w:r>
        <w:t xml:space="preserve">Clinical assessment incorporating a personal genome</w:t>
      </w:r>
      <w:r>
        <w:t xml:space="preserve">,”</w:t>
      </w:r>
      <w:r>
        <w:t xml:space="preserve"> </w:t>
      </w:r>
      <w:r>
        <w:rPr>
          <w:i/>
          <w:iCs/>
        </w:rPr>
        <w:t xml:space="preserve">The Lancet</w:t>
      </w:r>
      <w:r>
        <w:t xml:space="preserve">, vol. 375, no. 9725, pp. 1525–1535, 2010, doi:</w:t>
      </w:r>
      <w:r>
        <w:t xml:space="preserve"> </w:t>
      </w:r>
      <w:hyperlink r:id="rId44" w:tooltip="https://doi.org/10.1016/S0140-6736(10)60452-7" w:history="1">
        <w:r>
          <w:rPr>
            <w:rStyle w:val="690"/>
          </w:rPr>
          <w:t xml:space="preserve">10.1016/S0140-6736(10)60452-7</w:t>
        </w:r>
      </w:hyperlink>
      <w:r>
        <w:t xml:space="preserve">.</w:t>
      </w:r>
      <w:bookmarkEnd w:id="118"/>
      <w:r/>
    </w:p>
    <w:p>
      <w:pPr>
        <w:pStyle w:val="665"/>
      </w:pPr>
      <w:r/>
      <w:bookmarkStart w:id="120" w:name="ref-Lightbody2019"/>
      <w:r>
        <w:t xml:space="preserve">[8]</w:t>
      </w:r>
      <w:r>
        <w:t xml:space="preserve"> </w:t>
      </w:r>
      <w:r>
        <w:tab/>
      </w:r>
      <w:r>
        <w:t xml:space="preserve">G. Lightbody</w:t>
      </w:r>
      <w:r>
        <w:t xml:space="preserve"> </w:t>
      </w:r>
      <w:r>
        <w:rPr>
          <w:i/>
          <w:iCs/>
        </w:rPr>
        <w:t xml:space="preserve">et al.</w:t>
      </w:r>
      <w:r>
        <w:t xml:space="preserve">,</w:t>
      </w:r>
      <w:r>
        <w:t xml:space="preserve"> </w:t>
      </w:r>
      <w:r>
        <w:t xml:space="preserve">“</w:t>
      </w:r>
      <w:r>
        <w:t xml:space="preserve">Review of applications of high-throughput sequencing in personalized medicine: barriers and facilitators of future progress in research and clinical application</w:t>
      </w:r>
      <w:r>
        <w:t xml:space="preserve">,”</w:t>
      </w:r>
      <w:r>
        <w:t xml:space="preserve"> </w:t>
      </w:r>
      <w:r>
        <w:rPr>
          <w:i/>
          <w:iCs/>
        </w:rPr>
        <w:t xml:space="preserve">Briefings in Bioinformatics</w:t>
      </w:r>
      <w:r>
        <w:t xml:space="preserve">, vol. 20, no. 5, pp. 1795–1811, Sep. 2019, doi:</w:t>
      </w:r>
      <w:r>
        <w:t xml:space="preserve"> </w:t>
      </w:r>
      <w:hyperlink r:id="rId45" w:tooltip="https://doi.org/10.1093/BIB/BBY051" w:history="1">
        <w:r>
          <w:rPr>
            <w:rStyle w:val="690"/>
          </w:rPr>
          <w:t xml:space="preserve">10.1093/BIB/BBY051</w:t>
        </w:r>
      </w:hyperlink>
      <w:r>
        <w:t xml:space="preserve">.</w:t>
      </w:r>
      <w:bookmarkEnd w:id="120"/>
      <w:r/>
    </w:p>
    <w:p>
      <w:pPr>
        <w:pStyle w:val="665"/>
      </w:pPr>
      <w:r/>
      <w:bookmarkStart w:id="122" w:name="ref-RFoundationforStatisticalComputing"/>
      <w:r>
        <w:t xml:space="preserve">[9]</w:t>
      </w:r>
      <w:r>
        <w:t xml:space="preserve"> </w:t>
      </w:r>
      <w:r>
        <w:tab/>
      </w:r>
      <w:r>
        <w:t xml:space="preserve">R Core Team,</w:t>
      </w:r>
      <w:r>
        <w:t xml:space="preserve"> </w:t>
      </w:r>
      <w:r>
        <w:t xml:space="preserve">“</w:t>
      </w:r>
      <w:r>
        <w:t xml:space="preserve">R: A Language and Environment for Statistical Computing</w:t>
      </w:r>
      <w:r>
        <w:t xml:space="preserve">.”</w:t>
      </w:r>
      <w:r>
        <w:t xml:space="preserve"> </w:t>
      </w:r>
      <w:r>
        <w:t xml:space="preserve">R Foundation for Statistical Computing, Vienna, Austria.Available:</w:t>
      </w:r>
      <w:r>
        <w:t xml:space="preserve"> </w:t>
      </w:r>
      <w:hyperlink r:id="rId46" w:tooltip="https://www.r-project.org/" w:history="1">
        <w:r>
          <w:rPr>
            <w:rStyle w:val="690"/>
          </w:rPr>
          <w:t xml:space="preserve">https://www.r-project.org/</w:t>
        </w:r>
      </w:hyperlink>
      <w:r/>
      <w:bookmarkEnd w:id="122"/>
      <w:r/>
    </w:p>
    <w:p>
      <w:pPr>
        <w:pStyle w:val="665"/>
      </w:pPr>
      <w:r/>
      <w:bookmarkStart w:id="124" w:name="ref-Gentleman2004"/>
      <w:r>
        <w:t xml:space="preserve">[10]</w:t>
      </w:r>
      <w:r>
        <w:t xml:space="preserve"> </w:t>
      </w:r>
      <w:r>
        <w:tab/>
      </w:r>
      <w:r>
        <w:t xml:space="preserve">R. C. Gentleman</w:t>
      </w:r>
      <w:r>
        <w:t xml:space="preserve"> </w:t>
      </w:r>
      <w:r>
        <w:rPr>
          <w:i/>
          <w:iCs/>
        </w:rPr>
        <w:t xml:space="preserve">et al.</w:t>
      </w:r>
      <w:r>
        <w:t xml:space="preserve">,</w:t>
      </w:r>
      <w:r>
        <w:t xml:space="preserve"> </w:t>
      </w:r>
      <w:r>
        <w:t xml:space="preserve">“</w:t>
      </w:r>
      <w:r>
        <w:t xml:space="preserve">Bioconductor: open software development for computational biology and bioinformatics</w:t>
      </w:r>
      <w:r>
        <w:t xml:space="preserve">,”</w:t>
      </w:r>
      <w:r>
        <w:t xml:space="preserve"> </w:t>
      </w:r>
      <w:r>
        <w:rPr>
          <w:i/>
          <w:iCs/>
        </w:rPr>
        <w:t xml:space="preserve">Genome Biology</w:t>
      </w:r>
      <w:r>
        <w:t xml:space="preserve">, vol. 5, no. 10, p. R80, Sep. 2004, doi:</w:t>
      </w:r>
      <w:r>
        <w:t xml:space="preserve"> </w:t>
      </w:r>
      <w:hyperlink r:id="rId47" w:tooltip="https://doi.org/10.1186/gb-2004-5-10-r80" w:history="1">
        <w:r>
          <w:rPr>
            <w:rStyle w:val="690"/>
          </w:rPr>
          <w:t xml:space="preserve">10.1186/gb-2004-5-10-r80</w:t>
        </w:r>
      </w:hyperlink>
      <w:r>
        <w:t xml:space="preserve">.</w:t>
      </w:r>
      <w:bookmarkEnd w:id="124"/>
      <w:r/>
    </w:p>
    <w:p>
      <w:pPr>
        <w:pStyle w:val="665"/>
      </w:pPr>
      <w:r/>
      <w:bookmarkStart w:id="126" w:name="ref-Tierny2008"/>
      <w:r>
        <w:t xml:space="preserve">[11]</w:t>
      </w:r>
      <w:r>
        <w:t xml:space="preserve"> </w:t>
      </w:r>
      <w:r>
        <w:tab/>
      </w:r>
      <w:r>
        <w:t xml:space="preserve">J. Tierny, J. Vandeborre, and M. Daoudi,</w:t>
      </w:r>
      <w:r>
        <w:t xml:space="preserve"> </w:t>
      </w:r>
      <w:r>
        <w:t xml:space="preserve">“</w:t>
      </w:r>
      <w:r>
        <w:t xml:space="preserve">SummarizedExperiment</w:t>
      </w:r>
      <w:r>
        <w:t xml:space="preserve">,”</w:t>
      </w:r>
      <w:r>
        <w:t xml:space="preserve"> </w:t>
      </w:r>
      <w:r>
        <w:t xml:space="preserve">vol. 24. pp. 155–172, 2008. doi:</w:t>
      </w:r>
      <w:r>
        <w:t xml:space="preserve"> </w:t>
      </w:r>
      <w:hyperlink r:id="rId48" w:tooltip="https://doi.org/10.18129/B9.bioc.SummarizedExperiment" w:history="1">
        <w:r>
          <w:rPr>
            <w:rStyle w:val="690"/>
          </w:rPr>
          <w:t xml:space="preserve">10.18129/B9.bioc.SummarizedExperiment</w:t>
        </w:r>
      </w:hyperlink>
      <w:r>
        <w:t xml:space="preserve">.</w:t>
      </w:r>
      <w:bookmarkEnd w:id="126"/>
      <w:r/>
    </w:p>
    <w:p>
      <w:pPr>
        <w:pStyle w:val="665"/>
      </w:pPr>
      <w:r/>
      <w:bookmarkStart w:id="128" w:name="ref-Lun"/>
      <w:r>
        <w:t xml:space="preserve">[12]</w:t>
      </w:r>
      <w:r>
        <w:t xml:space="preserve"> </w:t>
      </w:r>
      <w:r>
        <w:tab/>
      </w:r>
      <w:r>
        <w:t xml:space="preserve">A. Lun and D. Risso,</w:t>
      </w:r>
      <w:r>
        <w:t xml:space="preserve"> </w:t>
      </w:r>
      <w:r>
        <w:t xml:space="preserve">“</w:t>
      </w:r>
      <w:r>
        <w:t xml:space="preserve">SingleCellExperiment: S4 Classes for Single Cell Data</w:t>
      </w:r>
      <w:r>
        <w:t xml:space="preserve">.”</w:t>
      </w:r>
      <w:r>
        <w:t xml:space="preserve"> </w:t>
      </w:r>
      <w:r>
        <w:t xml:space="preserve">Available:</w:t>
      </w:r>
      <w:r>
        <w:t xml:space="preserve"> </w:t>
      </w:r>
      <w:hyperlink r:id="rId49" w:tooltip="http://bioconductor.org/packages/release/bioc/html/SingleCellExperiment.html" w:history="1">
        <w:r>
          <w:rPr>
            <w:rStyle w:val="690"/>
          </w:rPr>
          <w:t xml:space="preserve">http://bioconductor.org/packages/release/bioc/html/SingleCellExperiment.html</w:t>
        </w:r>
      </w:hyperlink>
      <w:r/>
      <w:bookmarkEnd w:id="128"/>
      <w:r/>
    </w:p>
    <w:p>
      <w:pPr>
        <w:pStyle w:val="665"/>
      </w:pPr>
      <w:r/>
      <w:bookmarkStart w:id="130" w:name="ref-Reuter2015"/>
      <w:r>
        <w:t xml:space="preserve">[13]</w:t>
      </w:r>
      <w:r>
        <w:t xml:space="preserve"> </w:t>
      </w:r>
      <w:r>
        <w:tab/>
      </w:r>
      <w:r>
        <w:t xml:space="preserve">J. A. Reuter, D. V. Spacek, and M. P. Snyder,</w:t>
      </w:r>
      <w:r>
        <w:t xml:space="preserve"> </w:t>
      </w:r>
      <w:r>
        <w:t xml:space="preserve">“</w:t>
      </w:r>
      <w:r>
        <w:t xml:space="preserve">High-Throughput Sequencing Technologies</w:t>
      </w:r>
      <w:r>
        <w:t xml:space="preserve">,”</w:t>
      </w:r>
      <w:r>
        <w:t xml:space="preserve"> </w:t>
      </w:r>
      <w:r>
        <w:t xml:space="preserve">vol. 58, no. 4, pp. 586–597, May 2015, doi:</w:t>
      </w:r>
      <w:r>
        <w:t xml:space="preserve"> </w:t>
      </w:r>
      <w:hyperlink r:id="rId50" w:tooltip="https://doi.org/10.1016/j.molcel.2015.05.004" w:history="1">
        <w:r>
          <w:rPr>
            <w:rStyle w:val="690"/>
          </w:rPr>
          <w:t xml:space="preserve">10.1016/j.molcel.2015.05.004</w:t>
        </w:r>
      </w:hyperlink>
      <w:r>
        <w:t xml:space="preserve">.</w:t>
      </w:r>
      <w:bookmarkEnd w:id="130"/>
      <w:r/>
    </w:p>
    <w:p>
      <w:pPr>
        <w:pStyle w:val="665"/>
      </w:pPr>
      <w:r/>
      <w:bookmarkStart w:id="132" w:name="ref-Haque2017"/>
      <w:r>
        <w:t xml:space="preserve">[14]</w:t>
      </w:r>
      <w:r>
        <w:t xml:space="preserve"> </w:t>
      </w:r>
      <w:r>
        <w:tab/>
      </w:r>
      <w:r>
        <w:t xml:space="preserve">A. Haque, J. Engel, S. A. Teichmann, and T. Lönnberg,</w:t>
      </w:r>
      <w:r>
        <w:t xml:space="preserve"> </w:t>
      </w:r>
      <w:r>
        <w:t xml:space="preserve">“</w:t>
      </w:r>
      <w:r>
        <w:t xml:space="preserve">A practical guide to single-cell RNA-sequencing for biomedical research and clinical applications</w:t>
      </w:r>
      <w:r>
        <w:t xml:space="preserve">,”</w:t>
      </w:r>
      <w:r>
        <w:t xml:space="preserve"> </w:t>
      </w:r>
      <w:r>
        <w:t xml:space="preserve">vol. 9, no. 1, pp. 1–12, Aug. 2017, doi:</w:t>
      </w:r>
      <w:r>
        <w:t xml:space="preserve"> </w:t>
      </w:r>
      <w:hyperlink r:id="rId51" w:tooltip="https://doi.org/10.1186/s13073-017-0467-4" w:history="1">
        <w:r>
          <w:rPr>
            <w:rStyle w:val="690"/>
          </w:rPr>
          <w:t xml:space="preserve">10.1186/s13073-017-0467-4</w:t>
        </w:r>
      </w:hyperlink>
      <w:r>
        <w:t xml:space="preserve">.</w:t>
      </w:r>
      <w:bookmarkEnd w:id="132"/>
      <w:r/>
    </w:p>
    <w:p>
      <w:pPr>
        <w:pStyle w:val="665"/>
      </w:pPr>
      <w:r/>
      <w:bookmarkStart w:id="134" w:name="ref-Simon2009"/>
      <w:r>
        <w:t xml:space="preserve">[15]</w:t>
      </w:r>
      <w:r>
        <w:t xml:space="preserve"> </w:t>
      </w:r>
      <w:r>
        <w:tab/>
      </w:r>
      <w:r>
        <w:t xml:space="preserve">R. Simon,</w:t>
      </w:r>
      <w:r>
        <w:t xml:space="preserve"> </w:t>
      </w:r>
      <w:r>
        <w:t xml:space="preserve">“</w:t>
      </w:r>
      <w:r>
        <w:t xml:space="preserve">Analysis of DNA microarray expression data.</w:t>
      </w:r>
      <w:r>
        <w:t xml:space="preserve">”</w:t>
      </w:r>
      <w:r>
        <w:t xml:space="preserve"> </w:t>
      </w:r>
      <w:r>
        <w:rPr>
          <w:i/>
          <w:iCs/>
        </w:rPr>
        <w:t xml:space="preserve">Best practice &amp; research. Clinical haematology</w:t>
      </w:r>
      <w:r>
        <w:t xml:space="preserve">, vol. 22, no. 2, pp. 271–82, Jun. 2009, doi:</w:t>
      </w:r>
      <w:r>
        <w:t xml:space="preserve"> </w:t>
      </w:r>
      <w:hyperlink r:id="rId52" w:tooltip="https://doi.org/10.1016/j.beha.2009.07.001" w:history="1">
        <w:r>
          <w:rPr>
            <w:rStyle w:val="690"/>
          </w:rPr>
          <w:t xml:space="preserve">10.1016/j.beha.2009.07.001</w:t>
        </w:r>
      </w:hyperlink>
      <w:r>
        <w:t xml:space="preserve">.</w:t>
      </w:r>
      <w:bookmarkEnd w:id="134"/>
      <w:r/>
    </w:p>
    <w:p>
      <w:pPr>
        <w:pStyle w:val="665"/>
      </w:pPr>
      <w:r/>
      <w:bookmarkStart w:id="136" w:name="ref-DoostparastTorshizi2018"/>
      <w:r>
        <w:t xml:space="preserve">[16]</w:t>
      </w:r>
      <w:r>
        <w:t xml:space="preserve"> </w:t>
      </w:r>
      <w:r>
        <w:tab/>
      </w:r>
      <w:r>
        <w:t xml:space="preserve">A. Doostparast Torshizi and K. Wang,</w:t>
      </w:r>
      <w:r>
        <w:t xml:space="preserve"> </w:t>
      </w:r>
      <w:r>
        <w:t xml:space="preserve">“</w:t>
      </w:r>
      <w:r>
        <w:t xml:space="preserve">Next-generation sequencing in drug development: target identification and genetically stratified clinical trials</w:t>
      </w:r>
      <w:r>
        <w:t xml:space="preserve">,”</w:t>
      </w:r>
      <w:r>
        <w:t xml:space="preserve"> </w:t>
      </w:r>
      <w:r>
        <w:t xml:space="preserve">vol. 23, no. 10, pp. 1776–1783, Oct. 2018, doi:</w:t>
      </w:r>
      <w:r>
        <w:t xml:space="preserve"> </w:t>
      </w:r>
      <w:hyperlink r:id="rId53" w:tooltip="https://doi.org/10.1016/j.drudis.2018.05.015" w:history="1">
        <w:r>
          <w:rPr>
            <w:rStyle w:val="690"/>
          </w:rPr>
          <w:t xml:space="preserve">10.1016/j.drudis.2018.05.015</w:t>
        </w:r>
      </w:hyperlink>
      <w:r>
        <w:t xml:space="preserve">.</w:t>
      </w:r>
      <w:bookmarkEnd w:id="136"/>
      <w:r/>
    </w:p>
    <w:p>
      <w:pPr>
        <w:pStyle w:val="665"/>
      </w:pPr>
      <w:r/>
      <w:bookmarkStart w:id="138" w:name="ref-Morash2018"/>
      <w:r>
        <w:t xml:space="preserve">[17]</w:t>
      </w:r>
      <w:r>
        <w:t xml:space="preserve"> </w:t>
      </w:r>
      <w:r>
        <w:tab/>
      </w:r>
      <w:r>
        <w:t xml:space="preserve">M. Morash, H. Mitchell, H. Beltran, O. Elemento, and J. Pathak,</w:t>
      </w:r>
      <w:r>
        <w:t xml:space="preserve"> </w:t>
      </w:r>
      <w:r>
        <w:t xml:space="preserve">“</w:t>
      </w:r>
      <w:r>
        <w:t xml:space="preserve">The role of next-generation sequencing in precision medicine: A review of outcomes in oncology</w:t>
      </w:r>
      <w:r>
        <w:t xml:space="preserve">,”</w:t>
      </w:r>
      <w:r>
        <w:t xml:space="preserve"> </w:t>
      </w:r>
      <w:r>
        <w:rPr>
          <w:i/>
          <w:iCs/>
        </w:rPr>
        <w:t xml:space="preserve">Journal of Personalized Medicine</w:t>
      </w:r>
      <w:r>
        <w:t xml:space="preserve">, vol. 8, no. 3, Sep. 2018, doi:</w:t>
      </w:r>
      <w:r>
        <w:t xml:space="preserve"> </w:t>
      </w:r>
      <w:hyperlink r:id="rId54" w:tooltip="https://doi.org/10.3390/jpm8030030" w:history="1">
        <w:r>
          <w:rPr>
            <w:rStyle w:val="690"/>
          </w:rPr>
          <w:t xml:space="preserve">10.3390/jpm8030030</w:t>
        </w:r>
      </w:hyperlink>
      <w:r>
        <w:t xml:space="preserve">.</w:t>
      </w:r>
      <w:bookmarkEnd w:id="138"/>
      <w:r/>
    </w:p>
    <w:p>
      <w:pPr>
        <w:pStyle w:val="665"/>
      </w:pPr>
      <w:r/>
      <w:bookmarkStart w:id="140" w:name="ref-Wadapurkar2018"/>
      <w:r>
        <w:t xml:space="preserve">[18]</w:t>
      </w:r>
      <w:r>
        <w:t xml:space="preserve"> </w:t>
      </w:r>
      <w:r>
        <w:tab/>
      </w:r>
      <w:r>
        <w:t xml:space="preserve">R. M. Wadapurkar and R. Vyas,</w:t>
      </w:r>
      <w:r>
        <w:t xml:space="preserve"> </w:t>
      </w:r>
      <w:r>
        <w:t xml:space="preserve">“</w:t>
      </w:r>
      <w:r>
        <w:t xml:space="preserve">Computational analysis of next generation sequencing data and its applications in clinical oncology</w:t>
      </w:r>
      <w:r>
        <w:t xml:space="preserve">,”</w:t>
      </w:r>
      <w:r>
        <w:t xml:space="preserve"> </w:t>
      </w:r>
      <w:r>
        <w:t xml:space="preserve">vol. 11, pp. 75–82, Jan. 2018, doi:</w:t>
      </w:r>
      <w:r>
        <w:t xml:space="preserve"> </w:t>
      </w:r>
      <w:hyperlink r:id="rId55" w:tooltip="https://doi.org/10.1016/j.imu.2018.05.003" w:history="1">
        <w:r>
          <w:rPr>
            <w:rStyle w:val="690"/>
          </w:rPr>
          <w:t xml:space="preserve">10.1016/j.imu.2018.05.003</w:t>
        </w:r>
      </w:hyperlink>
      <w:r>
        <w:t xml:space="preserve">.</w:t>
      </w:r>
      <w:bookmarkEnd w:id="140"/>
      <w:r/>
    </w:p>
    <w:p>
      <w:pPr>
        <w:pStyle w:val="665"/>
      </w:pPr>
      <w:r/>
      <w:bookmarkStart w:id="142" w:name="ref-10xGenomics"/>
      <w:r>
        <w:t xml:space="preserve">[19]</w:t>
      </w:r>
      <w:r>
        <w:t xml:space="preserve"> </w:t>
      </w:r>
      <w:r>
        <w:tab/>
      </w:r>
      <w:r>
        <w:t xml:space="preserve">“</w:t>
      </w:r>
      <w:r>
        <w:t xml:space="preserve">Datasets -Single Cell Gene Expression -Official 10x Genomics Support</w:t>
      </w:r>
      <w:r>
        <w:t xml:space="preserve">.”</w:t>
      </w:r>
      <w:r>
        <w:t xml:space="preserve"> Accessed: Aug. 31, 2020. [Online]. Available:</w:t>
      </w:r>
      <w:r>
        <w:t xml:space="preserve"> </w:t>
      </w:r>
      <w:hyperlink r:id="rId56" w:tooltip="https://support.10xgenomics.com/single-cell-gene-expression/datasets" w:history="1">
        <w:r>
          <w:rPr>
            <w:rStyle w:val="690"/>
          </w:rPr>
          <w:t xml:space="preserve">https://support.10xgenomics.com/single-cell-gene-expression/datasets</w:t>
        </w:r>
      </w:hyperlink>
      <w:r/>
      <w:bookmarkEnd w:id="142"/>
      <w:r/>
    </w:p>
    <w:p>
      <w:pPr>
        <w:pStyle w:val="665"/>
      </w:pPr>
      <w:r/>
      <w:bookmarkStart w:id="144" w:name="ref-Herring2018"/>
      <w:r>
        <w:t xml:space="preserve">[20]</w:t>
      </w:r>
      <w:r>
        <w:t xml:space="preserve"> </w:t>
      </w:r>
      <w:r>
        <w:tab/>
      </w:r>
      <w:r>
        <w:t xml:space="preserve">C. A. Herring, B. Chen, E. T. McKinley, and K. S. Lau,</w:t>
      </w:r>
      <w:r>
        <w:t xml:space="preserve"> </w:t>
      </w:r>
      <w:r>
        <w:t xml:space="preserve">“</w:t>
      </w:r>
      <w:r>
        <w:t xml:space="preserve">Single-Cell Computational Strategies for Lineage Reconstruction in Tissue Systems</w:t>
      </w:r>
      <w:r>
        <w:t xml:space="preserve">,”</w:t>
      </w:r>
      <w:r>
        <w:t xml:space="preserve"> </w:t>
      </w:r>
      <w:r>
        <w:t xml:space="preserve">vol. 5, no. 4, pp. 539–548, Jan. 2018, doi:</w:t>
      </w:r>
      <w:r>
        <w:t xml:space="preserve"> </w:t>
      </w:r>
      <w:hyperlink r:id="rId57" w:tooltip="https://doi.org/10.1016/j.jcmgh.2018.01.023" w:history="1">
        <w:r>
          <w:rPr>
            <w:rStyle w:val="690"/>
          </w:rPr>
          <w:t xml:space="preserve">10.1016/j.jcmgh.2018.01.023</w:t>
        </w:r>
      </w:hyperlink>
      <w:r>
        <w:t xml:space="preserve">.</w:t>
      </w:r>
      <w:bookmarkEnd w:id="144"/>
      <w:r/>
    </w:p>
    <w:p>
      <w:pPr>
        <w:pStyle w:val="665"/>
      </w:pPr>
      <w:r/>
      <w:bookmarkStart w:id="145" w:name="ref-Python"/>
      <w:r>
        <w:t xml:space="preserve">[21]</w:t>
      </w:r>
      <w:r>
        <w:t xml:space="preserve"> </w:t>
      </w:r>
      <w:r>
        <w:tab/>
      </w:r>
      <w:r>
        <w:t xml:space="preserve">G. van Rossum and F. L. Drake,</w:t>
      </w:r>
      <w:r>
        <w:t xml:space="preserve"> </w:t>
      </w:r>
      <w:r>
        <w:rPr>
          <w:i/>
          <w:iCs/>
        </w:rPr>
        <w:t xml:space="preserve">The Python Language Reference Manual</w:t>
      </w:r>
      <w:r>
        <w:t xml:space="preserve">. Network Theory Ltd., 2011.</w:t>
      </w:r>
      <w:bookmarkEnd w:id="145"/>
      <w:r/>
    </w:p>
    <w:p>
      <w:pPr>
        <w:pStyle w:val="665"/>
      </w:pPr>
      <w:r/>
      <w:bookmarkStart w:id="147" w:name="ref-Chang2020"/>
      <w:r>
        <w:t xml:space="preserve">[22]</w:t>
      </w:r>
      <w:r>
        <w:t xml:space="preserve"> </w:t>
      </w:r>
      <w:r>
        <w:tab/>
      </w:r>
      <w:r>
        <w:t xml:space="preserve">W. Chang,</w:t>
      </w:r>
      <w:r>
        <w:t xml:space="preserve"> </w:t>
      </w:r>
      <w:r>
        <w:t xml:space="preserve">“</w:t>
      </w:r>
      <w:r>
        <w:t xml:space="preserve">Web application framework for R</w:t>
      </w:r>
      <w:r>
        <w:t xml:space="preserve">,”</w:t>
      </w:r>
      <w:r>
        <w:t xml:space="preserve"> </w:t>
      </w:r>
      <w:r>
        <w:t xml:space="preserve">2020.Available:</w:t>
      </w:r>
      <w:r>
        <w:t xml:space="preserve"> </w:t>
      </w:r>
      <w:hyperlink r:id="rId58" w:tooltip="https://github.com/rstudio/shiny/issues" w:history="1">
        <w:r>
          <w:rPr>
            <w:rStyle w:val="690"/>
          </w:rPr>
          <w:t xml:space="preserve">https://github.com/rstudio/shiny/issues</w:t>
        </w:r>
      </w:hyperlink>
      <w:r/>
      <w:bookmarkEnd w:id="147"/>
      <w:r/>
    </w:p>
    <w:p>
      <w:pPr>
        <w:pStyle w:val="665"/>
      </w:pPr>
      <w:r/>
      <w:bookmarkStart w:id="149" w:name="ref-Yip2018"/>
      <w:r>
        <w:t xml:space="preserve">[23]</w:t>
      </w:r>
      <w:r>
        <w:t xml:space="preserve"> </w:t>
      </w:r>
      <w:r>
        <w:tab/>
      </w:r>
      <w:r>
        <w:t xml:space="preserve">S. H. Yip, P. C. Sham, and J. Wang,</w:t>
      </w:r>
      <w:r>
        <w:t xml:space="preserve"> </w:t>
      </w:r>
      <w:r>
        <w:t xml:space="preserve">“</w:t>
      </w:r>
      <w:r>
        <w:t xml:space="preserve">Evaluation of tools for highly variable gene discovery from single-cell RNA-seq data</w:t>
      </w:r>
      <w:r>
        <w:t xml:space="preserve">,”</w:t>
      </w:r>
      <w:r>
        <w:t xml:space="preserve"> </w:t>
      </w:r>
      <w:r>
        <w:rPr>
          <w:i/>
          <w:iCs/>
        </w:rPr>
        <w:t xml:space="preserve">Briefings in Bioinformatics</w:t>
      </w:r>
      <w:r>
        <w:t xml:space="preserve">, vol. 20, no. 4, pp. 1583–1589, Mar. 2018, doi:</w:t>
      </w:r>
      <w:r>
        <w:t xml:space="preserve"> </w:t>
      </w:r>
      <w:hyperlink r:id="rId59" w:tooltip="https://doi.org/10.1093/bib/bby011" w:history="1">
        <w:r>
          <w:rPr>
            <w:rStyle w:val="690"/>
          </w:rPr>
          <w:t xml:space="preserve">10.1093/bib/bby011</w:t>
        </w:r>
      </w:hyperlink>
      <w:r>
        <w:t xml:space="preserve">.</w:t>
      </w:r>
      <w:bookmarkEnd w:id="149"/>
      <w:r/>
    </w:p>
    <w:p>
      <w:pPr>
        <w:pStyle w:val="665"/>
      </w:pPr>
      <w:r/>
      <w:bookmarkStart w:id="151" w:name="ref-Stuart2019"/>
      <w:r>
        <w:t xml:space="preserve">[24]</w:t>
      </w:r>
      <w:r>
        <w:t xml:space="preserve"> </w:t>
      </w:r>
      <w:r>
        <w:tab/>
      </w:r>
      <w:r>
        <w:t xml:space="preserve">T. Stuart</w:t>
      </w:r>
      <w:r>
        <w:t xml:space="preserve"> </w:t>
      </w:r>
      <w:r>
        <w:rPr>
          <w:i/>
          <w:iCs/>
        </w:rPr>
        <w:t xml:space="preserve">et al.</w:t>
      </w:r>
      <w:r>
        <w:t xml:space="preserve">,</w:t>
      </w:r>
      <w:r>
        <w:t xml:space="preserve"> </w:t>
      </w:r>
      <w:r>
        <w:t xml:space="preserve">“</w:t>
      </w:r>
      <w:r>
        <w:t xml:space="preserve">Comprehensive Integration of Single-Cell Data</w:t>
      </w:r>
      <w:r>
        <w:t xml:space="preserve">,”</w:t>
      </w:r>
      <w:r>
        <w:t xml:space="preserve"> </w:t>
      </w:r>
      <w:r>
        <w:rPr>
          <w:i/>
          <w:iCs/>
        </w:rPr>
        <w:t xml:space="preserve">Cell</w:t>
      </w:r>
      <w:r>
        <w:t xml:space="preserve">, vol. 177, no. 7, pp. 1888–1902.e21, Jun. 2019, doi:</w:t>
      </w:r>
      <w:r>
        <w:t xml:space="preserve"> </w:t>
      </w:r>
      <w:hyperlink r:id="rId60" w:tooltip="https://doi.org/10.1016/j.cell.2019.05.031" w:history="1">
        <w:r>
          <w:rPr>
            <w:rStyle w:val="690"/>
          </w:rPr>
          <w:t xml:space="preserve">10.1016/j.cell.2019.05.031</w:t>
        </w:r>
      </w:hyperlink>
      <w:r>
        <w:t xml:space="preserve">.</w:t>
      </w:r>
      <w:bookmarkEnd w:id="151"/>
      <w:r/>
    </w:p>
    <w:p>
      <w:pPr>
        <w:pStyle w:val="665"/>
      </w:pPr>
      <w:r/>
      <w:bookmarkStart w:id="153" w:name="ref-JenkinsD2020"/>
      <w:r>
        <w:t xml:space="preserve">[25]</w:t>
      </w:r>
      <w:r>
        <w:t xml:space="preserve"> </w:t>
      </w:r>
      <w:r>
        <w:tab/>
      </w:r>
      <w:r>
        <w:t xml:space="preserve">Jenkins D</w:t>
      </w:r>
      <w:r>
        <w:t xml:space="preserve"> </w:t>
      </w:r>
      <w:r>
        <w:rPr>
          <w:i/>
          <w:iCs/>
        </w:rPr>
        <w:t xml:space="preserve">et al.</w:t>
      </w:r>
      <w:r>
        <w:t xml:space="preserve">,</w:t>
      </w:r>
      <w:r>
        <w:t xml:space="preserve"> </w:t>
      </w:r>
      <w:r>
        <w:t xml:space="preserve">“</w:t>
      </w:r>
      <w:r>
        <w:t xml:space="preserve">Interactive Analysis of Single Cell RNA-Seq Data</w:t>
      </w:r>
      <w:r>
        <w:t xml:space="preserve">.”</w:t>
      </w:r>
      <w:r>
        <w:t xml:space="preserve"> </w:t>
      </w:r>
      <w:r>
        <w:t xml:space="preserve">2020.Available:</w:t>
      </w:r>
      <w:r>
        <w:t xml:space="preserve"> </w:t>
      </w:r>
      <w:hyperlink r:id="rId61" w:tooltip="https://compbiomed.github.io/sctk_docs/" w:history="1">
        <w:r>
          <w:rPr>
            <w:rStyle w:val="690"/>
          </w:rPr>
          <w:t xml:space="preserve">https://compbiomed.github.io/sctk_docs/</w:t>
        </w:r>
      </w:hyperlink>
      <w:r/>
      <w:bookmarkEnd w:id="153"/>
      <w:r/>
    </w:p>
    <w:p>
      <w:pPr>
        <w:pStyle w:val="665"/>
      </w:pPr>
      <w:r/>
      <w:bookmarkStart w:id="154" w:name="ref-Hong2021"/>
      <w:r>
        <w:t xml:space="preserve">[26]</w:t>
      </w:r>
      <w:r>
        <w:t xml:space="preserve"> </w:t>
      </w:r>
      <w:r>
        <w:tab/>
      </w:r>
      <w:r>
        <w:t xml:space="preserve">R. Hong</w:t>
      </w:r>
      <w:r>
        <w:t xml:space="preserve"> </w:t>
      </w:r>
      <w:r>
        <w:rPr>
          <w:i/>
          <w:iCs/>
        </w:rPr>
        <w:t xml:space="preserve">et al.</w:t>
      </w:r>
      <w:r>
        <w:t xml:space="preserve">,</w:t>
      </w:r>
      <w:r>
        <w:t xml:space="preserve"> </w:t>
      </w:r>
      <w:r>
        <w:t xml:space="preserve">“</w:t>
      </w:r>
      <w:r>
        <w:t xml:space="preserve">Comprehensive generation, visualization, and reporting of quality control metrics for single-cell RNA sequencing data</w:t>
      </w:r>
      <w:r>
        <w:t xml:space="preserve">,”</w:t>
      </w:r>
      <w:r>
        <w:t xml:space="preserve"> </w:t>
      </w:r>
      <w:r>
        <w:rPr>
          <w:i/>
          <w:iCs/>
        </w:rPr>
        <w:t xml:space="preserve">bioRxiv</w:t>
      </w:r>
      <w:r>
        <w:t xml:space="preserve">, 2021.</w:t>
      </w:r>
      <w:bookmarkEnd w:id="154"/>
      <w:r/>
    </w:p>
    <w:p>
      <w:pPr>
        <w:pStyle w:val="665"/>
      </w:pPr>
      <w:r/>
      <w:bookmarkStart w:id="156" w:name="ref-Falcon2006"/>
      <w:r>
        <w:t xml:space="preserve">[27]</w:t>
      </w:r>
      <w:r>
        <w:t xml:space="preserve"> </w:t>
      </w:r>
      <w:r>
        <w:tab/>
      </w:r>
      <w:r>
        <w:t xml:space="preserve">S. Falcon, M. Morgan, and R. Gentleman,</w:t>
      </w:r>
      <w:r>
        <w:t xml:space="preserve"> </w:t>
      </w:r>
      <w:r>
        <w:t xml:space="preserve">“</w:t>
      </w:r>
      <w:r>
        <w:t xml:space="preserve">An Introduction to Bioconductor’s ExpressionSet Class</w:t>
      </w:r>
      <w:r>
        <w:t xml:space="preserve">,”</w:t>
      </w:r>
      <w:r>
        <w:t xml:space="preserve"> </w:t>
      </w:r>
      <w:r>
        <w:t xml:space="preserve">2006.Available:</w:t>
      </w:r>
      <w:r>
        <w:t xml:space="preserve"> </w:t>
      </w:r>
      <w:hyperlink r:id="rId62" w:tooltip="http://bioconductor.org" w:history="1">
        <w:r>
          <w:rPr>
            <w:rStyle w:val="690"/>
          </w:rPr>
          <w:t xml:space="preserve">http://bioconductor.org</w:t>
        </w:r>
      </w:hyperlink>
      <w:r/>
      <w:bookmarkEnd w:id="156"/>
      <w:r/>
    </w:p>
    <w:p>
      <w:pPr>
        <w:pStyle w:val="665"/>
      </w:pPr>
      <w:r/>
      <w:bookmarkStart w:id="158" w:name="ref-Jiang2011"/>
      <w:r>
        <w:t xml:space="preserve">[28]</w:t>
      </w:r>
      <w:r>
        <w:t xml:space="preserve"> </w:t>
      </w:r>
      <w:r>
        <w:tab/>
      </w:r>
      <w:r>
        <w:t xml:space="preserve">L. Jiang</w:t>
      </w:r>
      <w:r>
        <w:t xml:space="preserve"> </w:t>
      </w:r>
      <w:r>
        <w:rPr>
          <w:i/>
          <w:iCs/>
        </w:rPr>
        <w:t xml:space="preserve">et al.</w:t>
      </w:r>
      <w:r>
        <w:t xml:space="preserve">,</w:t>
      </w:r>
      <w:r>
        <w:t xml:space="preserve"> </w:t>
      </w:r>
      <w:r>
        <w:t xml:space="preserve">“</w:t>
      </w:r>
      <w:r>
        <w:t xml:space="preserve">Synthetic spike-in standards for RNA-seq experiments</w:t>
      </w:r>
      <w:r>
        <w:t xml:space="preserve">,”</w:t>
      </w:r>
      <w:r>
        <w:t xml:space="preserve"> </w:t>
      </w:r>
      <w:r>
        <w:rPr>
          <w:i/>
          <w:iCs/>
        </w:rPr>
        <w:t xml:space="preserve">Genome Research</w:t>
      </w:r>
      <w:r>
        <w:t xml:space="preserve">, vol. 21, no. 9, pp. 1543–1551, Sep. 2011, doi:</w:t>
      </w:r>
      <w:r>
        <w:t xml:space="preserve"> </w:t>
      </w:r>
      <w:hyperlink r:id="rId63" w:tooltip="https://doi.org/10.1101/gr.121095.111" w:history="1">
        <w:r>
          <w:rPr>
            <w:rStyle w:val="690"/>
          </w:rPr>
          <w:t xml:space="preserve">10.1101/gr.121095.111</w:t>
        </w:r>
      </w:hyperlink>
      <w:r>
        <w:t xml:space="preserve">.</w:t>
      </w:r>
      <w:bookmarkEnd w:id="158"/>
      <w:r/>
    </w:p>
    <w:p>
      <w:pPr>
        <w:pStyle w:val="665"/>
      </w:pPr>
      <w:r/>
      <w:bookmarkStart w:id="160" w:name="ref-Ramos2017"/>
      <w:r>
        <w:t xml:space="preserve">[29]</w:t>
      </w:r>
      <w:r>
        <w:t xml:space="preserve"> </w:t>
      </w:r>
      <w:r>
        <w:tab/>
      </w:r>
      <w:r>
        <w:t xml:space="preserve">M. Ramos</w:t>
      </w:r>
      <w:r>
        <w:t xml:space="preserve"> </w:t>
      </w:r>
      <w:r>
        <w:rPr>
          <w:i/>
          <w:iCs/>
        </w:rPr>
        <w:t xml:space="preserve">et al.</w:t>
      </w:r>
      <w:r>
        <w:t xml:space="preserve">,</w:t>
      </w:r>
      <w:r>
        <w:t xml:space="preserve"> </w:t>
      </w:r>
      <w:r>
        <w:t xml:space="preserve">“</w:t>
      </w:r>
      <w:r>
        <w:t xml:space="preserve">Software for the integration of multiomics experiments in bioconductor</w:t>
      </w:r>
      <w:r>
        <w:t xml:space="preserve">,”</w:t>
      </w:r>
      <w:r>
        <w:t xml:space="preserve"> </w:t>
      </w:r>
      <w:r>
        <w:rPr>
          <w:i/>
          <w:iCs/>
        </w:rPr>
        <w:t xml:space="preserve">Cancer Research</w:t>
      </w:r>
      <w:r>
        <w:t xml:space="preserve">, vol. 77, no. 21, pp. e39–e42, 2017, doi:</w:t>
      </w:r>
      <w:r>
        <w:t xml:space="preserve"> </w:t>
      </w:r>
      <w:hyperlink r:id="rId64" w:tooltip="https://doi.org/10.1158/0008-5472.CAN-17-0344" w:history="1">
        <w:r>
          <w:rPr>
            <w:rStyle w:val="690"/>
          </w:rPr>
          <w:t xml:space="preserve">10.1158/0008-5472.CAN-17-0344</w:t>
        </w:r>
      </w:hyperlink>
      <w:r>
        <w:t xml:space="preserve">.</w:t>
      </w:r>
      <w:bookmarkEnd w:id="160"/>
      <w:r/>
    </w:p>
    <w:p>
      <w:pPr>
        <w:pStyle w:val="665"/>
      </w:pPr>
      <w:r/>
      <w:bookmarkStart w:id="162" w:name="ref-Weinstein2013"/>
      <w:r>
        <w:t xml:space="preserve">[30]</w:t>
      </w:r>
      <w:r>
        <w:t xml:space="preserve"> </w:t>
      </w:r>
      <w:r>
        <w:tab/>
      </w:r>
      <w:r>
        <w:t xml:space="preserve">J. N. Weinstein</w:t>
      </w:r>
      <w:r>
        <w:t xml:space="preserve"> </w:t>
      </w:r>
      <w:r>
        <w:rPr>
          <w:i/>
          <w:iCs/>
        </w:rPr>
        <w:t xml:space="preserve">et al.</w:t>
      </w:r>
      <w:r>
        <w:t xml:space="preserve">,</w:t>
      </w:r>
      <w:r>
        <w:t xml:space="preserve"> </w:t>
      </w:r>
      <w:r>
        <w:t xml:space="preserve">“</w:t>
      </w:r>
      <w:r>
        <w:t xml:space="preserve">The Cancer Genome Atlas Pan-Cancer analysis project</w:t>
      </w:r>
      <w:r>
        <w:t xml:space="preserve">,”</w:t>
      </w:r>
      <w:r>
        <w:t xml:space="preserve"> </w:t>
      </w:r>
      <w:r>
        <w:t xml:space="preserve">2013. doi:</w:t>
      </w:r>
      <w:r>
        <w:t xml:space="preserve"> </w:t>
      </w:r>
      <w:hyperlink r:id="rId65" w:tooltip="https://doi.org/10.1038/ng.2764" w:history="1">
        <w:r>
          <w:rPr>
            <w:rStyle w:val="690"/>
          </w:rPr>
          <w:t xml:space="preserve">10.1038/ng.2764</w:t>
        </w:r>
      </w:hyperlink>
      <w:r>
        <w:t xml:space="preserve">.</w:t>
      </w:r>
      <w:bookmarkEnd w:id="162"/>
      <w:r/>
    </w:p>
    <w:p>
      <w:pPr>
        <w:pStyle w:val="665"/>
      </w:pPr>
      <w:r/>
      <w:bookmarkStart w:id="164" w:name="ref-Satija2015"/>
      <w:r>
        <w:t xml:space="preserve">[31]</w:t>
      </w:r>
      <w:r>
        <w:t xml:space="preserve"> </w:t>
      </w:r>
      <w:r>
        <w:tab/>
      </w:r>
      <w:r>
        <w:t xml:space="preserve">R. Satija, J. A. Farrell, D. Gennert, A. F. Schier, and A. Regev,</w:t>
      </w:r>
      <w:r>
        <w:t xml:space="preserve"> </w:t>
      </w:r>
      <w:r>
        <w:t xml:space="preserve">“</w:t>
      </w:r>
      <w:r>
        <w:t xml:space="preserve">Spatial reconstruction of single-cell gene expression data</w:t>
      </w:r>
      <w:r>
        <w:t xml:space="preserve">,”</w:t>
      </w:r>
      <w:r>
        <w:t xml:space="preserve"> </w:t>
      </w:r>
      <w:r>
        <w:rPr>
          <w:i/>
          <w:iCs/>
        </w:rPr>
        <w:t xml:space="preserve">Nature Biotechnology</w:t>
      </w:r>
      <w:r>
        <w:t xml:space="preserve">, vol. 33, no. 5, pp. 495–502, May 2015, doi:</w:t>
      </w:r>
      <w:r>
        <w:t xml:space="preserve"> </w:t>
      </w:r>
      <w:hyperlink r:id="rId66" w:tooltip="https://doi.org/10.1038/nbt.3192" w:history="1">
        <w:r>
          <w:rPr>
            <w:rStyle w:val="690"/>
          </w:rPr>
          <w:t xml:space="preserve">10.1038/nbt.3192</w:t>
        </w:r>
      </w:hyperlink>
      <w:r>
        <w:t xml:space="preserve">.</w:t>
      </w:r>
      <w:bookmarkEnd w:id="164"/>
      <w:r/>
    </w:p>
    <w:p>
      <w:pPr>
        <w:pStyle w:val="665"/>
      </w:pPr>
      <w:r/>
      <w:bookmarkStart w:id="166" w:name="ref-Hao2021"/>
      <w:r>
        <w:t xml:space="preserve">[32]</w:t>
      </w:r>
      <w:r>
        <w:t xml:space="preserve"> </w:t>
      </w:r>
      <w:r>
        <w:tab/>
      </w:r>
      <w:r>
        <w:t xml:space="preserve">Y. Hao</w:t>
      </w:r>
      <w:r>
        <w:t xml:space="preserve"> </w:t>
      </w:r>
      <w:r>
        <w:rPr>
          <w:i/>
          <w:iCs/>
        </w:rPr>
        <w:t xml:space="preserve">et al.</w:t>
      </w:r>
      <w:r>
        <w:t xml:space="preserve">,</w:t>
      </w:r>
      <w:r>
        <w:t xml:space="preserve"> </w:t>
      </w:r>
      <w:r>
        <w:t xml:space="preserve">“Integrated analysis of multimodal single-cell data,”</w:t>
      </w:r>
      <w:r>
        <w:t xml:space="preserve"> </w:t>
      </w:r>
      <w:r>
        <w:rPr>
          <w:i/>
          <w:iCs/>
        </w:rPr>
        <w:t xml:space="preserve">Cell</w:t>
      </w:r>
      <w:r>
        <w:t xml:space="preserve">, 2021, doi:</w:t>
      </w:r>
      <w:r>
        <w:t xml:space="preserve"> </w:t>
      </w:r>
      <w:hyperlink r:id="rId67" w:tooltip="https://doi.org/10.1016/j.cell.2021.04.048" w:history="1">
        <w:r>
          <w:rPr>
            <w:rStyle w:val="690"/>
          </w:rPr>
          <w:t xml:space="preserve">10.1016/j.cell.2021.04.048</w:t>
        </w:r>
      </w:hyperlink>
      <w:r>
        <w:t xml:space="preserve">.</w:t>
      </w:r>
      <w:bookmarkEnd w:id="166"/>
      <w:r/>
    </w:p>
    <w:p>
      <w:pPr>
        <w:pStyle w:val="665"/>
      </w:pPr>
      <w:r/>
      <w:bookmarkStart w:id="168" w:name="ref-Qiu2017"/>
      <w:r>
        <w:t xml:space="preserve">[33]</w:t>
      </w:r>
      <w:r>
        <w:t xml:space="preserve"> </w:t>
      </w:r>
      <w:r>
        <w:tab/>
      </w:r>
      <w:r>
        <w:t xml:space="preserve">X. Qiu</w:t>
      </w:r>
      <w:r>
        <w:t xml:space="preserve"> </w:t>
      </w:r>
      <w:r>
        <w:rPr>
          <w:i/>
          <w:iCs/>
        </w:rPr>
        <w:t xml:space="preserve">et al.</w:t>
      </w:r>
      <w:r>
        <w:t xml:space="preserve">,</w:t>
      </w:r>
      <w:r>
        <w:t xml:space="preserve"> </w:t>
      </w:r>
      <w:r>
        <w:t xml:space="preserve">“</w:t>
      </w:r>
      <w:r>
        <w:t xml:space="preserve">Reversed graph embedding resolves complex single-cell trajectories</w:t>
      </w:r>
      <w:r>
        <w:t xml:space="preserve">,”</w:t>
      </w:r>
      <w:r>
        <w:t xml:space="preserve"> </w:t>
      </w:r>
      <w:r>
        <w:rPr>
          <w:i/>
          <w:iCs/>
        </w:rPr>
        <w:t xml:space="preserve">Nature Methods 2017 14:10</w:t>
      </w:r>
      <w:r>
        <w:t xml:space="preserve">, vol. 14, no. 10, pp. 979–982, Aug. 2017, doi:</w:t>
      </w:r>
      <w:r>
        <w:t xml:space="preserve"> </w:t>
      </w:r>
      <w:hyperlink r:id="rId68" w:tooltip="https://doi.org/10.1038/nmeth.4402" w:history="1">
        <w:r>
          <w:rPr>
            <w:rStyle w:val="690"/>
          </w:rPr>
          <w:t xml:space="preserve">10.1038/nmeth.4402</w:t>
        </w:r>
      </w:hyperlink>
      <w:r>
        <w:t xml:space="preserve">.</w:t>
      </w:r>
      <w:bookmarkEnd w:id="168"/>
      <w:r/>
    </w:p>
    <w:p>
      <w:pPr>
        <w:pStyle w:val="665"/>
      </w:pPr>
      <w:r/>
      <w:bookmarkStart w:id="170" w:name="ref-Qiu20172"/>
      <w:r>
        <w:t xml:space="preserve">[34]</w:t>
      </w:r>
      <w:r>
        <w:t xml:space="preserve"> </w:t>
      </w:r>
      <w:r>
        <w:tab/>
      </w:r>
      <w:r>
        <w:t xml:space="preserve">X. Qiu, A. Hill, J. Packer, D. Lin, Y.-A. Ma, and C. Trapnell,</w:t>
      </w:r>
      <w:r>
        <w:t xml:space="preserve"> </w:t>
      </w:r>
      <w:r>
        <w:t xml:space="preserve">“</w:t>
      </w:r>
      <w:r>
        <w:t xml:space="preserve">Single-cell mRNA quantification and differential analysis with Census</w:t>
      </w:r>
      <w:r>
        <w:t xml:space="preserve">,”</w:t>
      </w:r>
      <w:r>
        <w:t xml:space="preserve"> </w:t>
      </w:r>
      <w:r>
        <w:rPr>
          <w:i/>
          <w:iCs/>
        </w:rPr>
        <w:t xml:space="preserve">Nature Methods 2017 14:3</w:t>
      </w:r>
      <w:r>
        <w:t xml:space="preserve">, vol. 14, no. 3, pp. 309–315, Jan. 2017, doi:</w:t>
      </w:r>
      <w:r>
        <w:t xml:space="preserve"> </w:t>
      </w:r>
      <w:hyperlink r:id="rId69" w:tooltip="https://doi.org/10.1038/nmeth.4150" w:history="1">
        <w:r>
          <w:rPr>
            <w:rStyle w:val="690"/>
          </w:rPr>
          <w:t xml:space="preserve">10.1038/nmeth.4150</w:t>
        </w:r>
      </w:hyperlink>
      <w:r>
        <w:t xml:space="preserve">.</w:t>
      </w:r>
      <w:bookmarkEnd w:id="170"/>
      <w:r/>
    </w:p>
    <w:p>
      <w:pPr>
        <w:pStyle w:val="665"/>
      </w:pPr>
      <w:r/>
      <w:bookmarkStart w:id="172" w:name="ref-Trapnell2014"/>
      <w:r>
        <w:t xml:space="preserve">[35]</w:t>
      </w:r>
      <w:r>
        <w:t xml:space="preserve"> </w:t>
      </w:r>
      <w:r>
        <w:tab/>
      </w:r>
      <w:r>
        <w:t xml:space="preserve">C. Trapnell</w:t>
      </w:r>
      <w:r>
        <w:t xml:space="preserve"> </w:t>
      </w:r>
      <w:r>
        <w:rPr>
          <w:i/>
          <w:iCs/>
        </w:rPr>
        <w:t xml:space="preserve">et al.</w:t>
      </w:r>
      <w:r>
        <w:t xml:space="preserve">,</w:t>
      </w:r>
      <w:r>
        <w:t xml:space="preserve"> </w:t>
      </w:r>
      <w:r>
        <w:t xml:space="preserve">“</w:t>
      </w:r>
      <w:r>
        <w:t xml:space="preserve">The dynamics and regulators of cell fate decisions are revealed by pseudotemporal ordering of single cells</w:t>
      </w:r>
      <w:r>
        <w:t xml:space="preserve">,”</w:t>
      </w:r>
      <w:r>
        <w:t xml:space="preserve"> </w:t>
      </w:r>
      <w:r>
        <w:rPr>
          <w:i/>
          <w:iCs/>
        </w:rPr>
        <w:t xml:space="preserve">Nature Biotechnology 2014 32:4</w:t>
      </w:r>
      <w:r>
        <w:t xml:space="preserve">, vol. 32, no. 4, pp. 381–386, Mar. 2014, doi:</w:t>
      </w:r>
      <w:r>
        <w:t xml:space="preserve"> </w:t>
      </w:r>
      <w:hyperlink r:id="rId70" w:tooltip="https://doi.org/10.1038/nbt.2859" w:history="1">
        <w:r>
          <w:rPr>
            <w:rStyle w:val="690"/>
          </w:rPr>
          <w:t xml:space="preserve">10.1038/nbt.2859</w:t>
        </w:r>
      </w:hyperlink>
      <w:r>
        <w:t xml:space="preserve">.</w:t>
      </w:r>
      <w:bookmarkEnd w:id="172"/>
      <w:r/>
    </w:p>
    <w:p>
      <w:pPr>
        <w:pStyle w:val="665"/>
      </w:pPr>
      <w:r/>
      <w:bookmarkStart w:id="174" w:name="ref-Huang2021"/>
      <w:r>
        <w:t xml:space="preserve">[36]</w:t>
      </w:r>
      <w:r>
        <w:t xml:space="preserve"> </w:t>
      </w:r>
      <w:r>
        <w:tab/>
      </w:r>
      <w:r>
        <w:t xml:space="preserve">R. Huang</w:t>
      </w:r>
      <w:r>
        <w:t xml:space="preserve"> </w:t>
      </w:r>
      <w:r>
        <w:rPr>
          <w:i/>
          <w:iCs/>
        </w:rPr>
        <w:t xml:space="preserve">et al.</w:t>
      </w:r>
      <w:r>
        <w:t xml:space="preserve">,</w:t>
      </w:r>
      <w:r>
        <w:t xml:space="preserve"> </w:t>
      </w:r>
      <w:r>
        <w:t xml:space="preserve">“</w:t>
      </w:r>
      <w:r>
        <w:t xml:space="preserve">TreeSummarizedExperiment: a S4 class for data with hierarchical structure</w:t>
      </w:r>
      <w:r>
        <w:t xml:space="preserve">,”</w:t>
      </w:r>
      <w:r>
        <w:t xml:space="preserve"> </w:t>
      </w:r>
      <w:r>
        <w:rPr>
          <w:i/>
          <w:iCs/>
        </w:rPr>
        <w:t xml:space="preserve">F1000Research</w:t>
      </w:r>
      <w:r>
        <w:t xml:space="preserve">, vol. 9, p. 1246, Mar. 2021, doi:</w:t>
      </w:r>
      <w:r>
        <w:t xml:space="preserve"> </w:t>
      </w:r>
      <w:hyperlink r:id="rId71" w:tooltip="https://doi.org/10.12688/f1000research.26669.2" w:history="1">
        <w:r>
          <w:rPr>
            <w:rStyle w:val="690"/>
          </w:rPr>
          <w:t xml:space="preserve">10.12688/f1000research.26669.2</w:t>
        </w:r>
      </w:hyperlink>
      <w:r>
        <w:t xml:space="preserve">.</w:t>
      </w:r>
      <w:bookmarkEnd w:id="174"/>
      <w:r/>
    </w:p>
    <w:p>
      <w:pPr>
        <w:pStyle w:val="665"/>
      </w:pPr>
      <w:r/>
      <w:bookmarkStart w:id="176" w:name="ref-Righelli2021"/>
      <w:r>
        <w:t xml:space="preserve">[37]</w:t>
      </w:r>
      <w:r>
        <w:t xml:space="preserve"> </w:t>
      </w:r>
      <w:r>
        <w:tab/>
      </w:r>
      <w:r>
        <w:t xml:space="preserve">D. Righelli</w:t>
      </w:r>
      <w:r>
        <w:t xml:space="preserve"> </w:t>
      </w:r>
      <w:r>
        <w:rPr>
          <w:i/>
          <w:iCs/>
        </w:rPr>
        <w:t xml:space="preserve">et al.</w:t>
      </w:r>
      <w:r>
        <w:t xml:space="preserve">,</w:t>
      </w:r>
      <w:r>
        <w:t xml:space="preserve"> </w:t>
      </w:r>
      <w:r>
        <w:t xml:space="preserve">“</w:t>
      </w:r>
      <w:r>
        <w:t xml:space="preserve">SpatialExperiment: infrastructure for spatially resolved transcriptomics data in R using Bioconductor</w:t>
      </w:r>
      <w:r>
        <w:t xml:space="preserve">,”</w:t>
      </w:r>
      <w:r>
        <w:t xml:space="preserve"> </w:t>
      </w:r>
      <w:r>
        <w:rPr>
          <w:i/>
          <w:iCs/>
        </w:rPr>
        <w:t xml:space="preserve">bioRxiv</w:t>
      </w:r>
      <w:r>
        <w:t xml:space="preserve">, p. 2021.01.27.428431, Jan. 2021, doi:</w:t>
      </w:r>
      <w:r>
        <w:t xml:space="preserve"> </w:t>
      </w:r>
      <w:hyperlink r:id="rId72" w:tooltip="https://doi.org/10.1101/2021.01.27.428431" w:history="1">
        <w:r>
          <w:rPr>
            <w:rStyle w:val="690"/>
          </w:rPr>
          <w:t xml:space="preserve">10.1101/2021.01.27.428431</w:t>
        </w:r>
      </w:hyperlink>
      <w:r>
        <w:t xml:space="preserve">.</w:t>
      </w:r>
      <w:bookmarkEnd w:id="176"/>
      <w:r/>
    </w:p>
    <w:p>
      <w:pPr>
        <w:pStyle w:val="665"/>
      </w:pPr>
      <w:r/>
      <w:bookmarkStart w:id="178" w:name="ref-Hadley2020"/>
      <w:r>
        <w:t xml:space="preserve">[38]</w:t>
      </w:r>
      <w:r>
        <w:t xml:space="preserve"> </w:t>
      </w:r>
      <w:r>
        <w:tab/>
      </w:r>
      <w:r>
        <w:t xml:space="preserve">H. Wickham, P. Danenberg, G. Csárdi, and M. Eugster,</w:t>
      </w:r>
      <w:r>
        <w:t xml:space="preserve"> </w:t>
      </w:r>
      <w:r>
        <w:rPr>
          <w:i/>
          <w:iCs/>
        </w:rPr>
        <w:t xml:space="preserve">roxygen2: In-line documentation for r</w:t>
      </w:r>
      <w:r>
        <w:t xml:space="preserve">. 2020.Available:</w:t>
      </w:r>
      <w:r>
        <w:t xml:space="preserve"> </w:t>
      </w:r>
      <w:hyperlink r:id="rId73" w:tooltip="https://CRAN.R-project.org/package=roxygen2" w:history="1">
        <w:r>
          <w:rPr>
            <w:rStyle w:val="690"/>
          </w:rPr>
          <w:t xml:space="preserve">https://CRAN.R-project.org/package=roxygen2</w:t>
        </w:r>
      </w:hyperlink>
      <w:r/>
      <w:bookmarkEnd w:id="178"/>
      <w:r/>
    </w:p>
    <w:p>
      <w:pPr>
        <w:pStyle w:val="665"/>
      </w:pPr>
      <w:r/>
      <w:bookmarkStart w:id="180" w:name="ref-Yihui2020"/>
      <w:r>
        <w:t xml:space="preserve">[39]</w:t>
      </w:r>
      <w:r>
        <w:t xml:space="preserve"> </w:t>
      </w:r>
      <w:r>
        <w:tab/>
      </w:r>
      <w:r>
        <w:t xml:space="preserve">Y. Xie, C. Dervieux, and E. Riederer,</w:t>
      </w:r>
      <w:r>
        <w:t xml:space="preserve"> </w:t>
      </w:r>
      <w:r>
        <w:rPr>
          <w:i/>
          <w:iCs/>
        </w:rPr>
        <w:t xml:space="preserve">R markdown cookbook</w:t>
      </w:r>
      <w:r>
        <w:t xml:space="preserve">. Boca Raton, Florida: Chapman; Hall/CRC, 2020.Available:</w:t>
      </w:r>
      <w:r>
        <w:t xml:space="preserve"> </w:t>
      </w:r>
      <w:hyperlink r:id="rId74" w:tooltip="https://bookdown.org/yihui/rmarkdown-cookbook" w:history="1">
        <w:r>
          <w:rPr>
            <w:rStyle w:val="690"/>
          </w:rPr>
          <w:t xml:space="preserve">https://bookdown.org/yihui/rmarkdown-cookbook</w:t>
        </w:r>
      </w:hyperlink>
      <w:r/>
      <w:bookmarkEnd w:id="180"/>
      <w:r/>
    </w:p>
    <w:p>
      <w:pPr>
        <w:pStyle w:val="665"/>
      </w:pPr>
      <w:r/>
      <w:bookmarkStart w:id="182" w:name="ref-Yihui2018"/>
      <w:r>
        <w:t xml:space="preserve">[40]</w:t>
      </w:r>
      <w:r>
        <w:t xml:space="preserve"> </w:t>
      </w:r>
      <w:r>
        <w:tab/>
      </w:r>
      <w:r>
        <w:t xml:space="preserve">Y. Xie, J. J. Allaire, and G. Grolemund,</w:t>
      </w:r>
      <w:r>
        <w:t xml:space="preserve"> </w:t>
      </w:r>
      <w:r>
        <w:rPr>
          <w:i/>
          <w:iCs/>
        </w:rPr>
        <w:t xml:space="preserve">R markdown: The definitive guide</w:t>
      </w:r>
      <w:r>
        <w:t xml:space="preserve">. Boca Raton, Florida: Chapman; Hall/CRC, 2018.Available:</w:t>
      </w:r>
      <w:r>
        <w:t xml:space="preserve"> </w:t>
      </w:r>
      <w:hyperlink r:id="rId75" w:tooltip="https://bookdown.org/yihui/rmarkdown" w:history="1">
        <w:r>
          <w:rPr>
            <w:rStyle w:val="690"/>
          </w:rPr>
          <w:t xml:space="preserve">https://bookdown.org/yihui/rmarkdown</w:t>
        </w:r>
      </w:hyperlink>
      <w:r/>
      <w:bookmarkEnd w:id="182"/>
      <w:r/>
    </w:p>
    <w:p>
      <w:pPr>
        <w:pStyle w:val="665"/>
      </w:pPr>
      <w:r/>
      <w:bookmarkStart w:id="184" w:name="ref-Allaire2021"/>
      <w:r>
        <w:t xml:space="preserve">[41]</w:t>
      </w:r>
      <w:r>
        <w:t xml:space="preserve"> </w:t>
      </w:r>
      <w:r>
        <w:tab/>
      </w:r>
      <w:r>
        <w:t xml:space="preserve">J. Allaire</w:t>
      </w:r>
      <w:r>
        <w:t xml:space="preserve"> </w:t>
      </w:r>
      <w:r>
        <w:rPr>
          <w:i/>
          <w:iCs/>
        </w:rPr>
        <w:t xml:space="preserve">et al.</w:t>
      </w:r>
      <w:r>
        <w:t xml:space="preserve">,</w:t>
      </w:r>
      <w:r>
        <w:t xml:space="preserve"> </w:t>
      </w:r>
      <w:r>
        <w:rPr>
          <w:i/>
          <w:iCs/>
        </w:rPr>
        <w:t xml:space="preserve">Rmarkdown: Dynamic documents for r</w:t>
      </w:r>
      <w:r>
        <w:t xml:space="preserve">. 2021.Available:</w:t>
      </w:r>
      <w:r>
        <w:t xml:space="preserve"> </w:t>
      </w:r>
      <w:hyperlink r:id="rId76" w:tooltip="https://github.com/rstudio/rmarkdown" w:history="1">
        <w:r>
          <w:rPr>
            <w:rStyle w:val="690"/>
          </w:rPr>
          <w:t xml:space="preserve">https://github.com/rstudio/rmarkdown</w:t>
        </w:r>
      </w:hyperlink>
      <w:r/>
      <w:bookmarkEnd w:id="184"/>
      <w:r/>
    </w:p>
    <w:p>
      <w:pPr>
        <w:pStyle w:val="665"/>
      </w:pPr>
      <w:r/>
      <w:bookmarkStart w:id="186" w:name="ref-Hadley2011"/>
      <w:r>
        <w:t xml:space="preserve">[42]</w:t>
      </w:r>
      <w:r>
        <w:t xml:space="preserve"> </w:t>
      </w:r>
      <w:r>
        <w:tab/>
      </w:r>
      <w:r>
        <w:t xml:space="preserve">H. Wickham,</w:t>
      </w:r>
      <w:r>
        <w:t xml:space="preserve"> </w:t>
      </w:r>
      <w:r>
        <w:t xml:space="preserve">“Testthat: Get started with testing,”</w:t>
      </w:r>
      <w:r>
        <w:t xml:space="preserve"> </w:t>
      </w:r>
      <w:r>
        <w:rPr>
          <w:i/>
          <w:iCs/>
        </w:rPr>
        <w:t xml:space="preserve">The R Journal</w:t>
      </w:r>
      <w:r>
        <w:t xml:space="preserve">, vol. 3, pp. 5–10, 2011,Available:</w:t>
      </w:r>
      <w:r>
        <w:t xml:space="preserve"> </w:t>
      </w:r>
      <w:hyperlink r:id="rId77" w:tooltip="https://journal.r-project.org/archive/2011-1/RJournal_2011-1_Wickham.pdf" w:history="1">
        <w:r>
          <w:rPr>
            <w:rStyle w:val="690"/>
          </w:rPr>
          <w:t xml:space="preserve">https://journal.r-project.org/archive/2011-1/RJournal_2011-1_Wickham.pdf</w:t>
        </w:r>
      </w:hyperlink>
      <w:r/>
      <w:bookmarkEnd w:id="186"/>
      <w:r/>
    </w:p>
    <w:p>
      <w:pPr>
        <w:pStyle w:val="665"/>
      </w:pPr>
      <w:r/>
      <w:bookmarkStart w:id="188" w:name="ref-Amezquita2020"/>
      <w:r>
        <w:t xml:space="preserve">[43]</w:t>
      </w:r>
      <w:r>
        <w:t xml:space="preserve"> </w:t>
      </w:r>
      <w:r>
        <w:tab/>
      </w:r>
      <w:r>
        <w:t xml:space="preserve">R. A. Amezquita</w:t>
      </w:r>
      <w:r>
        <w:t xml:space="preserve"> </w:t>
      </w:r>
      <w:r>
        <w:rPr>
          <w:i/>
          <w:iCs/>
        </w:rPr>
        <w:t xml:space="preserve">et al.</w:t>
      </w:r>
      <w:r>
        <w:t xml:space="preserve">,</w:t>
      </w:r>
      <w:r>
        <w:t xml:space="preserve"> </w:t>
      </w:r>
      <w:r>
        <w:t xml:space="preserve">“</w:t>
      </w:r>
      <w:r>
        <w:t xml:space="preserve">Orchestrating single-cell analysis with Bioconductor</w:t>
      </w:r>
      <w:r>
        <w:t xml:space="preserve">,”</w:t>
      </w:r>
      <w:r>
        <w:t xml:space="preserve"> </w:t>
      </w:r>
      <w:r>
        <w:rPr>
          <w:i/>
          <w:iCs/>
        </w:rPr>
        <w:t xml:space="preserve">Nature Methods</w:t>
      </w:r>
      <w:r>
        <w:t xml:space="preserve">, vol. 17, no. 2, pp. 137–145, Feb. 2020, doi:</w:t>
      </w:r>
      <w:r>
        <w:t xml:space="preserve"> </w:t>
      </w:r>
      <w:hyperlink r:id="rId78" w:tooltip="https://doi.org/10.1038/s41592-019-0654-x" w:history="1">
        <w:r>
          <w:rPr>
            <w:rStyle w:val="690"/>
          </w:rPr>
          <w:t xml:space="preserve">10.1038/s41592-019-0654-x</w:t>
        </w:r>
      </w:hyperlink>
      <w:r>
        <w:t xml:space="preserve">.</w:t>
      </w:r>
      <w:bookmarkEnd w:id="188"/>
      <w:r/>
    </w:p>
    <w:p>
      <w:pPr>
        <w:pStyle w:val="665"/>
      </w:pPr>
      <w:r/>
      <w:bookmarkStart w:id="189" w:name="ref-DavideCole2021"/>
      <w:r>
        <w:t xml:space="preserve">[44]</w:t>
      </w:r>
      <w:r>
        <w:t xml:space="preserve"> </w:t>
      </w:r>
      <w:r>
        <w:tab/>
      </w:r>
      <w:r>
        <w:t xml:space="preserve">D. Risso and M. Cole,</w:t>
      </w:r>
      <w:r>
        <w:t xml:space="preserve"> </w:t>
      </w:r>
      <w:r>
        <w:rPr>
          <w:i/>
          <w:iCs/>
        </w:rPr>
        <w:t xml:space="preserve">scRNAseq: Collection of public single-cell RNA-seq datasets</w:t>
      </w:r>
      <w:r>
        <w:t xml:space="preserve">. 2021.</w:t>
      </w:r>
      <w:bookmarkEnd w:id="189"/>
      <w:r/>
    </w:p>
    <w:p>
      <w:pPr>
        <w:pStyle w:val="665"/>
      </w:pPr>
      <w:r/>
      <w:bookmarkStart w:id="191" w:name="ref-Bates2021"/>
      <w:r>
        <w:t xml:space="preserve">[45]</w:t>
      </w:r>
      <w:r>
        <w:t xml:space="preserve"> </w:t>
      </w:r>
      <w:r>
        <w:tab/>
      </w:r>
      <w:r>
        <w:t xml:space="preserve">D. Bates and M. Maechler,</w:t>
      </w:r>
      <w:r>
        <w:t xml:space="preserve"> </w:t>
      </w:r>
      <w:r>
        <w:rPr>
          <w:i/>
          <w:iCs/>
        </w:rPr>
        <w:t xml:space="preserve">Matrix: Sparse and dense matrix classes and methods</w:t>
      </w:r>
      <w:r>
        <w:t xml:space="preserve">. 2021.Available:</w:t>
      </w:r>
      <w:r>
        <w:t xml:space="preserve"> </w:t>
      </w:r>
      <w:hyperlink r:id="rId79" w:tooltip="https://CRAN.R-project.org/package=Matrix" w:history="1">
        <w:r>
          <w:rPr>
            <w:rStyle w:val="690"/>
          </w:rPr>
          <w:t xml:space="preserve">https://CRAN.R-project.org/package=Matrix</w:t>
        </w:r>
      </w:hyperlink>
      <w:r/>
      <w:bookmarkEnd w:id="191"/>
      <w:r/>
    </w:p>
    <w:p>
      <w:pPr>
        <w:pStyle w:val="665"/>
      </w:pPr>
      <w:r/>
      <w:bookmarkStart w:id="193" w:name="ref-hdf5"/>
      <w:r>
        <w:t xml:space="preserve">[46]</w:t>
      </w:r>
      <w:r>
        <w:t xml:space="preserve"> </w:t>
      </w:r>
      <w:r>
        <w:tab/>
      </w:r>
      <w:r>
        <w:t xml:space="preserve">The HDF Group,</w:t>
      </w:r>
      <w:r>
        <w:t xml:space="preserve"> </w:t>
      </w:r>
      <w:r>
        <w:t xml:space="preserve">“</w:t>
      </w:r>
      <w:r>
        <w:t xml:space="preserve">Hierarchical data format version 5</w:t>
      </w:r>
      <w:r>
        <w:t xml:space="preserve">,”</w:t>
      </w:r>
      <w:r>
        <w:t xml:space="preserve"> </w:t>
      </w:r>
      <w:r>
        <w:t xml:space="preserve">2000-2010.</w:t>
      </w:r>
      <w:r>
        <w:t xml:space="preserve"> </w:t>
      </w:r>
      <w:hyperlink r:id="rId80" w:tooltip="http://www.hdfgroup.org/HDF5" w:history="1">
        <w:r>
          <w:rPr>
            <w:rStyle w:val="690"/>
          </w:rPr>
          <w:t xml:space="preserve">http://www.hdfgroup.org/HDF5</w:t>
        </w:r>
      </w:hyperlink>
      <w:r/>
      <w:bookmarkEnd w:id="193"/>
      <w:r/>
    </w:p>
    <w:p>
      <w:pPr>
        <w:pStyle w:val="665"/>
        <w:rPr>
          <w:highlight w:val="none"/>
        </w:rPr>
      </w:pPr>
      <w:r/>
      <w:bookmarkStart w:id="195" w:name="ref-PapadopoulosStavros2016"/>
      <w:r>
        <w:t xml:space="preserve">[47]</w:t>
      </w:r>
      <w:r>
        <w:t xml:space="preserve"> </w:t>
      </w:r>
      <w:r>
        <w:tab/>
      </w:r>
      <w:r>
        <w:t xml:space="preserve">PapadopoulosStavros, DattaKushal, MaddenSamuel, and MattsonTimothy,</w:t>
      </w:r>
      <w:r>
        <w:t xml:space="preserve"> </w:t>
      </w:r>
      <w:r>
        <w:t xml:space="preserve">“</w:t>
      </w:r>
      <w:r>
        <w:t xml:space="preserve">The TileDB array data storage manager</w:t>
      </w:r>
      <w:r>
        <w:t xml:space="preserve">,”</w:t>
      </w:r>
      <w:r>
        <w:t xml:space="preserve"> </w:t>
      </w:r>
      <w:r>
        <w:rPr>
          <w:i/>
          <w:iCs/>
        </w:rPr>
        <w:t xml:space="preserve">Proceedings of the VLDB Endowment</w:t>
      </w:r>
      <w:r>
        <w:t xml:space="preserve">, vol. 10, no. 4, pp. 349–360, Nov. 2016, doi:</w:t>
      </w:r>
      <w:r>
        <w:t xml:space="preserve"> </w:t>
      </w:r>
      <w:hyperlink r:id="rId81" w:tooltip="https://doi.org/10.14778/3025111.3025117" w:history="1">
        <w:r>
          <w:rPr>
            <w:rStyle w:val="690"/>
          </w:rPr>
          <w:t xml:space="preserve">10.14778/3025111.3025117</w:t>
        </w:r>
      </w:hyperlink>
      <w:r>
        <w:t xml:space="preserve">.</w:t>
      </w:r>
      <w:bookmarkEnd w:id="195"/>
      <w:bookmarkEnd w:id="196"/>
      <w:bookmarkEnd w:id="197"/>
      <w:r/>
    </w:p>
    <w:p>
      <w:pPr>
        <w:shd w:val="nil"/>
      </w:pPr>
      <w:r>
        <w:br w:type="page"/>
      </w:r>
      <w:r/>
      <w:r>
        <w:rPr>
          <w:highlight w:val="none"/>
        </w:rPr>
      </w:r>
      <w:r>
        <w:rPr>
          <w:highlight w:val="none"/>
        </w:rPr>
      </w:r>
    </w:p>
    <w:p>
      <w:pPr>
        <w:pStyle w:val="666"/>
      </w:pPr>
      <w:r/>
      <w:bookmarkStart w:id="268" w:name="_Toc68"/>
      <w:r/>
      <w:bookmarkStart w:id="200" w:name="appendix"/>
      <w:r>
        <w:t xml:space="preserve">Appendix</w:t>
      </w:r>
      <w:r/>
      <w:bookmarkEnd w:id="268"/>
      <w:r/>
      <w:r/>
    </w:p>
    <w:p>
      <w:pPr>
        <w:pStyle w:val="667"/>
      </w:pPr>
      <w:r/>
      <w:bookmarkStart w:id="269" w:name="_Toc69"/>
      <w:r/>
      <w:bookmarkStart w:id="199" w:name="appendix-a"/>
      <w:r>
        <w:t xml:space="preserve">Appendix A</w:t>
      </w:r>
      <w:r/>
      <w:bookmarkEnd w:id="269"/>
      <w:r/>
      <w:r/>
    </w:p>
    <w:p>
      <w:pPr>
        <w:pStyle w:val="668"/>
      </w:pPr>
      <w:r/>
      <w:bookmarkStart w:id="270" w:name="_Toc70"/>
      <w:r/>
      <w:bookmarkStart w:id="198" w:name="X507a992c2c15f957197d85706cfd2f8289dfdee"/>
      <w:r>
        <w:t xml:space="preserve">R Script to Run Sample Workflow for Performance Comparison</w:t>
      </w:r>
      <w:r/>
      <w:bookmarkEnd w:id="270"/>
      <w:r/>
      <w:r/>
    </w:p>
    <w:p>
      <w:pPr>
        <w:pStyle w:val="658"/>
      </w:pPr>
      <w:r>
        <w:t xml:space="preserve">For</w:t>
      </w:r>
      <w:r>
        <w:t xml:space="preserve"> </w:t>
      </w:r>
      <w:r>
        <w:rPr>
          <w:rStyle w:val="687"/>
        </w:rPr>
        <w:t xml:space="preserve">SingleCellExperiment</w:t>
      </w:r>
      <w:r>
        <w:t xml:space="preserve">:</w:t>
      </w:r>
      <w:r/>
    </w:p>
    <w:p>
      <w:pPr>
        <w:pStyle w:val="692"/>
      </w:pPr>
      <w:r>
        <w:rPr>
          <w:rStyle w:val="705"/>
        </w:rPr>
        <w:t xml:space="preserve">#Load PBMC4K dataset</w:t>
      </w:r>
      <w:r>
        <w:br/>
      </w:r>
      <w:r>
        <w:rPr>
          <w:rStyle w:val="723"/>
        </w:rPr>
        <w:t xml:space="preserve">sce1 </w:t>
      </w:r>
      <w:r>
        <w:rPr>
          <w:rStyle w:val="709"/>
        </w:rPr>
        <w:t xml:space="preserve">&lt;-</w:t>
      </w:r>
      <w:r>
        <w:rPr>
          <w:rStyle w:val="723"/>
        </w:rPr>
        <w:t xml:space="preserve"> </w:t>
      </w:r>
      <w:r>
        <w:rPr>
          <w:rStyle w:val="710"/>
        </w:rPr>
        <w:t xml:space="preserve">TENxPBMCData</w:t>
      </w:r>
      <w:r>
        <w:rPr>
          <w:rStyle w:val="723"/>
        </w:rPr>
        <w:t xml:space="preserve">(</w:t>
      </w:r>
      <w:r>
        <w:rPr>
          <w:rStyle w:val="717"/>
        </w:rPr>
        <w:t xml:space="preserve">dataset =</w:t>
      </w:r>
      <w:r>
        <w:rPr>
          <w:rStyle w:val="723"/>
        </w:rPr>
        <w:t xml:space="preserve"> </w:t>
      </w:r>
      <w:r>
        <w:rPr>
          <w:rStyle w:val="701"/>
        </w:rPr>
        <w:t xml:space="preserve">"pbmc3k"</w:t>
      </w:r>
      <w:r>
        <w:rPr>
          <w:rStyle w:val="723"/>
        </w:rPr>
        <w:t xml:space="preserve">)</w:t>
      </w:r>
      <w:r>
        <w:br/>
      </w:r>
      <w:r>
        <w:br/>
      </w:r>
      <w:r>
        <w:rPr>
          <w:rStyle w:val="705"/>
        </w:rPr>
        <w:t xml:space="preserve">#Compute perCellQCMetrics on counts matrix:</w:t>
      </w:r>
      <w:r>
        <w:br/>
      </w:r>
      <w:r>
        <w:rPr>
          <w:rStyle w:val="723"/>
        </w:rPr>
        <w:t xml:space="preserve">perCellQCMetrics </w:t>
      </w:r>
      <w:r>
        <w:rPr>
          <w:rStyle w:val="709"/>
        </w:rPr>
        <w:t xml:space="preserve">&lt;-</w:t>
      </w:r>
      <w:r>
        <w:rPr>
          <w:rStyle w:val="723"/>
        </w:rPr>
        <w:t xml:space="preserve"> </w:t>
      </w:r>
      <w:r>
        <w:rPr>
          <w:rStyle w:val="710"/>
        </w:rPr>
        <w:t xml:space="preserve">perCellQCMetrics</w:t>
      </w:r>
      <w:r>
        <w:rPr>
          <w:rStyle w:val="723"/>
        </w:rPr>
        <w:t xml:space="preserve">(</w:t>
      </w:r>
      <w:r>
        <w:rPr>
          <w:rStyle w:val="710"/>
        </w:rPr>
        <w:t xml:space="preserve">assay</w:t>
      </w:r>
      <w:r>
        <w:rPr>
          <w:rStyle w:val="723"/>
        </w:rPr>
        <w:t xml:space="preserve">(sce1, </w:t>
      </w:r>
      <w:r>
        <w:rPr>
          <w:rStyle w:val="701"/>
        </w:rPr>
        <w:t xml:space="preserve">"counts"</w:t>
      </w:r>
      <w:r>
        <w:rPr>
          <w:rStyle w:val="723"/>
        </w:rPr>
        <w:t xml:space="preserve">))</w:t>
      </w:r>
      <w:r>
        <w:br/>
      </w:r>
      <w:r>
        <w:rPr>
          <w:rStyle w:val="710"/>
        </w:rPr>
        <w:t xml:space="preserve">colData</w:t>
      </w:r>
      <w:r>
        <w:rPr>
          <w:rStyle w:val="723"/>
        </w:rPr>
        <w:t xml:space="preserve">(sce1) </w:t>
      </w:r>
      <w:r>
        <w:rPr>
          <w:rStyle w:val="709"/>
        </w:rPr>
        <w:t xml:space="preserve">&lt;-</w:t>
      </w:r>
      <w:r>
        <w:rPr>
          <w:rStyle w:val="723"/>
        </w:rPr>
        <w:t xml:space="preserve"> </w:t>
      </w:r>
      <w:r>
        <w:rPr>
          <w:rStyle w:val="710"/>
        </w:rPr>
        <w:t xml:space="preserve">cbind</w:t>
      </w:r>
      <w:r>
        <w:rPr>
          <w:rStyle w:val="723"/>
        </w:rPr>
        <w:t xml:space="preserve">(</w:t>
      </w:r>
      <w:r>
        <w:rPr>
          <w:rStyle w:val="710"/>
        </w:rPr>
        <w:t xml:space="preserve">colData</w:t>
      </w:r>
      <w:r>
        <w:rPr>
          <w:rStyle w:val="723"/>
        </w:rPr>
        <w:t xml:space="preserve">(sce1), perCellQCMetrics)</w:t>
      </w:r>
      <w:r>
        <w:br/>
      </w:r>
      <w:r>
        <w:br/>
      </w:r>
      <w:r>
        <w:rPr>
          <w:rStyle w:val="705"/>
        </w:rPr>
        <w:t xml:space="preserve">#Filter cells with low column sum and create a new object:</w:t>
      </w:r>
      <w:r>
        <w:br/>
      </w:r>
      <w:r>
        <w:rPr>
          <w:rStyle w:val="723"/>
        </w:rPr>
        <w:t xml:space="preserve">sce1 </w:t>
      </w:r>
      <w:r>
        <w:rPr>
          <w:rStyle w:val="709"/>
        </w:rPr>
        <w:t xml:space="preserve">&lt;-</w:t>
      </w:r>
      <w:r>
        <w:rPr>
          <w:rStyle w:val="723"/>
        </w:rPr>
        <w:t xml:space="preserve"> sce1[, </w:t>
      </w:r>
      <w:r>
        <w:rPr>
          <w:rStyle w:val="710"/>
        </w:rPr>
        <w:t xml:space="preserve">order</w:t>
      </w:r>
      <w:r>
        <w:rPr>
          <w:rStyle w:val="723"/>
        </w:rPr>
        <w:t xml:space="preserve">(</w:t>
      </w:r>
      <w:r>
        <w:rPr>
          <w:rStyle w:val="700"/>
        </w:rPr>
        <w:t xml:space="preserve">-</w:t>
      </w:r>
      <w:r>
        <w:rPr>
          <w:rStyle w:val="723"/>
        </w:rPr>
        <w:t xml:space="preserve">sce1</w:t>
      </w:r>
      <w:r>
        <w:rPr>
          <w:rStyle w:val="700"/>
        </w:rPr>
        <w:t xml:space="preserve">@</w:t>
      </w:r>
      <w:r>
        <w:rPr>
          <w:rStyle w:val="723"/>
        </w:rPr>
        <w:t xml:space="preserve">colData</w:t>
      </w:r>
      <w:r>
        <w:rPr>
          <w:rStyle w:val="700"/>
        </w:rPr>
        <w:t xml:space="preserve">$</w:t>
      </w:r>
      <w:r>
        <w:rPr>
          <w:rStyle w:val="723"/>
        </w:rPr>
        <w:t xml:space="preserve">sum)]</w:t>
      </w:r>
      <w:r>
        <w:br/>
      </w:r>
      <w:r>
        <w:rPr>
          <w:rStyle w:val="723"/>
        </w:rPr>
        <w:t xml:space="preserve">sce2 </w:t>
      </w:r>
      <w:r>
        <w:rPr>
          <w:rStyle w:val="709"/>
        </w:rPr>
        <w:t xml:space="preserve">&lt;-</w:t>
      </w:r>
      <w:r>
        <w:rPr>
          <w:rStyle w:val="723"/>
        </w:rPr>
        <w:t xml:space="preserve"> sce1[,</w:t>
      </w:r>
      <w:r>
        <w:rPr>
          <w:rStyle w:val="695"/>
        </w:rPr>
        <w:t xml:space="preserve">1</w:t>
      </w:r>
      <w:r>
        <w:rPr>
          <w:rStyle w:val="700"/>
        </w:rPr>
        <w:t xml:space="preserve">:</w:t>
      </w:r>
      <w:r>
        <w:rPr>
          <w:rStyle w:val="710"/>
        </w:rPr>
        <w:t xml:space="preserve">round</w:t>
      </w:r>
      <w:r>
        <w:rPr>
          <w:rStyle w:val="723"/>
        </w:rPr>
        <w:t xml:space="preserve">(</w:t>
      </w:r>
      <w:r>
        <w:rPr>
          <w:rStyle w:val="710"/>
        </w:rPr>
        <w:t xml:space="preserve">ncol</w:t>
      </w:r>
      <w:r>
        <w:rPr>
          <w:rStyle w:val="723"/>
        </w:rPr>
        <w:t xml:space="preserve">(es) </w:t>
      </w:r>
      <w:r>
        <w:rPr>
          <w:rStyle w:val="700"/>
        </w:rPr>
        <w:t xml:space="preserve">*</w:t>
      </w:r>
      <w:r>
        <w:rPr>
          <w:rStyle w:val="723"/>
        </w:rPr>
        <w:t xml:space="preserve"> </w:t>
      </w:r>
      <w:r>
        <w:rPr>
          <w:rStyle w:val="697"/>
        </w:rPr>
        <w:t xml:space="preserve">0.40</w:t>
      </w:r>
      <w:r>
        <w:rPr>
          <w:rStyle w:val="723"/>
        </w:rPr>
        <w:t xml:space="preserve">)]</w:t>
      </w:r>
      <w:r>
        <w:br/>
      </w:r>
      <w:r>
        <w:br/>
      </w:r>
      <w:r>
        <w:rPr>
          <w:rStyle w:val="705"/>
        </w:rPr>
        <w:t xml:space="preserve">#Normalize sce2 using scater library and store it back:</w:t>
      </w:r>
      <w:r>
        <w:br/>
      </w:r>
      <w:r>
        <w:rPr>
          <w:rStyle w:val="710"/>
        </w:rPr>
        <w:t xml:space="preserve">assay</w:t>
      </w:r>
      <w:r>
        <w:rPr>
          <w:rStyle w:val="723"/>
        </w:rPr>
        <w:t xml:space="preserve">(sce2, </w:t>
      </w:r>
      <w:r>
        <w:rPr>
          <w:rStyle w:val="701"/>
        </w:rPr>
        <w:t xml:space="preserve">"filteredCellsNormalized"</w:t>
      </w:r>
      <w:r>
        <w:rPr>
          <w:rStyle w:val="723"/>
        </w:rPr>
        <w:t xml:space="preserve">) </w:t>
      </w:r>
      <w:r>
        <w:rPr>
          <w:rStyle w:val="709"/>
        </w:rPr>
        <w:t xml:space="preserve">&lt;-</w:t>
      </w:r>
      <w:r>
        <w:rPr>
          <w:rStyle w:val="723"/>
        </w:rPr>
        <w:t xml:space="preserve"> </w:t>
      </w:r>
      <w:r>
        <w:rPr>
          <w:rStyle w:val="710"/>
        </w:rPr>
        <w:t xml:space="preserve">normalizeCounts</w:t>
      </w:r>
      <w:r>
        <w:rPr>
          <w:rStyle w:val="723"/>
        </w:rPr>
        <w:t xml:space="preserve">(</w:t>
      </w:r>
      <w:r>
        <w:rPr>
          <w:rStyle w:val="710"/>
        </w:rPr>
        <w:t xml:space="preserve">assay</w:t>
      </w:r>
      <w:r>
        <w:rPr>
          <w:rStyle w:val="723"/>
        </w:rPr>
        <w:t xml:space="preserve">(sce2, </w:t>
      </w:r>
      <w:r>
        <w:rPr>
          <w:rStyle w:val="701"/>
        </w:rPr>
        <w:t xml:space="preserve">"counts"</w:t>
      </w:r>
      <w:r>
        <w:rPr>
          <w:rStyle w:val="723"/>
        </w:rPr>
        <w:t xml:space="preserve">))</w:t>
      </w:r>
      <w:r>
        <w:br/>
      </w:r>
      <w:r>
        <w:br/>
      </w:r>
      <w:r>
        <w:rPr>
          <w:rStyle w:val="705"/>
        </w:rPr>
        <w:t xml:space="preserve">#Find highly variable genes from the normalized assay in the previous step using scran library and make a new object:</w:t>
      </w:r>
      <w:r>
        <w:br/>
      </w:r>
      <w:r>
        <w:rPr>
          <w:rStyle w:val="723"/>
        </w:rPr>
        <w:t xml:space="preserve">topHVG1000 </w:t>
      </w:r>
      <w:r>
        <w:rPr>
          <w:rStyle w:val="709"/>
        </w:rPr>
        <w:t xml:space="preserve">&lt;-</w:t>
      </w:r>
      <w:r>
        <w:rPr>
          <w:rStyle w:val="723"/>
        </w:rPr>
        <w:t xml:space="preserve"> </w:t>
      </w:r>
      <w:r>
        <w:rPr>
          <w:rStyle w:val="710"/>
        </w:rPr>
        <w:t xml:space="preserve">getTopHVGs</w:t>
      </w:r>
      <w:r>
        <w:rPr>
          <w:rStyle w:val="723"/>
        </w:rPr>
        <w:t xml:space="preserve">(</w:t>
      </w:r>
      <w:r>
        <w:rPr>
          <w:rStyle w:val="710"/>
        </w:rPr>
        <w:t xml:space="preserve">modelGeneVar</w:t>
      </w:r>
      <w:r>
        <w:rPr>
          <w:rStyle w:val="723"/>
        </w:rPr>
        <w:t xml:space="preserve">(</w:t>
      </w:r>
      <w:r>
        <w:rPr>
          <w:rStyle w:val="710"/>
        </w:rPr>
        <w:t xml:space="preserve">assay</w:t>
      </w:r>
      <w:r>
        <w:rPr>
          <w:rStyle w:val="723"/>
        </w:rPr>
        <w:t xml:space="preserve">(sce2, </w:t>
      </w:r>
      <w:r>
        <w:rPr>
          <w:rStyle w:val="701"/>
        </w:rPr>
        <w:t xml:space="preserve">"filteredCellsNormalized"</w:t>
      </w:r>
      <w:r>
        <w:rPr>
          <w:rStyle w:val="723"/>
        </w:rPr>
        <w:t xml:space="preserve">)), </w:t>
      </w:r>
      <w:r>
        <w:rPr>
          <w:rStyle w:val="717"/>
        </w:rPr>
        <w:t xml:space="preserve">n =</w:t>
      </w:r>
      <w:r>
        <w:rPr>
          <w:rStyle w:val="723"/>
        </w:rPr>
        <w:t xml:space="preserve"> </w:t>
      </w:r>
      <w:r>
        <w:rPr>
          <w:rStyle w:val="695"/>
        </w:rPr>
        <w:t xml:space="preserve">1000</w:t>
      </w:r>
      <w:r>
        <w:rPr>
          <w:rStyle w:val="723"/>
        </w:rPr>
        <w:t xml:space="preserve">)</w:t>
      </w:r>
      <w:r>
        <w:br/>
      </w:r>
      <w:r>
        <w:rPr>
          <w:rStyle w:val="723"/>
        </w:rPr>
        <w:t xml:space="preserve">sce3 </w:t>
      </w:r>
      <w:r>
        <w:rPr>
          <w:rStyle w:val="709"/>
        </w:rPr>
        <w:t xml:space="preserve">&lt;-</w:t>
      </w:r>
      <w:r>
        <w:rPr>
          <w:rStyle w:val="723"/>
        </w:rPr>
        <w:t xml:space="preserve"> sce2[topHVG1000,]</w:t>
      </w:r>
      <w:r>
        <w:br/>
      </w:r>
      <w:r>
        <w:br/>
      </w:r>
      <w:r>
        <w:rPr>
          <w:rStyle w:val="705"/>
        </w:rPr>
        <w:t xml:space="preserve">#Run ‘PCA’ on the highly variable genes computed in the last step using scater library:</w:t>
      </w:r>
      <w:r>
        <w:br/>
      </w:r>
      <w:r>
        <w:rPr>
          <w:rStyle w:val="710"/>
        </w:rPr>
        <w:t xml:space="preserve">reducedDim</w:t>
      </w:r>
      <w:r>
        <w:rPr>
          <w:rStyle w:val="723"/>
        </w:rPr>
        <w:t xml:space="preserve">(sce3, </w:t>
      </w:r>
      <w:r>
        <w:rPr>
          <w:rStyle w:val="717"/>
        </w:rPr>
        <w:t xml:space="preserve">type =</w:t>
      </w:r>
      <w:r>
        <w:rPr>
          <w:rStyle w:val="723"/>
        </w:rPr>
        <w:t xml:space="preserve"> </w:t>
      </w:r>
      <w:r>
        <w:rPr>
          <w:rStyle w:val="701"/>
        </w:rPr>
        <w:t xml:space="preserve">"PCA"</w:t>
      </w:r>
      <w:r>
        <w:rPr>
          <w:rStyle w:val="723"/>
        </w:rPr>
        <w:t xml:space="preserve">) </w:t>
      </w:r>
      <w:r>
        <w:rPr>
          <w:rStyle w:val="709"/>
        </w:rPr>
        <w:t xml:space="preserve">&lt;-</w:t>
      </w:r>
      <w:r>
        <w:rPr>
          <w:rStyle w:val="723"/>
        </w:rPr>
        <w:t xml:space="preserve"> </w:t>
      </w:r>
      <w:r>
        <w:rPr>
          <w:rStyle w:val="710"/>
        </w:rPr>
        <w:t xml:space="preserve">calculatePCA</w:t>
      </w:r>
      <w:r>
        <w:rPr>
          <w:rStyle w:val="723"/>
        </w:rPr>
        <w:t xml:space="preserve">(</w:t>
      </w:r>
      <w:r>
        <w:rPr>
          <w:rStyle w:val="710"/>
        </w:rPr>
        <w:t xml:space="preserve">assay</w:t>
      </w:r>
      <w:r>
        <w:rPr>
          <w:rStyle w:val="723"/>
        </w:rPr>
        <w:t xml:space="preserve">(sce3, </w:t>
      </w:r>
      <w:r>
        <w:rPr>
          <w:rStyle w:val="701"/>
        </w:rPr>
        <w:t xml:space="preserve">"filteredCellsNormalized"</w:t>
      </w:r>
      <w:r>
        <w:rPr>
          <w:rStyle w:val="723"/>
        </w:rPr>
        <w:t xml:space="preserve">))</w:t>
      </w:r>
      <w:r>
        <w:br/>
      </w:r>
      <w:r>
        <w:br/>
      </w:r>
      <w:r>
        <w:rPr>
          <w:rStyle w:val="705"/>
        </w:rPr>
        <w:t xml:space="preserve">#Find clusters from reducedDims of highly variable genes and store the results back into colData</w:t>
      </w:r>
      <w:r>
        <w:br/>
      </w:r>
      <w:r>
        <w:rPr>
          <w:rStyle w:val="723"/>
        </w:rPr>
        <w:t xml:space="preserve">clusterPC </w:t>
      </w:r>
      <w:r>
        <w:rPr>
          <w:rStyle w:val="709"/>
        </w:rPr>
        <w:t xml:space="preserve">=</w:t>
      </w:r>
      <w:r>
        <w:rPr>
          <w:rStyle w:val="723"/>
        </w:rPr>
        <w:t xml:space="preserve"> </w:t>
      </w:r>
      <w:r>
        <w:rPr>
          <w:rStyle w:val="710"/>
        </w:rPr>
        <w:t xml:space="preserve">kmeans</w:t>
      </w:r>
      <w:r>
        <w:rPr>
          <w:rStyle w:val="723"/>
        </w:rPr>
        <w:t xml:space="preserve">(</w:t>
      </w:r>
      <w:r>
        <w:rPr>
          <w:rStyle w:val="710"/>
        </w:rPr>
        <w:t xml:space="preserve">reducedDim</w:t>
      </w:r>
      <w:r>
        <w:rPr>
          <w:rStyle w:val="723"/>
        </w:rPr>
        <w:t xml:space="preserve">(sce3, </w:t>
      </w:r>
      <w:r>
        <w:rPr>
          <w:rStyle w:val="701"/>
        </w:rPr>
        <w:t xml:space="preserve">"PCA"</w:t>
      </w:r>
      <w:r>
        <w:rPr>
          <w:rStyle w:val="723"/>
        </w:rPr>
        <w:t xml:space="preserve">), </w:t>
      </w:r>
      <w:r>
        <w:rPr>
          <w:rStyle w:val="695"/>
        </w:rPr>
        <w:t xml:space="preserve">5</w:t>
      </w:r>
      <w:r>
        <w:rPr>
          <w:rStyle w:val="723"/>
        </w:rPr>
        <w:t xml:space="preserve">)</w:t>
      </w:r>
      <w:r>
        <w:rPr>
          <w:rStyle w:val="700"/>
        </w:rPr>
        <w:t xml:space="preserve">$</w:t>
      </w:r>
      <w:r>
        <w:rPr>
          <w:rStyle w:val="723"/>
        </w:rPr>
        <w:t xml:space="preserve">cluster</w:t>
      </w:r>
      <w:r>
        <w:br/>
      </w:r>
      <w:r>
        <w:rPr>
          <w:rStyle w:val="710"/>
        </w:rPr>
        <w:t xml:space="preserve">colData</w:t>
      </w:r>
      <w:r>
        <w:rPr>
          <w:rStyle w:val="723"/>
        </w:rPr>
        <w:t xml:space="preserve">(sce3) </w:t>
      </w:r>
      <w:r>
        <w:rPr>
          <w:rStyle w:val="709"/>
        </w:rPr>
        <w:t xml:space="preserve">&lt;-</w:t>
      </w:r>
      <w:r>
        <w:rPr>
          <w:rStyle w:val="723"/>
        </w:rPr>
        <w:t xml:space="preserve"> </w:t>
      </w:r>
      <w:r>
        <w:rPr>
          <w:rStyle w:val="710"/>
        </w:rPr>
        <w:t xml:space="preserve">cbind</w:t>
      </w:r>
      <w:r>
        <w:rPr>
          <w:rStyle w:val="723"/>
        </w:rPr>
        <w:t xml:space="preserve">(</w:t>
      </w:r>
      <w:r>
        <w:rPr>
          <w:rStyle w:val="710"/>
        </w:rPr>
        <w:t xml:space="preserve">colData</w:t>
      </w:r>
      <w:r>
        <w:rPr>
          <w:rStyle w:val="723"/>
        </w:rPr>
        <w:t xml:space="preserve">(sce3), clusterPC)</w:t>
      </w:r>
      <w:r/>
    </w:p>
    <w:p>
      <w:pPr>
        <w:pStyle w:val="658"/>
      </w:pPr>
      <w:r>
        <w:t xml:space="preserve">For</w:t>
      </w:r>
      <w:r>
        <w:t xml:space="preserve"> </w:t>
      </w:r>
      <w:r>
        <w:rPr>
          <w:rStyle w:val="687"/>
        </w:rPr>
        <w:t xml:space="preserve">ExperimentSubset</w:t>
      </w:r>
      <w:r>
        <w:t xml:space="preserve">:</w:t>
      </w:r>
      <w:r/>
    </w:p>
    <w:p>
      <w:pPr>
        <w:pStyle w:val="692"/>
      </w:pPr>
      <w:r>
        <w:rPr>
          <w:rStyle w:val="706"/>
        </w:rPr>
        <w:t xml:space="preserve">#################################</w:t>
      </w:r>
      <w:r>
        <w:br/>
      </w:r>
      <w:r>
        <w:rPr>
          <w:rStyle w:val="705"/>
        </w:rPr>
        <w:t xml:space="preserve">#     Use ExperimentSubset      #</w:t>
      </w:r>
      <w:r>
        <w:br/>
      </w:r>
      <w:r>
        <w:rPr>
          <w:rStyle w:val="706"/>
        </w:rPr>
        <w:t xml:space="preserve">#################################</w:t>
      </w:r>
      <w:r>
        <w:br/>
      </w:r>
      <w:r>
        <w:br/>
      </w:r>
      <w:r>
        <w:rPr>
          <w:rStyle w:val="705"/>
        </w:rPr>
        <w:t xml:space="preserve">#Load PBMC4K dataset and create ExperimentSubset object:</w:t>
      </w:r>
      <w:r>
        <w:br/>
      </w:r>
      <w:r>
        <w:rPr>
          <w:rStyle w:val="723"/>
        </w:rPr>
        <w:t xml:space="preserve">sce </w:t>
      </w:r>
      <w:r>
        <w:rPr>
          <w:rStyle w:val="709"/>
        </w:rPr>
        <w:t xml:space="preserve">&lt;-</w:t>
      </w:r>
      <w:r>
        <w:rPr>
          <w:rStyle w:val="723"/>
        </w:rPr>
        <w:t xml:space="preserve"> </w:t>
      </w:r>
      <w:r>
        <w:rPr>
          <w:rStyle w:val="710"/>
        </w:rPr>
        <w:t xml:space="preserve">TENxPBMCData</w:t>
      </w:r>
      <w:r>
        <w:rPr>
          <w:rStyle w:val="723"/>
        </w:rPr>
        <w:t xml:space="preserve">(</w:t>
      </w:r>
      <w:r>
        <w:rPr>
          <w:rStyle w:val="717"/>
        </w:rPr>
        <w:t xml:space="preserve">dataset =</w:t>
      </w:r>
      <w:r>
        <w:rPr>
          <w:rStyle w:val="723"/>
        </w:rPr>
        <w:t xml:space="preserve"> </w:t>
      </w:r>
      <w:r>
        <w:rPr>
          <w:rStyle w:val="701"/>
        </w:rPr>
        <w:t xml:space="preserve">"pbmc3k"</w:t>
      </w:r>
      <w:r>
        <w:rPr>
          <w:rStyle w:val="723"/>
        </w:rPr>
        <w:t xml:space="preserve">)</w:t>
      </w:r>
      <w:r>
        <w:br/>
      </w:r>
      <w:r>
        <w:rPr>
          <w:rStyle w:val="723"/>
        </w:rPr>
        <w:t xml:space="preserve">es </w:t>
      </w:r>
      <w:r>
        <w:rPr>
          <w:rStyle w:val="709"/>
        </w:rPr>
        <w:t xml:space="preserve">&lt;-</w:t>
      </w:r>
      <w:r>
        <w:rPr>
          <w:rStyle w:val="723"/>
        </w:rPr>
        <w:t xml:space="preserve"> </w:t>
      </w:r>
      <w:r>
        <w:rPr>
          <w:rStyle w:val="710"/>
        </w:rPr>
        <w:t xml:space="preserve">ExperimentSubset</w:t>
      </w:r>
      <w:r>
        <w:rPr>
          <w:rStyle w:val="723"/>
        </w:rPr>
        <w:t xml:space="preserve">(sce)</w:t>
      </w:r>
      <w:r>
        <w:br/>
      </w:r>
      <w:r>
        <w:br/>
      </w:r>
      <w:r>
        <w:rPr>
          <w:rStyle w:val="705"/>
        </w:rPr>
        <w:t xml:space="preserve">#Compute perCellQCMetrics on counts matrix:</w:t>
      </w:r>
      <w:r>
        <w:br/>
      </w:r>
      <w:r>
        <w:rPr>
          <w:rStyle w:val="723"/>
        </w:rPr>
        <w:t xml:space="preserve">perCellQCMetrics </w:t>
      </w:r>
      <w:r>
        <w:rPr>
          <w:rStyle w:val="709"/>
        </w:rPr>
        <w:t xml:space="preserve">&lt;-</w:t>
      </w:r>
      <w:r>
        <w:rPr>
          <w:rStyle w:val="723"/>
        </w:rPr>
        <w:t xml:space="preserve"> </w:t>
      </w:r>
      <w:r>
        <w:rPr>
          <w:rStyle w:val="710"/>
        </w:rPr>
        <w:t xml:space="preserve">perCellQCMetrics</w:t>
      </w:r>
      <w:r>
        <w:rPr>
          <w:rStyle w:val="723"/>
        </w:rPr>
        <w:t xml:space="preserve">(</w:t>
      </w:r>
      <w:r>
        <w:rPr>
          <w:rStyle w:val="710"/>
        </w:rPr>
        <w:t xml:space="preserve">assay</w:t>
      </w:r>
      <w:r>
        <w:rPr>
          <w:rStyle w:val="723"/>
        </w:rPr>
        <w:t xml:space="preserve">(es, </w:t>
      </w:r>
      <w:r>
        <w:rPr>
          <w:rStyle w:val="701"/>
        </w:rPr>
        <w:t xml:space="preserve">"counts"</w:t>
      </w:r>
      <w:r>
        <w:rPr>
          <w:rStyle w:val="723"/>
        </w:rPr>
        <w:t xml:space="preserve">))</w:t>
      </w:r>
      <w:r>
        <w:br/>
      </w:r>
      <w:r>
        <w:rPr>
          <w:rStyle w:val="710"/>
        </w:rPr>
        <w:t xml:space="preserve">colData</w:t>
      </w:r>
      <w:r>
        <w:rPr>
          <w:rStyle w:val="723"/>
        </w:rPr>
        <w:t xml:space="preserve">(es) </w:t>
      </w:r>
      <w:r>
        <w:rPr>
          <w:rStyle w:val="709"/>
        </w:rPr>
        <w:t xml:space="preserve">&lt;-</w:t>
      </w:r>
      <w:r>
        <w:rPr>
          <w:rStyle w:val="723"/>
        </w:rPr>
        <w:t xml:space="preserve"> </w:t>
      </w:r>
      <w:r>
        <w:rPr>
          <w:rStyle w:val="710"/>
        </w:rPr>
        <w:t xml:space="preserve">cbind</w:t>
      </w:r>
      <w:r>
        <w:rPr>
          <w:rStyle w:val="723"/>
        </w:rPr>
        <w:t xml:space="preserve">(</w:t>
      </w:r>
      <w:r>
        <w:rPr>
          <w:rStyle w:val="710"/>
        </w:rPr>
        <w:t xml:space="preserve">colData</w:t>
      </w:r>
      <w:r>
        <w:rPr>
          <w:rStyle w:val="723"/>
        </w:rPr>
        <w:t xml:space="preserve">(es), perCellQCMetrics)</w:t>
      </w:r>
      <w:r>
        <w:br/>
      </w:r>
      <w:r>
        <w:br/>
      </w:r>
      <w:r>
        <w:rPr>
          <w:rStyle w:val="705"/>
        </w:rPr>
        <w:t xml:space="preserve">#Filter cells with low column sum and create a new subset called ‘filteredCells’:</w:t>
      </w:r>
      <w:r>
        <w:br/>
      </w:r>
      <w:r>
        <w:rPr>
          <w:rStyle w:val="723"/>
        </w:rPr>
        <w:t xml:space="preserve">es </w:t>
      </w:r>
      <w:r>
        <w:rPr>
          <w:rStyle w:val="709"/>
        </w:rPr>
        <w:t xml:space="preserve">&lt;-</w:t>
      </w:r>
      <w:r>
        <w:rPr>
          <w:rStyle w:val="723"/>
        </w:rPr>
        <w:t xml:space="preserve"> es[, </w:t>
      </w:r>
      <w:r>
        <w:rPr>
          <w:rStyle w:val="710"/>
        </w:rPr>
        <w:t xml:space="preserve">order</w:t>
      </w:r>
      <w:r>
        <w:rPr>
          <w:rStyle w:val="723"/>
        </w:rPr>
        <w:t xml:space="preserve">(</w:t>
      </w:r>
      <w:r>
        <w:rPr>
          <w:rStyle w:val="700"/>
        </w:rPr>
        <w:t xml:space="preserve">-</w:t>
      </w:r>
      <w:r>
        <w:rPr>
          <w:rStyle w:val="723"/>
        </w:rPr>
        <w:t xml:space="preserve">es</w:t>
      </w:r>
      <w:r>
        <w:rPr>
          <w:rStyle w:val="700"/>
        </w:rPr>
        <w:t xml:space="preserve">@</w:t>
      </w:r>
      <w:r>
        <w:rPr>
          <w:rStyle w:val="723"/>
        </w:rPr>
        <w:t xml:space="preserve">colData</w:t>
      </w:r>
      <w:r>
        <w:rPr>
          <w:rStyle w:val="700"/>
        </w:rPr>
        <w:t xml:space="preserve">$</w:t>
      </w:r>
      <w:r>
        <w:rPr>
          <w:rStyle w:val="723"/>
        </w:rPr>
        <w:t xml:space="preserve">sum)]</w:t>
      </w:r>
      <w:r>
        <w:br/>
      </w:r>
      <w:r>
        <w:rPr>
          <w:rStyle w:val="723"/>
        </w:rPr>
        <w:t xml:space="preserve">es </w:t>
      </w:r>
      <w:r>
        <w:rPr>
          <w:rStyle w:val="709"/>
        </w:rPr>
        <w:t xml:space="preserve">&lt;-</w:t>
      </w:r>
      <w:r>
        <w:rPr>
          <w:rStyle w:val="723"/>
        </w:rPr>
        <w:t xml:space="preserve"> </w:t>
      </w:r>
      <w:r>
        <w:rPr>
          <w:rStyle w:val="710"/>
        </w:rPr>
        <w:t xml:space="preserve">createSubset</w:t>
      </w:r>
      <w:r>
        <w:rPr>
          <w:rStyle w:val="723"/>
        </w:rPr>
        <w:t xml:space="preserve">(es, </w:t>
      </w:r>
      <w:r>
        <w:rPr>
          <w:rStyle w:val="701"/>
        </w:rPr>
        <w:t xml:space="preserve">"filteredCells"</w:t>
      </w:r>
      <w:r>
        <w:rPr>
          <w:rStyle w:val="723"/>
        </w:rPr>
        <w:t xml:space="preserve">, </w:t>
      </w:r>
      <w:r>
        <w:rPr>
          <w:rStyle w:val="717"/>
        </w:rPr>
        <w:t xml:space="preserve">cols =</w:t>
      </w:r>
      <w:r>
        <w:rPr>
          <w:rStyle w:val="723"/>
        </w:rPr>
        <w:t xml:space="preserve"> </w:t>
      </w:r>
      <w:r>
        <w:rPr>
          <w:rStyle w:val="695"/>
        </w:rPr>
        <w:t xml:space="preserve">1</w:t>
      </w:r>
      <w:r>
        <w:rPr>
          <w:rStyle w:val="700"/>
        </w:rPr>
        <w:t xml:space="preserve">:</w:t>
      </w:r>
      <w:r>
        <w:rPr>
          <w:rStyle w:val="710"/>
        </w:rPr>
        <w:t xml:space="preserve">round</w:t>
      </w:r>
      <w:r>
        <w:rPr>
          <w:rStyle w:val="723"/>
        </w:rPr>
        <w:t xml:space="preserve">(</w:t>
      </w:r>
      <w:r>
        <w:rPr>
          <w:rStyle w:val="710"/>
        </w:rPr>
        <w:t xml:space="preserve">ncol</w:t>
      </w:r>
      <w:r>
        <w:rPr>
          <w:rStyle w:val="723"/>
        </w:rPr>
        <w:t xml:space="preserve">(es) </w:t>
      </w:r>
      <w:r>
        <w:rPr>
          <w:rStyle w:val="700"/>
        </w:rPr>
        <w:t xml:space="preserve">*</w:t>
      </w:r>
      <w:r>
        <w:rPr>
          <w:rStyle w:val="723"/>
        </w:rPr>
        <w:t xml:space="preserve"> </w:t>
      </w:r>
      <w:r>
        <w:rPr>
          <w:rStyle w:val="697"/>
        </w:rPr>
        <w:t xml:space="preserve">0.40</w:t>
      </w:r>
      <w:r>
        <w:rPr>
          <w:rStyle w:val="723"/>
        </w:rPr>
        <w:t xml:space="preserve">), </w:t>
      </w:r>
      <w:r>
        <w:rPr>
          <w:rStyle w:val="717"/>
        </w:rPr>
        <w:t xml:space="preserve">parentAssay =</w:t>
      </w:r>
      <w:r>
        <w:rPr>
          <w:rStyle w:val="723"/>
        </w:rPr>
        <w:t xml:space="preserve"> </w:t>
      </w:r>
      <w:r>
        <w:rPr>
          <w:rStyle w:val="701"/>
        </w:rPr>
        <w:t xml:space="preserve">"counts"</w:t>
      </w:r>
      <w:r>
        <w:rPr>
          <w:rStyle w:val="723"/>
        </w:rPr>
        <w:t xml:space="preserve">)</w:t>
      </w:r>
      <w:r>
        <w:br/>
      </w:r>
      <w:r>
        <w:br/>
      </w:r>
      <w:r>
        <w:rPr>
          <w:rStyle w:val="705"/>
        </w:rPr>
        <w:t xml:space="preserve">#Normalize ‘filteredCells’ subset using scater library and store it back:</w:t>
      </w:r>
      <w:r>
        <w:br/>
      </w:r>
      <w:r>
        <w:rPr>
          <w:rStyle w:val="723"/>
        </w:rPr>
        <w:t xml:space="preserve">es </w:t>
      </w:r>
      <w:r>
        <w:rPr>
          <w:rStyle w:val="709"/>
        </w:rPr>
        <w:t xml:space="preserve">&lt;-</w:t>
      </w:r>
      <w:r>
        <w:rPr>
          <w:rStyle w:val="723"/>
        </w:rPr>
        <w:t xml:space="preserve"> ExperimentSubset</w:t>
      </w:r>
      <w:r>
        <w:rPr>
          <w:rStyle w:val="700"/>
        </w:rPr>
        <w:t xml:space="preserve">::</w:t>
      </w:r>
      <w:r>
        <w:rPr>
          <w:rStyle w:val="710"/>
        </w:rPr>
        <w:t xml:space="preserve">setSubsetAssay</w:t>
      </w:r>
      <w:r>
        <w:rPr>
          <w:rStyle w:val="723"/>
        </w:rPr>
        <w:t xml:space="preserve">(es, </w:t>
      </w:r>
      <w:r>
        <w:rPr>
          <w:rStyle w:val="701"/>
        </w:rPr>
        <w:t xml:space="preserve">"filteredCells"</w:t>
      </w:r>
      <w:r>
        <w:rPr>
          <w:rStyle w:val="723"/>
        </w:rPr>
        <w:t xml:space="preserve">, </w:t>
      </w:r>
      <w:r>
        <w:rPr>
          <w:rStyle w:val="710"/>
        </w:rPr>
        <w:t xml:space="preserve">normalizeCounts</w:t>
      </w:r>
      <w:r>
        <w:rPr>
          <w:rStyle w:val="723"/>
        </w:rPr>
        <w:t xml:space="preserve">(</w:t>
      </w:r>
      <w:r>
        <w:rPr>
          <w:rStyle w:val="710"/>
        </w:rPr>
        <w:t xml:space="preserve">assay</w:t>
      </w:r>
      <w:r>
        <w:rPr>
          <w:rStyle w:val="723"/>
        </w:rPr>
        <w:t xml:space="preserve">(es, </w:t>
      </w:r>
      <w:r>
        <w:rPr>
          <w:rStyle w:val="701"/>
        </w:rPr>
        <w:t xml:space="preserve">"filteredCells"</w:t>
      </w:r>
      <w:r>
        <w:rPr>
          <w:rStyle w:val="723"/>
        </w:rPr>
        <w:t xml:space="preserve">)), </w:t>
      </w:r>
      <w:r>
        <w:rPr>
          <w:rStyle w:val="717"/>
        </w:rPr>
        <w:t xml:space="preserve">subsetAssayName =</w:t>
      </w:r>
      <w:r>
        <w:rPr>
          <w:rStyle w:val="723"/>
        </w:rPr>
        <w:t xml:space="preserve"> </w:t>
      </w:r>
      <w:r>
        <w:rPr>
          <w:rStyle w:val="701"/>
        </w:rPr>
        <w:t xml:space="preserve">"filteredCellsNormalized"</w:t>
      </w:r>
      <w:r>
        <w:rPr>
          <w:rStyle w:val="723"/>
        </w:rPr>
        <w:t xml:space="preserve">)</w:t>
      </w:r>
      <w:r>
        <w:br/>
      </w:r>
      <w:r>
        <w:br/>
      </w:r>
      <w:r>
        <w:rPr>
          <w:rStyle w:val="705"/>
        </w:rPr>
        <w:t xml:space="preserve">#Find highly variable genes from the normalized assay in the previous step using scran library against the ‘filteredCells’ subset only:</w:t>
      </w:r>
      <w:r>
        <w:br/>
      </w:r>
      <w:r>
        <w:rPr>
          <w:rStyle w:val="723"/>
        </w:rPr>
        <w:t xml:space="preserve">topHVG1000 </w:t>
      </w:r>
      <w:r>
        <w:rPr>
          <w:rStyle w:val="709"/>
        </w:rPr>
        <w:t xml:space="preserve">&lt;-</w:t>
      </w:r>
      <w:r>
        <w:rPr>
          <w:rStyle w:val="723"/>
        </w:rPr>
        <w:t xml:space="preserve"> </w:t>
      </w:r>
      <w:r>
        <w:rPr>
          <w:rStyle w:val="710"/>
        </w:rPr>
        <w:t xml:space="preserve">getTopHVGs</w:t>
      </w:r>
      <w:r>
        <w:rPr>
          <w:rStyle w:val="723"/>
        </w:rPr>
        <w:t xml:space="preserve">(</w:t>
      </w:r>
      <w:r>
        <w:rPr>
          <w:rStyle w:val="710"/>
        </w:rPr>
        <w:t xml:space="preserve">modelGeneVar</w:t>
      </w:r>
      <w:r>
        <w:rPr>
          <w:rStyle w:val="723"/>
        </w:rPr>
        <w:t xml:space="preserve">(</w:t>
      </w:r>
      <w:r>
        <w:rPr>
          <w:rStyle w:val="710"/>
        </w:rPr>
        <w:t xml:space="preserve">assay</w:t>
      </w:r>
      <w:r>
        <w:rPr>
          <w:rStyle w:val="723"/>
        </w:rPr>
        <w:t xml:space="preserve">(es, </w:t>
      </w:r>
      <w:r>
        <w:rPr>
          <w:rStyle w:val="701"/>
        </w:rPr>
        <w:t xml:space="preserve">"filteredCellsNormalized"</w:t>
      </w:r>
      <w:r>
        <w:rPr>
          <w:rStyle w:val="723"/>
        </w:rPr>
        <w:t xml:space="preserve">)), </w:t>
      </w:r>
      <w:r>
        <w:rPr>
          <w:rStyle w:val="717"/>
        </w:rPr>
        <w:t xml:space="preserve">n =</w:t>
      </w:r>
      <w:r>
        <w:rPr>
          <w:rStyle w:val="723"/>
        </w:rPr>
        <w:t xml:space="preserve"> </w:t>
      </w:r>
      <w:r>
        <w:rPr>
          <w:rStyle w:val="695"/>
        </w:rPr>
        <w:t xml:space="preserve">1000</w:t>
      </w:r>
      <w:r>
        <w:rPr>
          <w:rStyle w:val="723"/>
        </w:rPr>
        <w:t xml:space="preserve">)</w:t>
      </w:r>
      <w:r>
        <w:br/>
      </w:r>
      <w:r>
        <w:rPr>
          <w:rStyle w:val="723"/>
        </w:rPr>
        <w:t xml:space="preserve">es </w:t>
      </w:r>
      <w:r>
        <w:rPr>
          <w:rStyle w:val="709"/>
        </w:rPr>
        <w:t xml:space="preserve">&lt;-</w:t>
      </w:r>
      <w:r>
        <w:rPr>
          <w:rStyle w:val="723"/>
        </w:rPr>
        <w:t xml:space="preserve"> </w:t>
      </w:r>
      <w:r>
        <w:rPr>
          <w:rStyle w:val="710"/>
        </w:rPr>
        <w:t xml:space="preserve">createSubset</w:t>
      </w:r>
      <w:r>
        <w:rPr>
          <w:rStyle w:val="723"/>
        </w:rPr>
        <w:t xml:space="preserve">(es, </w:t>
      </w:r>
      <w:r>
        <w:rPr>
          <w:rStyle w:val="701"/>
        </w:rPr>
        <w:t xml:space="preserve">"hvg1000"</w:t>
      </w:r>
      <w:r>
        <w:rPr>
          <w:rStyle w:val="723"/>
        </w:rPr>
        <w:t xml:space="preserve">, </w:t>
      </w:r>
      <w:r>
        <w:rPr>
          <w:rStyle w:val="717"/>
        </w:rPr>
        <w:t xml:space="preserve">rows =</w:t>
      </w:r>
      <w:r>
        <w:rPr>
          <w:rStyle w:val="723"/>
        </w:rPr>
        <w:t xml:space="preserve"> topHVG1000, </w:t>
      </w:r>
      <w:r>
        <w:rPr>
          <w:rStyle w:val="717"/>
        </w:rPr>
        <w:t xml:space="preserve">parentAssay =</w:t>
      </w:r>
      <w:r>
        <w:rPr>
          <w:rStyle w:val="723"/>
        </w:rPr>
        <w:t xml:space="preserve"> </w:t>
      </w:r>
      <w:r>
        <w:rPr>
          <w:rStyle w:val="701"/>
        </w:rPr>
        <w:t xml:space="preserve">"filteredCellsNormalized"</w:t>
      </w:r>
      <w:r>
        <w:rPr>
          <w:rStyle w:val="723"/>
        </w:rPr>
        <w:t xml:space="preserve">)</w:t>
      </w:r>
      <w:r>
        <w:br/>
      </w:r>
      <w:r>
        <w:br/>
      </w:r>
      <w:r>
        <w:rPr>
          <w:rStyle w:val="705"/>
        </w:rPr>
        <w:t xml:space="preserve">#Run ‘PCA’ on the highly variable genes computed in the last step using scater library against the ‘filteredCells’ subset only:</w:t>
      </w:r>
      <w:r>
        <w:br/>
      </w:r>
      <w:r>
        <w:rPr>
          <w:rStyle w:val="710"/>
        </w:rPr>
        <w:t xml:space="preserve">reducedDim</w:t>
      </w:r>
      <w:r>
        <w:rPr>
          <w:rStyle w:val="723"/>
        </w:rPr>
        <w:t xml:space="preserve">(es, </w:t>
      </w:r>
      <w:r>
        <w:rPr>
          <w:rStyle w:val="717"/>
        </w:rPr>
        <w:t xml:space="preserve">type =</w:t>
      </w:r>
      <w:r>
        <w:rPr>
          <w:rStyle w:val="723"/>
        </w:rPr>
        <w:t xml:space="preserve"> </w:t>
      </w:r>
      <w:r>
        <w:rPr>
          <w:rStyle w:val="701"/>
        </w:rPr>
        <w:t xml:space="preserve">"PCA"</w:t>
      </w:r>
      <w:r>
        <w:rPr>
          <w:rStyle w:val="723"/>
        </w:rPr>
        <w:t xml:space="preserve">, </w:t>
      </w:r>
      <w:r>
        <w:rPr>
          <w:rStyle w:val="717"/>
        </w:rPr>
        <w:t xml:space="preserve">subsetName =</w:t>
      </w:r>
      <w:r>
        <w:rPr>
          <w:rStyle w:val="723"/>
        </w:rPr>
        <w:t xml:space="preserve"> </w:t>
      </w:r>
      <w:r>
        <w:rPr>
          <w:rStyle w:val="701"/>
        </w:rPr>
        <w:t xml:space="preserve">"hvg1000"</w:t>
      </w:r>
      <w:r>
        <w:rPr>
          <w:rStyle w:val="723"/>
        </w:rPr>
        <w:t xml:space="preserve">) </w:t>
      </w:r>
      <w:r>
        <w:rPr>
          <w:rStyle w:val="709"/>
        </w:rPr>
        <w:t xml:space="preserve">&lt;-</w:t>
      </w:r>
      <w:r>
        <w:rPr>
          <w:rStyle w:val="723"/>
        </w:rPr>
        <w:t xml:space="preserve"> </w:t>
      </w:r>
      <w:r>
        <w:rPr>
          <w:rStyle w:val="710"/>
        </w:rPr>
        <w:t xml:space="preserve">calculatePCA</w:t>
      </w:r>
      <w:r>
        <w:rPr>
          <w:rStyle w:val="723"/>
        </w:rPr>
        <w:t xml:space="preserve">(</w:t>
      </w:r>
      <w:r>
        <w:rPr>
          <w:rStyle w:val="710"/>
        </w:rPr>
        <w:t xml:space="preserve">assay</w:t>
      </w:r>
      <w:r>
        <w:rPr>
          <w:rStyle w:val="723"/>
        </w:rPr>
        <w:t xml:space="preserve">(es, </w:t>
      </w:r>
      <w:r>
        <w:rPr>
          <w:rStyle w:val="701"/>
        </w:rPr>
        <w:t xml:space="preserve">"hvg1000"</w:t>
      </w:r>
      <w:r>
        <w:rPr>
          <w:rStyle w:val="723"/>
        </w:rPr>
        <w:t xml:space="preserve">))</w:t>
      </w:r>
      <w:r>
        <w:br/>
      </w:r>
      <w:r>
        <w:br/>
      </w:r>
      <w:r>
        <w:rPr>
          <w:rStyle w:val="705"/>
        </w:rPr>
        <w:t xml:space="preserve">#Find clusters from reducedDims of highly variable genes and store the results back into colData of subset</w:t>
      </w:r>
      <w:r>
        <w:br/>
      </w:r>
      <w:r>
        <w:rPr>
          <w:rStyle w:val="723"/>
        </w:rPr>
        <w:t xml:space="preserve">clusterPC </w:t>
      </w:r>
      <w:r>
        <w:rPr>
          <w:rStyle w:val="709"/>
        </w:rPr>
        <w:t xml:space="preserve">=</w:t>
      </w:r>
      <w:r>
        <w:rPr>
          <w:rStyle w:val="723"/>
        </w:rPr>
        <w:t xml:space="preserve"> </w:t>
      </w:r>
      <w:r>
        <w:rPr>
          <w:rStyle w:val="710"/>
        </w:rPr>
        <w:t xml:space="preserve">kmeans</w:t>
      </w:r>
      <w:r>
        <w:rPr>
          <w:rStyle w:val="723"/>
        </w:rPr>
        <w:t xml:space="preserve">(</w:t>
      </w:r>
      <w:r>
        <w:rPr>
          <w:rStyle w:val="710"/>
        </w:rPr>
        <w:t xml:space="preserve">reducedDim</w:t>
      </w:r>
      <w:r>
        <w:rPr>
          <w:rStyle w:val="723"/>
        </w:rPr>
        <w:t xml:space="preserve">(es, </w:t>
      </w:r>
      <w:r>
        <w:rPr>
          <w:rStyle w:val="701"/>
        </w:rPr>
        <w:t xml:space="preserve">"PCA"</w:t>
      </w:r>
      <w:r>
        <w:rPr>
          <w:rStyle w:val="723"/>
        </w:rPr>
        <w:t xml:space="preserve">, </w:t>
      </w:r>
      <w:r>
        <w:rPr>
          <w:rStyle w:val="717"/>
        </w:rPr>
        <w:t xml:space="preserve">subsetName =</w:t>
      </w:r>
      <w:r>
        <w:rPr>
          <w:rStyle w:val="723"/>
        </w:rPr>
        <w:t xml:space="preserve"> </w:t>
      </w:r>
      <w:r>
        <w:rPr>
          <w:rStyle w:val="701"/>
        </w:rPr>
        <w:t xml:space="preserve">"hvg1000"</w:t>
      </w:r>
      <w:r>
        <w:rPr>
          <w:rStyle w:val="723"/>
        </w:rPr>
        <w:t xml:space="preserve">), </w:t>
      </w:r>
      <w:r>
        <w:rPr>
          <w:rStyle w:val="695"/>
        </w:rPr>
        <w:t xml:space="preserve">5</w:t>
      </w:r>
      <w:r>
        <w:rPr>
          <w:rStyle w:val="723"/>
        </w:rPr>
        <w:t xml:space="preserve">)</w:t>
      </w:r>
      <w:r>
        <w:rPr>
          <w:rStyle w:val="700"/>
        </w:rPr>
        <w:t xml:space="preserve">$</w:t>
      </w:r>
      <w:r>
        <w:rPr>
          <w:rStyle w:val="723"/>
        </w:rPr>
        <w:t xml:space="preserve">cluster</w:t>
      </w:r>
      <w:r>
        <w:br/>
      </w:r>
      <w:r>
        <w:rPr>
          <w:rStyle w:val="710"/>
        </w:rPr>
        <w:t xml:space="preserve">colData</w:t>
      </w:r>
      <w:r>
        <w:rPr>
          <w:rStyle w:val="723"/>
        </w:rPr>
        <w:t xml:space="preserve">(es, </w:t>
      </w:r>
      <w:r>
        <w:rPr>
          <w:rStyle w:val="717"/>
        </w:rPr>
        <w:t xml:space="preserve">subsetName =</w:t>
      </w:r>
      <w:r>
        <w:rPr>
          <w:rStyle w:val="723"/>
        </w:rPr>
        <w:t xml:space="preserve"> </w:t>
      </w:r>
      <w:r>
        <w:rPr>
          <w:rStyle w:val="701"/>
        </w:rPr>
        <w:t xml:space="preserve">"hvg1000"</w:t>
      </w:r>
      <w:r>
        <w:rPr>
          <w:rStyle w:val="723"/>
        </w:rPr>
        <w:t xml:space="preserve">) </w:t>
      </w:r>
      <w:r>
        <w:rPr>
          <w:rStyle w:val="709"/>
        </w:rPr>
        <w:t xml:space="preserve">&lt;-</w:t>
      </w:r>
      <w:r>
        <w:rPr>
          <w:rStyle w:val="723"/>
        </w:rPr>
        <w:t xml:space="preserve"> </w:t>
      </w:r>
      <w:r>
        <w:rPr>
          <w:rStyle w:val="710"/>
        </w:rPr>
        <w:t xml:space="preserve">cbind</w:t>
      </w:r>
      <w:r>
        <w:rPr>
          <w:rStyle w:val="723"/>
        </w:rPr>
        <w:t xml:space="preserve">(</w:t>
      </w:r>
      <w:r>
        <w:rPr>
          <w:rStyle w:val="710"/>
        </w:rPr>
        <w:t xml:space="preserve">colData</w:t>
      </w:r>
      <w:r>
        <w:rPr>
          <w:rStyle w:val="723"/>
        </w:rPr>
        <w:t xml:space="preserve">(es, </w:t>
      </w:r>
      <w:r>
        <w:rPr>
          <w:rStyle w:val="717"/>
        </w:rPr>
        <w:t xml:space="preserve">subsetName =</w:t>
      </w:r>
      <w:r>
        <w:rPr>
          <w:rStyle w:val="723"/>
        </w:rPr>
        <w:t xml:space="preserve"> </w:t>
      </w:r>
      <w:r>
        <w:rPr>
          <w:rStyle w:val="701"/>
        </w:rPr>
        <w:t xml:space="preserve">"hvg1000"</w:t>
      </w:r>
      <w:r>
        <w:rPr>
          <w:rStyle w:val="723"/>
        </w:rPr>
        <w:t xml:space="preserve">), clusterPC)</w:t>
      </w:r>
      <w:r>
        <w:br/>
      </w:r>
      <w:r>
        <w:br/>
      </w:r>
      <w:r>
        <w:rPr>
          <w:rStyle w:val="705"/>
        </w:rPr>
        <w:t xml:space="preserve">#Show the current condition of the ExperimentSubset object:</w:t>
      </w:r>
      <w:r>
        <w:br/>
      </w:r>
      <w:r>
        <w:rPr>
          <w:rStyle w:val="710"/>
        </w:rPr>
        <w:t xml:space="preserve">subsetSummary</w:t>
      </w:r>
      <w:r>
        <w:rPr>
          <w:rStyle w:val="723"/>
        </w:rPr>
        <w:t xml:space="preserve">(es)</w:t>
      </w:r>
      <w:bookmarkEnd w:id="198"/>
      <w:bookmarkEnd w:id="199"/>
      <w:bookmarkEnd w:id="200"/>
      <w:r/>
    </w:p>
    <w:sectPr>
      <w:footnotePr/>
      <w:endnotePr/>
      <w:type w:val="nextPage"/>
      <w:pgSz w:w="11906" w:h="16838" w:orient="portrait"/>
      <w:pgMar w:top="1134" w:right="850" w:bottom="1134" w:left="1701" w:header="709" w:footer="709"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r>
        <w:separator/>
      </w:r>
      <w:r/>
    </w:p>
  </w:endnote>
  <w:endnote w:type="continuationSeparator" w:id="0">
    <w:p>
      <w:pPr>
        <w:spacing w:lineRule="auto" w:line="240" w:after="0"/>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imSun">
    <w:panose1 w:val="02000506000000020000"/>
  </w:font>
  <w:font w:name="Calibri">
    <w:panose1 w:val="020F0502020204030204"/>
  </w:font>
  <w:font w:name="Times New Roman">
    <w:panose1 w:val="02020603050405020304"/>
  </w:font>
  <w:font w:name="Cambria">
    <w:panose1 w:val="02040503050406030204"/>
  </w:font>
  <w:font w:name="Consolas">
    <w:panose1 w:val="020B0606030504020204"/>
  </w:font>
  <w:font w:name="Arial">
    <w:panose1 w:val="020B060402020202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
      <w:lvlJc w:val="left"/>
      <w:pPr>
        <w:ind w:left="720" w:hanging="480"/>
      </w:pPr>
    </w:lvl>
    <w:lvl w:ilvl="1">
      <w:start w:val="1"/>
      <w:numFmt w:val="bullet"/>
      <w:isLgl w:val="false"/>
      <w:suff w:val="tab"/>
      <w:lvlText w:val=" "/>
      <w:lvlJc w:val="left"/>
      <w:pPr>
        <w:ind w:left="1440" w:hanging="480"/>
      </w:pPr>
    </w:lvl>
    <w:lvl w:ilvl="2">
      <w:start w:val="1"/>
      <w:numFmt w:val="bullet"/>
      <w:isLgl w:val="false"/>
      <w:suff w:val="tab"/>
      <w:lvlText w:val=" "/>
      <w:lvlJc w:val="left"/>
      <w:pPr>
        <w:ind w:left="2160" w:hanging="480"/>
      </w:pPr>
    </w:lvl>
    <w:lvl w:ilvl="3">
      <w:start w:val="1"/>
      <w:numFmt w:val="bullet"/>
      <w:isLgl w:val="false"/>
      <w:suff w:val="tab"/>
      <w:lvlText w:val=" "/>
      <w:lvlJc w:val="left"/>
      <w:pPr>
        <w:ind w:left="2880" w:hanging="480"/>
      </w:pPr>
    </w:lvl>
    <w:lvl w:ilvl="4">
      <w:start w:val="1"/>
      <w:numFmt w:val="bullet"/>
      <w:isLgl w:val="false"/>
      <w:suff w:val="tab"/>
      <w:lvlText w:val=" "/>
      <w:lvlJc w:val="left"/>
      <w:pPr>
        <w:ind w:left="3600" w:hanging="480"/>
      </w:pPr>
    </w:lvl>
    <w:lvl w:ilvl="5">
      <w:start w:val="1"/>
      <w:numFmt w:val="bullet"/>
      <w:isLgl w:val="false"/>
      <w:suff w:val="tab"/>
      <w:lvlText w:val=" "/>
      <w:lvlJc w:val="left"/>
      <w:pPr>
        <w:ind w:left="4320" w:hanging="480"/>
      </w:pPr>
    </w:lvl>
    <w:lvl w:ilvl="6">
      <w:start w:val="1"/>
      <w:numFmt w:val="bullet"/>
      <w:isLgl w:val="false"/>
      <w:suff w:val="tab"/>
      <w:lvlText w:val=" "/>
      <w:lvlJc w:val="left"/>
      <w:pPr>
        <w:ind w:left="5040" w:hanging="480"/>
      </w:pPr>
    </w:lvl>
    <w:lvl w:ilvl="7">
      <w:start w:val="1"/>
      <w:numFmt w:val="bullet"/>
      <w:isLgl w:val="false"/>
      <w:suff w:val="tab"/>
      <w:lvlText w:val=" "/>
      <w:lvlJc w:val="left"/>
      <w:pPr>
        <w:ind w:left="5760" w:hanging="480"/>
      </w:pPr>
    </w:lvl>
    <w:lvl w:ilvl="8">
      <w:start w:val="1"/>
      <w:numFmt w:val="bullet"/>
      <w:isLgl w:val="false"/>
      <w:suff w:val="tab"/>
      <w:lvlText w:val=" "/>
      <w:lvlJc w:val="left"/>
      <w:pPr>
        <w:ind w:left="6480" w:hanging="480"/>
      </w:pPr>
    </w:lvl>
  </w:abstractNum>
  <w:abstractNum w:abstractNumId="1">
    <w:multiLevelType w:val="hybridMultilevel"/>
    <w:lvl w:ilvl="0">
      <w:start w:val="1"/>
      <w:numFmt w:val="bullet"/>
      <w:isLgl w:val="false"/>
      <w:suff w:val="tab"/>
      <w:lvlText w:val="•"/>
      <w:lvlJc w:val="left"/>
      <w:pPr>
        <w:ind w:left="720" w:hanging="480"/>
      </w:pPr>
    </w:lvl>
    <w:lvl w:ilvl="1">
      <w:start w:val="1"/>
      <w:numFmt w:val="bullet"/>
      <w:isLgl w:val="false"/>
      <w:suff w:val="tab"/>
      <w:lvlText w:val="–"/>
      <w:lvlJc w:val="left"/>
      <w:pPr>
        <w:ind w:left="1440" w:hanging="480"/>
      </w:pPr>
    </w:lvl>
    <w:lvl w:ilvl="2">
      <w:start w:val="1"/>
      <w:numFmt w:val="bullet"/>
      <w:isLgl w:val="false"/>
      <w:suff w:val="tab"/>
      <w:lvlText w:val="•"/>
      <w:lvlJc w:val="left"/>
      <w:pPr>
        <w:ind w:left="2160" w:hanging="480"/>
      </w:pPr>
    </w:lvl>
    <w:lvl w:ilvl="3">
      <w:start w:val="1"/>
      <w:numFmt w:val="bullet"/>
      <w:isLgl w:val="false"/>
      <w:suff w:val="tab"/>
      <w:lvlText w:val="–"/>
      <w:lvlJc w:val="left"/>
      <w:pPr>
        <w:ind w:left="2880" w:hanging="480"/>
      </w:pPr>
    </w:lvl>
    <w:lvl w:ilvl="4">
      <w:start w:val="1"/>
      <w:numFmt w:val="bullet"/>
      <w:isLgl w:val="false"/>
      <w:suff w:val="tab"/>
      <w:lvlText w:val="•"/>
      <w:lvlJc w:val="left"/>
      <w:pPr>
        <w:ind w:left="3600" w:hanging="480"/>
      </w:pPr>
    </w:lvl>
    <w:lvl w:ilvl="5">
      <w:start w:val="1"/>
      <w:numFmt w:val="bullet"/>
      <w:isLgl w:val="false"/>
      <w:suff w:val="tab"/>
      <w:lvlText w:val="–"/>
      <w:lvlJc w:val="left"/>
      <w:pPr>
        <w:ind w:left="4320" w:hanging="480"/>
      </w:pPr>
    </w:lvl>
    <w:lvl w:ilvl="6">
      <w:start w:val="1"/>
      <w:numFmt w:val="bullet"/>
      <w:isLgl w:val="false"/>
      <w:suff w:val="tab"/>
      <w:lvlText w:val="•"/>
      <w:lvlJc w:val="left"/>
      <w:pPr>
        <w:ind w:left="5040" w:hanging="480"/>
      </w:pPr>
    </w:lvl>
    <w:lvl w:ilvl="7">
      <w:start w:val="1"/>
      <w:numFmt w:val="bullet"/>
      <w:isLgl w:val="false"/>
      <w:suff w:val="tab"/>
      <w:lvlText w:val="–"/>
      <w:lvlJc w:val="left"/>
      <w:pPr>
        <w:ind w:left="5760" w:hanging="480"/>
      </w:pPr>
    </w:lvl>
    <w:lvl w:ilvl="8">
      <w:start w:val="1"/>
      <w:numFmt w:val="bullet"/>
      <w:isLgl w:val="false"/>
      <w:suff w:val="tab"/>
      <w:lvlText w:val="•"/>
      <w:lvlJc w:val="left"/>
      <w:pPr>
        <w:ind w:left="6480" w:hanging="480"/>
      </w:pPr>
    </w:lvl>
  </w:abstractNum>
  <w:abstractNum w:abstractNumId="2">
    <w:multiLevelType w:val="hybridMultilevel"/>
    <w:lvl w:ilvl="0">
      <w:start w:val="1"/>
      <w:numFmt w:val="decimal"/>
      <w:isLgl w:val="false"/>
      <w:suff w:val="tab"/>
      <w:lvlText w:val="%1."/>
      <w:lvlJc w:val="left"/>
      <w:pPr>
        <w:ind w:left="720" w:hanging="480"/>
      </w:pPr>
    </w:lvl>
    <w:lvl w:ilvl="1">
      <w:start w:val="1"/>
      <w:numFmt w:val="decimal"/>
      <w:isLgl w:val="false"/>
      <w:suff w:val="tab"/>
      <w:lvlText w:val="%2."/>
      <w:lvlJc w:val="left"/>
      <w:pPr>
        <w:ind w:left="1440" w:hanging="480"/>
      </w:pPr>
    </w:lvl>
    <w:lvl w:ilvl="2">
      <w:start w:val="1"/>
      <w:numFmt w:val="decimal"/>
      <w:isLgl w:val="false"/>
      <w:suff w:val="tab"/>
      <w:lvlText w:val="%3."/>
      <w:lvlJc w:val="left"/>
      <w:pPr>
        <w:ind w:left="2160" w:hanging="480"/>
      </w:pPr>
    </w:lvl>
    <w:lvl w:ilvl="3">
      <w:start w:val="1"/>
      <w:numFmt w:val="decimal"/>
      <w:isLgl w:val="false"/>
      <w:suff w:val="tab"/>
      <w:lvlText w:val="%4."/>
      <w:lvlJc w:val="left"/>
      <w:pPr>
        <w:ind w:left="2880" w:hanging="480"/>
      </w:pPr>
    </w:lvl>
    <w:lvl w:ilvl="4">
      <w:start w:val="1"/>
      <w:numFmt w:val="decimal"/>
      <w:isLgl w:val="false"/>
      <w:suff w:val="tab"/>
      <w:lvlText w:val="%5."/>
      <w:lvlJc w:val="left"/>
      <w:pPr>
        <w:ind w:left="3600" w:hanging="480"/>
      </w:pPr>
    </w:lvl>
    <w:lvl w:ilvl="5">
      <w:start w:val="1"/>
      <w:numFmt w:val="decimal"/>
      <w:isLgl w:val="false"/>
      <w:suff w:val="tab"/>
      <w:lvlText w:val="%6."/>
      <w:lvlJc w:val="left"/>
      <w:pPr>
        <w:ind w:left="4320" w:hanging="480"/>
      </w:pPr>
    </w:lvl>
    <w:lvl w:ilvl="6">
      <w:start w:val="1"/>
      <w:numFmt w:val="decimal"/>
      <w:isLgl w:val="false"/>
      <w:suff w:val="tab"/>
      <w:lvlText w:val="%7."/>
      <w:lvlJc w:val="left"/>
      <w:pPr>
        <w:ind w:left="5040" w:hanging="480"/>
      </w:pPr>
    </w:lvl>
    <w:lvl w:ilvl="7">
      <w:start w:val="1"/>
      <w:numFmt w:val="decimal"/>
      <w:isLgl w:val="false"/>
      <w:suff w:val="tab"/>
      <w:lvlText w:val="%8."/>
      <w:lvlJc w:val="left"/>
      <w:pPr>
        <w:ind w:left="5760" w:hanging="480"/>
      </w:pPr>
    </w:lvl>
    <w:lvl w:ilvl="8">
      <w:start w:val="1"/>
      <w:numFmt w:val="decimal"/>
      <w:isLgl w:val="false"/>
      <w:suff w:val="tab"/>
      <w:lvlText w:val="%9."/>
      <w:lvlJc w:val="left"/>
      <w:pPr>
        <w:ind w:left="6480" w:hanging="480"/>
      </w:pPr>
    </w:lvl>
  </w:abstractNum>
  <w:abstractNum w:abstractNumId="3">
    <w:multiLevelType w:val="hybridMultilevel"/>
    <w:lvl w:ilvl="0">
      <w:start w:val="2"/>
      <w:numFmt w:val="decimal"/>
      <w:isLgl w:val="false"/>
      <w:suff w:val="tab"/>
      <w:lvlText w:val="%1."/>
      <w:lvlJc w:val="left"/>
      <w:pPr>
        <w:ind w:left="720" w:hanging="480"/>
      </w:pPr>
    </w:lvl>
    <w:lvl w:ilvl="1">
      <w:start w:val="2"/>
      <w:numFmt w:val="decimal"/>
      <w:isLgl w:val="false"/>
      <w:suff w:val="tab"/>
      <w:lvlText w:val="%2."/>
      <w:lvlJc w:val="left"/>
      <w:pPr>
        <w:ind w:left="1440" w:hanging="480"/>
      </w:pPr>
    </w:lvl>
    <w:lvl w:ilvl="2">
      <w:start w:val="2"/>
      <w:numFmt w:val="decimal"/>
      <w:isLgl w:val="false"/>
      <w:suff w:val="tab"/>
      <w:lvlText w:val="%3."/>
      <w:lvlJc w:val="left"/>
      <w:pPr>
        <w:ind w:left="2160" w:hanging="480"/>
      </w:pPr>
    </w:lvl>
    <w:lvl w:ilvl="3">
      <w:start w:val="2"/>
      <w:numFmt w:val="decimal"/>
      <w:isLgl w:val="false"/>
      <w:suff w:val="tab"/>
      <w:lvlText w:val="%4."/>
      <w:lvlJc w:val="left"/>
      <w:pPr>
        <w:ind w:left="2880" w:hanging="480"/>
      </w:pPr>
    </w:lvl>
    <w:lvl w:ilvl="4">
      <w:start w:val="2"/>
      <w:numFmt w:val="decimal"/>
      <w:isLgl w:val="false"/>
      <w:suff w:val="tab"/>
      <w:lvlText w:val="%5."/>
      <w:lvlJc w:val="left"/>
      <w:pPr>
        <w:ind w:left="3600" w:hanging="480"/>
      </w:pPr>
    </w:lvl>
    <w:lvl w:ilvl="5">
      <w:start w:val="2"/>
      <w:numFmt w:val="decimal"/>
      <w:isLgl w:val="false"/>
      <w:suff w:val="tab"/>
      <w:lvlText w:val="%6."/>
      <w:lvlJc w:val="left"/>
      <w:pPr>
        <w:ind w:left="4320" w:hanging="480"/>
      </w:pPr>
    </w:lvl>
    <w:lvl w:ilvl="6">
      <w:start w:val="2"/>
      <w:numFmt w:val="decimal"/>
      <w:isLgl w:val="false"/>
      <w:suff w:val="tab"/>
      <w:lvlText w:val="%7."/>
      <w:lvlJc w:val="left"/>
      <w:pPr>
        <w:ind w:left="5040" w:hanging="480"/>
      </w:pPr>
    </w:lvl>
    <w:lvl w:ilvl="7">
      <w:start w:val="2"/>
      <w:numFmt w:val="decimal"/>
      <w:isLgl w:val="false"/>
      <w:suff w:val="tab"/>
      <w:lvlText w:val="%8."/>
      <w:lvlJc w:val="left"/>
      <w:pPr>
        <w:ind w:left="5760" w:hanging="480"/>
      </w:pPr>
    </w:lvl>
    <w:lvl w:ilvl="8">
      <w:start w:val="2"/>
      <w:numFmt w:val="decimal"/>
      <w:isLgl w:val="false"/>
      <w:suff w:val="tab"/>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4"/>
        <w:szCs w:val="24"/>
        <w:lang w:val="en-US" w:bidi="ar-SA" w:eastAsia="en-US"/>
      </w:rPr>
    </w:rPrDefault>
    <w:pPrDefault>
      <w:pPr>
        <w:spacing w:lineRule="auto" w:line="240"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677"/>
    <w:link w:val="666"/>
    <w:uiPriority w:val="9"/>
    <w:rPr>
      <w:rFonts w:ascii="Arial" w:hAnsi="Arial" w:cs="Arial" w:eastAsia="Arial"/>
      <w:sz w:val="40"/>
      <w:szCs w:val="40"/>
    </w:rPr>
  </w:style>
  <w:style w:type="character" w:styleId="14">
    <w:name w:val="Heading 2 Char"/>
    <w:basedOn w:val="677"/>
    <w:link w:val="667"/>
    <w:uiPriority w:val="9"/>
    <w:rPr>
      <w:rFonts w:ascii="Arial" w:hAnsi="Arial" w:cs="Arial" w:eastAsia="Arial"/>
      <w:sz w:val="34"/>
    </w:rPr>
  </w:style>
  <w:style w:type="character" w:styleId="16">
    <w:name w:val="Heading 3 Char"/>
    <w:basedOn w:val="677"/>
    <w:link w:val="668"/>
    <w:uiPriority w:val="9"/>
    <w:rPr>
      <w:rFonts w:ascii="Arial" w:hAnsi="Arial" w:cs="Arial" w:eastAsia="Arial"/>
      <w:sz w:val="30"/>
      <w:szCs w:val="30"/>
    </w:rPr>
  </w:style>
  <w:style w:type="character" w:styleId="18">
    <w:name w:val="Heading 4 Char"/>
    <w:basedOn w:val="677"/>
    <w:link w:val="669"/>
    <w:uiPriority w:val="9"/>
    <w:rPr>
      <w:rFonts w:ascii="Arial" w:hAnsi="Arial" w:cs="Arial" w:eastAsia="Arial"/>
      <w:b/>
      <w:bCs/>
      <w:sz w:val="26"/>
      <w:szCs w:val="26"/>
    </w:rPr>
  </w:style>
  <w:style w:type="character" w:styleId="20">
    <w:name w:val="Heading 5 Char"/>
    <w:basedOn w:val="677"/>
    <w:link w:val="670"/>
    <w:uiPriority w:val="9"/>
    <w:rPr>
      <w:rFonts w:ascii="Arial" w:hAnsi="Arial" w:cs="Arial" w:eastAsia="Arial"/>
      <w:b/>
      <w:bCs/>
      <w:sz w:val="24"/>
      <w:szCs w:val="24"/>
    </w:rPr>
  </w:style>
  <w:style w:type="character" w:styleId="22">
    <w:name w:val="Heading 6 Char"/>
    <w:basedOn w:val="677"/>
    <w:link w:val="671"/>
    <w:uiPriority w:val="9"/>
    <w:rPr>
      <w:rFonts w:ascii="Arial" w:hAnsi="Arial" w:cs="Arial" w:eastAsia="Arial"/>
      <w:b/>
      <w:bCs/>
      <w:sz w:val="22"/>
      <w:szCs w:val="22"/>
    </w:rPr>
  </w:style>
  <w:style w:type="character" w:styleId="24">
    <w:name w:val="Heading 7 Char"/>
    <w:basedOn w:val="677"/>
    <w:link w:val="672"/>
    <w:uiPriority w:val="9"/>
    <w:rPr>
      <w:rFonts w:ascii="Arial" w:hAnsi="Arial" w:cs="Arial" w:eastAsia="Arial"/>
      <w:b/>
      <w:bCs/>
      <w:i/>
      <w:iCs/>
      <w:sz w:val="22"/>
      <w:szCs w:val="22"/>
    </w:rPr>
  </w:style>
  <w:style w:type="character" w:styleId="26">
    <w:name w:val="Heading 8 Char"/>
    <w:basedOn w:val="677"/>
    <w:link w:val="673"/>
    <w:uiPriority w:val="9"/>
    <w:rPr>
      <w:rFonts w:ascii="Arial" w:hAnsi="Arial" w:cs="Arial" w:eastAsia="Arial"/>
      <w:i/>
      <w:iCs/>
      <w:sz w:val="22"/>
      <w:szCs w:val="22"/>
    </w:rPr>
  </w:style>
  <w:style w:type="character" w:styleId="28">
    <w:name w:val="Heading 9 Char"/>
    <w:basedOn w:val="677"/>
    <w:link w:val="674"/>
    <w:uiPriority w:val="9"/>
    <w:rPr>
      <w:rFonts w:ascii="Arial" w:hAnsi="Arial" w:cs="Arial" w:eastAsia="Arial"/>
      <w:i/>
      <w:iCs/>
      <w:sz w:val="21"/>
      <w:szCs w:val="21"/>
    </w:rPr>
  </w:style>
  <w:style w:type="paragraph" w:styleId="29">
    <w:name w:val="List Paragraph"/>
    <w:basedOn w:val="656"/>
    <w:qFormat/>
    <w:uiPriority w:val="34"/>
    <w:pPr>
      <w:contextualSpacing w:val="true"/>
      <w:ind w:left="720"/>
    </w:pPr>
  </w:style>
  <w:style w:type="table" w:styleId="30">
    <w:name w:val="Normal Table"/>
    <w:uiPriority w:val="99"/>
    <w:semiHidden/>
    <w:unhideWhenUsed/>
    <w:tblPr>
      <w:tblInd w:w="0" w:type="dxa"/>
      <w:tblCellMar>
        <w:left w:w="108" w:type="dxa"/>
        <w:top w:w="0" w:type="dxa"/>
        <w:right w:w="108" w:type="dxa"/>
        <w:bottom w:w="0" w:type="dxa"/>
      </w:tblCellMar>
    </w:tblPr>
  </w:style>
  <w:style w:type="paragraph" w:styleId="31">
    <w:name w:val="No Spacing"/>
    <w:qFormat/>
    <w:uiPriority w:val="1"/>
    <w:pPr>
      <w:spacing w:lineRule="auto" w:line="240" w:after="0" w:before="0"/>
    </w:pPr>
  </w:style>
  <w:style w:type="character" w:styleId="33">
    <w:name w:val="Title Char"/>
    <w:basedOn w:val="677"/>
    <w:link w:val="660"/>
    <w:uiPriority w:val="10"/>
    <w:rPr>
      <w:sz w:val="48"/>
      <w:szCs w:val="48"/>
    </w:rPr>
  </w:style>
  <w:style w:type="character" w:styleId="35">
    <w:name w:val="Subtitle Char"/>
    <w:basedOn w:val="677"/>
    <w:link w:val="661"/>
    <w:uiPriority w:val="11"/>
    <w:rPr>
      <w:sz w:val="24"/>
      <w:szCs w:val="24"/>
    </w:rPr>
  </w:style>
  <w:style w:type="paragraph" w:styleId="36">
    <w:name w:val="Quote"/>
    <w:basedOn w:val="656"/>
    <w:next w:val="656"/>
    <w:link w:val="37"/>
    <w:qFormat/>
    <w:uiPriority w:val="29"/>
    <w:rPr>
      <w:i/>
    </w:rPr>
    <w:pPr>
      <w:ind w:left="720" w:right="720"/>
    </w:pPr>
  </w:style>
  <w:style w:type="character" w:styleId="37">
    <w:name w:val="Quote Char"/>
    <w:link w:val="36"/>
    <w:uiPriority w:val="29"/>
    <w:rPr>
      <w:i/>
    </w:rPr>
  </w:style>
  <w:style w:type="paragraph" w:styleId="38">
    <w:name w:val="Intense Quote"/>
    <w:basedOn w:val="656"/>
    <w:next w:val="656"/>
    <w:link w:val="3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paragraph" w:styleId="40">
    <w:name w:val="Header"/>
    <w:basedOn w:val="656"/>
    <w:link w:val="41"/>
    <w:uiPriority w:val="99"/>
    <w:unhideWhenUsed/>
    <w:pPr>
      <w:spacing w:lineRule="auto" w:line="240" w:after="0"/>
      <w:tabs>
        <w:tab w:val="center" w:pos="7143" w:leader="none"/>
        <w:tab w:val="right" w:pos="14287" w:leader="none"/>
      </w:tabs>
    </w:pPr>
  </w:style>
  <w:style w:type="character" w:styleId="41">
    <w:name w:val="Header Char"/>
    <w:basedOn w:val="677"/>
    <w:link w:val="40"/>
    <w:uiPriority w:val="99"/>
  </w:style>
  <w:style w:type="paragraph" w:styleId="42">
    <w:name w:val="Footer"/>
    <w:basedOn w:val="656"/>
    <w:link w:val="45"/>
    <w:uiPriority w:val="99"/>
    <w:unhideWhenUsed/>
    <w:pPr>
      <w:spacing w:lineRule="auto" w:line="240" w:after="0"/>
      <w:tabs>
        <w:tab w:val="center" w:pos="7143" w:leader="none"/>
        <w:tab w:val="right" w:pos="14287" w:leader="none"/>
      </w:tabs>
    </w:pPr>
  </w:style>
  <w:style w:type="character" w:styleId="43">
    <w:name w:val="Footer Char"/>
    <w:basedOn w:val="677"/>
    <w:link w:val="42"/>
    <w:uiPriority w:val="99"/>
  </w:style>
  <w:style w:type="character" w:styleId="45">
    <w:name w:val="Caption Char"/>
    <w:basedOn w:val="681"/>
    <w:link w:val="42"/>
    <w:uiPriority w:val="99"/>
  </w:style>
  <w:style w:type="table" w:styleId="46">
    <w:name w:val="Table Grid"/>
    <w:basedOn w:val="30"/>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3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3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3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53">
    <w:name w:val="Grid Table 1 Light"/>
    <w:basedOn w:val="3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3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3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3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3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3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3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3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3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3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3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3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3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3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3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82">
    <w:name w:val="Grid Table 5 Dark- Accent 1"/>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83">
    <w:name w:val="Grid Table 5 Dark - Accent 2"/>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84">
    <w:name w:val="Grid Table 5 Dark - Accent 3"/>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85">
    <w:name w:val="Grid Table 5 Dark- Accent 4"/>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86">
    <w:name w:val="Grid Table 5 Dark - Accent 5"/>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87">
    <w:name w:val="Grid Table 5 Dark - Accent 6"/>
    <w:basedOn w:val="3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88">
    <w:name w:val="Grid Table 6 Colorful"/>
    <w:basedOn w:val="3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3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3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3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3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3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FFFFFF"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FFFFFF" w:themeColor="light1"/>
        <w:tcBorders>
          <w:left w:val="none"/>
          <w:top w:val="single" w:color="000000" w:sz="4" w:space="0" w:themeColor="text1" w:themeTint="80"/>
          <w:right w:val="none"/>
          <w:bottom w:val="none"/>
        </w:tcBorders>
      </w:tcPr>
    </w:tblStylePr>
  </w:style>
  <w:style w:type="table" w:styleId="96">
    <w:name w:val="Grid Table 7 Colorful - Accent 1"/>
    <w:basedOn w:val="3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FFFFFF" w:themeColor="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FFFFFF" w:themeColor="light1"/>
        <w:tcBorders>
          <w:left w:val="none"/>
          <w:top w:val="single" w:color="000000" w:sz="4" w:space="0" w:themeColor="accent1" w:themeTint="80"/>
          <w:right w:val="none"/>
          <w:bottom w:val="none"/>
        </w:tcBorders>
      </w:tcPr>
    </w:tblStylePr>
  </w:style>
  <w:style w:type="table" w:styleId="97">
    <w:name w:val="Grid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FFFFFF"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FFFFFF" w:themeColor="light1"/>
        <w:tcBorders>
          <w:left w:val="none"/>
          <w:top w:val="single" w:color="000000" w:sz="4" w:space="0" w:themeColor="accent2" w:themeTint="97"/>
          <w:right w:val="none"/>
          <w:bottom w:val="none"/>
        </w:tcBorders>
      </w:tcPr>
    </w:tblStylePr>
  </w:style>
  <w:style w:type="table" w:styleId="98">
    <w:name w:val="Grid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FFFFFF" w:themeColor="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FFFFFF" w:themeColor="light1"/>
        <w:tcBorders>
          <w:left w:val="none"/>
          <w:top w:val="single" w:color="000000" w:sz="4" w:space="0" w:themeColor="accent3" w:themeTint="FE"/>
          <w:right w:val="none"/>
          <w:bottom w:val="none"/>
        </w:tcBorders>
      </w:tcPr>
    </w:tblStylePr>
  </w:style>
  <w:style w:type="table" w:styleId="99">
    <w:name w:val="Grid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FFFFFF"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FFFFFF" w:themeColor="light1"/>
        <w:tcBorders>
          <w:left w:val="none"/>
          <w:top w:val="single" w:color="000000" w:sz="4" w:space="0" w:themeColor="accent4" w:themeTint="9A"/>
          <w:right w:val="none"/>
          <w:bottom w:val="none"/>
        </w:tcBorders>
      </w:tcPr>
    </w:tblStylePr>
  </w:style>
  <w:style w:type="table" w:styleId="100">
    <w:name w:val="Grid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FFFFFF" w:themeColor="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FFFFFF" w:themeColor="light1"/>
        <w:tcBorders>
          <w:left w:val="none"/>
          <w:top w:val="single" w:color="000000" w:sz="4" w:space="0" w:themeColor="accent5" w:themeTint="90"/>
          <w:right w:val="none"/>
          <w:bottom w:val="none"/>
        </w:tcBorders>
      </w:tcPr>
    </w:tblStylePr>
  </w:style>
  <w:style w:type="table" w:styleId="101">
    <w:name w:val="Grid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FFFFFF" w:themeColor="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FFFFFF" w:themeColor="light1"/>
        <w:tcBorders>
          <w:left w:val="none"/>
          <w:top w:val="single" w:color="000000" w:sz="4" w:space="0" w:themeColor="accent6" w:themeTint="90"/>
          <w:right w:val="none"/>
          <w:bottom w:val="none"/>
        </w:tcBorders>
      </w:tcPr>
    </w:tblStylePr>
  </w:style>
  <w:style w:type="table" w:styleId="102">
    <w:name w:val="List Table 1 Light"/>
    <w:basedOn w:val="30"/>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30"/>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30"/>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30"/>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30"/>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30"/>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30"/>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3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3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3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3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3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3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3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17">
    <w:name w:val="List Table 3 - Accent 1"/>
    <w:basedOn w:val="3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18">
    <w:name w:val="List Table 3 - Accent 2"/>
    <w:basedOn w:val="3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119">
    <w:name w:val="List Table 3 - Accent 3"/>
    <w:basedOn w:val="3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120">
    <w:name w:val="List Table 3 - Accent 4"/>
    <w:basedOn w:val="3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121">
    <w:name w:val="List Table 3 - Accent 5"/>
    <w:basedOn w:val="3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122">
    <w:name w:val="List Table 3 - Accent 6"/>
    <w:basedOn w:val="3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123">
    <w:name w:val="List Table 4"/>
    <w:basedOn w:val="3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124">
    <w:name w:val="List Table 4 - Accent 1"/>
    <w:basedOn w:val="3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125">
    <w:name w:val="List Table 4 - Accent 2"/>
    <w:basedOn w:val="3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126">
    <w:name w:val="List Table 4 - Accent 3"/>
    <w:basedOn w:val="3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127">
    <w:name w:val="List Table 4 - Accent 4"/>
    <w:basedOn w:val="3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128">
    <w:name w:val="List Table 4 - Accent 5"/>
    <w:basedOn w:val="3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129">
    <w:name w:val="List Table 4 - Accent 6"/>
    <w:basedOn w:val="3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130">
    <w:name w:val="List Table 5 Dark"/>
    <w:basedOn w:val="3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3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3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3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3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3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3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3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3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3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3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3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3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3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3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FFFFFF"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FFFFFF" w:themeColor="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3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FFFFFF" w:themeColor="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FFFFFF" w:themeColor="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3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FFFFFF"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FFFFFF" w:themeColor="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3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FFFFFF" w:themeColor="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FFFFFF" w:themeColor="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3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FFFFFF"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FFFFFF" w:themeColor="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3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FFFFFF" w:themeColor="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FFFFFF" w:themeColor="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3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FFFFFF" w:themeColor="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FFFFFF" w:themeColor="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52">
    <w:name w:val="Lined - Accent 1"/>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53">
    <w:name w:val="Lined - Accent 2"/>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54">
    <w:name w:val="Lined - Accent 3"/>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55">
    <w:name w:val="Lined - Accent 4"/>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56">
    <w:name w:val="Lined - Accent 5"/>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57">
    <w:name w:val="Lined - Accent 6"/>
    <w:basedOn w:val="3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58">
    <w:name w:val="Bordered &amp; Lined - Accent"/>
    <w:basedOn w:val="3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159">
    <w:name w:val="Bordered &amp; Lined - Accent 1"/>
    <w:basedOn w:val="3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160">
    <w:name w:val="Bordered &amp; Lined - Accent 2"/>
    <w:basedOn w:val="3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161">
    <w:name w:val="Bordered &amp; Lined - Accent 3"/>
    <w:basedOn w:val="3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162">
    <w:name w:val="Bordered &amp; Lined - Accent 4"/>
    <w:basedOn w:val="3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163">
    <w:name w:val="Bordered &amp; Lined - Accent 5"/>
    <w:basedOn w:val="3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164">
    <w:name w:val="Bordered &amp; Lined - Accent 6"/>
    <w:basedOn w:val="3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165">
    <w:name w:val="Bordered"/>
    <w:basedOn w:val="3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3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3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3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3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3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3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4">
    <w:name w:val="Footnote Text Char"/>
    <w:link w:val="676"/>
    <w:uiPriority w:val="99"/>
    <w:rPr>
      <w:sz w:val="18"/>
    </w:rPr>
  </w:style>
  <w:style w:type="paragraph" w:styleId="176">
    <w:name w:val="endnote text"/>
    <w:basedOn w:val="656"/>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677"/>
    <w:uiPriority w:val="99"/>
    <w:semiHidden/>
    <w:unhideWhenUsed/>
    <w:rPr>
      <w:vertAlign w:val="superscript"/>
    </w:rPr>
  </w:style>
  <w:style w:type="paragraph" w:styleId="179">
    <w:name w:val="toc 1"/>
    <w:basedOn w:val="656"/>
    <w:next w:val="656"/>
    <w:uiPriority w:val="39"/>
    <w:unhideWhenUsed/>
    <w:pPr>
      <w:ind w:left="0" w:right="0" w:firstLine="0"/>
      <w:spacing w:after="57"/>
    </w:pPr>
  </w:style>
  <w:style w:type="paragraph" w:styleId="180">
    <w:name w:val="toc 2"/>
    <w:basedOn w:val="656"/>
    <w:next w:val="656"/>
    <w:uiPriority w:val="39"/>
    <w:unhideWhenUsed/>
    <w:pPr>
      <w:ind w:left="283" w:right="0" w:firstLine="0"/>
      <w:spacing w:after="57"/>
    </w:pPr>
  </w:style>
  <w:style w:type="paragraph" w:styleId="181">
    <w:name w:val="toc 3"/>
    <w:basedOn w:val="656"/>
    <w:next w:val="656"/>
    <w:uiPriority w:val="39"/>
    <w:unhideWhenUsed/>
    <w:pPr>
      <w:ind w:left="567" w:right="0" w:firstLine="0"/>
      <w:spacing w:after="57"/>
    </w:pPr>
  </w:style>
  <w:style w:type="paragraph" w:styleId="182">
    <w:name w:val="toc 4"/>
    <w:basedOn w:val="656"/>
    <w:next w:val="656"/>
    <w:uiPriority w:val="39"/>
    <w:unhideWhenUsed/>
    <w:pPr>
      <w:ind w:left="850" w:right="0" w:firstLine="0"/>
      <w:spacing w:after="57"/>
    </w:pPr>
  </w:style>
  <w:style w:type="paragraph" w:styleId="183">
    <w:name w:val="toc 5"/>
    <w:basedOn w:val="656"/>
    <w:next w:val="656"/>
    <w:uiPriority w:val="39"/>
    <w:unhideWhenUsed/>
    <w:pPr>
      <w:ind w:left="1134" w:right="0" w:firstLine="0"/>
      <w:spacing w:after="57"/>
    </w:pPr>
  </w:style>
  <w:style w:type="paragraph" w:styleId="184">
    <w:name w:val="toc 6"/>
    <w:basedOn w:val="656"/>
    <w:next w:val="656"/>
    <w:uiPriority w:val="39"/>
    <w:unhideWhenUsed/>
    <w:pPr>
      <w:ind w:left="1417" w:right="0" w:firstLine="0"/>
      <w:spacing w:after="57"/>
    </w:pPr>
  </w:style>
  <w:style w:type="paragraph" w:styleId="185">
    <w:name w:val="toc 7"/>
    <w:basedOn w:val="656"/>
    <w:next w:val="656"/>
    <w:uiPriority w:val="39"/>
    <w:unhideWhenUsed/>
    <w:pPr>
      <w:ind w:left="1701" w:right="0" w:firstLine="0"/>
      <w:spacing w:after="57"/>
    </w:pPr>
  </w:style>
  <w:style w:type="paragraph" w:styleId="186">
    <w:name w:val="toc 8"/>
    <w:basedOn w:val="656"/>
    <w:next w:val="656"/>
    <w:uiPriority w:val="39"/>
    <w:unhideWhenUsed/>
    <w:pPr>
      <w:ind w:left="1984" w:right="0" w:firstLine="0"/>
      <w:spacing w:after="57"/>
    </w:pPr>
  </w:style>
  <w:style w:type="paragraph" w:styleId="187">
    <w:name w:val="toc 9"/>
    <w:basedOn w:val="656"/>
    <w:next w:val="656"/>
    <w:uiPriority w:val="39"/>
    <w:unhideWhenUsed/>
    <w:pPr>
      <w:ind w:left="2268" w:right="0" w:firstLine="0"/>
      <w:spacing w:after="57"/>
    </w:pPr>
  </w:style>
  <w:style w:type="paragraph" w:styleId="189">
    <w:name w:val="table of figures"/>
    <w:basedOn w:val="656"/>
    <w:next w:val="656"/>
    <w:uiPriority w:val="99"/>
    <w:unhideWhenUsed/>
    <w:pPr>
      <w:spacing w:after="0" w:afterAutospacing="0"/>
    </w:pPr>
  </w:style>
  <w:style w:type="paragraph" w:styleId="656" w:default="1">
    <w:name w:val="Normal"/>
    <w:qFormat/>
  </w:style>
  <w:style w:type="paragraph" w:styleId="657">
    <w:name w:val="Body Text"/>
    <w:basedOn w:val="656"/>
    <w:link w:val="686"/>
    <w:qFormat/>
    <w:pPr>
      <w:spacing w:after="180" w:before="180"/>
    </w:pPr>
  </w:style>
  <w:style w:type="paragraph" w:styleId="658" w:customStyle="1">
    <w:name w:val="First Paragraph"/>
    <w:basedOn w:val="657"/>
    <w:next w:val="657"/>
    <w:qFormat/>
  </w:style>
  <w:style w:type="paragraph" w:styleId="659" w:customStyle="1">
    <w:name w:val="Compact"/>
    <w:basedOn w:val="657"/>
    <w:qFormat/>
    <w:pPr>
      <w:spacing w:after="36" w:before="36"/>
    </w:pPr>
  </w:style>
  <w:style w:type="paragraph" w:styleId="660">
    <w:name w:val="Title"/>
    <w:basedOn w:val="656"/>
    <w:next w:val="657"/>
    <w:qFormat/>
    <w:rPr>
      <w:rFonts w:asciiTheme="majorHAnsi" w:hAnsiTheme="majorHAnsi" w:eastAsiaTheme="majorEastAsia" w:cstheme="majorBidi"/>
      <w:b/>
      <w:bCs/>
      <w:color w:val="345A8A" w:themeColor="accent1" w:themeShade="B5"/>
      <w:sz w:val="36"/>
      <w:szCs w:val="36"/>
    </w:rPr>
    <w:pPr>
      <w:jc w:val="center"/>
      <w:keepLines/>
      <w:keepNext/>
      <w:spacing w:after="240" w:before="480"/>
    </w:pPr>
  </w:style>
  <w:style w:type="paragraph" w:styleId="661">
    <w:name w:val="Subtitle"/>
    <w:basedOn w:val="660"/>
    <w:next w:val="657"/>
    <w:qFormat/>
    <w:rPr>
      <w:sz w:val="30"/>
      <w:szCs w:val="30"/>
    </w:rPr>
    <w:pPr>
      <w:jc w:val="center"/>
      <w:keepLines/>
      <w:keepNext/>
      <w:spacing w:after="240" w:before="240"/>
    </w:pPr>
  </w:style>
  <w:style w:type="paragraph" w:styleId="662" w:customStyle="1">
    <w:name w:val="Author"/>
    <w:next w:val="657"/>
    <w:qFormat/>
    <w:pPr>
      <w:jc w:val="center"/>
      <w:keepLines/>
      <w:keepNext/>
    </w:pPr>
  </w:style>
  <w:style w:type="paragraph" w:styleId="663">
    <w:name w:val="Date"/>
    <w:next w:val="657"/>
    <w:qFormat/>
    <w:pPr>
      <w:jc w:val="center"/>
      <w:keepLines/>
      <w:keepNext/>
    </w:pPr>
  </w:style>
  <w:style w:type="paragraph" w:styleId="664" w:customStyle="1">
    <w:name w:val="Abstract"/>
    <w:basedOn w:val="656"/>
    <w:next w:val="657"/>
    <w:qFormat/>
    <w:rPr>
      <w:sz w:val="20"/>
      <w:szCs w:val="20"/>
    </w:rPr>
    <w:pPr>
      <w:keepLines/>
      <w:keepNext/>
      <w:spacing w:after="300" w:before="300"/>
    </w:pPr>
  </w:style>
  <w:style w:type="paragraph" w:styleId="665">
    <w:name w:val="Bibliography"/>
    <w:basedOn w:val="656"/>
    <w:next w:val="665"/>
    <w:qFormat/>
  </w:style>
  <w:style w:type="paragraph" w:styleId="666">
    <w:name w:val="Heading 1"/>
    <w:basedOn w:val="656"/>
    <w:next w:val="657"/>
    <w:qFormat/>
    <w:uiPriority w:val="9"/>
    <w:rPr>
      <w:rFonts w:asciiTheme="majorHAnsi" w:hAnsiTheme="majorHAnsi" w:eastAsiaTheme="majorEastAsia" w:cstheme="majorBidi"/>
      <w:b/>
      <w:bCs/>
      <w:color w:val="4F81BD" w:themeColor="accent1"/>
      <w:sz w:val="32"/>
      <w:szCs w:val="32"/>
    </w:rPr>
    <w:pPr>
      <w:keepLines/>
      <w:keepNext/>
      <w:spacing w:after="0" w:before="480"/>
      <w:outlineLvl w:val="0"/>
    </w:pPr>
  </w:style>
  <w:style w:type="paragraph" w:styleId="667">
    <w:name w:val="Heading 2"/>
    <w:basedOn w:val="656"/>
    <w:next w:val="657"/>
    <w:qFormat/>
    <w:uiPriority w:val="9"/>
    <w:unhideWhenUsed/>
    <w:rPr>
      <w:rFonts w:asciiTheme="majorHAnsi" w:hAnsiTheme="majorHAnsi" w:eastAsiaTheme="majorEastAsia" w:cstheme="majorBidi"/>
      <w:b/>
      <w:bCs/>
      <w:color w:val="4F81BD" w:themeColor="accent1"/>
      <w:sz w:val="28"/>
      <w:szCs w:val="28"/>
    </w:rPr>
    <w:pPr>
      <w:keepLines/>
      <w:keepNext/>
      <w:spacing w:after="0" w:before="200"/>
      <w:outlineLvl w:val="1"/>
    </w:pPr>
  </w:style>
  <w:style w:type="paragraph" w:styleId="668">
    <w:name w:val="Heading 3"/>
    <w:basedOn w:val="656"/>
    <w:next w:val="657"/>
    <w:qFormat/>
    <w:uiPriority w:val="9"/>
    <w:unhideWhenUsed/>
    <w:rPr>
      <w:rFonts w:asciiTheme="majorHAnsi" w:hAnsiTheme="majorHAnsi" w:eastAsiaTheme="majorEastAsia" w:cstheme="majorBidi"/>
      <w:b/>
      <w:bCs/>
      <w:color w:val="4F81BD" w:themeColor="accent1"/>
      <w:sz w:val="24"/>
      <w:szCs w:val="24"/>
    </w:rPr>
    <w:pPr>
      <w:keepLines/>
      <w:keepNext/>
      <w:spacing w:after="0" w:before="200"/>
      <w:outlineLvl w:val="2"/>
    </w:pPr>
  </w:style>
  <w:style w:type="paragraph" w:styleId="669">
    <w:name w:val="Heading 4"/>
    <w:basedOn w:val="656"/>
    <w:next w:val="657"/>
    <w:qFormat/>
    <w:uiPriority w:val="9"/>
    <w:unhideWhenUsed/>
    <w:rPr>
      <w:rFonts w:asciiTheme="majorHAnsi" w:hAnsiTheme="majorHAnsi" w:eastAsiaTheme="majorEastAsia" w:cstheme="majorBidi"/>
      <w:bCs/>
      <w:i/>
      <w:color w:val="4F81BD" w:themeColor="accent1"/>
      <w:sz w:val="24"/>
      <w:szCs w:val="24"/>
    </w:rPr>
    <w:pPr>
      <w:keepLines/>
      <w:keepNext/>
      <w:spacing w:after="0" w:before="200"/>
      <w:outlineLvl w:val="3"/>
    </w:pPr>
  </w:style>
  <w:style w:type="paragraph" w:styleId="670">
    <w:name w:val="Heading 5"/>
    <w:basedOn w:val="656"/>
    <w:next w:val="657"/>
    <w:qFormat/>
    <w:uiPriority w:val="9"/>
    <w:unhideWhenUsed/>
    <w:rPr>
      <w:rFonts w:asciiTheme="majorHAnsi" w:hAnsiTheme="majorHAnsi" w:eastAsiaTheme="majorEastAsia" w:cstheme="majorBidi"/>
      <w:iCs/>
      <w:color w:val="4F81BD" w:themeColor="accent1"/>
      <w:sz w:val="24"/>
      <w:szCs w:val="24"/>
    </w:rPr>
    <w:pPr>
      <w:keepLines/>
      <w:keepNext/>
      <w:spacing w:after="0" w:before="200"/>
      <w:outlineLvl w:val="4"/>
    </w:pPr>
  </w:style>
  <w:style w:type="paragraph" w:styleId="671">
    <w:name w:val="Heading 6"/>
    <w:basedOn w:val="656"/>
    <w:next w:val="657"/>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5"/>
    </w:pPr>
  </w:style>
  <w:style w:type="paragraph" w:styleId="672">
    <w:name w:val="Heading 7"/>
    <w:basedOn w:val="656"/>
    <w:next w:val="657"/>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6"/>
    </w:pPr>
  </w:style>
  <w:style w:type="paragraph" w:styleId="673">
    <w:name w:val="Heading 8"/>
    <w:basedOn w:val="656"/>
    <w:next w:val="657"/>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7"/>
    </w:pPr>
  </w:style>
  <w:style w:type="paragraph" w:styleId="674">
    <w:name w:val="Heading 9"/>
    <w:basedOn w:val="656"/>
    <w:next w:val="657"/>
    <w:qFormat/>
    <w:uiPriority w:val="9"/>
    <w:unhideWhenUsed/>
    <w:rPr>
      <w:rFonts w:asciiTheme="majorHAnsi" w:hAnsiTheme="majorHAnsi" w:eastAsiaTheme="majorEastAsia" w:cstheme="majorBidi"/>
      <w:color w:val="4F81BD" w:themeColor="accent1"/>
      <w:sz w:val="24"/>
      <w:szCs w:val="24"/>
    </w:rPr>
    <w:pPr>
      <w:keepLines/>
      <w:keepNext/>
      <w:spacing w:after="0" w:before="200"/>
      <w:outlineLvl w:val="8"/>
    </w:pPr>
  </w:style>
  <w:style w:type="paragraph" w:styleId="675">
    <w:name w:val="Block Text"/>
    <w:basedOn w:val="657"/>
    <w:next w:val="657"/>
    <w:qFormat/>
    <w:uiPriority w:val="9"/>
    <w:unhideWhenUsed/>
    <w:pPr>
      <w:ind w:left="480" w:right="480" w:firstLine="0"/>
      <w:spacing w:after="100" w:before="100"/>
    </w:pPr>
  </w:style>
  <w:style w:type="paragraph" w:styleId="676">
    <w:name w:val="footnote text"/>
    <w:basedOn w:val="656"/>
    <w:next w:val="676"/>
    <w:qFormat/>
    <w:uiPriority w:val="9"/>
    <w:unhideWhenUsed/>
  </w:style>
  <w:style w:type="character" w:styleId="677" w:default="1">
    <w:name w:val="Default Paragraph Font"/>
    <w:semiHidden/>
    <w:unhideWhenUsed/>
  </w:style>
  <w:style w:type="table" w:styleId="678" w:default="1">
    <w:name w:val="Table"/>
    <w:qFormat/>
    <w:semiHidden/>
    <w:unhideWhenUsed/>
    <w:tblPr>
      <w:tblInd w:w="0" w:type="dxa"/>
      <w:tblCellMar>
        <w:left w:w="108" w:type="dxa"/>
        <w:top w:w="0" w:type="dxa"/>
        <w:right w:w="108" w:type="dxa"/>
        <w:bottom w:w="0" w:type="dxa"/>
      </w:tblCellMar>
    </w:tblPr>
    <w:tblStylePr w:type="firstRow">
      <w:tblPr>
        <w:tblInd w:w="0" w:type="dxa"/>
      </w:tblPr>
      <w:trPr>
        <w:jc w:val="left"/>
      </w:trPr>
      <w:tcPr>
        <w:tcBorders>
          <w:bottom w:val="single" w:color="000000" w:sz="4" w:space="0"/>
        </w:tcBorders>
        <w:vAlign w:val="bottom"/>
      </w:tcPr>
    </w:tblStylePr>
  </w:style>
  <w:style w:type="paragraph" w:styleId="679" w:customStyle="1">
    <w:name w:val="Definition Term"/>
    <w:basedOn w:val="656"/>
    <w:next w:val="680"/>
    <w:rPr>
      <w:b/>
    </w:rPr>
    <w:pPr>
      <w:keepLines/>
      <w:keepNext/>
      <w:spacing w:after="0"/>
    </w:pPr>
  </w:style>
  <w:style w:type="paragraph" w:styleId="680" w:customStyle="1">
    <w:name w:val="Definition"/>
    <w:basedOn w:val="656"/>
  </w:style>
  <w:style w:type="paragraph" w:styleId="681">
    <w:name w:val="Caption"/>
    <w:basedOn w:val="656"/>
    <w:link w:val="686"/>
    <w:rPr>
      <w:i/>
    </w:rPr>
    <w:pPr>
      <w:spacing w:after="120" w:before="0"/>
    </w:pPr>
  </w:style>
  <w:style w:type="paragraph" w:styleId="682" w:customStyle="1">
    <w:name w:val="Table Caption"/>
    <w:basedOn w:val="681"/>
    <w:pPr>
      <w:keepNext/>
    </w:pPr>
  </w:style>
  <w:style w:type="paragraph" w:styleId="683" w:customStyle="1">
    <w:name w:val="Image Caption"/>
    <w:basedOn w:val="681"/>
  </w:style>
  <w:style w:type="paragraph" w:styleId="684" w:customStyle="1">
    <w:name w:val="Figure"/>
    <w:basedOn w:val="656"/>
  </w:style>
  <w:style w:type="paragraph" w:styleId="685" w:customStyle="1">
    <w:name w:val="Captioned Figure"/>
    <w:basedOn w:val="684"/>
    <w:pPr>
      <w:keepNext/>
    </w:pPr>
  </w:style>
  <w:style w:type="character" w:styleId="686" w:customStyle="1">
    <w:name w:val="Body Text Char"/>
    <w:basedOn w:val="677"/>
    <w:link w:val="657"/>
  </w:style>
  <w:style w:type="character" w:styleId="687" w:customStyle="1">
    <w:name w:val="Verbatim Char"/>
    <w:basedOn w:val="686"/>
    <w:rPr>
      <w:rFonts w:ascii="Consolas" w:hAnsi="Consolas"/>
      <w:sz w:val="22"/>
    </w:rPr>
  </w:style>
  <w:style w:type="character" w:styleId="688" w:customStyle="1">
    <w:name w:val="Section Number"/>
    <w:basedOn w:val="686"/>
  </w:style>
  <w:style w:type="character" w:styleId="689">
    <w:name w:val="footnote reference"/>
    <w:basedOn w:val="686"/>
    <w:rPr>
      <w:vertAlign w:val="superscript"/>
    </w:rPr>
  </w:style>
  <w:style w:type="character" w:styleId="690">
    <w:name w:val="Hyperlink"/>
    <w:basedOn w:val="686"/>
    <w:rPr>
      <w:color w:val="4F81BD" w:themeColor="accent1"/>
    </w:rPr>
  </w:style>
  <w:style w:type="paragraph" w:styleId="691">
    <w:name w:val="TOC Heading"/>
    <w:basedOn w:val="666"/>
    <w:next w:val="657"/>
    <w:qFormat/>
    <w:uiPriority w:val="39"/>
    <w:unhideWhenUsed/>
    <w:rPr>
      <w:rFonts w:asciiTheme="majorHAnsi" w:hAnsiTheme="majorHAnsi" w:eastAsiaTheme="majorEastAsia" w:cstheme="majorBidi"/>
      <w:b w:val="false"/>
      <w:bCs w:val="false"/>
      <w:color w:val="365F91" w:themeColor="accent1" w:themeShade="BF"/>
    </w:rPr>
    <w:pPr>
      <w:spacing w:lineRule="auto" w:line="259" w:before="240"/>
      <w:outlineLvl w:val="9"/>
    </w:pPr>
  </w:style>
  <w:style w:type="paragraph" w:styleId="692" w:customStyle="1">
    <w:name w:val="Source Code"/>
    <w:basedOn w:val="656"/>
    <w:link w:val="687"/>
    <w:pPr>
      <w:shd w:val="clear" w:fill="F8F8F8" w:color="auto"/>
    </w:pPr>
  </w:style>
  <w:style w:type="character" w:styleId="693" w:customStyle="1">
    <w:name w:val="KeywordTok"/>
    <w:basedOn w:val="687"/>
    <w:rPr>
      <w:b/>
      <w:color w:val="204A87"/>
      <w:shd w:val="clear" w:fill="F8F8F8" w:color="auto"/>
    </w:rPr>
  </w:style>
  <w:style w:type="character" w:styleId="694" w:customStyle="1">
    <w:name w:val="DataTypeTok"/>
    <w:basedOn w:val="687"/>
    <w:rPr>
      <w:color w:val="204A87"/>
      <w:shd w:val="clear" w:fill="F8F8F8" w:color="auto"/>
    </w:rPr>
  </w:style>
  <w:style w:type="character" w:styleId="695" w:customStyle="1">
    <w:name w:val="DecValTok"/>
    <w:basedOn w:val="687"/>
    <w:rPr>
      <w:color w:val="0000CF"/>
      <w:shd w:val="clear" w:fill="F8F8F8" w:color="auto"/>
    </w:rPr>
  </w:style>
  <w:style w:type="character" w:styleId="696" w:customStyle="1">
    <w:name w:val="BaseNTok"/>
    <w:basedOn w:val="687"/>
    <w:rPr>
      <w:color w:val="0000CF"/>
      <w:shd w:val="clear" w:fill="F8F8F8" w:color="auto"/>
    </w:rPr>
  </w:style>
  <w:style w:type="character" w:styleId="697" w:customStyle="1">
    <w:name w:val="FloatTok"/>
    <w:basedOn w:val="687"/>
    <w:rPr>
      <w:color w:val="0000CF"/>
      <w:shd w:val="clear" w:fill="F8F8F8" w:color="auto"/>
    </w:rPr>
  </w:style>
  <w:style w:type="character" w:styleId="698" w:customStyle="1">
    <w:name w:val="ConstantTok"/>
    <w:basedOn w:val="687"/>
    <w:rPr>
      <w:color w:val="000000"/>
      <w:shd w:val="clear" w:fill="F8F8F8" w:color="auto"/>
    </w:rPr>
  </w:style>
  <w:style w:type="character" w:styleId="699" w:customStyle="1">
    <w:name w:val="CharTok"/>
    <w:basedOn w:val="687"/>
    <w:rPr>
      <w:color w:val="4E9A06"/>
      <w:shd w:val="clear" w:fill="F8F8F8" w:color="auto"/>
    </w:rPr>
  </w:style>
  <w:style w:type="character" w:styleId="700" w:customStyle="1">
    <w:name w:val="SpecialCharTok"/>
    <w:basedOn w:val="687"/>
    <w:rPr>
      <w:color w:val="000000"/>
      <w:shd w:val="clear" w:fill="F8F8F8" w:color="auto"/>
    </w:rPr>
  </w:style>
  <w:style w:type="character" w:styleId="701" w:customStyle="1">
    <w:name w:val="StringTok"/>
    <w:basedOn w:val="687"/>
    <w:rPr>
      <w:color w:val="4E9A06"/>
      <w:shd w:val="clear" w:fill="F8F8F8" w:color="auto"/>
    </w:rPr>
  </w:style>
  <w:style w:type="character" w:styleId="702" w:customStyle="1">
    <w:name w:val="VerbatimStringTok"/>
    <w:basedOn w:val="687"/>
    <w:rPr>
      <w:color w:val="4E9A06"/>
      <w:shd w:val="clear" w:fill="F8F8F8" w:color="auto"/>
    </w:rPr>
  </w:style>
  <w:style w:type="character" w:styleId="703" w:customStyle="1">
    <w:name w:val="SpecialStringTok"/>
    <w:basedOn w:val="687"/>
    <w:rPr>
      <w:color w:val="4E9A06"/>
      <w:shd w:val="clear" w:fill="F8F8F8" w:color="auto"/>
    </w:rPr>
  </w:style>
  <w:style w:type="character" w:styleId="704" w:customStyle="1">
    <w:name w:val="ImportTok"/>
    <w:basedOn w:val="687"/>
    <w:rPr>
      <w:shd w:val="clear" w:fill="F8F8F8" w:color="auto"/>
    </w:rPr>
  </w:style>
  <w:style w:type="character" w:styleId="705" w:customStyle="1">
    <w:name w:val="CommentTok"/>
    <w:basedOn w:val="687"/>
    <w:rPr>
      <w:i/>
      <w:color w:val="8F5902"/>
      <w:shd w:val="clear" w:fill="F8F8F8" w:color="auto"/>
    </w:rPr>
  </w:style>
  <w:style w:type="character" w:styleId="706" w:customStyle="1">
    <w:name w:val="DocumentationTok"/>
    <w:basedOn w:val="687"/>
    <w:rPr>
      <w:b/>
      <w:i/>
      <w:color w:val="8F5902"/>
      <w:shd w:val="clear" w:fill="F8F8F8" w:color="auto"/>
    </w:rPr>
  </w:style>
  <w:style w:type="character" w:styleId="707" w:customStyle="1">
    <w:name w:val="AnnotationTok"/>
    <w:basedOn w:val="687"/>
    <w:rPr>
      <w:b/>
      <w:i/>
      <w:color w:val="8F5902"/>
      <w:shd w:val="clear" w:fill="F8F8F8" w:color="auto"/>
    </w:rPr>
  </w:style>
  <w:style w:type="character" w:styleId="708" w:customStyle="1">
    <w:name w:val="CommentVarTok"/>
    <w:basedOn w:val="687"/>
    <w:rPr>
      <w:b/>
      <w:i/>
      <w:color w:val="8F5902"/>
      <w:shd w:val="clear" w:fill="F8F8F8" w:color="auto"/>
    </w:rPr>
  </w:style>
  <w:style w:type="character" w:styleId="709" w:customStyle="1">
    <w:name w:val="OtherTok"/>
    <w:basedOn w:val="687"/>
    <w:rPr>
      <w:color w:val="8F5902"/>
      <w:shd w:val="clear" w:fill="F8F8F8" w:color="auto"/>
    </w:rPr>
  </w:style>
  <w:style w:type="character" w:styleId="710" w:customStyle="1">
    <w:name w:val="FunctionTok"/>
    <w:basedOn w:val="687"/>
    <w:rPr>
      <w:color w:val="000000"/>
      <w:shd w:val="clear" w:fill="F8F8F8" w:color="auto"/>
    </w:rPr>
  </w:style>
  <w:style w:type="character" w:styleId="711" w:customStyle="1">
    <w:name w:val="VariableTok"/>
    <w:basedOn w:val="687"/>
    <w:rPr>
      <w:color w:val="000000"/>
      <w:shd w:val="clear" w:fill="F8F8F8" w:color="auto"/>
    </w:rPr>
  </w:style>
  <w:style w:type="character" w:styleId="712" w:customStyle="1">
    <w:name w:val="ControlFlowTok"/>
    <w:basedOn w:val="687"/>
    <w:rPr>
      <w:b/>
      <w:color w:val="204A87"/>
      <w:shd w:val="clear" w:fill="F8F8F8" w:color="auto"/>
    </w:rPr>
  </w:style>
  <w:style w:type="character" w:styleId="713" w:customStyle="1">
    <w:name w:val="OperatorTok"/>
    <w:basedOn w:val="687"/>
    <w:rPr>
      <w:b/>
      <w:color w:val="CE5C00"/>
      <w:shd w:val="clear" w:fill="F8F8F8" w:color="auto"/>
    </w:rPr>
  </w:style>
  <w:style w:type="character" w:styleId="714" w:customStyle="1">
    <w:name w:val="BuiltInTok"/>
    <w:basedOn w:val="687"/>
    <w:rPr>
      <w:shd w:val="clear" w:fill="F8F8F8" w:color="auto"/>
    </w:rPr>
  </w:style>
  <w:style w:type="character" w:styleId="715" w:customStyle="1">
    <w:name w:val="ExtensionTok"/>
    <w:basedOn w:val="687"/>
    <w:rPr>
      <w:shd w:val="clear" w:fill="F8F8F8" w:color="auto"/>
    </w:rPr>
  </w:style>
  <w:style w:type="character" w:styleId="716" w:customStyle="1">
    <w:name w:val="PreprocessorTok"/>
    <w:basedOn w:val="687"/>
    <w:rPr>
      <w:i/>
      <w:color w:val="8F5902"/>
      <w:shd w:val="clear" w:fill="F8F8F8" w:color="auto"/>
    </w:rPr>
  </w:style>
  <w:style w:type="character" w:styleId="717" w:customStyle="1">
    <w:name w:val="AttributeTok"/>
    <w:basedOn w:val="687"/>
    <w:rPr>
      <w:color w:val="C4A000"/>
      <w:shd w:val="clear" w:fill="F8F8F8" w:color="auto"/>
    </w:rPr>
  </w:style>
  <w:style w:type="character" w:styleId="718" w:customStyle="1">
    <w:name w:val="RegionMarkerTok"/>
    <w:basedOn w:val="687"/>
    <w:rPr>
      <w:shd w:val="clear" w:fill="F8F8F8" w:color="auto"/>
    </w:rPr>
  </w:style>
  <w:style w:type="character" w:styleId="719" w:customStyle="1">
    <w:name w:val="InformationTok"/>
    <w:basedOn w:val="687"/>
    <w:rPr>
      <w:b/>
      <w:i/>
      <w:color w:val="8F5902"/>
      <w:shd w:val="clear" w:fill="F8F8F8" w:color="auto"/>
    </w:rPr>
  </w:style>
  <w:style w:type="character" w:styleId="720" w:customStyle="1">
    <w:name w:val="WarningTok"/>
    <w:basedOn w:val="687"/>
    <w:rPr>
      <w:b/>
      <w:i/>
      <w:color w:val="8F5902"/>
      <w:shd w:val="clear" w:fill="F8F8F8" w:color="auto"/>
    </w:rPr>
  </w:style>
  <w:style w:type="character" w:styleId="721" w:customStyle="1">
    <w:name w:val="AlertTok"/>
    <w:basedOn w:val="687"/>
    <w:rPr>
      <w:color w:val="EF2929"/>
      <w:shd w:val="clear" w:fill="F8F8F8" w:color="auto"/>
    </w:rPr>
  </w:style>
  <w:style w:type="character" w:styleId="722" w:customStyle="1">
    <w:name w:val="ErrorTok"/>
    <w:basedOn w:val="687"/>
    <w:rPr>
      <w:b/>
      <w:color w:val="A40000"/>
      <w:shd w:val="clear" w:fill="F8F8F8" w:color="auto"/>
    </w:rPr>
  </w:style>
  <w:style w:type="character" w:styleId="723" w:customStyle="1">
    <w:name w:val="NormalTok"/>
    <w:basedOn w:val="687"/>
    <w:rPr>
      <w:shd w:val="clear" w:fill="F8F8F8" w:color="auto"/>
    </w:rPr>
  </w:style>
  <w:style w:type="numbering" w:styleId="10559" w:default="1">
    <w:name w:val="No List"/>
    <w:uiPriority w:val="99"/>
    <w:semiHidden/>
    <w:unhideWhenUsed/>
  </w:style>
  <w:style w:type="paragraph" w:styleId="1_935" w:customStyle="1">
    <w:name w:val="Default"/>
    <w:rPr>
      <w:rFonts w:ascii="Cambria" w:hAnsi="Cambria" w:cs="Cambria" w:eastAsia="Times New Roman"/>
      <w:b w:val="false"/>
      <w:bCs w:val="false"/>
      <w:i w:val="false"/>
      <w:iCs w:val="false"/>
      <w:caps w:val="false"/>
      <w:smallCaps w:val="false"/>
      <w:strike w:val="false"/>
      <w:vanish w:val="false"/>
      <w:color w:val="000000"/>
      <w:spacing w:val="0"/>
      <w:position w:val="0"/>
      <w:sz w:val="24"/>
      <w:szCs w:val="24"/>
      <w:highlight w:val="none"/>
      <w:u w:val="none"/>
      <w:vertAlign w:val="baseline"/>
      <w:rtl w:val="false"/>
      <w:cs w:val="false"/>
      <w:lang w:val="en-US" w:bidi="ar-SA" w:eastAsia="en-US"/>
    </w:rPr>
    <w:pPr>
      <w:contextualSpacing w:val="false"/>
      <w:ind w:left="0" w:right="0" w:firstLine="0"/>
      <w:jc w:val="left"/>
      <w:keepLines w:val="false"/>
      <w:keepNext w:val="false"/>
      <w:pageBreakBefore w:val="false"/>
      <w:spacing w:lineRule="auto" w:line="240" w:after="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hyperlink" Target="rddr.io" TargetMode="Externa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s://bioconductor.org/packages/release/bioc/html/ExperimentSubset.html" TargetMode="External"/><Relationship Id="rId37" Type="http://schemas.openxmlformats.org/officeDocument/2006/relationships/hyperlink" Target="https://github.com/campbio/ExperimentSubset" TargetMode="External"/><Relationship Id="rId38" Type="http://schemas.openxmlformats.org/officeDocument/2006/relationships/hyperlink" Target="https://doi.org/10.1136/BMJ.324.7344.1018" TargetMode="External"/><Relationship Id="rId39" Type="http://schemas.openxmlformats.org/officeDocument/2006/relationships/hyperlink" Target="https://doi.org/10.1177/11779322211002168" TargetMode="External"/><Relationship Id="rId40" Type="http://schemas.openxmlformats.org/officeDocument/2006/relationships/hyperlink" Target="https://doi.org/10.1161/CIRCULATIONAHA.110.972828" TargetMode="External"/><Relationship Id="rId41" Type="http://schemas.openxmlformats.org/officeDocument/2006/relationships/hyperlink" Target="https://doi.org/10.1093/BIOINFORMATICS/BTM225" TargetMode="External"/><Relationship Id="rId42" Type="http://schemas.openxmlformats.org/officeDocument/2006/relationships/hyperlink" Target="https://www.ncbi.nlm.nih.gov/books/NBK6824/" TargetMode="External"/><Relationship Id="rId43" Type="http://schemas.openxmlformats.org/officeDocument/2006/relationships/hyperlink" Target="https://doi.org/10.7554/ELIFE.47381" TargetMode="External"/><Relationship Id="rId44" Type="http://schemas.openxmlformats.org/officeDocument/2006/relationships/hyperlink" Target="https://doi.org/10.1016/S0140-6736(10)60452-7" TargetMode="External"/><Relationship Id="rId45" Type="http://schemas.openxmlformats.org/officeDocument/2006/relationships/hyperlink" Target="https://doi.org/10.1093/BIB/BBY051" TargetMode="External"/><Relationship Id="rId46" Type="http://schemas.openxmlformats.org/officeDocument/2006/relationships/hyperlink" Target="https://www.r-project.org/" TargetMode="External"/><Relationship Id="rId47" Type="http://schemas.openxmlformats.org/officeDocument/2006/relationships/hyperlink" Target="https://doi.org/10.1186/gb-2004-5-10-r80" TargetMode="External"/><Relationship Id="rId48" Type="http://schemas.openxmlformats.org/officeDocument/2006/relationships/hyperlink" Target="https://doi.org/10.18129/B9.bioc.SummarizedExperiment" TargetMode="External"/><Relationship Id="rId49" Type="http://schemas.openxmlformats.org/officeDocument/2006/relationships/hyperlink" Target="http://bioconductor.org/packages/release/bioc/html/SingleCellExperiment.html" TargetMode="External"/><Relationship Id="rId50" Type="http://schemas.openxmlformats.org/officeDocument/2006/relationships/hyperlink" Target="https://doi.org/10.1016/j.molcel.2015.05.004" TargetMode="External"/><Relationship Id="rId51" Type="http://schemas.openxmlformats.org/officeDocument/2006/relationships/hyperlink" Target="https://doi.org/10.1186/s13073-017-0467-4" TargetMode="External"/><Relationship Id="rId52" Type="http://schemas.openxmlformats.org/officeDocument/2006/relationships/hyperlink" Target="https://doi.org/10.1016/j.beha.2009.07.001" TargetMode="External"/><Relationship Id="rId53" Type="http://schemas.openxmlformats.org/officeDocument/2006/relationships/hyperlink" Target="https://doi.org/10.1016/j.drudis.2018.05.015" TargetMode="External"/><Relationship Id="rId54" Type="http://schemas.openxmlformats.org/officeDocument/2006/relationships/hyperlink" Target="https://doi.org/10.3390/jpm8030030" TargetMode="External"/><Relationship Id="rId55" Type="http://schemas.openxmlformats.org/officeDocument/2006/relationships/hyperlink" Target="https://doi.org/10.1016/j.imu.2018.05.003" TargetMode="External"/><Relationship Id="rId56" Type="http://schemas.openxmlformats.org/officeDocument/2006/relationships/hyperlink" Target="https://support.10xgenomics.com/single-cell-gene-expression/datasets" TargetMode="External"/><Relationship Id="rId57" Type="http://schemas.openxmlformats.org/officeDocument/2006/relationships/hyperlink" Target="https://doi.org/10.1016/j.jcmgh.2018.01.023" TargetMode="External"/><Relationship Id="rId58" Type="http://schemas.openxmlformats.org/officeDocument/2006/relationships/hyperlink" Target="https://github.com/rstudio/shiny/issues" TargetMode="External"/><Relationship Id="rId59" Type="http://schemas.openxmlformats.org/officeDocument/2006/relationships/hyperlink" Target="https://doi.org/10.1093/bib/bby011" TargetMode="External"/><Relationship Id="rId60" Type="http://schemas.openxmlformats.org/officeDocument/2006/relationships/hyperlink" Target="https://doi.org/10.1016/j.cell.2019.05.031" TargetMode="External"/><Relationship Id="rId61" Type="http://schemas.openxmlformats.org/officeDocument/2006/relationships/hyperlink" Target="https://compbiomed.github.io/sctk_docs/" TargetMode="External"/><Relationship Id="rId62" Type="http://schemas.openxmlformats.org/officeDocument/2006/relationships/hyperlink" Target="http://bioconductor.org" TargetMode="External"/><Relationship Id="rId63" Type="http://schemas.openxmlformats.org/officeDocument/2006/relationships/hyperlink" Target="https://doi.org/10.1101/gr.121095.111" TargetMode="External"/><Relationship Id="rId64" Type="http://schemas.openxmlformats.org/officeDocument/2006/relationships/hyperlink" Target="https://doi.org/10.1158/0008-5472.CAN-17-0344" TargetMode="External"/><Relationship Id="rId65" Type="http://schemas.openxmlformats.org/officeDocument/2006/relationships/hyperlink" Target="https://doi.org/10.1038/ng.2764" TargetMode="External"/><Relationship Id="rId66" Type="http://schemas.openxmlformats.org/officeDocument/2006/relationships/hyperlink" Target="https://doi.org/10.1038/nbt.3192" TargetMode="External"/><Relationship Id="rId67" Type="http://schemas.openxmlformats.org/officeDocument/2006/relationships/hyperlink" Target="https://doi.org/10.1016/j.cell.2021.04.048" TargetMode="External"/><Relationship Id="rId68" Type="http://schemas.openxmlformats.org/officeDocument/2006/relationships/hyperlink" Target="https://doi.org/10.1038/nmeth.4402" TargetMode="External"/><Relationship Id="rId69" Type="http://schemas.openxmlformats.org/officeDocument/2006/relationships/hyperlink" Target="https://doi.org/10.1038/nmeth.4150" TargetMode="External"/><Relationship Id="rId70" Type="http://schemas.openxmlformats.org/officeDocument/2006/relationships/hyperlink" Target="https://doi.org/10.1038/nbt.2859" TargetMode="External"/><Relationship Id="rId71" Type="http://schemas.openxmlformats.org/officeDocument/2006/relationships/hyperlink" Target="https://doi.org/10.12688/f1000research.26669.2" TargetMode="External"/><Relationship Id="rId72" Type="http://schemas.openxmlformats.org/officeDocument/2006/relationships/hyperlink" Target="https://doi.org/10.1101/2021.01.27.428431" TargetMode="External"/><Relationship Id="rId73" Type="http://schemas.openxmlformats.org/officeDocument/2006/relationships/hyperlink" Target="https://CRAN.R-project.org/package=roxygen2" TargetMode="External"/><Relationship Id="rId74" Type="http://schemas.openxmlformats.org/officeDocument/2006/relationships/hyperlink" Target="https://bookdown.org/yihui/rmarkdown-cookbook" TargetMode="External"/><Relationship Id="rId75" Type="http://schemas.openxmlformats.org/officeDocument/2006/relationships/hyperlink" Target="https://bookdown.org/yihui/rmarkdown" TargetMode="External"/><Relationship Id="rId76" Type="http://schemas.openxmlformats.org/officeDocument/2006/relationships/hyperlink" Target="https://github.com/rstudio/rmarkdown" TargetMode="External"/><Relationship Id="rId77" Type="http://schemas.openxmlformats.org/officeDocument/2006/relationships/hyperlink" Target="https://journal.r-project.org/archive/2011-1/RJournal_2011-1_Wickham.pdf" TargetMode="External"/><Relationship Id="rId78" Type="http://schemas.openxmlformats.org/officeDocument/2006/relationships/hyperlink" Target="https://doi.org/10.1038/s41592-019-0654-x" TargetMode="External"/><Relationship Id="rId79" Type="http://schemas.openxmlformats.org/officeDocument/2006/relationships/hyperlink" Target="https://CRAN.R-project.org/package=Matrix" TargetMode="External"/><Relationship Id="rId80" Type="http://schemas.openxmlformats.org/officeDocument/2006/relationships/hyperlink" Target="http://www.hdfgroup.org/HDF5" TargetMode="External"/><Relationship Id="rId81" Type="http://schemas.openxmlformats.org/officeDocument/2006/relationships/hyperlink" Target="https://doi.org/10.14778/3025111.3025117"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intLim m:val="subSup"/>
    <m:lMargin m:val="0"/>
    <m:mathFont m:val="Lucida Grande"/>
    <m:naryLim m:val="subSup"/>
    <m:rMargin m:val="0"/>
    <m:smallFrac m:val="off"/>
    <m:wrapRight m:val="on"/>
  </m:mathPr>
  <w:trackRevisions w:val="false"/>
  <w:footnotePr>
    <w:numFmt w:val="decimal"/>
    <w:numRestart w:val="continuous"/>
    <w:numStart w:val="1"/>
    <w:pos w:val="pageBottom"/>
  </w:footnotePr>
  <w:endnotePr>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27" w:default="1">
    <w:name w:val="Normal"/>
    <w:qFormat/>
  </w:style>
  <w:style w:type="character" w:styleId="228" w:default="1">
    <w:name w:val="Default Paragraph Font"/>
    <w:uiPriority w:val="1"/>
    <w:semiHidden/>
    <w:unhideWhenUsed/>
  </w:style>
  <w:style w:type="numbering" w:styleId="229" w:default="1">
    <w:name w:val="No List"/>
    <w:uiPriority w:val="99"/>
    <w:semiHidden/>
    <w:unhideWhenUsed/>
  </w:style>
  <w:style w:type="paragraph" w:styleId="230">
    <w:name w:val="Heading 1"/>
    <w:basedOn w:val="227"/>
    <w:next w:val="227"/>
    <w:link w:val="231"/>
    <w:qFormat/>
    <w:uiPriority w:val="9"/>
    <w:rPr>
      <w:rFonts w:ascii="Arial" w:hAnsi="Arial" w:cs="Arial" w:eastAsia="Arial"/>
      <w:sz w:val="40"/>
      <w:szCs w:val="40"/>
    </w:rPr>
    <w:pPr>
      <w:keepLines/>
      <w:keepNext/>
      <w:spacing w:after="200" w:before="480"/>
      <w:outlineLvl w:val="0"/>
    </w:pPr>
  </w:style>
  <w:style w:type="character" w:styleId="231">
    <w:name w:val="Heading 1 Char"/>
    <w:basedOn w:val="228"/>
    <w:link w:val="230"/>
    <w:uiPriority w:val="9"/>
    <w:rPr>
      <w:rFonts w:ascii="Arial" w:hAnsi="Arial" w:cs="Arial" w:eastAsia="Arial"/>
      <w:sz w:val="40"/>
      <w:szCs w:val="40"/>
    </w:rPr>
  </w:style>
  <w:style w:type="paragraph" w:styleId="232">
    <w:name w:val="Heading 2"/>
    <w:basedOn w:val="227"/>
    <w:next w:val="227"/>
    <w:link w:val="233"/>
    <w:qFormat/>
    <w:uiPriority w:val="9"/>
    <w:unhideWhenUsed/>
    <w:rPr>
      <w:rFonts w:ascii="Arial" w:hAnsi="Arial" w:cs="Arial" w:eastAsia="Arial"/>
      <w:sz w:val="34"/>
    </w:rPr>
    <w:pPr>
      <w:keepLines/>
      <w:keepNext/>
      <w:spacing w:after="200" w:before="360"/>
      <w:outlineLvl w:val="1"/>
    </w:pPr>
  </w:style>
  <w:style w:type="character" w:styleId="233">
    <w:name w:val="Heading 2 Char"/>
    <w:basedOn w:val="228"/>
    <w:link w:val="232"/>
    <w:uiPriority w:val="9"/>
    <w:rPr>
      <w:rFonts w:ascii="Arial" w:hAnsi="Arial" w:cs="Arial" w:eastAsia="Arial"/>
      <w:sz w:val="34"/>
    </w:rPr>
  </w:style>
  <w:style w:type="paragraph" w:styleId="234">
    <w:name w:val="Heading 3"/>
    <w:basedOn w:val="227"/>
    <w:next w:val="227"/>
    <w:link w:val="235"/>
    <w:qFormat/>
    <w:uiPriority w:val="9"/>
    <w:unhideWhenUsed/>
    <w:rPr>
      <w:rFonts w:ascii="Arial" w:hAnsi="Arial" w:cs="Arial" w:eastAsia="Arial"/>
      <w:sz w:val="30"/>
      <w:szCs w:val="30"/>
    </w:rPr>
    <w:pPr>
      <w:keepLines/>
      <w:keepNext/>
      <w:spacing w:after="200" w:before="320"/>
      <w:outlineLvl w:val="2"/>
    </w:pPr>
  </w:style>
  <w:style w:type="character" w:styleId="235">
    <w:name w:val="Heading 3 Char"/>
    <w:basedOn w:val="228"/>
    <w:link w:val="234"/>
    <w:uiPriority w:val="9"/>
    <w:rPr>
      <w:rFonts w:ascii="Arial" w:hAnsi="Arial" w:cs="Arial" w:eastAsia="Arial"/>
      <w:sz w:val="30"/>
      <w:szCs w:val="30"/>
    </w:rPr>
  </w:style>
  <w:style w:type="paragraph" w:styleId="236">
    <w:name w:val="Heading 4"/>
    <w:basedOn w:val="227"/>
    <w:next w:val="227"/>
    <w:link w:val="237"/>
    <w:qFormat/>
    <w:uiPriority w:val="9"/>
    <w:unhideWhenUsed/>
    <w:rPr>
      <w:rFonts w:ascii="Arial" w:hAnsi="Arial" w:cs="Arial" w:eastAsia="Arial"/>
      <w:b/>
      <w:bCs/>
      <w:sz w:val="26"/>
      <w:szCs w:val="26"/>
    </w:rPr>
    <w:pPr>
      <w:keepLines/>
      <w:keepNext/>
      <w:spacing w:after="200" w:before="320"/>
      <w:outlineLvl w:val="3"/>
    </w:pPr>
  </w:style>
  <w:style w:type="character" w:styleId="237">
    <w:name w:val="Heading 4 Char"/>
    <w:basedOn w:val="228"/>
    <w:link w:val="236"/>
    <w:uiPriority w:val="9"/>
    <w:rPr>
      <w:rFonts w:ascii="Arial" w:hAnsi="Arial" w:cs="Arial" w:eastAsia="Arial"/>
      <w:b/>
      <w:bCs/>
      <w:sz w:val="26"/>
      <w:szCs w:val="26"/>
    </w:rPr>
  </w:style>
  <w:style w:type="paragraph" w:styleId="238">
    <w:name w:val="Heading 5"/>
    <w:basedOn w:val="227"/>
    <w:next w:val="227"/>
    <w:link w:val="239"/>
    <w:qFormat/>
    <w:uiPriority w:val="9"/>
    <w:unhideWhenUsed/>
    <w:rPr>
      <w:rFonts w:ascii="Arial" w:hAnsi="Arial" w:cs="Arial" w:eastAsia="Arial"/>
      <w:b/>
      <w:bCs/>
      <w:sz w:val="24"/>
      <w:szCs w:val="24"/>
    </w:rPr>
    <w:pPr>
      <w:keepLines/>
      <w:keepNext/>
      <w:spacing w:after="200" w:before="320"/>
      <w:outlineLvl w:val="4"/>
    </w:pPr>
  </w:style>
  <w:style w:type="character" w:styleId="239">
    <w:name w:val="Heading 5 Char"/>
    <w:basedOn w:val="228"/>
    <w:link w:val="238"/>
    <w:uiPriority w:val="9"/>
    <w:rPr>
      <w:rFonts w:ascii="Arial" w:hAnsi="Arial" w:cs="Arial" w:eastAsia="Arial"/>
      <w:b/>
      <w:bCs/>
      <w:sz w:val="24"/>
      <w:szCs w:val="24"/>
    </w:rPr>
  </w:style>
  <w:style w:type="paragraph" w:styleId="240">
    <w:name w:val="Heading 6"/>
    <w:basedOn w:val="227"/>
    <w:next w:val="227"/>
    <w:link w:val="241"/>
    <w:qFormat/>
    <w:uiPriority w:val="9"/>
    <w:unhideWhenUsed/>
    <w:rPr>
      <w:rFonts w:ascii="Arial" w:hAnsi="Arial" w:cs="Arial" w:eastAsia="Arial"/>
      <w:b/>
      <w:bCs/>
      <w:sz w:val="22"/>
      <w:szCs w:val="22"/>
    </w:rPr>
    <w:pPr>
      <w:keepLines/>
      <w:keepNext/>
      <w:spacing w:after="200" w:before="320"/>
      <w:outlineLvl w:val="5"/>
    </w:pPr>
  </w:style>
  <w:style w:type="character" w:styleId="241">
    <w:name w:val="Heading 6 Char"/>
    <w:basedOn w:val="228"/>
    <w:link w:val="240"/>
    <w:uiPriority w:val="9"/>
    <w:rPr>
      <w:rFonts w:ascii="Arial" w:hAnsi="Arial" w:cs="Arial" w:eastAsia="Arial"/>
      <w:b/>
      <w:bCs/>
      <w:sz w:val="22"/>
      <w:szCs w:val="22"/>
    </w:rPr>
  </w:style>
  <w:style w:type="paragraph" w:styleId="242">
    <w:name w:val="Heading 7"/>
    <w:basedOn w:val="227"/>
    <w:next w:val="227"/>
    <w:link w:val="243"/>
    <w:qFormat/>
    <w:uiPriority w:val="9"/>
    <w:unhideWhenUsed/>
    <w:rPr>
      <w:rFonts w:ascii="Arial" w:hAnsi="Arial" w:cs="Arial" w:eastAsia="Arial"/>
      <w:b/>
      <w:bCs/>
      <w:i/>
      <w:iCs/>
      <w:sz w:val="22"/>
      <w:szCs w:val="22"/>
    </w:rPr>
    <w:pPr>
      <w:keepLines/>
      <w:keepNext/>
      <w:spacing w:after="200" w:before="320"/>
      <w:outlineLvl w:val="6"/>
    </w:pPr>
  </w:style>
  <w:style w:type="character" w:styleId="243">
    <w:name w:val="Heading 7 Char"/>
    <w:basedOn w:val="228"/>
    <w:link w:val="242"/>
    <w:uiPriority w:val="9"/>
    <w:rPr>
      <w:rFonts w:ascii="Arial" w:hAnsi="Arial" w:cs="Arial" w:eastAsia="Arial"/>
      <w:b/>
      <w:bCs/>
      <w:i/>
      <w:iCs/>
      <w:sz w:val="22"/>
      <w:szCs w:val="22"/>
    </w:rPr>
  </w:style>
  <w:style w:type="paragraph" w:styleId="244">
    <w:name w:val="Heading 8"/>
    <w:basedOn w:val="227"/>
    <w:next w:val="227"/>
    <w:link w:val="245"/>
    <w:qFormat/>
    <w:uiPriority w:val="9"/>
    <w:unhideWhenUsed/>
    <w:rPr>
      <w:rFonts w:ascii="Arial" w:hAnsi="Arial" w:cs="Arial" w:eastAsia="Arial"/>
      <w:i/>
      <w:iCs/>
      <w:sz w:val="22"/>
      <w:szCs w:val="22"/>
    </w:rPr>
    <w:pPr>
      <w:keepLines/>
      <w:keepNext/>
      <w:spacing w:after="200" w:before="320"/>
      <w:outlineLvl w:val="7"/>
    </w:pPr>
  </w:style>
  <w:style w:type="character" w:styleId="245">
    <w:name w:val="Heading 8 Char"/>
    <w:basedOn w:val="228"/>
    <w:link w:val="244"/>
    <w:uiPriority w:val="9"/>
    <w:rPr>
      <w:rFonts w:ascii="Arial" w:hAnsi="Arial" w:cs="Arial" w:eastAsia="Arial"/>
      <w:i/>
      <w:iCs/>
      <w:sz w:val="22"/>
      <w:szCs w:val="22"/>
    </w:rPr>
  </w:style>
  <w:style w:type="paragraph" w:styleId="246">
    <w:name w:val="Heading 9"/>
    <w:basedOn w:val="227"/>
    <w:next w:val="227"/>
    <w:link w:val="247"/>
    <w:qFormat/>
    <w:uiPriority w:val="9"/>
    <w:unhideWhenUsed/>
    <w:rPr>
      <w:rFonts w:ascii="Arial" w:hAnsi="Arial" w:cs="Arial" w:eastAsia="Arial"/>
      <w:i/>
      <w:iCs/>
      <w:sz w:val="21"/>
      <w:szCs w:val="21"/>
    </w:rPr>
    <w:pPr>
      <w:keepLines/>
      <w:keepNext/>
      <w:spacing w:after="200" w:before="320"/>
      <w:outlineLvl w:val="8"/>
    </w:pPr>
  </w:style>
  <w:style w:type="character" w:styleId="247">
    <w:name w:val="Heading 9 Char"/>
    <w:basedOn w:val="228"/>
    <w:link w:val="246"/>
    <w:uiPriority w:val="9"/>
    <w:rPr>
      <w:rFonts w:ascii="Arial" w:hAnsi="Arial" w:cs="Arial" w:eastAsia="Arial"/>
      <w:i/>
      <w:iCs/>
      <w:sz w:val="21"/>
      <w:szCs w:val="21"/>
    </w:rPr>
  </w:style>
  <w:style w:type="paragraph" w:styleId="248">
    <w:name w:val="List Paragraph"/>
    <w:basedOn w:val="227"/>
    <w:qFormat/>
    <w:uiPriority w:val="34"/>
    <w:pPr>
      <w:contextualSpacing w:val="true"/>
      <w:ind w:left="720"/>
    </w:pPr>
  </w:style>
  <w:style w:type="table" w:styleId="249" w:default="1">
    <w:name w:val="Normal Table"/>
    <w:uiPriority w:val="99"/>
    <w:semiHidden/>
    <w:unhideWhenUsed/>
    <w:tblPr>
      <w:tblInd w:w="0" w:type="dxa"/>
      <w:tblCellMar>
        <w:left w:w="108" w:type="dxa"/>
        <w:top w:w="0" w:type="dxa"/>
        <w:right w:w="108" w:type="dxa"/>
        <w:bottom w:w="0" w:type="dxa"/>
      </w:tblCellMar>
    </w:tblPr>
  </w:style>
  <w:style w:type="paragraph" w:styleId="250">
    <w:name w:val="No Spacing"/>
    <w:qFormat/>
    <w:uiPriority w:val="1"/>
    <w:pPr>
      <w:spacing w:lineRule="auto" w:line="240" w:after="0" w:before="0"/>
    </w:pPr>
  </w:style>
  <w:style w:type="paragraph" w:styleId="251">
    <w:name w:val="Title"/>
    <w:basedOn w:val="227"/>
    <w:next w:val="227"/>
    <w:link w:val="252"/>
    <w:qFormat/>
    <w:uiPriority w:val="10"/>
    <w:rPr>
      <w:sz w:val="48"/>
      <w:szCs w:val="48"/>
    </w:rPr>
    <w:pPr>
      <w:contextualSpacing w:val="true"/>
      <w:spacing w:after="200" w:before="300"/>
    </w:pPr>
  </w:style>
  <w:style w:type="character" w:styleId="252">
    <w:name w:val="Title Char"/>
    <w:basedOn w:val="228"/>
    <w:link w:val="251"/>
    <w:uiPriority w:val="10"/>
    <w:rPr>
      <w:sz w:val="48"/>
      <w:szCs w:val="48"/>
    </w:rPr>
  </w:style>
  <w:style w:type="paragraph" w:styleId="253">
    <w:name w:val="Subtitle"/>
    <w:basedOn w:val="227"/>
    <w:next w:val="227"/>
    <w:link w:val="254"/>
    <w:qFormat/>
    <w:uiPriority w:val="11"/>
    <w:rPr>
      <w:sz w:val="24"/>
      <w:szCs w:val="24"/>
    </w:rPr>
    <w:pPr>
      <w:spacing w:after="200" w:before="200"/>
    </w:pPr>
  </w:style>
  <w:style w:type="character" w:styleId="254">
    <w:name w:val="Subtitle Char"/>
    <w:basedOn w:val="228"/>
    <w:link w:val="253"/>
    <w:uiPriority w:val="11"/>
    <w:rPr>
      <w:sz w:val="24"/>
      <w:szCs w:val="24"/>
    </w:rPr>
  </w:style>
  <w:style w:type="paragraph" w:styleId="255">
    <w:name w:val="Quote"/>
    <w:basedOn w:val="227"/>
    <w:next w:val="227"/>
    <w:link w:val="256"/>
    <w:qFormat/>
    <w:uiPriority w:val="29"/>
    <w:rPr>
      <w:i/>
    </w:rPr>
    <w:pPr>
      <w:ind w:left="720" w:right="720"/>
    </w:pPr>
  </w:style>
  <w:style w:type="character" w:styleId="256">
    <w:name w:val="Quote Char"/>
    <w:link w:val="255"/>
    <w:uiPriority w:val="29"/>
    <w:rPr>
      <w:i/>
    </w:rPr>
  </w:style>
  <w:style w:type="paragraph" w:styleId="257">
    <w:name w:val="Intense Quote"/>
    <w:basedOn w:val="227"/>
    <w:next w:val="227"/>
    <w:link w:val="258"/>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258">
    <w:name w:val="Intense Quote Char"/>
    <w:link w:val="257"/>
    <w:uiPriority w:val="30"/>
    <w:rPr>
      <w:i/>
    </w:rPr>
  </w:style>
  <w:style w:type="paragraph" w:styleId="259">
    <w:name w:val="Header"/>
    <w:basedOn w:val="227"/>
    <w:link w:val="260"/>
    <w:uiPriority w:val="99"/>
    <w:unhideWhenUsed/>
    <w:pPr>
      <w:spacing w:lineRule="auto" w:line="240" w:after="0"/>
      <w:tabs>
        <w:tab w:val="center" w:pos="7143" w:leader="none"/>
        <w:tab w:val="right" w:pos="14287" w:leader="none"/>
      </w:tabs>
    </w:pPr>
  </w:style>
  <w:style w:type="character" w:styleId="260">
    <w:name w:val="Header Char"/>
    <w:basedOn w:val="228"/>
    <w:link w:val="259"/>
    <w:uiPriority w:val="99"/>
  </w:style>
  <w:style w:type="paragraph" w:styleId="261">
    <w:name w:val="Footer"/>
    <w:basedOn w:val="227"/>
    <w:link w:val="264"/>
    <w:uiPriority w:val="99"/>
    <w:unhideWhenUsed/>
    <w:pPr>
      <w:spacing w:lineRule="auto" w:line="240" w:after="0"/>
      <w:tabs>
        <w:tab w:val="center" w:pos="7143" w:leader="none"/>
        <w:tab w:val="right" w:pos="14287" w:leader="none"/>
      </w:tabs>
    </w:pPr>
  </w:style>
  <w:style w:type="character" w:styleId="262">
    <w:name w:val="Footer Char"/>
    <w:basedOn w:val="228"/>
    <w:link w:val="261"/>
    <w:uiPriority w:val="99"/>
  </w:style>
  <w:style w:type="paragraph" w:styleId="263">
    <w:name w:val="Caption"/>
    <w:basedOn w:val="227"/>
    <w:next w:val="227"/>
    <w:qFormat/>
    <w:uiPriority w:val="35"/>
    <w:semiHidden/>
    <w:unhideWhenUsed/>
    <w:rPr>
      <w:b/>
      <w:bCs/>
      <w:color w:val="4F81BD" w:themeColor="accent1"/>
      <w:sz w:val="18"/>
      <w:szCs w:val="18"/>
    </w:rPr>
    <w:pPr>
      <w:spacing w:lineRule="auto" w:line="276"/>
    </w:pPr>
  </w:style>
  <w:style w:type="character" w:styleId="264">
    <w:name w:val="Caption Char"/>
    <w:basedOn w:val="263"/>
    <w:link w:val="261"/>
    <w:uiPriority w:val="99"/>
  </w:style>
  <w:style w:type="table" w:styleId="265">
    <w:name w:val="Table Grid"/>
    <w:basedOn w:val="249"/>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266">
    <w:name w:val="Table Grid Light"/>
    <w:basedOn w:val="24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267">
    <w:name w:val="Plain Table 1"/>
    <w:basedOn w:val="24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Color="text1" w:themeTint="0D"/>
      </w:tcPr>
    </w:tblStylePr>
    <w:tblStylePr w:type="band1Vert">
      <w:tcPr>
        <w:shd w:val="clear" w:color="FFFFFF"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68">
    <w:name w:val="Plain Table 2"/>
    <w:basedOn w:val="24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69">
    <w:name w:val="Plain Table 3"/>
    <w:basedOn w:val="24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270">
    <w:name w:val="Plain Table 4"/>
    <w:basedOn w:val="24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71">
    <w:name w:val="Plain Table 5"/>
    <w:basedOn w:val="24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Color="text1" w:themeTint="0D"/>
      </w:tcPr>
    </w:tblStylePr>
    <w:tblStylePr w:type="band1Vert">
      <w:rPr>
        <w:rFonts w:ascii="Arial" w:hAnsi="Arial"/>
        <w:color w:val="404040"/>
        <w:sz w:val="22"/>
      </w:rPr>
      <w:tcPr>
        <w:shd w:val="clear" w:color="FFFFFF"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272">
    <w:name w:val="Grid Table 1 Light"/>
    <w:basedOn w:val="24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273">
    <w:name w:val="Grid Table 1 Light - Accent 1"/>
    <w:basedOn w:val="24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274">
    <w:name w:val="Grid Table 1 Light - Accent 2"/>
    <w:basedOn w:val="24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275">
    <w:name w:val="Grid Table 1 Light - Accent 3"/>
    <w:basedOn w:val="24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276">
    <w:name w:val="Grid Table 1 Light - Accent 4"/>
    <w:basedOn w:val="24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277">
    <w:name w:val="Grid Table 1 Light - Accent 5"/>
    <w:basedOn w:val="24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278">
    <w:name w:val="Grid Table 1 Light - Accent 6"/>
    <w:basedOn w:val="24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279">
    <w:name w:val="Grid Table 2"/>
    <w:basedOn w:val="24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280">
    <w:name w:val="Grid Table 2 - Accent 1"/>
    <w:basedOn w:val="24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281">
    <w:name w:val="Grid Table 2 - Accent 2"/>
    <w:basedOn w:val="24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282">
    <w:name w:val="Grid Table 2 - Accent 3"/>
    <w:basedOn w:val="24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283">
    <w:name w:val="Grid Table 2 - Accent 4"/>
    <w:basedOn w:val="24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284">
    <w:name w:val="Grid Table 2 - Accent 5"/>
    <w:basedOn w:val="24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285">
    <w:name w:val="Grid Table 2 - Accent 6"/>
    <w:basedOn w:val="24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286">
    <w:name w:val="Grid Table 3"/>
    <w:basedOn w:val="24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287">
    <w:name w:val="Grid Table 3 - Accent 1"/>
    <w:basedOn w:val="24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Color="accent1" w:themeTint="34"/>
      </w:tcPr>
    </w:tblStylePr>
    <w:tblStylePr w:type="band1Vert">
      <w:rPr>
        <w:rFonts w:ascii="Arial" w:hAnsi="Arial"/>
        <w:color w:val="404040"/>
        <w:sz w:val="22"/>
      </w:rPr>
      <w:tcPr>
        <w:shd w:val="clear" w:color="FFFFFF"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288">
    <w:name w:val="Grid Table 3 - Accent 2"/>
    <w:basedOn w:val="24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289">
    <w:name w:val="Grid Table 3 - Accent 3"/>
    <w:basedOn w:val="24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290">
    <w:name w:val="Grid Table 3 - Accent 4"/>
    <w:basedOn w:val="24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291">
    <w:name w:val="Grid Table 3 - Accent 5"/>
    <w:basedOn w:val="24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292">
    <w:name w:val="Grid Table 3 - Accent 6"/>
    <w:basedOn w:val="24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293">
    <w:name w:val="Grid Table 4"/>
    <w:basedOn w:val="24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34"/>
      </w:tcPr>
    </w:tblStylePr>
    <w:tblStylePr w:type="band1Vert">
      <w:rPr>
        <w:rFonts w:ascii="Arial" w:hAnsi="Arial"/>
        <w:color w:val="404040"/>
        <w:sz w:val="22"/>
      </w:rPr>
      <w:tcPr>
        <w:shd w:val="clear" w:color="FFFFFF" w:themeColor="text1" w:themeTint="34"/>
      </w:tcPr>
    </w:tblStylePr>
    <w:tblStylePr w:type="firstCol">
      <w:rPr>
        <w:b/>
        <w:color w:val="404040"/>
      </w:rPr>
    </w:tblStylePr>
    <w:tblStylePr w:type="firstRow">
      <w:rPr>
        <w:rFonts w:ascii="Arial" w:hAnsi="Arial"/>
        <w:b/>
        <w:color w:val="FFFFFF"/>
        <w:sz w:val="22"/>
      </w:rPr>
      <w:tcPr>
        <w:shd w:val="clear" w:color="FFFFFF"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294">
    <w:name w:val="Grid Table 4 - Accent 1"/>
    <w:basedOn w:val="24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32"/>
      </w:tcPr>
    </w:tblStylePr>
    <w:tblStylePr w:type="band1Vert">
      <w:rPr>
        <w:rFonts w:ascii="Arial" w:hAnsi="Arial"/>
        <w:color w:val="404040"/>
        <w:sz w:val="22"/>
      </w:rPr>
      <w:tcPr>
        <w:shd w:val="clear" w:color="FFFFFF" w:themeColor="accent1" w:themeTint="32"/>
      </w:tcPr>
    </w:tblStylePr>
    <w:tblStylePr w:type="firstCol">
      <w:rPr>
        <w:b/>
        <w:color w:val="404040"/>
      </w:rPr>
    </w:tblStylePr>
    <w:tblStylePr w:type="firstRow">
      <w:rPr>
        <w:rFonts w:ascii="Arial" w:hAnsi="Arial"/>
        <w:b/>
        <w:color w:val="FFFFFF"/>
        <w:sz w:val="22"/>
      </w:rPr>
      <w:tcPr>
        <w:shd w:val="clear" w:color="FFFFFF"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295">
    <w:name w:val="Grid Table 4 - Accent 2"/>
    <w:basedOn w:val="24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32"/>
      </w:tcPr>
    </w:tblStylePr>
    <w:tblStylePr w:type="band1Vert">
      <w:rPr>
        <w:rFonts w:ascii="Arial" w:hAnsi="Arial"/>
        <w:color w:val="404040"/>
        <w:sz w:val="22"/>
      </w:rPr>
      <w:tcPr>
        <w:shd w:val="clear" w:color="FFFFFF" w:themeColor="accent2" w:themeTint="32"/>
      </w:tcPr>
    </w:tblStylePr>
    <w:tblStylePr w:type="firstCol">
      <w:rPr>
        <w:b/>
        <w:color w:val="404040"/>
      </w:rPr>
    </w:tblStylePr>
    <w:tblStylePr w:type="firstRow">
      <w:rPr>
        <w:rFonts w:ascii="Arial" w:hAnsi="Arial"/>
        <w:b/>
        <w:color w:val="FFFFFF"/>
        <w:sz w:val="22"/>
      </w:rPr>
      <w:tcPr>
        <w:shd w:val="clear" w:color="FFFFFF"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296">
    <w:name w:val="Grid Table 4 - Accent 3"/>
    <w:basedOn w:val="24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34"/>
      </w:tcPr>
    </w:tblStylePr>
    <w:tblStylePr w:type="band1Vert">
      <w:rPr>
        <w:rFonts w:ascii="Arial" w:hAnsi="Arial"/>
        <w:color w:val="404040"/>
        <w:sz w:val="22"/>
      </w:rPr>
      <w:tcPr>
        <w:shd w:val="clear" w:color="FFFFFF" w:themeColor="accent3" w:themeTint="34"/>
      </w:tcPr>
    </w:tblStylePr>
    <w:tblStylePr w:type="firstCol">
      <w:rPr>
        <w:b/>
        <w:color w:val="404040"/>
      </w:rPr>
    </w:tblStylePr>
    <w:tblStylePr w:type="firstRow">
      <w:rPr>
        <w:rFonts w:ascii="Arial" w:hAnsi="Arial"/>
        <w:b/>
        <w:color w:val="FFFFFF"/>
        <w:sz w:val="22"/>
      </w:rPr>
      <w:tcPr>
        <w:shd w:val="clear" w:color="FFFFFF"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297">
    <w:name w:val="Grid Table 4 - Accent 4"/>
    <w:basedOn w:val="24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34"/>
      </w:tcPr>
    </w:tblStylePr>
    <w:tblStylePr w:type="band1Vert">
      <w:rPr>
        <w:rFonts w:ascii="Arial" w:hAnsi="Arial"/>
        <w:color w:val="404040"/>
        <w:sz w:val="22"/>
      </w:rPr>
      <w:tcPr>
        <w:shd w:val="clear" w:color="FFFFFF" w:themeColor="accent4" w:themeTint="34"/>
      </w:tcPr>
    </w:tblStylePr>
    <w:tblStylePr w:type="firstCol">
      <w:rPr>
        <w:b/>
        <w:color w:val="404040"/>
      </w:rPr>
    </w:tblStylePr>
    <w:tblStylePr w:type="firstRow">
      <w:rPr>
        <w:rFonts w:ascii="Arial" w:hAnsi="Arial"/>
        <w:b/>
        <w:color w:val="FFFFFF"/>
        <w:sz w:val="22"/>
      </w:rPr>
      <w:tcPr>
        <w:shd w:val="clear" w:color="FFFFFF"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298">
    <w:name w:val="Grid Table 4 - Accent 5"/>
    <w:basedOn w:val="24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34"/>
      </w:tcPr>
    </w:tblStylePr>
    <w:tblStylePr w:type="band1Vert">
      <w:rPr>
        <w:rFonts w:ascii="Arial" w:hAnsi="Arial"/>
        <w:color w:val="404040"/>
        <w:sz w:val="22"/>
      </w:rPr>
      <w:tcPr>
        <w:shd w:val="clear" w:color="FFFFFF" w:themeColor="accent5" w:themeTint="34"/>
      </w:tcPr>
    </w:tblStylePr>
    <w:tblStylePr w:type="firstCol">
      <w:rPr>
        <w:b/>
        <w:color w:val="404040"/>
      </w:rPr>
    </w:tblStylePr>
    <w:tblStylePr w:type="firstRow">
      <w:rPr>
        <w:rFonts w:ascii="Arial" w:hAnsi="Arial"/>
        <w:b/>
        <w:color w:val="FFFFFF"/>
        <w:sz w:val="22"/>
      </w:rPr>
      <w:tcPr>
        <w:shd w:val="clear" w:color="FFFFFF"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299">
    <w:name w:val="Grid Table 4 - Accent 6"/>
    <w:basedOn w:val="24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34"/>
      </w:tcPr>
    </w:tblStylePr>
    <w:tblStylePr w:type="band1Vert">
      <w:rPr>
        <w:rFonts w:ascii="Arial" w:hAnsi="Arial"/>
        <w:color w:val="404040"/>
        <w:sz w:val="22"/>
      </w:rPr>
      <w:tcPr>
        <w:shd w:val="clear" w:color="FFFFFF" w:themeColor="accent6" w:themeTint="34"/>
      </w:tcPr>
    </w:tblStylePr>
    <w:tblStylePr w:type="firstCol">
      <w:rPr>
        <w:b/>
        <w:color w:val="404040"/>
      </w:rPr>
    </w:tblStylePr>
    <w:tblStylePr w:type="firstRow">
      <w:rPr>
        <w:rFonts w:ascii="Arial" w:hAnsi="Arial"/>
        <w:b/>
        <w:color w:val="FFFFFF"/>
        <w:sz w:val="22"/>
      </w:rPr>
      <w:tcPr>
        <w:shd w:val="clear" w:color="FFFFFF"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300">
    <w:name w:val="Grid Table 5 Dark"/>
    <w:basedOn w:val="24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text1" w:themeTint="40"/>
    </w:tblPr>
    <w:tblStylePr w:type="band1Horz">
      <w:tcPr>
        <w:shd w:val="clear" w:color="FFFFFF" w:themeColor="text1" w:themeTint="75"/>
      </w:tcPr>
    </w:tblStylePr>
    <w:tblStylePr w:type="band1Vert">
      <w:tcPr>
        <w:shd w:val="clear" w:color="FFFFFF" w:themeColor="text1" w:themeTint="75"/>
      </w:tcPr>
    </w:tblStylePr>
    <w:tblStylePr w:type="firstCol">
      <w:rPr>
        <w:rFonts w:ascii="Arial" w:hAnsi="Arial"/>
        <w:b/>
        <w:color w:val="FFFFFF"/>
        <w:sz w:val="22"/>
      </w:rPr>
      <w:tcPr>
        <w:shd w:val="clear" w:color="FFFFFF" w:themeColor="text1"/>
      </w:tcPr>
    </w:tblStylePr>
    <w:tblStylePr w:type="firstRow">
      <w:rPr>
        <w:rFonts w:ascii="Arial" w:hAnsi="Arial"/>
        <w:b/>
        <w:color w:val="FFFFFF"/>
        <w:sz w:val="22"/>
      </w:rPr>
      <w:tcPr>
        <w:shd w:val="clear" w:color="FFFFFF" w:themeColor="text1"/>
      </w:tcPr>
    </w:tblStylePr>
    <w:tblStylePr w:type="lastCol">
      <w:rPr>
        <w:rFonts w:ascii="Arial" w:hAnsi="Arial"/>
        <w:b/>
        <w:color w:val="FFFFFF"/>
        <w:sz w:val="22"/>
      </w:rPr>
      <w:tcPr>
        <w:shd w:val="clear" w:color="FFFFFF" w:themeColor="text1"/>
      </w:tcPr>
    </w:tblStylePr>
    <w:tblStylePr w:type="lastRow">
      <w:rPr>
        <w:rFonts w:ascii="Arial" w:hAnsi="Arial"/>
        <w:b/>
        <w:color w:val="FFFFFF"/>
        <w:sz w:val="22"/>
      </w:rPr>
      <w:tcPr>
        <w:shd w:val="clear" w:color="FFFFFF" w:themeColor="text1"/>
        <w:tcBorders>
          <w:top w:val="single" w:color="000000" w:sz="4" w:space="0" w:themeColor="light1"/>
        </w:tcBorders>
      </w:tcPr>
    </w:tblStylePr>
  </w:style>
  <w:style w:type="table" w:styleId="301">
    <w:name w:val="Grid Table 5 Dark- Accent 1"/>
    <w:basedOn w:val="24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1" w:themeTint="34"/>
    </w:tblPr>
    <w:tblStylePr w:type="band1Horz">
      <w:tcPr>
        <w:shd w:val="clear" w:color="FFFFFF" w:themeColor="accent1" w:themeTint="75"/>
      </w:tcPr>
    </w:tblStylePr>
    <w:tblStylePr w:type="band1Vert">
      <w:tcPr>
        <w:shd w:val="clear" w:color="FFFFFF" w:themeColor="accent1" w:themeTint="75"/>
      </w:tcPr>
    </w:tblStylePr>
    <w:tblStylePr w:type="firstCol">
      <w:rPr>
        <w:rFonts w:ascii="Arial" w:hAnsi="Arial"/>
        <w:b/>
        <w:color w:val="FFFFFF"/>
        <w:sz w:val="22"/>
      </w:rPr>
      <w:tcPr>
        <w:shd w:val="clear" w:color="FFFFFF" w:themeColor="accent1"/>
      </w:tcPr>
    </w:tblStylePr>
    <w:tblStylePr w:type="firstRow">
      <w:rPr>
        <w:rFonts w:ascii="Arial" w:hAnsi="Arial"/>
        <w:b/>
        <w:color w:val="FFFFFF"/>
        <w:sz w:val="22"/>
      </w:rPr>
      <w:tcPr>
        <w:shd w:val="clear" w:color="FFFFFF" w:themeColor="accent1"/>
      </w:tcPr>
    </w:tblStylePr>
    <w:tblStylePr w:type="lastCol">
      <w:rPr>
        <w:rFonts w:ascii="Arial" w:hAnsi="Arial"/>
        <w:b/>
        <w:color w:val="FFFFFF"/>
        <w:sz w:val="22"/>
      </w:rPr>
      <w:tcPr>
        <w:shd w:val="clear" w:color="FFFFFF" w:themeColor="accent1"/>
      </w:tcPr>
    </w:tblStylePr>
    <w:tblStylePr w:type="lastRow">
      <w:rPr>
        <w:rFonts w:ascii="Arial" w:hAnsi="Arial"/>
        <w:b/>
        <w:color w:val="FFFFFF"/>
        <w:sz w:val="22"/>
      </w:rPr>
      <w:tcPr>
        <w:shd w:val="clear" w:color="FFFFFF" w:themeColor="accent1"/>
        <w:tcBorders>
          <w:top w:val="single" w:color="000000" w:sz="4" w:space="0" w:themeColor="light1"/>
        </w:tcBorders>
      </w:tcPr>
    </w:tblStylePr>
  </w:style>
  <w:style w:type="table" w:styleId="302">
    <w:name w:val="Grid Table 5 Dark - Accent 2"/>
    <w:basedOn w:val="24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2" w:themeTint="32"/>
    </w:tblPr>
    <w:tblStylePr w:type="band1Horz">
      <w:tcPr>
        <w:shd w:val="clear" w:color="FFFFFF" w:themeColor="accent2" w:themeTint="75"/>
      </w:tcPr>
    </w:tblStylePr>
    <w:tblStylePr w:type="band1Vert">
      <w:tcPr>
        <w:shd w:val="clear" w:color="FFFFFF" w:themeColor="accent2" w:themeTint="75"/>
      </w:tcPr>
    </w:tblStylePr>
    <w:tblStylePr w:type="firstCol">
      <w:rPr>
        <w:rFonts w:ascii="Arial" w:hAnsi="Arial"/>
        <w:b/>
        <w:color w:val="FFFFFF"/>
        <w:sz w:val="22"/>
      </w:rPr>
      <w:tcPr>
        <w:shd w:val="clear" w:color="FFFFFF" w:themeColor="accent2"/>
      </w:tcPr>
    </w:tblStylePr>
    <w:tblStylePr w:type="firstRow">
      <w:rPr>
        <w:rFonts w:ascii="Arial" w:hAnsi="Arial"/>
        <w:b/>
        <w:color w:val="FFFFFF"/>
        <w:sz w:val="22"/>
      </w:rPr>
      <w:tcPr>
        <w:shd w:val="clear" w:color="FFFFFF" w:themeColor="accent2"/>
      </w:tcPr>
    </w:tblStylePr>
    <w:tblStylePr w:type="lastCol">
      <w:rPr>
        <w:rFonts w:ascii="Arial" w:hAnsi="Arial"/>
        <w:b/>
        <w:color w:val="FFFFFF"/>
        <w:sz w:val="22"/>
      </w:rPr>
      <w:tcPr>
        <w:shd w:val="clear" w:color="FFFFFF" w:themeColor="accent2"/>
      </w:tcPr>
    </w:tblStylePr>
    <w:tblStylePr w:type="lastRow">
      <w:rPr>
        <w:rFonts w:ascii="Arial" w:hAnsi="Arial"/>
        <w:b/>
        <w:color w:val="FFFFFF"/>
        <w:sz w:val="22"/>
      </w:rPr>
      <w:tcPr>
        <w:shd w:val="clear" w:color="FFFFFF" w:themeColor="accent2"/>
        <w:tcBorders>
          <w:top w:val="single" w:color="000000" w:sz="4" w:space="0" w:themeColor="light1"/>
        </w:tcBorders>
      </w:tcPr>
    </w:tblStylePr>
  </w:style>
  <w:style w:type="table" w:styleId="303">
    <w:name w:val="Grid Table 5 Dark - Accent 3"/>
    <w:basedOn w:val="24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3" w:themeTint="34"/>
    </w:tblPr>
    <w:tblStylePr w:type="band1Horz">
      <w:tcPr>
        <w:shd w:val="clear" w:color="FFFFFF" w:themeColor="accent3" w:themeTint="75"/>
      </w:tcPr>
    </w:tblStylePr>
    <w:tblStylePr w:type="band1Vert">
      <w:tcPr>
        <w:shd w:val="clear" w:color="FFFFFF" w:themeColor="accent3" w:themeTint="75"/>
      </w:tcPr>
    </w:tblStylePr>
    <w:tblStylePr w:type="firstCol">
      <w:rPr>
        <w:rFonts w:ascii="Arial" w:hAnsi="Arial"/>
        <w:b/>
        <w:color w:val="FFFFFF"/>
        <w:sz w:val="22"/>
      </w:rPr>
      <w:tcPr>
        <w:shd w:val="clear" w:color="FFFFFF" w:themeColor="accent3"/>
      </w:tcPr>
    </w:tblStylePr>
    <w:tblStylePr w:type="firstRow">
      <w:rPr>
        <w:rFonts w:ascii="Arial" w:hAnsi="Arial"/>
        <w:b/>
        <w:color w:val="FFFFFF"/>
        <w:sz w:val="22"/>
      </w:rPr>
      <w:tcPr>
        <w:shd w:val="clear" w:color="FFFFFF" w:themeColor="accent3"/>
      </w:tcPr>
    </w:tblStylePr>
    <w:tblStylePr w:type="lastCol">
      <w:rPr>
        <w:rFonts w:ascii="Arial" w:hAnsi="Arial"/>
        <w:b/>
        <w:color w:val="FFFFFF"/>
        <w:sz w:val="22"/>
      </w:rPr>
      <w:tcPr>
        <w:shd w:val="clear" w:color="FFFFFF" w:themeColor="accent3"/>
      </w:tcPr>
    </w:tblStylePr>
    <w:tblStylePr w:type="lastRow">
      <w:rPr>
        <w:rFonts w:ascii="Arial" w:hAnsi="Arial"/>
        <w:b/>
        <w:color w:val="FFFFFF"/>
        <w:sz w:val="22"/>
      </w:rPr>
      <w:tcPr>
        <w:shd w:val="clear" w:color="FFFFFF" w:themeColor="accent3"/>
        <w:tcBorders>
          <w:top w:val="single" w:color="000000" w:sz="4" w:space="0" w:themeColor="light1"/>
        </w:tcBorders>
      </w:tcPr>
    </w:tblStylePr>
  </w:style>
  <w:style w:type="table" w:styleId="304">
    <w:name w:val="Grid Table 5 Dark- Accent 4"/>
    <w:basedOn w:val="24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4" w:themeTint="34"/>
    </w:tblPr>
    <w:tblStylePr w:type="band1Horz">
      <w:tcPr>
        <w:shd w:val="clear" w:color="FFFFFF" w:themeColor="accent4" w:themeTint="75"/>
      </w:tcPr>
    </w:tblStylePr>
    <w:tblStylePr w:type="band1Vert">
      <w:tcPr>
        <w:shd w:val="clear" w:color="FFFFFF" w:themeColor="accent4" w:themeTint="75"/>
      </w:tcPr>
    </w:tblStylePr>
    <w:tblStylePr w:type="firstCol">
      <w:rPr>
        <w:rFonts w:ascii="Arial" w:hAnsi="Arial"/>
        <w:b/>
        <w:color w:val="FFFFFF"/>
        <w:sz w:val="22"/>
      </w:rPr>
      <w:tcPr>
        <w:shd w:val="clear" w:color="FFFFFF" w:themeColor="accent4"/>
      </w:tcPr>
    </w:tblStylePr>
    <w:tblStylePr w:type="firstRow">
      <w:rPr>
        <w:rFonts w:ascii="Arial" w:hAnsi="Arial"/>
        <w:b/>
        <w:color w:val="FFFFFF"/>
        <w:sz w:val="22"/>
      </w:rPr>
      <w:tcPr>
        <w:shd w:val="clear" w:color="FFFFFF" w:themeColor="accent4"/>
      </w:tcPr>
    </w:tblStylePr>
    <w:tblStylePr w:type="lastCol">
      <w:rPr>
        <w:rFonts w:ascii="Arial" w:hAnsi="Arial"/>
        <w:b/>
        <w:color w:val="FFFFFF"/>
        <w:sz w:val="22"/>
      </w:rPr>
      <w:tcPr>
        <w:shd w:val="clear" w:color="FFFFFF" w:themeColor="accent4"/>
      </w:tcPr>
    </w:tblStylePr>
    <w:tblStylePr w:type="lastRow">
      <w:rPr>
        <w:rFonts w:ascii="Arial" w:hAnsi="Arial"/>
        <w:b/>
        <w:color w:val="FFFFFF"/>
        <w:sz w:val="22"/>
      </w:rPr>
      <w:tcPr>
        <w:shd w:val="clear" w:color="FFFFFF" w:themeColor="accent4"/>
        <w:tcBorders>
          <w:top w:val="single" w:color="000000" w:sz="4" w:space="0" w:themeColor="light1"/>
        </w:tcBorders>
      </w:tcPr>
    </w:tblStylePr>
  </w:style>
  <w:style w:type="table" w:styleId="305">
    <w:name w:val="Grid Table 5 Dark - Accent 5"/>
    <w:basedOn w:val="24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5" w:themeTint="34"/>
    </w:tblPr>
    <w:tblStylePr w:type="band1Horz">
      <w:tcPr>
        <w:shd w:val="clear" w:color="FFFFFF" w:themeColor="accent5" w:themeTint="75"/>
      </w:tcPr>
    </w:tblStylePr>
    <w:tblStylePr w:type="band1Vert">
      <w:tcPr>
        <w:shd w:val="clear" w:color="FFFFFF" w:themeColor="accent5" w:themeTint="75"/>
      </w:tcPr>
    </w:tblStylePr>
    <w:tblStylePr w:type="firstCol">
      <w:rPr>
        <w:rFonts w:ascii="Arial" w:hAnsi="Arial"/>
        <w:b/>
        <w:color w:val="FFFFFF"/>
        <w:sz w:val="22"/>
      </w:rPr>
      <w:tcPr>
        <w:shd w:val="clear" w:color="FFFFFF" w:themeColor="accent5"/>
      </w:tcPr>
    </w:tblStylePr>
    <w:tblStylePr w:type="firstRow">
      <w:rPr>
        <w:rFonts w:ascii="Arial" w:hAnsi="Arial"/>
        <w:b/>
        <w:color w:val="FFFFFF"/>
        <w:sz w:val="22"/>
      </w:rPr>
      <w:tcPr>
        <w:shd w:val="clear" w:color="FFFFFF" w:themeColor="accent5"/>
      </w:tcPr>
    </w:tblStylePr>
    <w:tblStylePr w:type="lastCol">
      <w:rPr>
        <w:rFonts w:ascii="Arial" w:hAnsi="Arial"/>
        <w:b/>
        <w:color w:val="FFFFFF"/>
        <w:sz w:val="22"/>
      </w:rPr>
      <w:tcPr>
        <w:shd w:val="clear" w:color="FFFFFF" w:themeColor="accent5"/>
      </w:tcPr>
    </w:tblStylePr>
    <w:tblStylePr w:type="lastRow">
      <w:rPr>
        <w:rFonts w:ascii="Arial" w:hAnsi="Arial"/>
        <w:b/>
        <w:color w:val="FFFFFF"/>
        <w:sz w:val="22"/>
      </w:rPr>
      <w:tcPr>
        <w:shd w:val="clear" w:color="FFFFFF" w:themeColor="accent5"/>
        <w:tcBorders>
          <w:top w:val="single" w:color="000000" w:sz="4" w:space="0" w:themeColor="light1"/>
        </w:tcBorders>
      </w:tcPr>
    </w:tblStylePr>
  </w:style>
  <w:style w:type="table" w:styleId="306">
    <w:name w:val="Grid Table 5 Dark - Accent 6"/>
    <w:basedOn w:val="24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Color="accent6" w:themeTint="34"/>
    </w:tblPr>
    <w:tblStylePr w:type="band1Horz">
      <w:tcPr>
        <w:shd w:val="clear" w:color="FFFFFF" w:themeColor="accent6" w:themeTint="75"/>
      </w:tcPr>
    </w:tblStylePr>
    <w:tblStylePr w:type="band1Vert">
      <w:tcPr>
        <w:shd w:val="clear" w:color="FFFFFF" w:themeColor="accent6" w:themeTint="75"/>
      </w:tcPr>
    </w:tblStylePr>
    <w:tblStylePr w:type="firstCol">
      <w:rPr>
        <w:rFonts w:ascii="Arial" w:hAnsi="Arial"/>
        <w:b/>
        <w:color w:val="FFFFFF"/>
        <w:sz w:val="22"/>
      </w:rPr>
      <w:tcPr>
        <w:shd w:val="clear" w:color="FFFFFF" w:themeColor="accent6"/>
      </w:tcPr>
    </w:tblStylePr>
    <w:tblStylePr w:type="firstRow">
      <w:rPr>
        <w:rFonts w:ascii="Arial" w:hAnsi="Arial"/>
        <w:b/>
        <w:color w:val="FFFFFF"/>
        <w:sz w:val="22"/>
      </w:rPr>
      <w:tcPr>
        <w:shd w:val="clear" w:color="FFFFFF" w:themeColor="accent6"/>
      </w:tcPr>
    </w:tblStylePr>
    <w:tblStylePr w:type="lastCol">
      <w:rPr>
        <w:rFonts w:ascii="Arial" w:hAnsi="Arial"/>
        <w:b/>
        <w:color w:val="FFFFFF"/>
        <w:sz w:val="22"/>
      </w:rPr>
      <w:tcPr>
        <w:shd w:val="clear" w:color="FFFFFF" w:themeColor="accent6"/>
      </w:tcPr>
    </w:tblStylePr>
    <w:tblStylePr w:type="lastRow">
      <w:rPr>
        <w:rFonts w:ascii="Arial" w:hAnsi="Arial"/>
        <w:b/>
        <w:color w:val="FFFFFF"/>
        <w:sz w:val="22"/>
      </w:rPr>
      <w:tcPr>
        <w:shd w:val="clear" w:color="FFFFFF" w:themeColor="accent6"/>
        <w:tcBorders>
          <w:top w:val="single" w:color="000000" w:sz="4" w:space="0" w:themeColor="light1"/>
        </w:tcBorders>
      </w:tcPr>
    </w:tblStylePr>
  </w:style>
  <w:style w:type="table" w:styleId="307">
    <w:name w:val="Grid Table 6 Colorful"/>
    <w:basedOn w:val="24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Color="text1" w:themeTint="34"/>
      </w:tcPr>
    </w:tblStylePr>
    <w:tblStylePr w:type="band1Vert">
      <w:tcPr>
        <w:shd w:val="clear" w:color="FFFFFF"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308">
    <w:name w:val="Grid Table 6 Colorful - Accent 1"/>
    <w:basedOn w:val="24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309">
    <w:name w:val="Grid Table 6 Colorful - Accent 2"/>
    <w:basedOn w:val="24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310">
    <w:name w:val="Grid Table 6 Colorful - Accent 3"/>
    <w:basedOn w:val="24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311">
    <w:name w:val="Grid Table 6 Colorful - Accent 4"/>
    <w:basedOn w:val="24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312">
    <w:name w:val="Grid Table 6 Colorful - Accent 5"/>
    <w:basedOn w:val="24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313">
    <w:name w:val="Grid Table 6 Colorful - Accent 6"/>
    <w:basedOn w:val="24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314">
    <w:name w:val="Grid Table 7 Colorful"/>
    <w:basedOn w:val="24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0D"/>
      </w:tcPr>
    </w:tblStylePr>
    <w:tblStylePr w:type="band1Vert">
      <w:tcPr>
        <w:shd w:val="clear" w:color="FFFFFF"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FFFFFF"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FFFFFF" w:themeColor="light1"/>
        <w:tcBorders>
          <w:left w:val="none"/>
          <w:top w:val="single" w:color="000000" w:sz="4" w:space="0" w:themeColor="text1" w:themeTint="80"/>
          <w:right w:val="none"/>
          <w:bottom w:val="none"/>
        </w:tcBorders>
      </w:tcPr>
    </w:tblStylePr>
  </w:style>
  <w:style w:type="table" w:styleId="315">
    <w:name w:val="Grid Table 7 Colorful - Accent 1"/>
    <w:basedOn w:val="24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FFFFFF" w:themeColor="accent1" w:themeTint="34"/>
      </w:tcPr>
    </w:tblStylePr>
    <w:tblStylePr w:type="band1Vert">
      <w:tcPr>
        <w:shd w:val="clear" w:color="FFFFFF" w:themeColor="accent1" w:theme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color="FFFFFF" w:themeColor="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color="FFFFFF" w:themeColor="light1"/>
        <w:tcBorders>
          <w:left w:val="none"/>
          <w:top w:val="single" w:color="000000" w:sz="4" w:space="0" w:themeColor="accent1" w:themeTint="80"/>
          <w:right w:val="none"/>
          <w:bottom w:val="none"/>
        </w:tcBorders>
      </w:tcPr>
    </w:tblStylePr>
  </w:style>
  <w:style w:type="table" w:styleId="316">
    <w:name w:val="Grid Table 7 Colorful - Accent 2"/>
    <w:basedOn w:val="24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32"/>
      </w:tcPr>
    </w:tblStylePr>
    <w:tblStylePr w:type="band1Vert">
      <w:tcPr>
        <w:shd w:val="clear" w:color="FFFFFF" w:themeColor="accent2" w:theme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color="FFFFFF"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color="FFFFFF" w:themeColor="light1"/>
        <w:tcBorders>
          <w:left w:val="none"/>
          <w:top w:val="single" w:color="000000" w:sz="4" w:space="0" w:themeColor="accent2" w:themeTint="97"/>
          <w:right w:val="none"/>
          <w:bottom w:val="none"/>
        </w:tcBorders>
      </w:tcPr>
    </w:tblStylePr>
  </w:style>
  <w:style w:type="table" w:styleId="317">
    <w:name w:val="Grid Table 7 Colorful - Accent 3"/>
    <w:basedOn w:val="24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FFFFFF" w:themeColor="accent3" w:themeTint="34"/>
      </w:tcPr>
    </w:tblStylePr>
    <w:tblStylePr w:type="band1Vert">
      <w:tcPr>
        <w:shd w:val="clear" w:color="FFFFFF" w:themeColor="accent3" w:theme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color="FFFFFF" w:themeColor="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color="FFFFFF" w:themeColor="light1"/>
        <w:tcBorders>
          <w:left w:val="none"/>
          <w:top w:val="single" w:color="000000" w:sz="4" w:space="0" w:themeColor="accent3" w:themeTint="FE"/>
          <w:right w:val="none"/>
          <w:bottom w:val="none"/>
        </w:tcBorders>
      </w:tcPr>
    </w:tblStylePr>
  </w:style>
  <w:style w:type="table" w:styleId="318">
    <w:name w:val="Grid Table 7 Colorful - Accent 4"/>
    <w:basedOn w:val="24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34"/>
      </w:tcPr>
    </w:tblStylePr>
    <w:tblStylePr w:type="band1Vert">
      <w:tcPr>
        <w:shd w:val="clear" w:color="FFFFFF" w:themeColor="accent4" w:theme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color="FFFFFF"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color="FFFFFF" w:themeColor="light1"/>
        <w:tcBorders>
          <w:left w:val="none"/>
          <w:top w:val="single" w:color="000000" w:sz="4" w:space="0" w:themeColor="accent4" w:themeTint="9A"/>
          <w:right w:val="none"/>
          <w:bottom w:val="none"/>
        </w:tcBorders>
      </w:tcPr>
    </w:tblStylePr>
  </w:style>
  <w:style w:type="table" w:styleId="319">
    <w:name w:val="Grid Table 7 Colorful - Accent 5"/>
    <w:basedOn w:val="24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FFFFFF" w:themeColor="accent5" w:themeTint="34"/>
      </w:tcPr>
    </w:tblStylePr>
    <w:tblStylePr w:type="band1Vert">
      <w:tcPr>
        <w:shd w:val="clear" w:color="FFFFFF" w:themeColor="accent5" w:theme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color="FFFFFF" w:themeColor="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color="FFFFFF" w:themeColor="light1"/>
        <w:tcBorders>
          <w:left w:val="none"/>
          <w:top w:val="single" w:color="000000" w:sz="4" w:space="0" w:themeColor="accent5" w:themeTint="90"/>
          <w:right w:val="none"/>
          <w:bottom w:val="none"/>
        </w:tcBorders>
      </w:tcPr>
    </w:tblStylePr>
  </w:style>
  <w:style w:type="table" w:styleId="320">
    <w:name w:val="Grid Table 7 Colorful - Accent 6"/>
    <w:basedOn w:val="24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FFFFFF" w:themeColor="accent6" w:themeTint="34"/>
      </w:tcPr>
    </w:tblStylePr>
    <w:tblStylePr w:type="band1Vert">
      <w:tcPr>
        <w:shd w:val="clear" w:color="FFFFFF" w:themeColor="accent6" w:theme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color="FFFFFF" w:themeColor="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color="FFFFFF" w:themeColor="light1"/>
        <w:tcBorders>
          <w:left w:val="none"/>
          <w:top w:val="single" w:color="000000" w:sz="4" w:space="0" w:themeColor="accent6" w:themeTint="90"/>
          <w:right w:val="none"/>
          <w:bottom w:val="none"/>
        </w:tcBorders>
      </w:tcPr>
    </w:tblStylePr>
  </w:style>
  <w:style w:type="table" w:styleId="321">
    <w:name w:val="List Table 1 Light"/>
    <w:basedOn w:val="249"/>
    <w:uiPriority w:val="99"/>
    <w:pPr>
      <w:spacing w:lineRule="auto" w:line="240" w:after="0"/>
    </w:pPr>
    <w:tblPr>
      <w:tblStyleRowBandSize w:val="1"/>
      <w:tblStyleColBandSize w:val="1"/>
      <w:tblInd w:w="0" w:type="dxa"/>
    </w:tblPr>
    <w:tblStylePr w:type="band1Horz">
      <w:tcPr>
        <w:shd w:val="clear" w:color="FFFFFF" w:themeColor="text1" w:themeTint="40"/>
      </w:tcPr>
    </w:tblStylePr>
    <w:tblStylePr w:type="band1Vert">
      <w:tcPr>
        <w:shd w:val="clear" w:color="FFFFFF"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322">
    <w:name w:val="List Table 1 Light - Accent 1"/>
    <w:basedOn w:val="249"/>
    <w:uiPriority w:val="99"/>
    <w:pPr>
      <w:spacing w:lineRule="auto" w:line="240" w:after="0"/>
    </w:pPr>
    <w:tblPr>
      <w:tblStyleRowBandSize w:val="1"/>
      <w:tblStyleColBandSize w:val="1"/>
      <w:tblInd w:w="0" w:type="dxa"/>
    </w:tblPr>
    <w:tblStylePr w:type="band1Horz">
      <w:tcPr>
        <w:shd w:val="clear" w:color="FFFFFF" w:themeColor="accent1" w:themeTint="40"/>
      </w:tcPr>
    </w:tblStylePr>
    <w:tblStylePr w:type="band1Vert">
      <w:tcPr>
        <w:shd w:val="clear" w:color="FFFFFF"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323">
    <w:name w:val="List Table 1 Light - Accent 2"/>
    <w:basedOn w:val="249"/>
    <w:uiPriority w:val="99"/>
    <w:pPr>
      <w:spacing w:lineRule="auto" w:line="240" w:after="0"/>
    </w:pPr>
    <w:tblPr>
      <w:tblStyleRowBandSize w:val="1"/>
      <w:tblStyleColBandSize w:val="1"/>
      <w:tblInd w:w="0" w:type="dxa"/>
    </w:tblPr>
    <w:tblStylePr w:type="band1Horz">
      <w:tcPr>
        <w:shd w:val="clear" w:color="FFFFFF" w:themeColor="accent2" w:themeTint="40"/>
      </w:tcPr>
    </w:tblStylePr>
    <w:tblStylePr w:type="band1Vert">
      <w:tcPr>
        <w:shd w:val="clear" w:color="FFFFFF"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324">
    <w:name w:val="List Table 1 Light - Accent 3"/>
    <w:basedOn w:val="249"/>
    <w:uiPriority w:val="99"/>
    <w:pPr>
      <w:spacing w:lineRule="auto" w:line="240" w:after="0"/>
    </w:pPr>
    <w:tblPr>
      <w:tblStyleRowBandSize w:val="1"/>
      <w:tblStyleColBandSize w:val="1"/>
      <w:tblInd w:w="0" w:type="dxa"/>
    </w:tblPr>
    <w:tblStylePr w:type="band1Horz">
      <w:tcPr>
        <w:shd w:val="clear" w:color="FFFFFF" w:themeColor="accent3" w:themeTint="40"/>
      </w:tcPr>
    </w:tblStylePr>
    <w:tblStylePr w:type="band1Vert">
      <w:tcPr>
        <w:shd w:val="clear" w:color="FFFFFF"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325">
    <w:name w:val="List Table 1 Light - Accent 4"/>
    <w:basedOn w:val="249"/>
    <w:uiPriority w:val="99"/>
    <w:pPr>
      <w:spacing w:lineRule="auto" w:line="240" w:after="0"/>
    </w:pPr>
    <w:tblPr>
      <w:tblStyleRowBandSize w:val="1"/>
      <w:tblStyleColBandSize w:val="1"/>
      <w:tblInd w:w="0" w:type="dxa"/>
    </w:tblPr>
    <w:tblStylePr w:type="band1Horz">
      <w:tcPr>
        <w:shd w:val="clear" w:color="FFFFFF" w:themeColor="accent4" w:themeTint="40"/>
      </w:tcPr>
    </w:tblStylePr>
    <w:tblStylePr w:type="band1Vert">
      <w:tcPr>
        <w:shd w:val="clear" w:color="FFFFFF"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326">
    <w:name w:val="List Table 1 Light - Accent 5"/>
    <w:basedOn w:val="249"/>
    <w:uiPriority w:val="99"/>
    <w:pPr>
      <w:spacing w:lineRule="auto" w:line="240" w:after="0"/>
    </w:pPr>
    <w:tblPr>
      <w:tblStyleRowBandSize w:val="1"/>
      <w:tblStyleColBandSize w:val="1"/>
      <w:tblInd w:w="0" w:type="dxa"/>
    </w:tblPr>
    <w:tblStylePr w:type="band1Horz">
      <w:tcPr>
        <w:shd w:val="clear" w:color="FFFFFF" w:themeColor="accent5" w:themeTint="40"/>
      </w:tcPr>
    </w:tblStylePr>
    <w:tblStylePr w:type="band1Vert">
      <w:tcPr>
        <w:shd w:val="clear" w:color="FFFFFF"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327">
    <w:name w:val="List Table 1 Light - Accent 6"/>
    <w:basedOn w:val="249"/>
    <w:uiPriority w:val="99"/>
    <w:pPr>
      <w:spacing w:lineRule="auto" w:line="240" w:after="0"/>
    </w:pPr>
    <w:tblPr>
      <w:tblStyleRowBandSize w:val="1"/>
      <w:tblStyleColBandSize w:val="1"/>
      <w:tblInd w:w="0" w:type="dxa"/>
    </w:tblPr>
    <w:tblStylePr w:type="band1Horz">
      <w:tcPr>
        <w:shd w:val="clear" w:color="FFFFFF" w:themeColor="accent6" w:themeTint="40"/>
      </w:tcPr>
    </w:tblStylePr>
    <w:tblStylePr w:type="band1Vert">
      <w:tcPr>
        <w:shd w:val="clear" w:color="FFFFFF"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328">
    <w:name w:val="List Table 2"/>
    <w:basedOn w:val="24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329">
    <w:name w:val="List Table 2 - Accent 1"/>
    <w:basedOn w:val="24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330">
    <w:name w:val="List Table 2 - Accent 2"/>
    <w:basedOn w:val="24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331">
    <w:name w:val="List Table 2 - Accent 3"/>
    <w:basedOn w:val="24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332">
    <w:name w:val="List Table 2 - Accent 4"/>
    <w:basedOn w:val="24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333">
    <w:name w:val="List Table 2 - Accent 5"/>
    <w:basedOn w:val="24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334">
    <w:name w:val="List Table 2 - Accent 6"/>
    <w:basedOn w:val="24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335">
    <w:name w:val="List Table 3"/>
    <w:basedOn w:val="24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336">
    <w:name w:val="List Table 3 - Accent 1"/>
    <w:basedOn w:val="24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337">
    <w:name w:val="List Table 3 - Accent 2"/>
    <w:basedOn w:val="24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Color="accent2" w:themeTint="97"/>
      </w:tcPr>
    </w:tblStylePr>
    <w:tblStylePr w:type="lastCol">
      <w:rPr>
        <w:b/>
        <w:color w:val="404040"/>
      </w:rPr>
    </w:tblStylePr>
    <w:tblStylePr w:type="lastRow">
      <w:rPr>
        <w:b/>
        <w:color w:val="404040"/>
      </w:rPr>
    </w:tblStylePr>
  </w:style>
  <w:style w:type="table" w:styleId="338">
    <w:name w:val="List Table 3 - Accent 3"/>
    <w:basedOn w:val="24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Color="accent3" w:themeTint="98"/>
      </w:tcPr>
    </w:tblStylePr>
    <w:tblStylePr w:type="lastCol">
      <w:rPr>
        <w:b/>
        <w:color w:val="404040"/>
      </w:rPr>
    </w:tblStylePr>
    <w:tblStylePr w:type="lastRow">
      <w:rPr>
        <w:b/>
        <w:color w:val="404040"/>
      </w:rPr>
    </w:tblStylePr>
  </w:style>
  <w:style w:type="table" w:styleId="339">
    <w:name w:val="List Table 3 - Accent 4"/>
    <w:basedOn w:val="24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Color="accent4" w:themeTint="9A"/>
      </w:tcPr>
    </w:tblStylePr>
    <w:tblStylePr w:type="lastCol">
      <w:rPr>
        <w:b/>
        <w:color w:val="404040"/>
      </w:rPr>
    </w:tblStylePr>
    <w:tblStylePr w:type="lastRow">
      <w:rPr>
        <w:b/>
        <w:color w:val="404040"/>
      </w:rPr>
    </w:tblStylePr>
  </w:style>
  <w:style w:type="table" w:styleId="340">
    <w:name w:val="List Table 3 - Accent 5"/>
    <w:basedOn w:val="24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Color="accent5" w:themeTint="9A"/>
      </w:tcPr>
    </w:tblStylePr>
    <w:tblStylePr w:type="lastCol">
      <w:rPr>
        <w:b/>
        <w:color w:val="404040"/>
      </w:rPr>
    </w:tblStylePr>
    <w:tblStylePr w:type="lastRow">
      <w:rPr>
        <w:b/>
        <w:color w:val="404040"/>
      </w:rPr>
    </w:tblStylePr>
  </w:style>
  <w:style w:type="table" w:styleId="341">
    <w:name w:val="List Table 3 - Accent 6"/>
    <w:basedOn w:val="24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Color="accent6" w:themeTint="98"/>
      </w:tcPr>
    </w:tblStylePr>
    <w:tblStylePr w:type="lastCol">
      <w:rPr>
        <w:b/>
        <w:color w:val="404040"/>
      </w:rPr>
    </w:tblStylePr>
    <w:tblStylePr w:type="lastRow">
      <w:rPr>
        <w:b/>
        <w:color w:val="404040"/>
      </w:rPr>
    </w:tblStylePr>
  </w:style>
  <w:style w:type="table" w:styleId="342">
    <w:name w:val="List Table 4"/>
    <w:basedOn w:val="24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Color="text1" w:themeTint="40"/>
      </w:tcPr>
    </w:tblStylePr>
    <w:tblStylePr w:type="band1Vert">
      <w:rPr>
        <w:rFonts w:ascii="Arial" w:hAnsi="Arial"/>
        <w:color w:val="404040"/>
        <w:sz w:val="22"/>
      </w:rPr>
      <w:tcPr>
        <w:shd w:val="clear" w:color="FFFFFF" w:themeColor="text1" w:themeTint="40"/>
      </w:tcPr>
    </w:tblStylePr>
    <w:tblStylePr w:type="firstCol">
      <w:rPr>
        <w:b/>
        <w:color w:val="404040"/>
      </w:rPr>
    </w:tblStylePr>
    <w:tblStylePr w:type="firstRow">
      <w:rPr>
        <w:rFonts w:ascii="Arial" w:hAnsi="Arial"/>
        <w:b/>
        <w:color w:val="FFFFFF"/>
        <w:sz w:val="22"/>
      </w:rPr>
      <w:tcPr>
        <w:shd w:val="clear" w:color="FFFFFF" w:themeColor="text1"/>
      </w:tcPr>
    </w:tblStylePr>
    <w:tblStylePr w:type="lastCol">
      <w:rPr>
        <w:b/>
        <w:color w:val="404040"/>
      </w:rPr>
    </w:tblStylePr>
    <w:tblStylePr w:type="lastRow">
      <w:rPr>
        <w:b/>
        <w:color w:val="404040"/>
      </w:rPr>
    </w:tblStylePr>
  </w:style>
  <w:style w:type="table" w:styleId="343">
    <w:name w:val="List Table 4 - Accent 1"/>
    <w:basedOn w:val="24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Color="accent1" w:themeTint="40"/>
      </w:tcPr>
    </w:tblStylePr>
    <w:tblStylePr w:type="band1Vert">
      <w:rPr>
        <w:rFonts w:ascii="Arial" w:hAnsi="Arial"/>
        <w:color w:val="404040"/>
        <w:sz w:val="22"/>
      </w:rPr>
      <w:tcPr>
        <w:shd w:val="clear" w:color="FFFFFF" w:themeColor="accent1" w:themeTint="40"/>
      </w:tcPr>
    </w:tblStylePr>
    <w:tblStylePr w:type="firstCol">
      <w:rPr>
        <w:b/>
        <w:color w:val="404040"/>
      </w:rPr>
    </w:tblStylePr>
    <w:tblStylePr w:type="firstRow">
      <w:rPr>
        <w:rFonts w:ascii="Arial" w:hAnsi="Arial"/>
        <w:b/>
        <w:color w:val="FFFFFF"/>
        <w:sz w:val="22"/>
      </w:rPr>
      <w:tcPr>
        <w:shd w:val="clear" w:color="FFFFFF" w:themeColor="accent1"/>
      </w:tcPr>
    </w:tblStylePr>
    <w:tblStylePr w:type="lastCol">
      <w:rPr>
        <w:b/>
        <w:color w:val="404040"/>
      </w:rPr>
    </w:tblStylePr>
    <w:tblStylePr w:type="lastRow">
      <w:rPr>
        <w:b/>
        <w:color w:val="404040"/>
      </w:rPr>
    </w:tblStylePr>
  </w:style>
  <w:style w:type="table" w:styleId="344">
    <w:name w:val="List Table 4 - Accent 2"/>
    <w:basedOn w:val="24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Color="accent2" w:themeTint="40"/>
      </w:tcPr>
    </w:tblStylePr>
    <w:tblStylePr w:type="band1Vert">
      <w:rPr>
        <w:rFonts w:ascii="Arial" w:hAnsi="Arial"/>
        <w:color w:val="404040"/>
        <w:sz w:val="22"/>
      </w:rPr>
      <w:tcPr>
        <w:shd w:val="clear" w:color="FFFFFF" w:themeColor="accent2" w:themeTint="40"/>
      </w:tcPr>
    </w:tblStylePr>
    <w:tblStylePr w:type="firstCol">
      <w:rPr>
        <w:b/>
        <w:color w:val="404040"/>
      </w:rPr>
    </w:tblStylePr>
    <w:tblStylePr w:type="firstRow">
      <w:rPr>
        <w:rFonts w:ascii="Arial" w:hAnsi="Arial"/>
        <w:b/>
        <w:color w:val="FFFFFF"/>
        <w:sz w:val="22"/>
      </w:rPr>
      <w:tcPr>
        <w:shd w:val="clear" w:color="FFFFFF" w:themeColor="accent2"/>
      </w:tcPr>
    </w:tblStylePr>
    <w:tblStylePr w:type="lastCol">
      <w:rPr>
        <w:b/>
        <w:color w:val="404040"/>
      </w:rPr>
    </w:tblStylePr>
    <w:tblStylePr w:type="lastRow">
      <w:rPr>
        <w:b/>
        <w:color w:val="404040"/>
      </w:rPr>
    </w:tblStylePr>
  </w:style>
  <w:style w:type="table" w:styleId="345">
    <w:name w:val="List Table 4 - Accent 3"/>
    <w:basedOn w:val="24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Color="accent3" w:themeTint="40"/>
      </w:tcPr>
    </w:tblStylePr>
    <w:tblStylePr w:type="band1Vert">
      <w:rPr>
        <w:rFonts w:ascii="Arial" w:hAnsi="Arial"/>
        <w:color w:val="404040"/>
        <w:sz w:val="22"/>
      </w:rPr>
      <w:tcPr>
        <w:shd w:val="clear" w:color="FFFFFF" w:themeColor="accent3" w:themeTint="40"/>
      </w:tcPr>
    </w:tblStylePr>
    <w:tblStylePr w:type="firstCol">
      <w:rPr>
        <w:b/>
        <w:color w:val="404040"/>
      </w:rPr>
    </w:tblStylePr>
    <w:tblStylePr w:type="firstRow">
      <w:rPr>
        <w:rFonts w:ascii="Arial" w:hAnsi="Arial"/>
        <w:b/>
        <w:color w:val="FFFFFF"/>
        <w:sz w:val="22"/>
      </w:rPr>
      <w:tcPr>
        <w:shd w:val="clear" w:color="FFFFFF" w:themeColor="accent3"/>
      </w:tcPr>
    </w:tblStylePr>
    <w:tblStylePr w:type="lastCol">
      <w:rPr>
        <w:b/>
        <w:color w:val="404040"/>
      </w:rPr>
    </w:tblStylePr>
    <w:tblStylePr w:type="lastRow">
      <w:rPr>
        <w:b/>
        <w:color w:val="404040"/>
      </w:rPr>
    </w:tblStylePr>
  </w:style>
  <w:style w:type="table" w:styleId="346">
    <w:name w:val="List Table 4 - Accent 4"/>
    <w:basedOn w:val="24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Color="accent4" w:themeTint="40"/>
      </w:tcPr>
    </w:tblStylePr>
    <w:tblStylePr w:type="band1Vert">
      <w:rPr>
        <w:rFonts w:ascii="Arial" w:hAnsi="Arial"/>
        <w:color w:val="404040"/>
        <w:sz w:val="22"/>
      </w:rPr>
      <w:tcPr>
        <w:shd w:val="clear" w:color="FFFFFF" w:themeColor="accent4" w:themeTint="40"/>
      </w:tcPr>
    </w:tblStylePr>
    <w:tblStylePr w:type="firstCol">
      <w:rPr>
        <w:b/>
        <w:color w:val="404040"/>
      </w:rPr>
    </w:tblStylePr>
    <w:tblStylePr w:type="firstRow">
      <w:rPr>
        <w:rFonts w:ascii="Arial" w:hAnsi="Arial"/>
        <w:b/>
        <w:color w:val="FFFFFF"/>
        <w:sz w:val="22"/>
      </w:rPr>
      <w:tcPr>
        <w:shd w:val="clear" w:color="FFFFFF" w:themeColor="accent4"/>
      </w:tcPr>
    </w:tblStylePr>
    <w:tblStylePr w:type="lastCol">
      <w:rPr>
        <w:b/>
        <w:color w:val="404040"/>
      </w:rPr>
    </w:tblStylePr>
    <w:tblStylePr w:type="lastRow">
      <w:rPr>
        <w:b/>
        <w:color w:val="404040"/>
      </w:rPr>
    </w:tblStylePr>
  </w:style>
  <w:style w:type="table" w:styleId="347">
    <w:name w:val="List Table 4 - Accent 5"/>
    <w:basedOn w:val="24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Color="accent5" w:themeTint="40"/>
      </w:tcPr>
    </w:tblStylePr>
    <w:tblStylePr w:type="band1Vert">
      <w:rPr>
        <w:rFonts w:ascii="Arial" w:hAnsi="Arial"/>
        <w:color w:val="404040"/>
        <w:sz w:val="22"/>
      </w:rPr>
      <w:tcPr>
        <w:shd w:val="clear" w:color="FFFFFF" w:themeColor="accent5" w:themeTint="40"/>
      </w:tcPr>
    </w:tblStylePr>
    <w:tblStylePr w:type="firstCol">
      <w:rPr>
        <w:b/>
        <w:color w:val="404040"/>
      </w:rPr>
    </w:tblStylePr>
    <w:tblStylePr w:type="firstRow">
      <w:rPr>
        <w:rFonts w:ascii="Arial" w:hAnsi="Arial"/>
        <w:b/>
        <w:color w:val="FFFFFF"/>
        <w:sz w:val="22"/>
      </w:rPr>
      <w:tcPr>
        <w:shd w:val="clear" w:color="FFFFFF" w:themeColor="accent5"/>
      </w:tcPr>
    </w:tblStylePr>
    <w:tblStylePr w:type="lastCol">
      <w:rPr>
        <w:b/>
        <w:color w:val="404040"/>
      </w:rPr>
    </w:tblStylePr>
    <w:tblStylePr w:type="lastRow">
      <w:rPr>
        <w:b/>
        <w:color w:val="404040"/>
      </w:rPr>
    </w:tblStylePr>
  </w:style>
  <w:style w:type="table" w:styleId="348">
    <w:name w:val="List Table 4 - Accent 6"/>
    <w:basedOn w:val="24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Color="accent6" w:themeTint="40"/>
      </w:tcPr>
    </w:tblStylePr>
    <w:tblStylePr w:type="band1Vert">
      <w:rPr>
        <w:rFonts w:ascii="Arial" w:hAnsi="Arial"/>
        <w:color w:val="404040"/>
        <w:sz w:val="22"/>
      </w:rPr>
      <w:tcPr>
        <w:shd w:val="clear" w:color="FFFFFF" w:themeColor="accent6" w:themeTint="40"/>
      </w:tcPr>
    </w:tblStylePr>
    <w:tblStylePr w:type="firstCol">
      <w:rPr>
        <w:b/>
        <w:color w:val="404040"/>
      </w:rPr>
    </w:tblStylePr>
    <w:tblStylePr w:type="firstRow">
      <w:rPr>
        <w:rFonts w:ascii="Arial" w:hAnsi="Arial"/>
        <w:b/>
        <w:color w:val="FFFFFF"/>
        <w:sz w:val="22"/>
      </w:rPr>
      <w:tcPr>
        <w:shd w:val="clear" w:color="FFFFFF" w:themeColor="accent6"/>
      </w:tcPr>
    </w:tblStylePr>
    <w:tblStylePr w:type="lastCol">
      <w:rPr>
        <w:b/>
        <w:color w:val="404040"/>
      </w:rPr>
    </w:tblStylePr>
    <w:tblStylePr w:type="lastRow">
      <w:rPr>
        <w:b/>
        <w:color w:val="404040"/>
      </w:rPr>
    </w:tblStylePr>
  </w:style>
  <w:style w:type="table" w:styleId="349">
    <w:name w:val="List Table 5 Dark"/>
    <w:basedOn w:val="24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Color="text1" w:themeTint="80"/>
    </w:tblPr>
    <w:tblStylePr w:type="band1Horz">
      <w:tcPr>
        <w:shd w:val="clear" w:color="FFFFFF" w:themeColor="text1" w:themeTint="80"/>
        <w:tcBorders>
          <w:top w:val="single" w:color="000000" w:sz="4" w:space="0" w:themeColor="light1"/>
          <w:bottom w:val="single" w:color="000000" w:sz="4" w:space="0" w:themeColor="light1"/>
        </w:tcBorders>
      </w:tcPr>
    </w:tblStylePr>
    <w:tblStylePr w:type="band1Vert">
      <w:tcPr>
        <w:shd w:val="clear" w:color="FFFFFF" w:themeColor="text1" w:themeTint="80"/>
        <w:tcBorders>
          <w:left w:val="single" w:color="000000" w:sz="4" w:space="0" w:themeColor="light1"/>
          <w:right w:val="single" w:color="000000" w:sz="4" w:space="0" w:themeColor="light1"/>
        </w:tcBorders>
      </w:tcPr>
    </w:tblStylePr>
    <w:tblStylePr w:type="band2Horz">
      <w:tcPr>
        <w:shd w:val="clear" w:color="FFFFFF"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0">
    <w:name w:val="List Table 5 Dark - Accent 1"/>
    <w:basedOn w:val="24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Color="accent1"/>
    </w:tblPr>
    <w:tblStylePr w:type="band1Horz">
      <w:tcPr>
        <w:shd w:val="clear" w:color="FFFFFF" w:themeColor="accent1"/>
        <w:tcBorders>
          <w:top w:val="single" w:color="000000" w:sz="4" w:space="0" w:themeColor="light1"/>
          <w:bottom w:val="single" w:color="000000" w:sz="4" w:space="0" w:themeColor="light1"/>
        </w:tcBorders>
      </w:tcPr>
    </w:tblStylePr>
    <w:tblStylePr w:type="band1Vert">
      <w:tcPr>
        <w:shd w:val="clear" w:color="FFFFFF" w:themeColor="accent1"/>
        <w:tcBorders>
          <w:left w:val="single" w:color="000000" w:sz="4" w:space="0" w:themeColor="light1"/>
          <w:right w:val="single" w:color="000000" w:sz="4" w:space="0" w:themeColor="light1"/>
        </w:tcBorders>
      </w:tcPr>
    </w:tblStylePr>
    <w:tblStylePr w:type="band2Horz">
      <w:tcPr>
        <w:shd w:val="clear" w:color="FFFFFF"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1">
    <w:name w:val="List Table 5 Dark - Accent 2"/>
    <w:basedOn w:val="24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Color="accent2" w:themeTint="97"/>
    </w:tblPr>
    <w:tblStylePr w:type="band1Horz">
      <w:tcPr>
        <w:shd w:val="clear" w:color="FFFFFF" w:themeColor="accent2" w:themeTint="97"/>
        <w:tcBorders>
          <w:top w:val="single" w:color="000000" w:sz="4" w:space="0" w:themeColor="light1"/>
          <w:bottom w:val="single" w:color="000000" w:sz="4" w:space="0" w:themeColor="light1"/>
        </w:tcBorders>
      </w:tcPr>
    </w:tblStylePr>
    <w:tblStylePr w:type="band1Vert">
      <w:tcPr>
        <w:shd w:val="clear" w:color="FFFFFF" w:themeColor="accent2" w:themeTint="97"/>
        <w:tcBorders>
          <w:left w:val="single" w:color="000000" w:sz="4" w:space="0" w:themeColor="light1"/>
          <w:right w:val="single" w:color="000000" w:sz="4" w:space="0" w:themeColor="light1"/>
        </w:tcBorders>
      </w:tcPr>
    </w:tblStylePr>
    <w:tblStylePr w:type="band2Horz">
      <w:tcPr>
        <w:shd w:val="clear" w:color="FFFFFF"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2">
    <w:name w:val="List Table 5 Dark - Accent 3"/>
    <w:basedOn w:val="24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Color="accent3" w:themeTint="98"/>
    </w:tblPr>
    <w:tblStylePr w:type="band1Horz">
      <w:tcPr>
        <w:shd w:val="clear" w:color="FFFFFF" w:themeColor="accent3" w:themeTint="98"/>
        <w:tcBorders>
          <w:top w:val="single" w:color="000000" w:sz="4" w:space="0" w:themeColor="light1"/>
          <w:bottom w:val="single" w:color="000000" w:sz="4" w:space="0" w:themeColor="light1"/>
        </w:tcBorders>
      </w:tcPr>
    </w:tblStylePr>
    <w:tblStylePr w:type="band1Vert">
      <w:tcPr>
        <w:shd w:val="clear" w:color="FFFFFF" w:themeColor="accent3" w:themeTint="98"/>
        <w:tcBorders>
          <w:left w:val="single" w:color="000000" w:sz="4" w:space="0" w:themeColor="light1"/>
          <w:right w:val="single" w:color="000000" w:sz="4" w:space="0" w:themeColor="light1"/>
        </w:tcBorders>
      </w:tcPr>
    </w:tblStylePr>
    <w:tblStylePr w:type="band2Horz">
      <w:tcPr>
        <w:shd w:val="clear" w:color="FFFFFF"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3">
    <w:name w:val="List Table 5 Dark - Accent 4"/>
    <w:basedOn w:val="24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Color="accent4" w:themeTint="9A"/>
    </w:tblPr>
    <w:tblStylePr w:type="band1Horz">
      <w:tcPr>
        <w:shd w:val="clear" w:color="FFFFFF" w:themeColor="accent4" w:themeTint="9A"/>
        <w:tcBorders>
          <w:top w:val="single" w:color="000000" w:sz="4" w:space="0" w:themeColor="light1"/>
          <w:bottom w:val="single" w:color="000000" w:sz="4" w:space="0" w:themeColor="light1"/>
        </w:tcBorders>
      </w:tcPr>
    </w:tblStylePr>
    <w:tblStylePr w:type="band1Vert">
      <w:tcPr>
        <w:shd w:val="clear" w:color="FFFFFF" w:themeColor="accent4" w:themeTint="9A"/>
        <w:tcBorders>
          <w:left w:val="single" w:color="000000" w:sz="4" w:space="0" w:themeColor="light1"/>
          <w:right w:val="single" w:color="000000" w:sz="4" w:space="0" w:themeColor="light1"/>
        </w:tcBorders>
      </w:tcPr>
    </w:tblStylePr>
    <w:tblStylePr w:type="band2Horz">
      <w:tcPr>
        <w:shd w:val="clear" w:color="FFFFFF"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4">
    <w:name w:val="List Table 5 Dark - Accent 5"/>
    <w:basedOn w:val="24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Color="accent5" w:themeTint="9A"/>
    </w:tblPr>
    <w:tblStylePr w:type="band1Horz">
      <w:tcPr>
        <w:shd w:val="clear" w:color="FFFFFF" w:themeColor="accent5" w:themeTint="9A"/>
        <w:tcBorders>
          <w:top w:val="single" w:color="000000" w:sz="4" w:space="0" w:themeColor="light1"/>
          <w:bottom w:val="single" w:color="000000" w:sz="4" w:space="0" w:themeColor="light1"/>
        </w:tcBorders>
      </w:tcPr>
    </w:tblStylePr>
    <w:tblStylePr w:type="band1Vert">
      <w:tcPr>
        <w:shd w:val="clear" w:color="FFFFFF" w:themeColor="accent5" w:themeTint="9A"/>
        <w:tcBorders>
          <w:left w:val="single" w:color="000000" w:sz="4" w:space="0" w:themeColor="light1"/>
          <w:right w:val="single" w:color="000000" w:sz="4" w:space="0" w:themeColor="light1"/>
        </w:tcBorders>
      </w:tcPr>
    </w:tblStylePr>
    <w:tblStylePr w:type="band2Horz">
      <w:tcPr>
        <w:shd w:val="clear" w:color="FFFFFF"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5">
    <w:name w:val="List Table 5 Dark - Accent 6"/>
    <w:basedOn w:val="24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Color="accent6" w:themeTint="98"/>
    </w:tblPr>
    <w:tblStylePr w:type="band1Horz">
      <w:tcPr>
        <w:shd w:val="clear" w:color="FFFFFF" w:themeColor="accent6" w:themeTint="98"/>
        <w:tcBorders>
          <w:top w:val="single" w:color="000000" w:sz="4" w:space="0" w:themeColor="light1"/>
          <w:bottom w:val="single" w:color="000000" w:sz="4" w:space="0" w:themeColor="light1"/>
        </w:tcBorders>
      </w:tcPr>
    </w:tblStylePr>
    <w:tblStylePr w:type="band1Vert">
      <w:tcPr>
        <w:shd w:val="clear" w:color="FFFFFF" w:themeColor="accent6" w:themeTint="98"/>
        <w:tcBorders>
          <w:left w:val="single" w:color="000000" w:sz="4" w:space="0" w:themeColor="light1"/>
          <w:right w:val="single" w:color="000000" w:sz="4" w:space="0" w:themeColor="light1"/>
        </w:tcBorders>
      </w:tcPr>
    </w:tblStylePr>
    <w:tblStylePr w:type="band2Horz">
      <w:tcPr>
        <w:shd w:val="clear" w:color="FFFFFF"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56">
    <w:name w:val="List Table 6 Colorful"/>
    <w:basedOn w:val="24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357">
    <w:name w:val="List Table 6 Colorful - Accent 1"/>
    <w:basedOn w:val="24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358">
    <w:name w:val="List Table 6 Colorful - Accent 2"/>
    <w:basedOn w:val="24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359">
    <w:name w:val="List Table 6 Colorful - Accent 3"/>
    <w:basedOn w:val="24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360">
    <w:name w:val="List Table 6 Colorful - Accent 4"/>
    <w:basedOn w:val="24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361">
    <w:name w:val="List Table 6 Colorful - Accent 5"/>
    <w:basedOn w:val="24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362">
    <w:name w:val="List Table 6 Colorful - Accent 6"/>
    <w:basedOn w:val="24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363">
    <w:name w:val="List Table 7 Colorful"/>
    <w:basedOn w:val="24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Color="text1" w:themeTint="40"/>
      </w:tcPr>
    </w:tblStylePr>
    <w:tblStylePr w:type="band1Vert">
      <w:tcPr>
        <w:shd w:val="clear" w:color="FFFFFF"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FFFFFF" w:themeColor="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FFFFFF" w:themeColor="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364">
    <w:name w:val="List Table 7 Colorful - Accent 1"/>
    <w:basedOn w:val="24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FFFFFF" w:themeColor="accent1" w:themeTint="40"/>
      </w:tcPr>
    </w:tblStylePr>
    <w:tblStylePr w:type="band1Vert">
      <w:tcPr>
        <w:shd w:val="clear" w:color="FFFFFF" w:themeColor="accent1" w:theme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color="FFFFFF" w:themeColor="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color="FFFFFF" w:themeColor="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365">
    <w:name w:val="List Table 7 Colorful - Accent 2"/>
    <w:basedOn w:val="24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FFFFFF" w:themeColor="accent2" w:themeTint="40"/>
      </w:tcPr>
    </w:tblStylePr>
    <w:tblStylePr w:type="band1Vert">
      <w:tcPr>
        <w:shd w:val="clear" w:color="FFFFFF" w:themeColor="accent2" w:theme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color="FFFFFF" w:themeColor="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color="FFFFFF" w:themeColor="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366">
    <w:name w:val="List Table 7 Colorful - Accent 3"/>
    <w:basedOn w:val="24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FFFFFF" w:themeColor="accent3" w:themeTint="40"/>
      </w:tcPr>
    </w:tblStylePr>
    <w:tblStylePr w:type="band1Vert">
      <w:tcPr>
        <w:shd w:val="clear" w:color="FFFFFF" w:themeColor="accent3" w:theme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color="FFFFFF" w:themeColor="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color="FFFFFF" w:themeColor="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367">
    <w:name w:val="List Table 7 Colorful - Accent 4"/>
    <w:basedOn w:val="24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FFFFFF" w:themeColor="accent4" w:themeTint="40"/>
      </w:tcPr>
    </w:tblStylePr>
    <w:tblStylePr w:type="band1Vert">
      <w:tcPr>
        <w:shd w:val="clear" w:color="FFFFFF" w:themeColor="accent4" w:theme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color="FFFFFF" w:themeColor="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color="FFFFFF" w:themeColor="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368">
    <w:name w:val="List Table 7 Colorful - Accent 5"/>
    <w:basedOn w:val="24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FFFFFF" w:themeColor="accent5" w:themeTint="40"/>
      </w:tcPr>
    </w:tblStylePr>
    <w:tblStylePr w:type="band1Vert">
      <w:tcPr>
        <w:shd w:val="clear" w:color="FFFFFF" w:themeColor="accent5" w:theme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color="FFFFFF" w:themeColor="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color="FFFFFF" w:themeColor="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369">
    <w:name w:val="List Table 7 Colorful - Accent 6"/>
    <w:basedOn w:val="24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FFFFFF" w:themeColor="accent6" w:themeTint="40"/>
      </w:tcPr>
    </w:tblStylePr>
    <w:tblStylePr w:type="band1Vert">
      <w:tcPr>
        <w:shd w:val="clear" w:color="FFFFFF" w:themeColor="accent6" w:theme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color="FFFFFF" w:themeColor="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color="FFFFFF" w:themeColor="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370">
    <w:name w:val="Lined - Accent"/>
    <w:basedOn w:val="24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371">
    <w:name w:val="Lined - Accent 1"/>
    <w:basedOn w:val="24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372">
    <w:name w:val="Lined - Accent 2"/>
    <w:basedOn w:val="24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373">
    <w:name w:val="Lined - Accent 3"/>
    <w:basedOn w:val="24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374">
    <w:name w:val="Lined - Accent 4"/>
    <w:basedOn w:val="24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375">
    <w:name w:val="Lined - Accent 5"/>
    <w:basedOn w:val="24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376">
    <w:name w:val="Lined - Accent 6"/>
    <w:basedOn w:val="24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377">
    <w:name w:val="Bordered &amp; Lined - Accent"/>
    <w:basedOn w:val="24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tcPr>
    </w:tblStylePr>
    <w:tblStylePr w:type="band2Vert">
      <w:rPr>
        <w:rFonts w:ascii="Arial" w:hAnsi="Arial"/>
        <w:color w:val="404040"/>
        <w:sz w:val="22"/>
      </w:rPr>
      <w:tcPr>
        <w:shd w:val="clear" w:color="FFFFFF" w:themeColor="text1" w:themeTint="0D"/>
      </w:tcPr>
    </w:tblStylePr>
    <w:tblStylePr w:type="firstCol">
      <w:rPr>
        <w:rFonts w:ascii="Arial" w:hAnsi="Arial"/>
        <w:color w:val="F2F2F2"/>
        <w:sz w:val="22"/>
      </w:rPr>
      <w:tcPr>
        <w:shd w:val="clear" w:color="FFFFFF" w:themeColor="text1" w:themeTint="80"/>
      </w:tcPr>
    </w:tblStylePr>
    <w:tblStylePr w:type="firstRow">
      <w:rPr>
        <w:rFonts w:ascii="Arial" w:hAnsi="Arial"/>
        <w:color w:val="F2F2F2"/>
        <w:sz w:val="22"/>
      </w:rPr>
      <w:tcPr>
        <w:shd w:val="clear" w:color="FFFFFF" w:themeColor="text1" w:themeTint="80"/>
      </w:tcPr>
    </w:tblStylePr>
    <w:tblStylePr w:type="lastCol">
      <w:rPr>
        <w:rFonts w:ascii="Arial" w:hAnsi="Arial"/>
        <w:color w:val="F2F2F2"/>
        <w:sz w:val="22"/>
      </w:rPr>
      <w:tcPr>
        <w:shd w:val="clear" w:color="FFFFFF" w:themeColor="text1" w:themeTint="80"/>
      </w:tcPr>
    </w:tblStylePr>
    <w:tblStylePr w:type="lastRow">
      <w:rPr>
        <w:rFonts w:ascii="Arial" w:hAnsi="Arial"/>
        <w:color w:val="F2F2F2"/>
        <w:sz w:val="22"/>
      </w:rPr>
      <w:tcPr>
        <w:shd w:val="clear" w:color="FFFFFF" w:themeColor="text1" w:themeTint="80"/>
      </w:tcPr>
    </w:tblStylePr>
  </w:style>
  <w:style w:type="table" w:styleId="378">
    <w:name w:val="Bordered &amp; Lined - Accent 1"/>
    <w:basedOn w:val="24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tcPr>
    </w:tblStylePr>
    <w:tblStylePr w:type="band2Vert">
      <w:rPr>
        <w:rFonts w:ascii="Arial" w:hAnsi="Arial"/>
        <w:color w:val="404040"/>
        <w:sz w:val="22"/>
      </w:rPr>
      <w:tcPr>
        <w:shd w:val="clear" w:color="FFFFFF" w:themeColor="accent1" w:themeTint="50"/>
      </w:tcPr>
    </w:tblStylePr>
    <w:tblStylePr w:type="firstCol">
      <w:rPr>
        <w:rFonts w:ascii="Arial" w:hAnsi="Arial"/>
        <w:color w:val="F2F2F2"/>
        <w:sz w:val="22"/>
      </w:rPr>
      <w:tcPr>
        <w:shd w:val="clear" w:color="FFFFFF" w:themeColor="accent1" w:themeTint="EA"/>
      </w:tcPr>
    </w:tblStylePr>
    <w:tblStylePr w:type="firstRow">
      <w:rPr>
        <w:rFonts w:ascii="Arial" w:hAnsi="Arial"/>
        <w:color w:val="F2F2F2"/>
        <w:sz w:val="22"/>
      </w:rPr>
      <w:tcPr>
        <w:shd w:val="clear" w:color="FFFFFF" w:themeColor="accent1" w:themeTint="EA"/>
      </w:tcPr>
    </w:tblStylePr>
    <w:tblStylePr w:type="lastCol">
      <w:rPr>
        <w:rFonts w:ascii="Arial" w:hAnsi="Arial"/>
        <w:color w:val="F2F2F2"/>
        <w:sz w:val="22"/>
      </w:rPr>
      <w:tcPr>
        <w:shd w:val="clear" w:color="FFFFFF" w:themeColor="accent1" w:themeTint="EA"/>
      </w:tcPr>
    </w:tblStylePr>
    <w:tblStylePr w:type="lastRow">
      <w:rPr>
        <w:rFonts w:ascii="Arial" w:hAnsi="Arial"/>
        <w:color w:val="F2F2F2"/>
        <w:sz w:val="22"/>
      </w:rPr>
      <w:tcPr>
        <w:shd w:val="clear" w:color="FFFFFF" w:themeColor="accent1" w:themeTint="EA"/>
      </w:tcPr>
    </w:tblStylePr>
  </w:style>
  <w:style w:type="table" w:styleId="379">
    <w:name w:val="Bordered &amp; Lined - Accent 2"/>
    <w:basedOn w:val="24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tcPr>
    </w:tblStylePr>
    <w:tblStylePr w:type="band2Vert">
      <w:rPr>
        <w:rFonts w:ascii="Arial" w:hAnsi="Arial"/>
        <w:color w:val="404040"/>
        <w:sz w:val="22"/>
      </w:rPr>
      <w:tcPr>
        <w:shd w:val="clear" w:color="FFFFFF" w:themeColor="accent2" w:themeTint="32"/>
      </w:tcPr>
    </w:tblStylePr>
    <w:tblStylePr w:type="firstCol">
      <w:rPr>
        <w:rFonts w:ascii="Arial" w:hAnsi="Arial"/>
        <w:color w:val="F2F2F2"/>
        <w:sz w:val="22"/>
      </w:rPr>
      <w:tcPr>
        <w:shd w:val="clear" w:color="FFFFFF" w:themeColor="accent2" w:themeTint="97"/>
      </w:tcPr>
    </w:tblStylePr>
    <w:tblStylePr w:type="firstRow">
      <w:rPr>
        <w:rFonts w:ascii="Arial" w:hAnsi="Arial"/>
        <w:color w:val="F2F2F2"/>
        <w:sz w:val="22"/>
      </w:rPr>
      <w:tcPr>
        <w:shd w:val="clear" w:color="FFFFFF" w:themeColor="accent2" w:themeTint="97"/>
      </w:tcPr>
    </w:tblStylePr>
    <w:tblStylePr w:type="lastCol">
      <w:rPr>
        <w:rFonts w:ascii="Arial" w:hAnsi="Arial"/>
        <w:color w:val="F2F2F2"/>
        <w:sz w:val="22"/>
      </w:rPr>
      <w:tcPr>
        <w:shd w:val="clear" w:color="FFFFFF" w:themeColor="accent2" w:themeTint="97"/>
      </w:tcPr>
    </w:tblStylePr>
    <w:tblStylePr w:type="lastRow">
      <w:rPr>
        <w:rFonts w:ascii="Arial" w:hAnsi="Arial"/>
        <w:color w:val="F2F2F2"/>
        <w:sz w:val="22"/>
      </w:rPr>
      <w:tcPr>
        <w:shd w:val="clear" w:color="FFFFFF" w:themeColor="accent2" w:themeTint="97"/>
      </w:tcPr>
    </w:tblStylePr>
  </w:style>
  <w:style w:type="table" w:styleId="380">
    <w:name w:val="Bordered &amp; Lined - Accent 3"/>
    <w:basedOn w:val="24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tcPr>
    </w:tblStylePr>
    <w:tblStylePr w:type="band2Vert">
      <w:rPr>
        <w:rFonts w:ascii="Arial" w:hAnsi="Arial"/>
        <w:color w:val="404040"/>
        <w:sz w:val="22"/>
      </w:rPr>
      <w:tcPr>
        <w:shd w:val="clear" w:color="FFFFFF" w:themeColor="accent3" w:themeTint="34"/>
      </w:tcPr>
    </w:tblStylePr>
    <w:tblStylePr w:type="firstCol">
      <w:rPr>
        <w:rFonts w:ascii="Arial" w:hAnsi="Arial"/>
        <w:color w:val="F2F2F2"/>
        <w:sz w:val="22"/>
      </w:rPr>
      <w:tcPr>
        <w:shd w:val="clear" w:color="FFFFFF" w:themeColor="accent3" w:themeTint="FE"/>
      </w:tcPr>
    </w:tblStylePr>
    <w:tblStylePr w:type="firstRow">
      <w:rPr>
        <w:rFonts w:ascii="Arial" w:hAnsi="Arial"/>
        <w:color w:val="F2F2F2"/>
        <w:sz w:val="22"/>
      </w:rPr>
      <w:tcPr>
        <w:shd w:val="clear" w:color="FFFFFF" w:themeColor="accent3" w:themeTint="FE"/>
      </w:tcPr>
    </w:tblStylePr>
    <w:tblStylePr w:type="lastCol">
      <w:rPr>
        <w:rFonts w:ascii="Arial" w:hAnsi="Arial"/>
        <w:color w:val="F2F2F2"/>
        <w:sz w:val="22"/>
      </w:rPr>
      <w:tcPr>
        <w:shd w:val="clear" w:color="FFFFFF" w:themeColor="accent3" w:themeTint="FE"/>
      </w:tcPr>
    </w:tblStylePr>
    <w:tblStylePr w:type="lastRow">
      <w:rPr>
        <w:rFonts w:ascii="Arial" w:hAnsi="Arial"/>
        <w:color w:val="F2F2F2"/>
        <w:sz w:val="22"/>
      </w:rPr>
      <w:tcPr>
        <w:shd w:val="clear" w:color="FFFFFF" w:themeColor="accent3" w:themeTint="FE"/>
      </w:tcPr>
    </w:tblStylePr>
  </w:style>
  <w:style w:type="table" w:styleId="381">
    <w:name w:val="Bordered &amp; Lined - Accent 4"/>
    <w:basedOn w:val="24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tcPr>
    </w:tblStylePr>
    <w:tblStylePr w:type="band2Vert">
      <w:rPr>
        <w:rFonts w:ascii="Arial" w:hAnsi="Arial"/>
        <w:color w:val="404040"/>
        <w:sz w:val="22"/>
      </w:rPr>
      <w:tcPr>
        <w:shd w:val="clear" w:color="FFFFFF" w:themeColor="accent4" w:themeTint="34"/>
      </w:tcPr>
    </w:tblStylePr>
    <w:tblStylePr w:type="firstCol">
      <w:rPr>
        <w:rFonts w:ascii="Arial" w:hAnsi="Arial"/>
        <w:color w:val="F2F2F2"/>
        <w:sz w:val="22"/>
      </w:rPr>
      <w:tcPr>
        <w:shd w:val="clear" w:color="FFFFFF" w:themeColor="accent4" w:themeTint="9A"/>
      </w:tcPr>
    </w:tblStylePr>
    <w:tblStylePr w:type="firstRow">
      <w:rPr>
        <w:rFonts w:ascii="Arial" w:hAnsi="Arial"/>
        <w:color w:val="F2F2F2"/>
        <w:sz w:val="22"/>
      </w:rPr>
      <w:tcPr>
        <w:shd w:val="clear" w:color="FFFFFF" w:themeColor="accent4" w:themeTint="9A"/>
      </w:tcPr>
    </w:tblStylePr>
    <w:tblStylePr w:type="lastCol">
      <w:rPr>
        <w:rFonts w:ascii="Arial" w:hAnsi="Arial"/>
        <w:color w:val="F2F2F2"/>
        <w:sz w:val="22"/>
      </w:rPr>
      <w:tcPr>
        <w:shd w:val="clear" w:color="FFFFFF" w:themeColor="accent4" w:themeTint="9A"/>
      </w:tcPr>
    </w:tblStylePr>
    <w:tblStylePr w:type="lastRow">
      <w:rPr>
        <w:rFonts w:ascii="Arial" w:hAnsi="Arial"/>
        <w:color w:val="F2F2F2"/>
        <w:sz w:val="22"/>
      </w:rPr>
      <w:tcPr>
        <w:shd w:val="clear" w:color="FFFFFF" w:themeColor="accent4" w:themeTint="9A"/>
      </w:tcPr>
    </w:tblStylePr>
  </w:style>
  <w:style w:type="table" w:styleId="382">
    <w:name w:val="Bordered &amp; Lined - Accent 5"/>
    <w:basedOn w:val="24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tcPr>
    </w:tblStylePr>
    <w:tblStylePr w:type="band2Vert">
      <w:rPr>
        <w:rFonts w:ascii="Arial" w:hAnsi="Arial"/>
        <w:color w:val="404040"/>
        <w:sz w:val="22"/>
      </w:rPr>
      <w:tcPr>
        <w:shd w:val="clear" w:color="FFFFFF" w:themeColor="accent5" w:themeTint="34"/>
      </w:tcPr>
    </w:tblStylePr>
    <w:tblStylePr w:type="firstCol">
      <w:rPr>
        <w:rFonts w:ascii="Arial" w:hAnsi="Arial"/>
        <w:color w:val="F2F2F2"/>
        <w:sz w:val="22"/>
      </w:rPr>
      <w:tcPr>
        <w:shd w:val="clear" w:color="FFFFFF" w:themeColor="accent5"/>
      </w:tcPr>
    </w:tblStylePr>
    <w:tblStylePr w:type="firstRow">
      <w:rPr>
        <w:rFonts w:ascii="Arial" w:hAnsi="Arial"/>
        <w:color w:val="F2F2F2"/>
        <w:sz w:val="22"/>
      </w:rPr>
      <w:tcPr>
        <w:shd w:val="clear" w:color="FFFFFF" w:themeColor="accent5"/>
      </w:tcPr>
    </w:tblStylePr>
    <w:tblStylePr w:type="lastCol">
      <w:rPr>
        <w:rFonts w:ascii="Arial" w:hAnsi="Arial"/>
        <w:color w:val="F2F2F2"/>
        <w:sz w:val="22"/>
      </w:rPr>
      <w:tcPr>
        <w:shd w:val="clear" w:color="FFFFFF" w:themeColor="accent5"/>
      </w:tcPr>
    </w:tblStylePr>
    <w:tblStylePr w:type="lastRow">
      <w:rPr>
        <w:rFonts w:ascii="Arial" w:hAnsi="Arial"/>
        <w:color w:val="F2F2F2"/>
        <w:sz w:val="22"/>
      </w:rPr>
      <w:tcPr>
        <w:shd w:val="clear" w:color="FFFFFF" w:themeColor="accent5"/>
      </w:tcPr>
    </w:tblStylePr>
  </w:style>
  <w:style w:type="table" w:styleId="383">
    <w:name w:val="Bordered &amp; Lined - Accent 6"/>
    <w:basedOn w:val="24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tcPr>
    </w:tblStylePr>
    <w:tblStylePr w:type="band2Vert">
      <w:rPr>
        <w:rFonts w:ascii="Arial" w:hAnsi="Arial"/>
        <w:color w:val="404040"/>
        <w:sz w:val="22"/>
      </w:rPr>
      <w:tcPr>
        <w:shd w:val="clear" w:color="FFFFFF" w:themeColor="accent6" w:themeTint="34"/>
      </w:tcPr>
    </w:tblStylePr>
    <w:tblStylePr w:type="firstCol">
      <w:rPr>
        <w:rFonts w:ascii="Arial" w:hAnsi="Arial"/>
        <w:color w:val="F2F2F2"/>
        <w:sz w:val="22"/>
      </w:rPr>
      <w:tcPr>
        <w:shd w:val="clear" w:color="FFFFFF" w:themeColor="accent6"/>
      </w:tcPr>
    </w:tblStylePr>
    <w:tblStylePr w:type="firstRow">
      <w:rPr>
        <w:rFonts w:ascii="Arial" w:hAnsi="Arial"/>
        <w:color w:val="F2F2F2"/>
        <w:sz w:val="22"/>
      </w:rPr>
      <w:tcPr>
        <w:shd w:val="clear" w:color="FFFFFF" w:themeColor="accent6"/>
      </w:tcPr>
    </w:tblStylePr>
    <w:tblStylePr w:type="lastCol">
      <w:rPr>
        <w:rFonts w:ascii="Arial" w:hAnsi="Arial"/>
        <w:color w:val="F2F2F2"/>
        <w:sz w:val="22"/>
      </w:rPr>
      <w:tcPr>
        <w:shd w:val="clear" w:color="FFFFFF" w:themeColor="accent6"/>
      </w:tcPr>
    </w:tblStylePr>
    <w:tblStylePr w:type="lastRow">
      <w:rPr>
        <w:rFonts w:ascii="Arial" w:hAnsi="Arial"/>
        <w:color w:val="F2F2F2"/>
        <w:sz w:val="22"/>
      </w:rPr>
      <w:tcPr>
        <w:shd w:val="clear" w:color="FFFFFF" w:themeColor="accent6"/>
      </w:tcPr>
    </w:tblStylePr>
  </w:style>
  <w:style w:type="table" w:styleId="384">
    <w:name w:val="Bordered"/>
    <w:basedOn w:val="24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385">
    <w:name w:val="Bordered - Accent 1"/>
    <w:basedOn w:val="24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386">
    <w:name w:val="Bordered - Accent 2"/>
    <w:basedOn w:val="24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387">
    <w:name w:val="Bordered - Accent 3"/>
    <w:basedOn w:val="24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388">
    <w:name w:val="Bordered - Accent 4"/>
    <w:basedOn w:val="24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389">
    <w:name w:val="Bordered - Accent 5"/>
    <w:basedOn w:val="24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390">
    <w:name w:val="Bordered - Accent 6"/>
    <w:basedOn w:val="24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391">
    <w:name w:val="Hyperlink"/>
    <w:uiPriority w:val="99"/>
    <w:unhideWhenUsed/>
    <w:rPr>
      <w:color w:val="0000FF" w:themeColor="hyperlink"/>
      <w:u w:val="single"/>
    </w:rPr>
  </w:style>
  <w:style w:type="paragraph" w:styleId="392">
    <w:name w:val="footnote text"/>
    <w:basedOn w:val="227"/>
    <w:link w:val="393"/>
    <w:uiPriority w:val="99"/>
    <w:semiHidden/>
    <w:unhideWhenUsed/>
    <w:rPr>
      <w:sz w:val="18"/>
    </w:rPr>
    <w:pPr>
      <w:spacing w:lineRule="auto" w:line="240" w:after="40"/>
    </w:pPr>
  </w:style>
  <w:style w:type="character" w:styleId="393">
    <w:name w:val="Footnote Text Char"/>
    <w:link w:val="392"/>
    <w:uiPriority w:val="99"/>
    <w:rPr>
      <w:sz w:val="18"/>
    </w:rPr>
  </w:style>
  <w:style w:type="character" w:styleId="394">
    <w:name w:val="footnote reference"/>
    <w:basedOn w:val="228"/>
    <w:uiPriority w:val="99"/>
    <w:unhideWhenUsed/>
    <w:rPr>
      <w:vertAlign w:val="superscript"/>
    </w:rPr>
  </w:style>
  <w:style w:type="paragraph" w:styleId="395">
    <w:name w:val="endnote text"/>
    <w:basedOn w:val="227"/>
    <w:link w:val="396"/>
    <w:uiPriority w:val="99"/>
    <w:semiHidden/>
    <w:unhideWhenUsed/>
    <w:rPr>
      <w:sz w:val="20"/>
    </w:rPr>
    <w:pPr>
      <w:spacing w:lineRule="auto" w:line="240" w:after="0"/>
    </w:pPr>
  </w:style>
  <w:style w:type="character" w:styleId="396">
    <w:name w:val="Endnote Text Char"/>
    <w:link w:val="395"/>
    <w:uiPriority w:val="99"/>
    <w:rPr>
      <w:sz w:val="20"/>
    </w:rPr>
  </w:style>
  <w:style w:type="character" w:styleId="397">
    <w:name w:val="endnote reference"/>
    <w:basedOn w:val="228"/>
    <w:uiPriority w:val="99"/>
    <w:semiHidden/>
    <w:unhideWhenUsed/>
    <w:rPr>
      <w:vertAlign w:val="superscript"/>
    </w:rPr>
  </w:style>
  <w:style w:type="paragraph" w:styleId="398">
    <w:name w:val="toc 1"/>
    <w:basedOn w:val="227"/>
    <w:next w:val="227"/>
    <w:uiPriority w:val="39"/>
    <w:unhideWhenUsed/>
    <w:pPr>
      <w:ind w:left="0" w:right="0" w:firstLine="0"/>
      <w:spacing w:after="57"/>
    </w:pPr>
  </w:style>
  <w:style w:type="paragraph" w:styleId="399">
    <w:name w:val="toc 2"/>
    <w:basedOn w:val="227"/>
    <w:next w:val="227"/>
    <w:uiPriority w:val="39"/>
    <w:unhideWhenUsed/>
    <w:pPr>
      <w:ind w:left="283" w:right="0" w:firstLine="0"/>
      <w:spacing w:after="57"/>
    </w:pPr>
  </w:style>
  <w:style w:type="paragraph" w:styleId="400">
    <w:name w:val="toc 3"/>
    <w:basedOn w:val="227"/>
    <w:next w:val="227"/>
    <w:uiPriority w:val="39"/>
    <w:unhideWhenUsed/>
    <w:pPr>
      <w:ind w:left="567" w:right="0" w:firstLine="0"/>
      <w:spacing w:after="57"/>
    </w:pPr>
  </w:style>
  <w:style w:type="paragraph" w:styleId="401">
    <w:name w:val="toc 4"/>
    <w:basedOn w:val="227"/>
    <w:next w:val="227"/>
    <w:uiPriority w:val="39"/>
    <w:unhideWhenUsed/>
    <w:pPr>
      <w:ind w:left="850" w:right="0" w:firstLine="0"/>
      <w:spacing w:after="57"/>
    </w:pPr>
  </w:style>
  <w:style w:type="paragraph" w:styleId="402">
    <w:name w:val="toc 5"/>
    <w:basedOn w:val="227"/>
    <w:next w:val="227"/>
    <w:uiPriority w:val="39"/>
    <w:unhideWhenUsed/>
    <w:pPr>
      <w:ind w:left="1134" w:right="0" w:firstLine="0"/>
      <w:spacing w:after="57"/>
    </w:pPr>
  </w:style>
  <w:style w:type="paragraph" w:styleId="403">
    <w:name w:val="toc 6"/>
    <w:basedOn w:val="227"/>
    <w:next w:val="227"/>
    <w:uiPriority w:val="39"/>
    <w:unhideWhenUsed/>
    <w:pPr>
      <w:ind w:left="1417" w:right="0" w:firstLine="0"/>
      <w:spacing w:after="57"/>
    </w:pPr>
  </w:style>
  <w:style w:type="paragraph" w:styleId="404">
    <w:name w:val="toc 7"/>
    <w:basedOn w:val="227"/>
    <w:next w:val="227"/>
    <w:uiPriority w:val="39"/>
    <w:unhideWhenUsed/>
    <w:pPr>
      <w:ind w:left="1701" w:right="0" w:firstLine="0"/>
      <w:spacing w:after="57"/>
    </w:pPr>
  </w:style>
  <w:style w:type="paragraph" w:styleId="405">
    <w:name w:val="toc 8"/>
    <w:basedOn w:val="227"/>
    <w:next w:val="227"/>
    <w:uiPriority w:val="39"/>
    <w:unhideWhenUsed/>
    <w:pPr>
      <w:ind w:left="1984" w:right="0" w:firstLine="0"/>
      <w:spacing w:after="57"/>
    </w:pPr>
  </w:style>
  <w:style w:type="paragraph" w:styleId="406">
    <w:name w:val="toc 9"/>
    <w:basedOn w:val="227"/>
    <w:next w:val="227"/>
    <w:uiPriority w:val="39"/>
    <w:unhideWhenUsed/>
    <w:pPr>
      <w:ind w:left="2268" w:right="0" w:firstLine="0"/>
      <w:spacing w:after="57"/>
    </w:pPr>
  </w:style>
  <w:style w:type="paragraph" w:styleId="407">
    <w:name w:val="TOC Heading"/>
    <w:uiPriority w:val="39"/>
    <w:unhideWhenUsed/>
  </w:style>
  <w:style w:type="paragraph" w:styleId="408">
    <w:name w:val="table of figures"/>
    <w:basedOn w:val="227"/>
    <w:next w:val="22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ONLYOFFICE/6.3.1.56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data-container to efficiently manage subsets of scRNA-Seq data</dc:title>
  <dc:creator>Irzam Sarfraz, Muhammad Asif, Joshua D. Campbell</dc:creator>
  <cp:keywords/>
  <cp:revision>1</cp:revision>
  <dcterms:created xsi:type="dcterms:W3CDTF">2021-09-11T20:14:08Z</dcterms:created>
  <dcterms:modified xsi:type="dcterms:W3CDTF">2021-09-11T22:01:38Z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ieee.csl</vt:lpwstr>
  </property>
  <property fmtid="{D5CDD505-2E9C-101B-9397-08002B2CF9AE}" pid="5" name="date">
    <vt:lpwstr>September 12, 2021</vt:lpwstr>
  </property>
  <property fmtid="{D5CDD505-2E9C-101B-9397-08002B2CF9AE}" pid="6" name="editor_options">
    <vt:lpwstr/>
  </property>
  <property fmtid="{D5CDD505-2E9C-101B-9397-08002B2CF9AE}" pid="7" name="output">
    <vt:lpwstr>word_document</vt:lpwstr>
  </property>
  <property fmtid="{D5CDD505-2E9C-101B-9397-08002B2CF9AE}" pid="8" name="subtitle">
    <vt:lpwstr>ExperimentSubset: An R package to manage subsets of Bioconductor Experiment objects</vt:lpwstr>
  </property>
</Properties>
</file>