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3.png" ContentType="image/png"/>
  <Override PartName="/word/media/rId51.png" ContentType="image/png"/>
  <Override PartName="/word/media/rId55.png" ContentType="image/png"/>
  <Override PartName="/word/media/rId45.png" ContentType="image/png"/>
  <Override PartName="/word/media/rId50.png" ContentType="image/png"/>
  <Override PartName="/word/media/rId28.png" ContentType="image/png"/>
  <Override PartName="/word/media/rId73.png" ContentType="image/png"/>
  <Override PartName="/word/media/rId67.png" ContentType="image/png"/>
  <Override PartName="/word/media/rId43.png" ContentType="image/png"/>
  <Override PartName="/word/media/rId30.png" ContentType="image/png"/>
  <Override PartName="/word/media/rId31.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August</w:t>
      </w:r>
      <w:r>
        <w:t xml:space="preserve"> </w:t>
      </w:r>
      <w:r>
        <w:t xml:space="preserve">29,</w:t>
      </w:r>
      <w:r>
        <w:t xml:space="preserve"> </w:t>
      </w:r>
      <w:r>
        <w:t xml:space="preserve">2021</w:t>
      </w:r>
    </w:p>
    <w:bookmarkStart w:id="20" w:name="abstract"/>
    <w:p>
      <w:pPr>
        <w:pStyle w:val="Heading1"/>
      </w:pPr>
      <w:r>
        <w:t xml:space="preserve">Abstract</w:t>
      </w:r>
    </w:p>
    <w:p>
      <w:pPr>
        <w:pStyle w:val="FirstParagraph"/>
      </w:pPr>
      <w:r>
        <w:t xml:space="preserve">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w:t>
      </w:r>
    </w:p>
    <w:bookmarkEnd w:id="20"/>
    <w:bookmarkStart w:id="40"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p>
    <w:p>
      <w:pPr>
        <w:pStyle w:val="BodyText"/>
      </w:pPr>
      <w:r>
        <w:t xml:space="preserve">Some of the grand challenges that been worked on extensively over the past few decades include genomic sequence analysis, homology search and protein structure prediction.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have increased by manifold over the last decade and therefore this provides an excellent opportunity to use these resources to solve the above-mentioned complex problems. Genomic sequence analysis 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[1]</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27"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 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w:t>
      </w:r>
      <w:r>
        <w:t xml:space="preserve"> </w:t>
      </w:r>
      <w:r>
        <w:rPr>
          <w:rStyle w:val="VerbatimChar"/>
        </w:rPr>
        <w:t xml:space="preserve">Bioconductor</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5"/>
    <w:bookmarkStart w:id="26"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data-stucture for all types of data.</w:t>
      </w:r>
    </w:p>
    <w:bookmarkEnd w:id="26"/>
    <w:bookmarkEnd w:id="27"/>
    <w:bookmarkStart w:id="33"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[2]</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[3]</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[4]</w:t>
      </w:r>
      <w:r>
        <w:t xml:space="preserve">, and bulk RNA sequencing</w:t>
      </w:r>
      <w:r>
        <w:t xml:space="preserve"> </w:t>
      </w:r>
      <w:r>
        <w:t xml:space="preserve">[2]</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[5]</w:t>
      </w:r>
      <w:r>
        <w:t xml:space="preserve">, artificial intelligence in precision medicine</w:t>
      </w:r>
      <w:r>
        <w:t xml:space="preserve"> </w:t>
      </w:r>
      <w:r>
        <w:t xml:space="preserve">[6]</w:t>
      </w:r>
      <w:r>
        <w:t xml:space="preserve">, targeted patient therapies and biological data mining to better understand the disease progression and outcomes</w:t>
      </w:r>
      <w:r>
        <w:t xml:space="preserve"> </w:t>
      </w:r>
      <w:r>
        <w:t xml:space="preserve">[7]</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[8]</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[9]</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[10]</w:t>
      </w:r>
      <w:r>
        <w:t xml:space="preserve"> </w:t>
      </w:r>
      <w:r>
        <w:t xml:space="preserve">and</w:t>
      </w:r>
      <w:r>
        <w:t xml:space="preserve"> </w:t>
      </w:r>
      <w:r>
        <w:rPr>
          <w:rStyle w:val="VerbatimChar"/>
        </w:rPr>
        <w:t xml:space="preserve">Python</w:t>
      </w:r>
      <w:r>
        <w:t xml:space="preserve"> </w:t>
      </w:r>
      <w:r>
        <w:t xml:space="preserve">[11]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[12]</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[13]</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[14]</w:t>
      </w:r>
      <w:r>
        <w:t xml:space="preserve"> </w:t>
      </w:r>
      <w:r>
        <w:t xml:space="preserve">or the integration of multiple assays</w:t>
      </w:r>
      <w:r>
        <w:t xml:space="preserve"> </w:t>
      </w:r>
      <w:r>
        <w:t xml:space="preserve">[15]</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[16]</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[8]</w:t>
      </w:r>
      <w:r>
        <w:t xml:space="preserve"> </w:t>
      </w:r>
      <w:r>
        <w:t xml:space="preserve">and the corresponding analyses are tricky, as is the case with scRNA-Seq datasets.</w:t>
      </w:r>
    </w:p>
    <w:bookmarkStart w:id="29"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28"/>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29"/>
    <w:bookmarkStart w:id="32" w:name="singlecelltk"/>
    <w:p>
      <w:pPr>
        <w:pStyle w:val="Heading3"/>
      </w:pPr>
      <w:r>
        <w:t xml:space="preserve">singleCellTK</w:t>
      </w:r>
    </w:p>
    <w:p>
      <w:pPr>
        <w:pStyle w:val="FirstParagraph"/>
      </w:pPr>
      <w:r>
        <w:t xml:space="preserve">The singleCellTK 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0"/>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1"/>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2"/>
    <w:bookmarkEnd w:id="33"/>
    <w:bookmarkStart w:id="34"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34"/>
    <w:bookmarkStart w:id="35"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35"/>
    <w:bookmarkStart w:id="36"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36"/>
    <w:bookmarkStart w:id="37"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37"/>
    <w:bookmarkStart w:id="38"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38"/>
    <w:bookmarkStart w:id="39"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39"/>
    <w:bookmarkEnd w:id="40"/>
    <w:bookmarkStart w:id="49"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[17]</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[18]</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[19]</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[20]</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[8]</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[21]</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[22]</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[15]</w:t>
      </w:r>
      <w:r>
        <w:t xml:space="preserve">[23]</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2"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1"/>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2"/>
    <w:bookmarkStart w:id="44"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3"/>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44"/>
    <w:bookmarkStart w:id="46"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45"/>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46"/>
    <w:bookmarkStart w:id="47" w:name="seurat"/>
    <w:p>
      <w:pPr>
        <w:pStyle w:val="Heading2"/>
      </w:pPr>
      <w:r>
        <w:t xml:space="preserve">Seurat</w:t>
      </w:r>
    </w:p>
    <w:bookmarkEnd w:id="47"/>
    <w:bookmarkStart w:id="48" w:name="monocle"/>
    <w:p>
      <w:pPr>
        <w:pStyle w:val="Heading2"/>
      </w:pPr>
      <w:r>
        <w:t xml:space="preserve">Monocle</w:t>
      </w:r>
    </w:p>
    <w:bookmarkEnd w:id="48"/>
    <w:bookmarkEnd w:id="49"/>
    <w:bookmarkStart w:id="65" w:name="research-methodology"/>
    <w:p>
      <w:pPr>
        <w:pStyle w:val="Heading1"/>
      </w:pPr>
      <w:r>
        <w:t xml:space="preserve">Research Methodology</w:t>
      </w:r>
    </w:p>
    <w:p>
      <w:pPr>
        <w:pStyle w:val="FirstParagraph"/>
      </w:pPr>
      <w:r>
        <w:t xml:space="preserve">The overall research methodology for this study includes the package design (high-level logical design to support subsets in existing</w:t>
      </w:r>
      <w:r>
        <w:t xml:space="preserve"> </w:t>
      </w:r>
      <w:r>
        <w:rPr>
          <w:rStyle w:val="VerbatimChar"/>
        </w:rPr>
        <w:t xml:space="preserve">Experiment</w:t>
      </w:r>
      <w:r>
        <w:t xml:space="preserve"> </w:t>
      </w:r>
      <w:r>
        <w:t xml:space="preserve">packages), package implementation (development and deployment of package in R environment, including package documentation) and the validation of the efficiency of the package on different datasets (results). The research methodology can be perceived easily from the Figure.</w:t>
      </w:r>
    </w:p>
    <w:p>
      <w:pPr>
        <w:pStyle w:val="BodyText"/>
      </w:pPr>
      <w:r>
        <w:drawing>
          <wp:inline>
            <wp:extent cx="5334000" cy="1481821"/>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50"/>
                    <a:stretch>
                      <a:fillRect/>
                    </a:stretch>
                  </pic:blipFill>
                  <pic:spPr bwMode="auto">
                    <a:xfrm>
                      <a:off x="0" y="0"/>
                      <a:ext cx="5334000" cy="1481821"/>
                    </a:xfrm>
                    <a:prstGeom prst="rect">
                      <a:avLst/>
                    </a:prstGeom>
                    <a:noFill/>
                    <a:ln w="9525">
                      <a:noFill/>
                      <a:headEnd/>
                      <a:tailEnd/>
                    </a:ln>
                  </pic:spPr>
                </pic:pic>
              </a:graphicData>
            </a:graphic>
          </wp:inline>
        </w:drawing>
      </w:r>
    </w:p>
    <w:bookmarkStart w:id="54" w:name="package-design"/>
    <w:p>
      <w:pPr>
        <w:pStyle w:val="Heading2"/>
      </w:pPr>
      <w:r>
        <w:t xml:space="preserve">Package Design</w:t>
      </w:r>
    </w:p>
    <w:p>
      <w:pPr>
        <w:pStyle w:val="FirstParagraph"/>
      </w:pPr>
      <w:r>
        <w:t xml:space="preserve">Keeping in view the objectives and scope of the package, an abstract logical design of the package (in regards to other</w:t>
      </w:r>
      <w:r>
        <w:t xml:space="preserve"> </w:t>
      </w:r>
      <w:r>
        <w:rPr>
          <w:rStyle w:val="VerbatimChar"/>
        </w:rPr>
        <w:t xml:space="preserve">Experiment</w:t>
      </w:r>
      <w:r>
        <w:t xml:space="preserve"> </w:t>
      </w:r>
      <w:r>
        <w:t xml:space="preserve">classes) is illustrated in the figure below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51"/>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52"/>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53"/>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above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54"/>
    <w:bookmarkStart w:id="64" w:name="package-implementation"/>
    <w:p>
      <w:pPr>
        <w:pStyle w:val="Heading2"/>
      </w:pPr>
      <w:r>
        <w:t xml:space="preserve">Package Implementation</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10357"/>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55"/>
                    <a:stretch>
                      <a:fillRect/>
                    </a:stretch>
                  </pic:blipFill>
                  <pic:spPr bwMode="auto">
                    <a:xfrm>
                      <a:off x="0" y="0"/>
                      <a:ext cx="5334000" cy="3510357"/>
                    </a:xfrm>
                    <a:prstGeom prst="rect">
                      <a:avLst/>
                    </a:prstGeom>
                    <a:noFill/>
                    <a:ln w="9525">
                      <a:noFill/>
                      <a:headEnd/>
                      <a:tailEnd/>
                    </a:ln>
                  </pic:spPr>
                </pic:pic>
              </a:graphicData>
            </a:graphic>
          </wp:inline>
        </w:drawing>
      </w:r>
    </w:p>
    <w:bookmarkStart w:id="56"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56"/>
    <w:bookmarkStart w:id="57"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57"/>
    <w:bookmarkStart w:id="58"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58"/>
    <w:bookmarkStart w:id="59" w:name="implement-subset-manipulation-methods"/>
    <w:p>
      <w:pPr>
        <w:pStyle w:val="Heading3"/>
      </w:pPr>
      <w:r>
        <w:t xml:space="preserve">Implement subset manipulation methods</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59"/>
    <w:bookmarkStart w:id="60" w:name="override-methods"/>
    <w:p>
      <w:pPr>
        <w:pStyle w:val="Heading3"/>
      </w:pPr>
      <w:r>
        <w:t xml:space="preserve">Override methods</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60"/>
    <w:bookmarkStart w:id="62"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61">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62"/>
    <w:bookmarkStart w:id="63"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63"/>
    <w:bookmarkEnd w:id="64"/>
    <w:bookmarkEnd w:id="65"/>
    <w:bookmarkStart w:id="77"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66" w:name="implemented-methods"/>
    <w:p>
      <w:pPr>
        <w:pStyle w:val="Heading2"/>
      </w:pPr>
      <w:r>
        <w:t xml:space="preserve">Implemented Methods</w:t>
      </w:r>
    </w:p>
    <w:p>
      <w:pPr>
        <w:numPr>
          <w:ilvl w:val="0"/>
          <w:numId w:val="1026"/>
        </w:numPr>
        <w:pStyle w:val="Compact"/>
      </w:pPr>
      <w:r>
        <w:rPr>
          <w:rStyle w:val="VerbatimChar"/>
        </w:rPr>
        <w:t xml:space="preserve">ExperimentSubset</w:t>
      </w:r>
      <w:r>
        <w:t xml:space="preserve"> </w:t>
      </w:r>
      <w:r>
        <w:t xml:space="preserve">constructor</w:t>
      </w:r>
    </w:p>
    <w:p>
      <w:pPr>
        <w:numPr>
          <w:ilvl w:val="0"/>
          <w:numId w:val="1026"/>
        </w:numPr>
        <w:pStyle w:val="Compact"/>
      </w:pPr>
      <w:r>
        <w:rPr>
          <w:rStyle w:val="VerbatimChar"/>
        </w:rPr>
        <w:t xml:space="preserve">createSubset</w:t>
      </w:r>
    </w:p>
    <w:p>
      <w:pPr>
        <w:numPr>
          <w:ilvl w:val="0"/>
          <w:numId w:val="1026"/>
        </w:numPr>
        <w:pStyle w:val="Compact"/>
      </w:pPr>
      <w:r>
        <w:rPr>
          <w:rStyle w:val="VerbatimChar"/>
        </w:rPr>
        <w:t xml:space="preserve">setSubsetAssay</w:t>
      </w:r>
    </w:p>
    <w:p>
      <w:pPr>
        <w:numPr>
          <w:ilvl w:val="0"/>
          <w:numId w:val="1026"/>
        </w:numPr>
        <w:pStyle w:val="Compact"/>
      </w:pPr>
      <w:r>
        <w:rPr>
          <w:rStyle w:val="VerbatimChar"/>
        </w:rPr>
        <w:t xml:space="preserve">getSubsetAssay</w:t>
      </w:r>
    </w:p>
    <w:p>
      <w:pPr>
        <w:numPr>
          <w:ilvl w:val="0"/>
          <w:numId w:val="1026"/>
        </w:numPr>
        <w:pStyle w:val="Compact"/>
      </w:pPr>
      <w:r>
        <w:rPr>
          <w:rStyle w:val="VerbatimChar"/>
        </w:rPr>
        <w:t xml:space="preserve">subsetSummary</w:t>
      </w:r>
    </w:p>
    <w:p>
      <w:pPr>
        <w:numPr>
          <w:ilvl w:val="0"/>
          <w:numId w:val="1026"/>
        </w:numPr>
        <w:pStyle w:val="Compact"/>
      </w:pPr>
      <w:r>
        <w:rPr>
          <w:rStyle w:val="VerbatimChar"/>
        </w:rPr>
        <w:t xml:space="preserve">subsetParent</w:t>
      </w:r>
    </w:p>
    <w:p>
      <w:pPr>
        <w:numPr>
          <w:ilvl w:val="0"/>
          <w:numId w:val="1026"/>
        </w:numPr>
        <w:pStyle w:val="Compact"/>
      </w:pPr>
      <w:r>
        <w:rPr>
          <w:rStyle w:val="VerbatimChar"/>
        </w:rPr>
        <w:t xml:space="preserve">subsetCount</w:t>
      </w:r>
    </w:p>
    <w:p>
      <w:pPr>
        <w:numPr>
          <w:ilvl w:val="0"/>
          <w:numId w:val="1026"/>
        </w:numPr>
        <w:pStyle w:val="Compact"/>
      </w:pPr>
      <w:r>
        <w:rPr>
          <w:rStyle w:val="VerbatimChar"/>
        </w:rPr>
        <w:t xml:space="preserve">subsetAssayCount</w:t>
      </w:r>
    </w:p>
    <w:p>
      <w:pPr>
        <w:numPr>
          <w:ilvl w:val="0"/>
          <w:numId w:val="1026"/>
        </w:numPr>
        <w:pStyle w:val="Compact"/>
      </w:pPr>
      <w:r>
        <w:rPr>
          <w:rStyle w:val="VerbatimChar"/>
        </w:rPr>
        <w:t xml:space="preserve">subsetNames</w:t>
      </w:r>
    </w:p>
    <w:p>
      <w:pPr>
        <w:numPr>
          <w:ilvl w:val="0"/>
          <w:numId w:val="1026"/>
        </w:numPr>
        <w:pStyle w:val="Compact"/>
      </w:pPr>
      <w:r>
        <w:rPr>
          <w:rStyle w:val="VerbatimChar"/>
        </w:rPr>
        <w:t xml:space="preserve">subsetAssayNames</w:t>
      </w:r>
    </w:p>
    <w:p>
      <w:pPr>
        <w:numPr>
          <w:ilvl w:val="0"/>
          <w:numId w:val="1026"/>
        </w:numPr>
        <w:pStyle w:val="Compact"/>
      </w:pPr>
      <w:r>
        <w:rPr>
          <w:rStyle w:val="VerbatimChar"/>
        </w:rPr>
        <w:t xml:space="preserve">subsetDim</w:t>
      </w:r>
    </w:p>
    <w:p>
      <w:pPr>
        <w:numPr>
          <w:ilvl w:val="0"/>
          <w:numId w:val="1026"/>
        </w:numPr>
        <w:pStyle w:val="Compact"/>
      </w:pPr>
      <w:r>
        <w:rPr>
          <w:rStyle w:val="VerbatimChar"/>
        </w:rPr>
        <w:t xml:space="preserve">subsetRowData</w:t>
      </w:r>
    </w:p>
    <w:p>
      <w:pPr>
        <w:numPr>
          <w:ilvl w:val="0"/>
          <w:numId w:val="1026"/>
        </w:numPr>
        <w:pStyle w:val="Compact"/>
      </w:pPr>
      <w:r>
        <w:rPr>
          <w:rStyle w:val="VerbatimChar"/>
        </w:rPr>
        <w:t xml:space="preserve">subsetColData</w:t>
      </w:r>
    </w:p>
    <w:p>
      <w:pPr>
        <w:numPr>
          <w:ilvl w:val="0"/>
          <w:numId w:val="1026"/>
        </w:numPr>
        <w:pStyle w:val="Compact"/>
      </w:pPr>
      <w:r>
        <w:rPr>
          <w:rStyle w:val="VerbatimChar"/>
        </w:rPr>
        <w:t xml:space="preserve">subsetColnames</w:t>
      </w:r>
    </w:p>
    <w:p>
      <w:pPr>
        <w:numPr>
          <w:ilvl w:val="0"/>
          <w:numId w:val="1026"/>
        </w:numPr>
        <w:pStyle w:val="Compact"/>
      </w:pPr>
      <w:r>
        <w:rPr>
          <w:rStyle w:val="VerbatimChar"/>
        </w:rPr>
        <w:t xml:space="preserve">subsetRownames</w:t>
      </w:r>
    </w:p>
    <w:p>
      <w:pPr>
        <w:numPr>
          <w:ilvl w:val="0"/>
          <w:numId w:val="1026"/>
        </w:numPr>
        <w:pStyle w:val="Compact"/>
      </w:pPr>
      <w:r>
        <w:rPr>
          <w:rStyle w:val="VerbatimChar"/>
        </w:rPr>
        <w:t xml:space="preserve">subsetRowData&lt;-</w:t>
      </w:r>
    </w:p>
    <w:p>
      <w:pPr>
        <w:numPr>
          <w:ilvl w:val="0"/>
          <w:numId w:val="1026"/>
        </w:numPr>
        <w:pStyle w:val="Compact"/>
      </w:pPr>
      <w:r>
        <w:rPr>
          <w:rStyle w:val="VerbatimChar"/>
        </w:rPr>
        <w:t xml:space="preserve">subsetColData&lt;-</w:t>
      </w:r>
    </w:p>
    <w:p>
      <w:pPr>
        <w:numPr>
          <w:ilvl w:val="0"/>
          <w:numId w:val="1026"/>
        </w:numPr>
        <w:pStyle w:val="Compact"/>
      </w:pPr>
      <w:r>
        <w:rPr>
          <w:rStyle w:val="VerbatimChar"/>
        </w:rPr>
        <w:t xml:space="preserve">subsetColnames&lt;-</w:t>
      </w:r>
    </w:p>
    <w:p>
      <w:pPr>
        <w:numPr>
          <w:ilvl w:val="0"/>
          <w:numId w:val="1026"/>
        </w:numPr>
        <w:pStyle w:val="Compact"/>
      </w:pPr>
      <w:r>
        <w:rPr>
          <w:rStyle w:val="VerbatimChar"/>
        </w:rPr>
        <w:t xml:space="preserve">subsetRownames&lt;-</w:t>
      </w:r>
    </w:p>
    <w:p>
      <w:pPr>
        <w:numPr>
          <w:ilvl w:val="0"/>
          <w:numId w:val="1026"/>
        </w:numPr>
        <w:pStyle w:val="Compact"/>
      </w:pPr>
      <w:r>
        <w:rPr>
          <w:rStyle w:val="VerbatimChar"/>
        </w:rPr>
        <w:t xml:space="preserve">show</w:t>
      </w:r>
    </w:p>
    <w:p>
      <w:pPr>
        <w:numPr>
          <w:ilvl w:val="0"/>
          <w:numId w:val="1026"/>
        </w:numPr>
        <w:pStyle w:val="Compact"/>
      </w:pPr>
      <w:r>
        <w:rPr>
          <w:rStyle w:val="VerbatimChar"/>
        </w:rPr>
        <w:t xml:space="preserve">assay</w:t>
      </w:r>
    </w:p>
    <w:p>
      <w:pPr>
        <w:numPr>
          <w:ilvl w:val="0"/>
          <w:numId w:val="1026"/>
        </w:numPr>
        <w:pStyle w:val="Compact"/>
      </w:pPr>
      <w:r>
        <w:rPr>
          <w:rStyle w:val="VerbatimChar"/>
        </w:rPr>
        <w:t xml:space="preserve">assay&lt;-</w:t>
      </w:r>
    </w:p>
    <w:p>
      <w:pPr>
        <w:numPr>
          <w:ilvl w:val="0"/>
          <w:numId w:val="1026"/>
        </w:numPr>
        <w:pStyle w:val="Compact"/>
      </w:pPr>
      <w:r>
        <w:rPr>
          <w:rStyle w:val="VerbatimChar"/>
        </w:rPr>
        <w:t xml:space="preserve">rowData</w:t>
      </w:r>
    </w:p>
    <w:p>
      <w:pPr>
        <w:numPr>
          <w:ilvl w:val="0"/>
          <w:numId w:val="1026"/>
        </w:numPr>
        <w:pStyle w:val="Compact"/>
      </w:pPr>
      <w:r>
        <w:rPr>
          <w:rStyle w:val="VerbatimChar"/>
        </w:rPr>
        <w:t xml:space="preserve">rowData&lt;-</w:t>
      </w:r>
    </w:p>
    <w:p>
      <w:pPr>
        <w:numPr>
          <w:ilvl w:val="0"/>
          <w:numId w:val="1026"/>
        </w:numPr>
        <w:pStyle w:val="Compact"/>
      </w:pPr>
      <w:r>
        <w:rPr>
          <w:rStyle w:val="VerbatimChar"/>
        </w:rPr>
        <w:t xml:space="preserve">colData</w:t>
      </w:r>
    </w:p>
    <w:p>
      <w:pPr>
        <w:numPr>
          <w:ilvl w:val="0"/>
          <w:numId w:val="1026"/>
        </w:numPr>
        <w:pStyle w:val="Compact"/>
      </w:pPr>
      <w:r>
        <w:rPr>
          <w:rStyle w:val="VerbatimChar"/>
        </w:rPr>
        <w:t xml:space="preserve">colData&lt;-</w:t>
      </w:r>
    </w:p>
    <w:p>
      <w:pPr>
        <w:numPr>
          <w:ilvl w:val="0"/>
          <w:numId w:val="1026"/>
        </w:numPr>
        <w:pStyle w:val="Compact"/>
      </w:pPr>
      <w:r>
        <w:rPr>
          <w:rStyle w:val="VerbatimChar"/>
        </w:rPr>
        <w:t xml:space="preserve">metadata</w:t>
      </w:r>
    </w:p>
    <w:p>
      <w:pPr>
        <w:numPr>
          <w:ilvl w:val="0"/>
          <w:numId w:val="1026"/>
        </w:numPr>
        <w:pStyle w:val="Compact"/>
      </w:pPr>
      <w:r>
        <w:rPr>
          <w:rStyle w:val="VerbatimChar"/>
        </w:rPr>
        <w:t xml:space="preserve">metadata&lt;-</w:t>
      </w:r>
    </w:p>
    <w:p>
      <w:pPr>
        <w:numPr>
          <w:ilvl w:val="0"/>
          <w:numId w:val="1026"/>
        </w:numPr>
        <w:pStyle w:val="Compact"/>
      </w:pPr>
      <w:r>
        <w:rPr>
          <w:rStyle w:val="VerbatimChar"/>
        </w:rPr>
        <w:t xml:space="preserve">reducedDim</w:t>
      </w:r>
    </w:p>
    <w:p>
      <w:pPr>
        <w:numPr>
          <w:ilvl w:val="0"/>
          <w:numId w:val="1026"/>
        </w:numPr>
        <w:pStyle w:val="Compact"/>
      </w:pPr>
      <w:r>
        <w:rPr>
          <w:rStyle w:val="VerbatimChar"/>
        </w:rPr>
        <w:t xml:space="preserve">reducedDim&lt;-</w:t>
      </w:r>
    </w:p>
    <w:p>
      <w:pPr>
        <w:numPr>
          <w:ilvl w:val="0"/>
          <w:numId w:val="1026"/>
        </w:numPr>
        <w:pStyle w:val="Compact"/>
      </w:pPr>
      <w:r>
        <w:rPr>
          <w:rStyle w:val="VerbatimChar"/>
        </w:rPr>
        <w:t xml:space="preserve">reducedDims</w:t>
      </w:r>
    </w:p>
    <w:p>
      <w:pPr>
        <w:numPr>
          <w:ilvl w:val="0"/>
          <w:numId w:val="1026"/>
        </w:numPr>
        <w:pStyle w:val="Compact"/>
      </w:pPr>
      <w:r>
        <w:rPr>
          <w:rStyle w:val="VerbatimChar"/>
        </w:rPr>
        <w:t xml:space="preserve">reducedDims&lt;-</w:t>
      </w:r>
    </w:p>
    <w:p>
      <w:pPr>
        <w:numPr>
          <w:ilvl w:val="0"/>
          <w:numId w:val="1026"/>
        </w:numPr>
        <w:pStyle w:val="Compact"/>
      </w:pPr>
      <w:r>
        <w:rPr>
          <w:rStyle w:val="VerbatimChar"/>
        </w:rPr>
        <w:t xml:space="preserve">reducedDimNames</w:t>
      </w:r>
    </w:p>
    <w:p>
      <w:pPr>
        <w:numPr>
          <w:ilvl w:val="0"/>
          <w:numId w:val="1026"/>
        </w:numPr>
        <w:pStyle w:val="Compact"/>
      </w:pPr>
      <w:r>
        <w:rPr>
          <w:rStyle w:val="VerbatimChar"/>
        </w:rPr>
        <w:t xml:space="preserve">reducedDimNames&lt;-</w:t>
      </w:r>
    </w:p>
    <w:p>
      <w:pPr>
        <w:numPr>
          <w:ilvl w:val="0"/>
          <w:numId w:val="1026"/>
        </w:numPr>
        <w:pStyle w:val="Compact"/>
      </w:pPr>
      <w:r>
        <w:rPr>
          <w:rStyle w:val="VerbatimChar"/>
        </w:rPr>
        <w:t xml:space="preserve">altExp</w:t>
      </w:r>
    </w:p>
    <w:p>
      <w:pPr>
        <w:numPr>
          <w:ilvl w:val="0"/>
          <w:numId w:val="1026"/>
        </w:numPr>
        <w:pStyle w:val="Compact"/>
      </w:pPr>
      <w:r>
        <w:rPr>
          <w:rStyle w:val="VerbatimChar"/>
        </w:rPr>
        <w:t xml:space="preserve">altExp&lt;-</w:t>
      </w:r>
    </w:p>
    <w:p>
      <w:pPr>
        <w:numPr>
          <w:ilvl w:val="0"/>
          <w:numId w:val="1026"/>
        </w:numPr>
        <w:pStyle w:val="Compact"/>
      </w:pPr>
      <w:r>
        <w:rPr>
          <w:rStyle w:val="VerbatimChar"/>
        </w:rPr>
        <w:t xml:space="preserve">altExps</w:t>
      </w:r>
    </w:p>
    <w:p>
      <w:pPr>
        <w:numPr>
          <w:ilvl w:val="0"/>
          <w:numId w:val="1026"/>
        </w:numPr>
        <w:pStyle w:val="Compact"/>
      </w:pPr>
      <w:r>
        <w:rPr>
          <w:rStyle w:val="VerbatimChar"/>
        </w:rPr>
        <w:t xml:space="preserve">altExps&lt;-</w:t>
      </w:r>
    </w:p>
    <w:p>
      <w:pPr>
        <w:numPr>
          <w:ilvl w:val="0"/>
          <w:numId w:val="1026"/>
        </w:numPr>
        <w:pStyle w:val="Compact"/>
      </w:pPr>
      <w:r>
        <w:rPr>
          <w:rStyle w:val="VerbatimChar"/>
        </w:rPr>
        <w:t xml:space="preserve">altExpNames</w:t>
      </w:r>
    </w:p>
    <w:p>
      <w:pPr>
        <w:numPr>
          <w:ilvl w:val="0"/>
          <w:numId w:val="1026"/>
        </w:numPr>
        <w:pStyle w:val="Compact"/>
      </w:pPr>
      <w:r>
        <w:rPr>
          <w:rStyle w:val="VerbatimChar"/>
        </w:rPr>
        <w:t xml:space="preserve">altExpNames&lt;-</w:t>
      </w:r>
    </w:p>
    <w:p>
      <w:pPr>
        <w:numPr>
          <w:ilvl w:val="0"/>
          <w:numId w:val="1026"/>
        </w:numPr>
        <w:pStyle w:val="Compact"/>
      </w:pPr>
      <w:r>
        <w:rPr>
          <w:rStyle w:val="VerbatimChar"/>
        </w:rPr>
        <w:t xml:space="preserve">subsetSpatialCoords</w:t>
      </w:r>
    </w:p>
    <w:p>
      <w:pPr>
        <w:numPr>
          <w:ilvl w:val="0"/>
          <w:numId w:val="1026"/>
        </w:numPr>
        <w:pStyle w:val="Compact"/>
      </w:pPr>
      <w:r>
        <w:rPr>
          <w:rStyle w:val="VerbatimChar"/>
        </w:rPr>
        <w:t xml:space="preserve">subsetSpatialData</w:t>
      </w:r>
    </w:p>
    <w:p>
      <w:pPr>
        <w:numPr>
          <w:ilvl w:val="0"/>
          <w:numId w:val="1026"/>
        </w:numPr>
        <w:pStyle w:val="Compact"/>
      </w:pPr>
      <w:r>
        <w:rPr>
          <w:rStyle w:val="VerbatimChar"/>
        </w:rPr>
        <w:t xml:space="preserve">subsetSpatialData&lt;-</w:t>
      </w:r>
    </w:p>
    <w:p>
      <w:pPr>
        <w:numPr>
          <w:ilvl w:val="0"/>
          <w:numId w:val="1026"/>
        </w:numPr>
        <w:pStyle w:val="Compact"/>
      </w:pPr>
      <w:r>
        <w:rPr>
          <w:rStyle w:val="VerbatimChar"/>
        </w:rPr>
        <w:t xml:space="preserve">subsetRowLinks</w:t>
      </w:r>
    </w:p>
    <w:p>
      <w:pPr>
        <w:numPr>
          <w:ilvl w:val="0"/>
          <w:numId w:val="1026"/>
        </w:numPr>
        <w:pStyle w:val="Compact"/>
      </w:pPr>
      <w:r>
        <w:rPr>
          <w:rStyle w:val="VerbatimChar"/>
        </w:rPr>
        <w:t xml:space="preserve">subsetColLinks</w:t>
      </w:r>
    </w:p>
    <w:p>
      <w:pPr>
        <w:numPr>
          <w:ilvl w:val="0"/>
          <w:numId w:val="1026"/>
        </w:numPr>
        <w:pStyle w:val="Compact"/>
      </w:pPr>
      <w:r>
        <w:rPr>
          <w:rStyle w:val="VerbatimChar"/>
        </w:rPr>
        <w:t xml:space="preserve">spatialCoords</w:t>
      </w:r>
    </w:p>
    <w:p>
      <w:pPr>
        <w:numPr>
          <w:ilvl w:val="0"/>
          <w:numId w:val="1026"/>
        </w:numPr>
        <w:pStyle w:val="Compact"/>
      </w:pPr>
      <w:r>
        <w:rPr>
          <w:rStyle w:val="VerbatimChar"/>
        </w:rPr>
        <w:t xml:space="preserve">spatialData</w:t>
      </w:r>
    </w:p>
    <w:p>
      <w:pPr>
        <w:numPr>
          <w:ilvl w:val="0"/>
          <w:numId w:val="1026"/>
        </w:numPr>
        <w:pStyle w:val="Compact"/>
      </w:pPr>
      <w:r>
        <w:rPr>
          <w:rStyle w:val="VerbatimChar"/>
        </w:rPr>
        <w:t xml:space="preserve">spatialData&lt;-</w:t>
      </w:r>
    </w:p>
    <w:p>
      <w:pPr>
        <w:numPr>
          <w:ilvl w:val="0"/>
          <w:numId w:val="1026"/>
        </w:numPr>
        <w:pStyle w:val="Compact"/>
      </w:pPr>
      <w:r>
        <w:rPr>
          <w:rStyle w:val="VerbatimChar"/>
        </w:rPr>
        <w:t xml:space="preserve">rowLinks</w:t>
      </w:r>
    </w:p>
    <w:p>
      <w:pPr>
        <w:numPr>
          <w:ilvl w:val="0"/>
          <w:numId w:val="1026"/>
        </w:numPr>
        <w:pStyle w:val="Compact"/>
      </w:pPr>
      <w:r>
        <w:rPr>
          <w:rStyle w:val="VerbatimChar"/>
        </w:rPr>
        <w:t xml:space="preserve">colLinks</w:t>
      </w:r>
    </w:p>
    <w:bookmarkEnd w:id="66"/>
    <w:bookmarkStart w:id="68"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67"/>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7"/>
        </w:numPr>
        <w:pStyle w:val="Compact"/>
      </w:pPr>
      <w:r>
        <w:t xml:space="preserve">Load scRNA-Seq data for analysis (this generally includes raw data such as counts matrices) into the data-structure.</w:t>
      </w:r>
    </w:p>
    <w:p>
      <w:pPr>
        <w:numPr>
          <w:ilvl w:val="0"/>
          <w:numId w:val="1027"/>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7"/>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7"/>
        </w:numPr>
        <w:pStyle w:val="Compact"/>
      </w:pPr>
      <w:r>
        <w:t xml:space="preserve">The raw data is normalized and the normalized matrix is stored alongside the raw counts matrix.</w:t>
      </w:r>
    </w:p>
    <w:p>
      <w:pPr>
        <w:numPr>
          <w:ilvl w:val="0"/>
          <w:numId w:val="1027"/>
        </w:numPr>
        <w:pStyle w:val="Compact"/>
      </w:pPr>
      <w:r>
        <w:t xml:space="preserve">Statistics for the variable features are computed and the data is once again filtered to keep only the top 1000 most variable features.</w:t>
      </w:r>
    </w:p>
    <w:p>
      <w:pPr>
        <w:numPr>
          <w:ilvl w:val="0"/>
          <w:numId w:val="1027"/>
        </w:numPr>
        <w:pStyle w:val="Compact"/>
      </w:pPr>
      <w:r>
        <w:t xml:space="preserve">Dimensionality reduction (PCA) is performed on these top variable genes using the normalized assay and the computed results are stored back into the object.</w:t>
      </w:r>
    </w:p>
    <w:p>
      <w:pPr>
        <w:numPr>
          <w:ilvl w:val="0"/>
          <w:numId w:val="1027"/>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object is given below:</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Now we run the same analysis using</w:t>
      </w:r>
      <w:r>
        <w:t xml:space="preserve"> </w:t>
      </w:r>
      <w:r>
        <w:rPr>
          <w:rStyle w:val="VerbatimChar"/>
        </w:rPr>
        <w:t xml:space="preserve">ExperimentSubset</w:t>
      </w:r>
      <w:r>
        <w:t xml:space="preserve"> </w:t>
      </w:r>
      <w:r>
        <w:t xml:space="preserve">below:</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"pbmc4k"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p>
      <w:pPr>
        <w:pStyle w:val="FirstParagraph"/>
      </w:pPr>
      <w:r>
        <w:t xml:space="preserve">As explicitly evident from the R scripts above,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68"/>
    <w:bookmarkStart w:id="69" w:name="supported-classes"/>
    <w:p>
      <w:pPr>
        <w:pStyle w:val="Heading2"/>
      </w:pPr>
      <w:r>
        <w:t xml:space="preserve">Supported Classes</w:t>
      </w:r>
    </w:p>
    <w:p>
      <w:pPr>
        <w:numPr>
          <w:ilvl w:val="0"/>
          <w:numId w:val="1028"/>
        </w:numPr>
        <w:pStyle w:val="Compact"/>
      </w:pPr>
      <w:r>
        <w:rPr>
          <w:rStyle w:val="VerbatimChar"/>
        </w:rPr>
        <w:t xml:space="preserve">SummarizedExperiment</w:t>
      </w:r>
    </w:p>
    <w:p>
      <w:pPr>
        <w:numPr>
          <w:ilvl w:val="0"/>
          <w:numId w:val="1028"/>
        </w:numPr>
        <w:pStyle w:val="Compact"/>
      </w:pPr>
      <w:r>
        <w:rPr>
          <w:rStyle w:val="VerbatimChar"/>
        </w:rPr>
        <w:t xml:space="preserve">RangedSummarizedExperiment</w:t>
      </w:r>
    </w:p>
    <w:p>
      <w:pPr>
        <w:numPr>
          <w:ilvl w:val="0"/>
          <w:numId w:val="1028"/>
        </w:numPr>
        <w:pStyle w:val="Compact"/>
      </w:pPr>
      <w:r>
        <w:rPr>
          <w:rStyle w:val="VerbatimChar"/>
        </w:rPr>
        <w:t xml:space="preserve">SingleCellExperiment</w:t>
      </w:r>
    </w:p>
    <w:p>
      <w:pPr>
        <w:numPr>
          <w:ilvl w:val="0"/>
          <w:numId w:val="1028"/>
        </w:numPr>
        <w:pStyle w:val="Compact"/>
      </w:pPr>
      <w:r>
        <w:rPr>
          <w:rStyle w:val="VerbatimChar"/>
        </w:rPr>
        <w:t xml:space="preserve">TreeSummarizedExperiment</w:t>
      </w:r>
    </w:p>
    <w:p>
      <w:pPr>
        <w:numPr>
          <w:ilvl w:val="0"/>
          <w:numId w:val="1028"/>
        </w:numPr>
        <w:pStyle w:val="Compact"/>
      </w:pPr>
      <w:r>
        <w:rPr>
          <w:rStyle w:val="VerbatimChar"/>
        </w:rPr>
        <w:t xml:space="preserve">SpatialExperiment</w:t>
      </w:r>
    </w:p>
    <w:bookmarkEnd w:id="69"/>
    <w:bookmarkStart w:id="75"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70"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Sample</w:t>
            </w:r>
          </w:p>
        </w:tc>
        <w:tc>
          <w:p>
            <w:pPr>
              <w:pStyle w:val="Compact"/>
              <w:jc w:val="left"/>
            </w:pPr>
            <w:r>
              <w:t xml:space="preserve">31535 13199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9</w:t>
            </w:r>
          </w:p>
        </w:tc>
        <w:tc>
          <w:p>
            <w:pPr>
              <w:pStyle w:val="Compact"/>
              <w:jc w:val="left"/>
            </w:pPr>
            <w:r>
              <w:t xml:space="preserve">Sample</w:t>
            </w:r>
          </w:p>
        </w:tc>
        <w:tc>
          <w:p>
            <w:pPr>
              <w:pStyle w:val="Compact"/>
              <w:jc w:val="left"/>
            </w:pPr>
            <w:r>
              <w:t xml:space="preserve">27998 25806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10</w:t>
            </w:r>
          </w:p>
        </w:tc>
        <w:tc>
          <w:p>
            <w:pPr>
              <w:pStyle w:val="Compact"/>
              <w:jc w:val="left"/>
            </w:pPr>
            <w:r>
              <w:t xml:space="preserve">Sample</w:t>
            </w:r>
          </w:p>
        </w:tc>
        <w:tc>
          <w:p>
            <w:pPr>
              <w:pStyle w:val="Compact"/>
              <w:jc w:val="left"/>
            </w:pPr>
            <w:r>
              <w:t xml:space="preserve">20125 8569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11</w:t>
            </w:r>
          </w:p>
        </w:tc>
        <w:tc>
          <w:p>
            <w:pPr>
              <w:pStyle w:val="Compact"/>
              <w:jc w:val="left"/>
            </w:pPr>
            <w:r>
              <w:t xml:space="preserve">Sample</w:t>
            </w:r>
          </w:p>
        </w:tc>
        <w:tc>
          <w:p>
            <w:pPr>
              <w:pStyle w:val="Compact"/>
              <w:jc w:val="left"/>
            </w:pPr>
            <w:r>
              <w:t xml:space="preserve">14878 1886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12</w:t>
            </w:r>
          </w:p>
        </w:tc>
        <w:tc>
          <w:p>
            <w:pPr>
              <w:pStyle w:val="Compact"/>
              <w:jc w:val="left"/>
            </w:pPr>
            <w:r>
              <w:t xml:space="preserve">Sample</w:t>
            </w:r>
          </w:p>
        </w:tc>
        <w:tc>
          <w:p>
            <w:pPr>
              <w:pStyle w:val="Compact"/>
              <w:jc w:val="left"/>
            </w:pPr>
            <w:r>
              <w:t xml:space="preserve">32738 58654</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13</w:t>
            </w:r>
          </w:p>
        </w:tc>
        <w:tc>
          <w:p>
            <w:pPr>
              <w:pStyle w:val="Compact"/>
              <w:jc w:val="left"/>
            </w:pPr>
            <w:r>
              <w:t xml:space="preserve">Sample</w:t>
            </w:r>
          </w:p>
        </w:tc>
        <w:tc>
          <w:p>
            <w:pPr>
              <w:pStyle w:val="Compact"/>
              <w:jc w:val="left"/>
            </w:pPr>
            <w:r>
              <w:t xml:space="preserve">38293 288</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14</w:t>
            </w:r>
          </w:p>
        </w:tc>
        <w:tc>
          <w:p>
            <w:pPr>
              <w:pStyle w:val="Compact"/>
              <w:jc w:val="left"/>
            </w:pPr>
            <w:r>
              <w:t xml:space="preserve">Sample</w:t>
            </w:r>
          </w:p>
        </w:tc>
        <w:tc>
          <w:p>
            <w:pPr>
              <w:pStyle w:val="Compact"/>
              <w:jc w:val="left"/>
            </w:pPr>
            <w:r>
              <w:t xml:space="preserve">26774 21086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Real dataset used for testing subset to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Real dataset used for testing subset to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Real dataset used for testing subset to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Real dataset used for testing subset to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Real dataset used for testing subset to 33k cells</w:t>
            </w:r>
          </w:p>
        </w:tc>
      </w:tr>
    </w:tbl>
    <w:bookmarkEnd w:id="70"/>
    <w:bookmarkStart w:id="71" w:name="approach-1-dgcmatrix"/>
    <w:p>
      <w:pPr>
        <w:pStyle w:val="Heading3"/>
      </w:pPr>
      <w:r>
        <w:t xml:space="preserve">Approach 1: dgCMatrix</w:t>
      </w:r>
    </w:p>
    <w:p>
      <w:pPr>
        <w:pStyle w:val="FirstParagraph"/>
      </w:pPr>
      <w:r>
        <w:rPr>
          <w:rStyle w:val="VerbatimChar"/>
        </w:rPr>
        <w:t xml:space="preserve">dgCMatrix</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and</w:t>
      </w:r>
      <w:r>
        <w:t xml:space="preserve"> </w:t>
      </w:r>
      <w:r>
        <w:rPr>
          <w:rStyle w:val="VerbatimChar"/>
        </w:rPr>
        <w:t xml:space="preserve">tileDB</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 GB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 GB</w:t>
            </w:r>
          </w:p>
        </w:tc>
        <w:tc>
          <w:p>
            <w:pPr>
              <w:pStyle w:val="Compact"/>
              <w:jc w:val="left"/>
            </w:pPr>
            <w:r>
              <w:t xml:space="preserve">1.16 GB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 GB</w:t>
            </w:r>
          </w:p>
        </w:tc>
        <w:tc>
          <w:p>
            <w:pPr>
              <w:pStyle w:val="Compact"/>
              <w:jc w:val="left"/>
            </w:pPr>
            <w:r>
              <w:t xml:space="preserve">1.04 GB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 GB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 GB</w:t>
            </w:r>
          </w:p>
        </w:tc>
        <w:tc>
          <w:p>
            <w:pPr>
              <w:pStyle w:val="Compact"/>
              <w:jc w:val="left"/>
            </w:pPr>
            <w:r>
              <w:t xml:space="preserve">8.33 GB</w:t>
            </w:r>
          </w:p>
        </w:tc>
        <w:tc>
          <w:p>
            <w:pPr>
              <w:pStyle w:val="Compact"/>
              <w:jc w:val="left"/>
            </w:pPr>
            <w:r>
              <w:t xml:space="preserve">51</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 GB</w:t>
            </w:r>
          </w:p>
        </w:tc>
        <w:tc>
          <w:p>
            <w:pPr>
              <w:pStyle w:val="Compact"/>
              <w:jc w:val="left"/>
            </w:pPr>
            <w:r>
              <w:t xml:space="preserve">14.5 GB</w:t>
            </w:r>
          </w:p>
        </w:tc>
        <w:tc>
          <w:p>
            <w:pPr>
              <w:pStyle w:val="Compact"/>
              <w:jc w:val="left"/>
            </w:pPr>
            <w:r>
              <w:t xml:space="preserve">50.85</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 GB</w:t>
            </w:r>
          </w:p>
        </w:tc>
        <w:tc>
          <w:p>
            <w:pPr>
              <w:pStyle w:val="Compact"/>
              <w:jc w:val="left"/>
            </w:pPr>
            <w:r>
              <w:t xml:space="preserve">3.45 GB</w:t>
            </w:r>
          </w:p>
        </w:tc>
        <w:tc>
          <w:p>
            <w:pPr>
              <w:pStyle w:val="Compact"/>
              <w:jc w:val="left"/>
            </w:pPr>
            <w:r>
              <w:t xml:space="preserve">51.48</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 GB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 GB</w:t>
            </w:r>
          </w:p>
        </w:tc>
        <w:tc>
          <w:p>
            <w:pPr>
              <w:pStyle w:val="Compact"/>
              <w:jc w:val="left"/>
            </w:pPr>
            <w:r>
              <w:t xml:space="preserve">38.4 GB</w:t>
            </w:r>
          </w:p>
        </w:tc>
        <w:tc>
          <w:p>
            <w:pPr>
              <w:pStyle w:val="Compact"/>
              <w:jc w:val="left"/>
            </w:pPr>
            <w:r>
              <w:t xml:space="preserve">50.96</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 GB</w:t>
            </w:r>
          </w:p>
        </w:tc>
        <w:tc>
          <w:p>
            <w:pPr>
              <w:pStyle w:val="Compact"/>
              <w:jc w:val="left"/>
            </w:pPr>
            <w:r>
              <w:t xml:space="preserve">11.3 GB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71"/>
    <w:bookmarkStart w:id="72"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 GB</w:t>
            </w:r>
          </w:p>
        </w:tc>
        <w:tc>
          <w:p>
            <w:pPr>
              <w:pStyle w:val="Compact"/>
              <w:jc w:val="left"/>
            </w:pPr>
            <w:r>
              <w:t xml:space="preserve">4.67 GB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 GB</w:t>
            </w:r>
          </w:p>
        </w:tc>
        <w:tc>
          <w:p>
            <w:pPr>
              <w:pStyle w:val="Compact"/>
              <w:jc w:val="left"/>
            </w:pPr>
            <w:r>
              <w:t xml:space="preserve">8.11 GB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 GB</w:t>
            </w:r>
          </w:p>
        </w:tc>
        <w:tc>
          <w:p>
            <w:pPr>
              <w:pStyle w:val="Compact"/>
              <w:jc w:val="left"/>
            </w:pPr>
            <w:r>
              <w:t xml:space="preserve">1.94 GB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 GB</w:t>
            </w:r>
          </w:p>
        </w:tc>
        <w:tc>
          <w:p>
            <w:pPr>
              <w:pStyle w:val="Compact"/>
              <w:jc w:val="left"/>
            </w:pPr>
            <w:r>
              <w:t xml:space="preserve">21.6 GB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 GB</w:t>
            </w:r>
          </w:p>
        </w:tc>
        <w:tc>
          <w:p>
            <w:pPr>
              <w:pStyle w:val="Compact"/>
              <w:jc w:val="left"/>
            </w:pPr>
            <w:r>
              <w:t xml:space="preserve">6.33 GB</w:t>
            </w:r>
          </w:p>
        </w:tc>
        <w:tc>
          <w:p>
            <w:pPr>
              <w:pStyle w:val="Compact"/>
              <w:jc w:val="left"/>
            </w:pPr>
            <w:r>
              <w:t xml:space="preserve">49.76</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 GB</w:t>
            </w:r>
          </w:p>
        </w:tc>
        <w:tc>
          <w:p>
            <w:pPr>
              <w:pStyle w:val="Compact"/>
              <w:jc w:val="left"/>
            </w:pPr>
            <w:r>
              <w:t xml:space="preserve">3 GB</w:t>
            </w:r>
          </w:p>
        </w:tc>
        <w:tc>
          <w:p>
            <w:pPr>
              <w:pStyle w:val="Compact"/>
              <w:jc w:val="left"/>
            </w:pPr>
            <w:r>
              <w:t xml:space="preserve">56.08</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 GB</w:t>
            </w:r>
          </w:p>
        </w:tc>
        <w:tc>
          <w:p>
            <w:pPr>
              <w:pStyle w:val="Compact"/>
              <w:jc w:val="left"/>
            </w:pPr>
            <w:r>
              <w:t xml:space="preserve">5.21 GB</w:t>
            </w:r>
          </w:p>
        </w:tc>
        <w:tc>
          <w:p>
            <w:pPr>
              <w:pStyle w:val="Compact"/>
              <w:jc w:val="left"/>
            </w:pPr>
            <w:r>
              <w:t xml:space="preserve">56.22</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 GB</w:t>
            </w:r>
          </w:p>
        </w:tc>
        <w:tc>
          <w:p>
            <w:pPr>
              <w:pStyle w:val="Compact"/>
              <w:jc w:val="left"/>
            </w:pPr>
            <w:r>
              <w:t xml:space="preserve">1.25 GB</w:t>
            </w:r>
          </w:p>
        </w:tc>
        <w:tc>
          <w:p>
            <w:pPr>
              <w:pStyle w:val="Compact"/>
              <w:jc w:val="left"/>
            </w:pPr>
            <w:r>
              <w:t xml:space="preserve">56.45</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 GB</w:t>
            </w:r>
          </w:p>
        </w:tc>
        <w:tc>
          <w:p>
            <w:pPr>
              <w:pStyle w:val="Compact"/>
              <w:jc w:val="left"/>
            </w:pPr>
            <w:r>
              <w:t xml:space="preserve">13.8 GB</w:t>
            </w:r>
          </w:p>
        </w:tc>
        <w:tc>
          <w:p>
            <w:pPr>
              <w:pStyle w:val="Compact"/>
              <w:jc w:val="left"/>
            </w:pPr>
            <w:r>
              <w:t xml:space="preserve">56.19</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 GB</w:t>
            </w:r>
          </w:p>
        </w:tc>
        <w:tc>
          <w:p>
            <w:pPr>
              <w:pStyle w:val="Compact"/>
              <w:jc w:val="left"/>
            </w:pPr>
            <w:r>
              <w:t xml:space="preserve">4.07 GB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 GB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 GB</w:t>
            </w:r>
          </w:p>
        </w:tc>
        <w:tc>
          <w:p>
            <w:pPr>
              <w:pStyle w:val="Compact"/>
              <w:jc w:val="left"/>
            </w:pPr>
            <w:r>
              <w:t xml:space="preserve">1.06 GB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 GB</w:t>
            </w:r>
          </w:p>
        </w:tc>
        <w:tc>
          <w:p>
            <w:pPr>
              <w:pStyle w:val="Compact"/>
              <w:jc w:val="left"/>
            </w:pPr>
            <w:r>
              <w:t xml:space="preserve">1.29 GB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 GB</w:t>
            </w:r>
          </w:p>
        </w:tc>
        <w:tc>
          <w:p>
            <w:pPr>
              <w:pStyle w:val="Compact"/>
              <w:jc w:val="left"/>
            </w:pPr>
            <w:r>
              <w:t xml:space="preserve">2.04 GB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 GB</w:t>
            </w:r>
          </w:p>
        </w:tc>
        <w:tc>
          <w:p>
            <w:pPr>
              <w:pStyle w:val="Compact"/>
              <w:jc w:val="left"/>
            </w:pPr>
            <w:r>
              <w:t xml:space="preserve">7.83 GB</w:t>
            </w:r>
          </w:p>
        </w:tc>
        <w:tc>
          <w:p>
            <w:pPr>
              <w:pStyle w:val="Compact"/>
              <w:jc w:val="left"/>
            </w:pPr>
            <w:r>
              <w:t xml:space="preserve">44.86</w:t>
            </w:r>
          </w:p>
        </w:tc>
      </w:tr>
    </w:tbl>
    <w:bookmarkEnd w:id="72"/>
    <w:bookmarkStart w:id="74"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507851"/>
            <wp:effectExtent b="0" l="0" r="0" t="0"/>
            <wp:docPr descr="" title="" id="1" name="Picture"/>
            <a:graphic>
              <a:graphicData uri="http://schemas.openxmlformats.org/drawingml/2006/picture">
                <pic:pic>
                  <pic:nvPicPr>
                    <pic:cNvPr descr="results.png" id="0" name="Picture"/>
                    <pic:cNvPicPr>
                      <a:picLocks noChangeArrowheads="1" noChangeAspect="1"/>
                    </pic:cNvPicPr>
                  </pic:nvPicPr>
                  <pic:blipFill>
                    <a:blip r:embed="rId73"/>
                    <a:stretch>
                      <a:fillRect/>
                    </a:stretch>
                  </pic:blipFill>
                  <pic:spPr bwMode="auto">
                    <a:xfrm>
                      <a:off x="0" y="0"/>
                      <a:ext cx="5334000" cy="2507851"/>
                    </a:xfrm>
                    <a:prstGeom prst="rect">
                      <a:avLst/>
                    </a:prstGeom>
                    <a:noFill/>
                    <a:ln w="9525">
                      <a:noFill/>
                      <a:headEnd/>
                      <a:tailEnd/>
                    </a:ln>
                  </pic:spPr>
                </pic:pic>
              </a:graphicData>
            </a:graphic>
          </wp:inline>
        </w:drawing>
      </w:r>
    </w:p>
    <w:bookmarkEnd w:id="74"/>
    <w:bookmarkEnd w:id="75"/>
    <w:bookmarkStart w:id="76"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76"/>
    <w:bookmarkEnd w:id="77"/>
    <w:bookmarkStart w:id="84" w:name="X1ca83b851c085b1f33974cb15b396494404c02d"/>
    <w:p>
      <w:pPr>
        <w:pStyle w:val="Heading1"/>
      </w:pPr>
      <w:r>
        <w:t xml:space="preserve">Conclusion, limitations, future work &amp; availability</w:t>
      </w:r>
    </w:p>
    <w:bookmarkStart w:id="78"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78"/>
    <w:bookmarkStart w:id="79"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79"/>
    <w:bookmarkStart w:id="80"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80"/>
    <w:bookmarkStart w:id="83"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81">
        <w:r>
          <w:rPr>
            <w:rStyle w:val="Hyperlink"/>
          </w:rPr>
          <w:t xml:space="preserve">https://bioconductor.org/packages/release/bioc/html/ExperimentSubset.html</w:t>
        </w:r>
      </w:hyperlink>
    </w:p>
    <w:p>
      <w:pPr>
        <w:pStyle w:val="BodyText"/>
      </w:pPr>
      <w:hyperlink r:id="rId82">
        <w:r>
          <w:rPr>
            <w:rStyle w:val="Hyperlink"/>
          </w:rPr>
          <w:t xml:space="preserve">https://github.com/campbio/ExperimentSubset</w:t>
        </w:r>
      </w:hyperlink>
    </w:p>
    <w:bookmarkEnd w:id="83"/>
    <w:bookmarkEnd w:id="84"/>
    <w:bookmarkStart w:id="131" w:name="references"/>
    <w:p>
      <w:pPr>
        <w:pStyle w:val="Heading1"/>
      </w:pPr>
      <w:r>
        <w:t xml:space="preserve">References</w:t>
      </w:r>
    </w:p>
    <w:bookmarkStart w:id="130" w:name="refs"/>
    <w:bookmarkStart w:id="86" w:name="ref-Ashley2010"/>
    <w:p>
      <w:pPr>
        <w:pStyle w:val="Bibliography"/>
      </w:pPr>
      <w:r>
        <w:t xml:space="preserve">[1]</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85">
        <w:r>
          <w:rPr>
            <w:rStyle w:val="Hyperlink"/>
          </w:rPr>
          <w:t xml:space="preserve">10.1016/S0140-6736(10)60452-7</w:t>
        </w:r>
      </w:hyperlink>
      <w:r>
        <w:t xml:space="preserve">.</w:t>
      </w:r>
    </w:p>
    <w:bookmarkEnd w:id="86"/>
    <w:bookmarkStart w:id="88" w:name="ref-Reuter2015"/>
    <w:p>
      <w:pPr>
        <w:pStyle w:val="Bibliography"/>
      </w:pPr>
      <w:r>
        <w:t xml:space="preserve">[2]</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87">
        <w:r>
          <w:rPr>
            <w:rStyle w:val="Hyperlink"/>
          </w:rPr>
          <w:t xml:space="preserve">10.1016/j.molcel.2015.05.004</w:t>
        </w:r>
      </w:hyperlink>
      <w:r>
        <w:t xml:space="preserve">.</w:t>
      </w:r>
    </w:p>
    <w:bookmarkEnd w:id="88"/>
    <w:bookmarkStart w:id="90" w:name="ref-Haque2017"/>
    <w:p>
      <w:pPr>
        <w:pStyle w:val="Bibliography"/>
      </w:pPr>
      <w:r>
        <w:t xml:space="preserve">[3]</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89">
        <w:r>
          <w:rPr>
            <w:rStyle w:val="Hyperlink"/>
          </w:rPr>
          <w:t xml:space="preserve">10.1186/s13073-017-0467-4</w:t>
        </w:r>
      </w:hyperlink>
      <w:r>
        <w:t xml:space="preserve">.</w:t>
      </w:r>
    </w:p>
    <w:bookmarkEnd w:id="90"/>
    <w:bookmarkStart w:id="92" w:name="ref-Simon2009"/>
    <w:p>
      <w:pPr>
        <w:pStyle w:val="Bibliography"/>
      </w:pPr>
      <w:r>
        <w:t xml:space="preserve">[4]</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91">
        <w:r>
          <w:rPr>
            <w:rStyle w:val="Hyperlink"/>
          </w:rPr>
          <w:t xml:space="preserve">10.1016/j.beha.2009.07.001</w:t>
        </w:r>
      </w:hyperlink>
      <w:r>
        <w:t xml:space="preserve">.</w:t>
      </w:r>
    </w:p>
    <w:bookmarkEnd w:id="92"/>
    <w:bookmarkStart w:id="94" w:name="ref-DoostparastTorshizi2018"/>
    <w:p>
      <w:pPr>
        <w:pStyle w:val="Bibliography"/>
      </w:pPr>
      <w:r>
        <w:t xml:space="preserve">[5]</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93">
        <w:r>
          <w:rPr>
            <w:rStyle w:val="Hyperlink"/>
          </w:rPr>
          <w:t xml:space="preserve">10.1016/j.drudis.2018.05.015</w:t>
        </w:r>
      </w:hyperlink>
      <w:r>
        <w:t xml:space="preserve">.</w:t>
      </w:r>
    </w:p>
    <w:bookmarkEnd w:id="94"/>
    <w:bookmarkStart w:id="96" w:name="ref-Morash2018"/>
    <w:p>
      <w:pPr>
        <w:pStyle w:val="Bibliography"/>
      </w:pPr>
      <w:r>
        <w:t xml:space="preserve">[6]</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95">
        <w:r>
          <w:rPr>
            <w:rStyle w:val="Hyperlink"/>
          </w:rPr>
          <w:t xml:space="preserve">10.3390/jpm8030030</w:t>
        </w:r>
      </w:hyperlink>
      <w:r>
        <w:t xml:space="preserve">.</w:t>
      </w:r>
    </w:p>
    <w:bookmarkEnd w:id="96"/>
    <w:bookmarkStart w:id="98" w:name="ref-Wadapurkar2018"/>
    <w:p>
      <w:pPr>
        <w:pStyle w:val="Bibliography"/>
      </w:pPr>
      <w:r>
        <w:t xml:space="preserve">[7]</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97">
        <w:r>
          <w:rPr>
            <w:rStyle w:val="Hyperlink"/>
          </w:rPr>
          <w:t xml:space="preserve">10.1016/j.imu.2018.05.003</w:t>
        </w:r>
      </w:hyperlink>
      <w:r>
        <w:t xml:space="preserve">.</w:t>
      </w:r>
    </w:p>
    <w:bookmarkEnd w:id="98"/>
    <w:bookmarkStart w:id="100" w:name="ref-10xGenomics"/>
    <w:p>
      <w:pPr>
        <w:pStyle w:val="Bibliography"/>
      </w:pPr>
      <w:r>
        <w:t xml:space="preserve">[8]</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99">
        <w:r>
          <w:rPr>
            <w:rStyle w:val="Hyperlink"/>
          </w:rPr>
          <w:t xml:space="preserve">https://support.10xgenomics.com/single-cell-gene-expression/datasets</w:t>
        </w:r>
      </w:hyperlink>
    </w:p>
    <w:bookmarkEnd w:id="100"/>
    <w:bookmarkStart w:id="102" w:name="ref-Herring2018"/>
    <w:p>
      <w:pPr>
        <w:pStyle w:val="Bibliography"/>
      </w:pPr>
      <w:r>
        <w:t xml:space="preserve">[9]</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01">
        <w:r>
          <w:rPr>
            <w:rStyle w:val="Hyperlink"/>
          </w:rPr>
          <w:t xml:space="preserve">10.1016/j.jcmgh.2018.01.023</w:t>
        </w:r>
      </w:hyperlink>
      <w:r>
        <w:t xml:space="preserve">.</w:t>
      </w:r>
    </w:p>
    <w:bookmarkEnd w:id="102"/>
    <w:bookmarkStart w:id="104" w:name="ref-RFoundationforStatisticalComputing"/>
    <w:p>
      <w:pPr>
        <w:pStyle w:val="Bibliography"/>
      </w:pPr>
      <w:r>
        <w:t xml:space="preserve">[10]</w:t>
      </w:r>
      <w:r>
        <w:t xml:space="preserve"> </w:t>
      </w:r>
      <w:r>
        <w:t xml:space="preserve">	</w:t>
      </w:r>
      <w:r>
        <w:t xml:space="preserve">R Foundation for Statistical Computing,</w:t>
      </w:r>
      <w:r>
        <w:t xml:space="preserve"> </w:t>
      </w:r>
      <w:r>
        <w:t xml:space="preserve">“</w:t>
      </w:r>
      <w:r>
        <w:t xml:space="preserve">R: A language and environment for statistical computing</w:t>
      </w:r>
      <w:r>
        <w:t xml:space="preserve">.”</w:t>
      </w:r>
      <w:r>
        <w:t xml:space="preserve"> </w:t>
      </w:r>
      <w:r>
        <w:t xml:space="preserve">Available:</w:t>
      </w:r>
      <w:r>
        <w:t xml:space="preserve"> </w:t>
      </w:r>
      <w:hyperlink r:id="rId103">
        <w:r>
          <w:rPr>
            <w:rStyle w:val="Hyperlink"/>
          </w:rPr>
          <w:t xml:space="preserve">https://www.r-project.org/</w:t>
        </w:r>
      </w:hyperlink>
    </w:p>
    <w:bookmarkEnd w:id="104"/>
    <w:bookmarkStart w:id="105" w:name="ref-Python"/>
    <w:p>
      <w:pPr>
        <w:pStyle w:val="Bibliography"/>
      </w:pPr>
      <w:r>
        <w:t xml:space="preserve">[11]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05"/>
    <w:bookmarkStart w:id="107" w:name="ref-Gentleman2004"/>
    <w:p>
      <w:pPr>
        <w:pStyle w:val="Bibliography"/>
      </w:pPr>
      <w:r>
        <w:t xml:space="preserve">[12]</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06">
        <w:r>
          <w:rPr>
            <w:rStyle w:val="Hyperlink"/>
          </w:rPr>
          <w:t xml:space="preserve">10.1186/gb-2004-5-10-r80</w:t>
        </w:r>
      </w:hyperlink>
      <w:r>
        <w:t xml:space="preserve">.</w:t>
      </w:r>
    </w:p>
    <w:bookmarkEnd w:id="107"/>
    <w:bookmarkStart w:id="109" w:name="ref-Chang2020"/>
    <w:p>
      <w:pPr>
        <w:pStyle w:val="Bibliography"/>
      </w:pPr>
      <w:r>
        <w:t xml:space="preserve">[13]</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08">
        <w:r>
          <w:rPr>
            <w:rStyle w:val="Hyperlink"/>
          </w:rPr>
          <w:t xml:space="preserve">https://github.com/rstudio/shiny/issues</w:t>
        </w:r>
      </w:hyperlink>
    </w:p>
    <w:bookmarkEnd w:id="109"/>
    <w:bookmarkStart w:id="111" w:name="ref-Yip2018"/>
    <w:p>
      <w:pPr>
        <w:pStyle w:val="Bibliography"/>
      </w:pPr>
      <w:r>
        <w:t xml:space="preserve">[14]</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10">
        <w:r>
          <w:rPr>
            <w:rStyle w:val="Hyperlink"/>
          </w:rPr>
          <w:t xml:space="preserve">10.1093/bib/bby011</w:t>
        </w:r>
      </w:hyperlink>
      <w:r>
        <w:t xml:space="preserve">.</w:t>
      </w:r>
    </w:p>
    <w:bookmarkEnd w:id="111"/>
    <w:bookmarkStart w:id="113" w:name="ref-Stuart2019"/>
    <w:p>
      <w:pPr>
        <w:pStyle w:val="Bibliography"/>
      </w:pPr>
      <w:r>
        <w:t xml:space="preserve">[15]</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12">
        <w:r>
          <w:rPr>
            <w:rStyle w:val="Hyperlink"/>
          </w:rPr>
          <w:t xml:space="preserve">10.1016/j.cell.2019.05.031</w:t>
        </w:r>
      </w:hyperlink>
      <w:r>
        <w:t xml:space="preserve">.</w:t>
      </w:r>
    </w:p>
    <w:bookmarkEnd w:id="113"/>
    <w:bookmarkStart w:id="115" w:name="ref-JenkinsD2020"/>
    <w:p>
      <w:pPr>
        <w:pStyle w:val="Bibliography"/>
      </w:pPr>
      <w:r>
        <w:t xml:space="preserve">[16]</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14">
        <w:r>
          <w:rPr>
            <w:rStyle w:val="Hyperlink"/>
          </w:rPr>
          <w:t xml:space="preserve">https://compbiomed.github.io/sctk_docs/</w:t>
        </w:r>
      </w:hyperlink>
    </w:p>
    <w:bookmarkEnd w:id="115"/>
    <w:bookmarkStart w:id="117" w:name="ref-Tierny2008"/>
    <w:p>
      <w:pPr>
        <w:pStyle w:val="Bibliography"/>
      </w:pPr>
      <w:r>
        <w:t xml:space="preserve">[17]</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16">
        <w:r>
          <w:rPr>
            <w:rStyle w:val="Hyperlink"/>
          </w:rPr>
          <w:t xml:space="preserve">10.18129/B9.bioc.SummarizedExperiment</w:t>
        </w:r>
      </w:hyperlink>
      <w:r>
        <w:t xml:space="preserve">.</w:t>
      </w:r>
    </w:p>
    <w:bookmarkEnd w:id="117"/>
    <w:bookmarkStart w:id="119" w:name="ref-Falcon2006"/>
    <w:p>
      <w:pPr>
        <w:pStyle w:val="Bibliography"/>
      </w:pPr>
      <w:r>
        <w:t xml:space="preserve">[18]</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18">
        <w:r>
          <w:rPr>
            <w:rStyle w:val="Hyperlink"/>
          </w:rPr>
          <w:t xml:space="preserve">http://bioconductor.org</w:t>
        </w:r>
      </w:hyperlink>
    </w:p>
    <w:bookmarkEnd w:id="119"/>
    <w:bookmarkStart w:id="121" w:name="ref-Lun"/>
    <w:p>
      <w:pPr>
        <w:pStyle w:val="Bibliography"/>
      </w:pPr>
      <w:r>
        <w:t xml:space="preserve">[19]</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20">
        <w:r>
          <w:rPr>
            <w:rStyle w:val="Hyperlink"/>
          </w:rPr>
          <w:t xml:space="preserve">http://bioconductor.org/packages/release/bioc/html/SingleCellExperiment.html</w:t>
        </w:r>
      </w:hyperlink>
    </w:p>
    <w:bookmarkEnd w:id="121"/>
    <w:bookmarkStart w:id="123" w:name="ref-Jiang2011"/>
    <w:p>
      <w:pPr>
        <w:pStyle w:val="Bibliography"/>
      </w:pPr>
      <w:r>
        <w:t xml:space="preserve">[20]</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22">
        <w:r>
          <w:rPr>
            <w:rStyle w:val="Hyperlink"/>
          </w:rPr>
          <w:t xml:space="preserve">10.1101/gr.121095.111</w:t>
        </w:r>
      </w:hyperlink>
      <w:r>
        <w:t xml:space="preserve">.</w:t>
      </w:r>
    </w:p>
    <w:bookmarkEnd w:id="123"/>
    <w:bookmarkStart w:id="125" w:name="ref-Ramos2017"/>
    <w:p>
      <w:pPr>
        <w:pStyle w:val="Bibliography"/>
      </w:pPr>
      <w:r>
        <w:t xml:space="preserve">[21]</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24">
        <w:r>
          <w:rPr>
            <w:rStyle w:val="Hyperlink"/>
          </w:rPr>
          <w:t xml:space="preserve">10.1158/0008-5472.CAN-17-0344</w:t>
        </w:r>
      </w:hyperlink>
      <w:r>
        <w:t xml:space="preserve">.</w:t>
      </w:r>
    </w:p>
    <w:bookmarkEnd w:id="125"/>
    <w:bookmarkStart w:id="127" w:name="ref-Weinstein2013"/>
    <w:p>
      <w:pPr>
        <w:pStyle w:val="Bibliography"/>
      </w:pPr>
      <w:r>
        <w:t xml:space="preserve">[22]</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26">
        <w:r>
          <w:rPr>
            <w:rStyle w:val="Hyperlink"/>
          </w:rPr>
          <w:t xml:space="preserve">10.1038/ng.2764</w:t>
        </w:r>
      </w:hyperlink>
      <w:r>
        <w:t xml:space="preserve">.</w:t>
      </w:r>
    </w:p>
    <w:bookmarkEnd w:id="127"/>
    <w:bookmarkStart w:id="129" w:name="ref-Satija2015"/>
    <w:p>
      <w:pPr>
        <w:pStyle w:val="Bibliography"/>
      </w:pPr>
      <w:r>
        <w:t xml:space="preserve">[23]</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28">
        <w:r>
          <w:rPr>
            <w:rStyle w:val="Hyperlink"/>
          </w:rPr>
          <w:t xml:space="preserve">10.1038/nbt.3192</w:t>
        </w:r>
      </w:hyperlink>
      <w:r>
        <w:t xml:space="preserve">.</w:t>
      </w:r>
    </w:p>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28" Target="media/rId28.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hyperlink" Id="rId118" Target="http://bioconductor.org" TargetMode="External" /><Relationship Type="http://schemas.openxmlformats.org/officeDocument/2006/relationships/hyperlink" Id="rId120" Target="http://bioconductor.org/packages/release/bioc/html/SingleCellExperiment.html" TargetMode="External" /><Relationship Type="http://schemas.openxmlformats.org/officeDocument/2006/relationships/hyperlink" Id="rId81" Target="https://bioconductor.org/packages/release/bioc/html/ExperimentSubset.html" TargetMode="External" /><Relationship Type="http://schemas.openxmlformats.org/officeDocument/2006/relationships/hyperlink" Id="rId114" Target="https://compbiomed.github.io/sctk_docs/" TargetMode="External" /><Relationship Type="http://schemas.openxmlformats.org/officeDocument/2006/relationships/hyperlink" Id="rId85" Target="https://doi.org/10.1016/S0140-6736(10)60452-7" TargetMode="External" /><Relationship Type="http://schemas.openxmlformats.org/officeDocument/2006/relationships/hyperlink" Id="rId91" Target="https://doi.org/10.1016/j.beha.2009.07.001" TargetMode="External" /><Relationship Type="http://schemas.openxmlformats.org/officeDocument/2006/relationships/hyperlink" Id="rId112" Target="https://doi.org/10.1016/j.cell.2019.05.031" TargetMode="External" /><Relationship Type="http://schemas.openxmlformats.org/officeDocument/2006/relationships/hyperlink" Id="rId93" Target="https://doi.org/10.1016/j.drudis.2018.05.015" TargetMode="External" /><Relationship Type="http://schemas.openxmlformats.org/officeDocument/2006/relationships/hyperlink" Id="rId97" Target="https://doi.org/10.1016/j.imu.2018.05.003" TargetMode="External" /><Relationship Type="http://schemas.openxmlformats.org/officeDocument/2006/relationships/hyperlink" Id="rId101" Target="https://doi.org/10.1016/j.jcmgh.2018.01.023" TargetMode="External" /><Relationship Type="http://schemas.openxmlformats.org/officeDocument/2006/relationships/hyperlink" Id="rId87" Target="https://doi.org/10.1016/j.molcel.2015.05.004" TargetMode="External" /><Relationship Type="http://schemas.openxmlformats.org/officeDocument/2006/relationships/hyperlink" Id="rId128" Target="https://doi.org/10.1038/nbt.3192" TargetMode="External" /><Relationship Type="http://schemas.openxmlformats.org/officeDocument/2006/relationships/hyperlink" Id="rId126" Target="https://doi.org/10.1038/ng.2764" TargetMode="External" /><Relationship Type="http://schemas.openxmlformats.org/officeDocument/2006/relationships/hyperlink" Id="rId110" Target="https://doi.org/10.1093/bib/bby011" TargetMode="External" /><Relationship Type="http://schemas.openxmlformats.org/officeDocument/2006/relationships/hyperlink" Id="rId122" Target="https://doi.org/10.1101/gr.121095.111" TargetMode="External" /><Relationship Type="http://schemas.openxmlformats.org/officeDocument/2006/relationships/hyperlink" Id="rId124" Target="https://doi.org/10.1158/0008-5472.CAN-17-0344" TargetMode="External" /><Relationship Type="http://schemas.openxmlformats.org/officeDocument/2006/relationships/hyperlink" Id="rId106" Target="https://doi.org/10.1186/gb-2004-5-10-r80" TargetMode="External" /><Relationship Type="http://schemas.openxmlformats.org/officeDocument/2006/relationships/hyperlink" Id="rId89" Target="https://doi.org/10.1186/s13073-017-0467-4" TargetMode="External" /><Relationship Type="http://schemas.openxmlformats.org/officeDocument/2006/relationships/hyperlink" Id="rId116" Target="https://doi.org/10.18129/B9.bioc.SummarizedExperiment" TargetMode="External" /><Relationship Type="http://schemas.openxmlformats.org/officeDocument/2006/relationships/hyperlink" Id="rId95" Target="https://doi.org/10.3390/jpm8030030" TargetMode="External" /><Relationship Type="http://schemas.openxmlformats.org/officeDocument/2006/relationships/hyperlink" Id="rId82" Target="https://github.com/campbio/ExperimentSubset" TargetMode="External" /><Relationship Type="http://schemas.openxmlformats.org/officeDocument/2006/relationships/hyperlink" Id="rId108" Target="https://github.com/rstudio/shiny/issues" TargetMode="External" /><Relationship Type="http://schemas.openxmlformats.org/officeDocument/2006/relationships/hyperlink" Id="rId99" Target="https://support.10xgenomics.com/single-cell-gene-expression/datasets" TargetMode="External" /><Relationship Type="http://schemas.openxmlformats.org/officeDocument/2006/relationships/hyperlink" Id="rId103" Target="https://www.r-project.org/" TargetMode="External" /><Relationship Type="http://schemas.openxmlformats.org/officeDocument/2006/relationships/hyperlink" Id="rId61" Target="rddr.io" TargetMode="External" /></Relationships>
</file>

<file path=word/_rels/footnotes.xml.rels><?xml version="1.0" encoding="UTF-8"?>
<Relationships xmlns="http://schemas.openxmlformats.org/package/2006/relationships"><Relationship Type="http://schemas.openxmlformats.org/officeDocument/2006/relationships/hyperlink" Id="rId118" Target="http://bioconductor.org" TargetMode="External" /><Relationship Type="http://schemas.openxmlformats.org/officeDocument/2006/relationships/hyperlink" Id="rId120" Target="http://bioconductor.org/packages/release/bioc/html/SingleCellExperiment.html" TargetMode="External" /><Relationship Type="http://schemas.openxmlformats.org/officeDocument/2006/relationships/hyperlink" Id="rId81" Target="https://bioconductor.org/packages/release/bioc/html/ExperimentSubset.html" TargetMode="External" /><Relationship Type="http://schemas.openxmlformats.org/officeDocument/2006/relationships/hyperlink" Id="rId114" Target="https://compbiomed.github.io/sctk_docs/" TargetMode="External" /><Relationship Type="http://schemas.openxmlformats.org/officeDocument/2006/relationships/hyperlink" Id="rId85" Target="https://doi.org/10.1016/S0140-6736(10)60452-7" TargetMode="External" /><Relationship Type="http://schemas.openxmlformats.org/officeDocument/2006/relationships/hyperlink" Id="rId91" Target="https://doi.org/10.1016/j.beha.2009.07.001" TargetMode="External" /><Relationship Type="http://schemas.openxmlformats.org/officeDocument/2006/relationships/hyperlink" Id="rId112" Target="https://doi.org/10.1016/j.cell.2019.05.031" TargetMode="External" /><Relationship Type="http://schemas.openxmlformats.org/officeDocument/2006/relationships/hyperlink" Id="rId93" Target="https://doi.org/10.1016/j.drudis.2018.05.015" TargetMode="External" /><Relationship Type="http://schemas.openxmlformats.org/officeDocument/2006/relationships/hyperlink" Id="rId97" Target="https://doi.org/10.1016/j.imu.2018.05.003" TargetMode="External" /><Relationship Type="http://schemas.openxmlformats.org/officeDocument/2006/relationships/hyperlink" Id="rId101" Target="https://doi.org/10.1016/j.jcmgh.2018.01.023" TargetMode="External" /><Relationship Type="http://schemas.openxmlformats.org/officeDocument/2006/relationships/hyperlink" Id="rId87" Target="https://doi.org/10.1016/j.molcel.2015.05.004" TargetMode="External" /><Relationship Type="http://schemas.openxmlformats.org/officeDocument/2006/relationships/hyperlink" Id="rId128" Target="https://doi.org/10.1038/nbt.3192" TargetMode="External" /><Relationship Type="http://schemas.openxmlformats.org/officeDocument/2006/relationships/hyperlink" Id="rId126" Target="https://doi.org/10.1038/ng.2764" TargetMode="External" /><Relationship Type="http://schemas.openxmlformats.org/officeDocument/2006/relationships/hyperlink" Id="rId110" Target="https://doi.org/10.1093/bib/bby011" TargetMode="External" /><Relationship Type="http://schemas.openxmlformats.org/officeDocument/2006/relationships/hyperlink" Id="rId122" Target="https://doi.org/10.1101/gr.121095.111" TargetMode="External" /><Relationship Type="http://schemas.openxmlformats.org/officeDocument/2006/relationships/hyperlink" Id="rId124" Target="https://doi.org/10.1158/0008-5472.CAN-17-0344" TargetMode="External" /><Relationship Type="http://schemas.openxmlformats.org/officeDocument/2006/relationships/hyperlink" Id="rId106" Target="https://doi.org/10.1186/gb-2004-5-10-r80" TargetMode="External" /><Relationship Type="http://schemas.openxmlformats.org/officeDocument/2006/relationships/hyperlink" Id="rId89" Target="https://doi.org/10.1186/s13073-017-0467-4" TargetMode="External" /><Relationship Type="http://schemas.openxmlformats.org/officeDocument/2006/relationships/hyperlink" Id="rId116" Target="https://doi.org/10.18129/B9.bioc.SummarizedExperiment" TargetMode="External" /><Relationship Type="http://schemas.openxmlformats.org/officeDocument/2006/relationships/hyperlink" Id="rId95" Target="https://doi.org/10.3390/jpm8030030" TargetMode="External" /><Relationship Type="http://schemas.openxmlformats.org/officeDocument/2006/relationships/hyperlink" Id="rId82" Target="https://github.com/campbio/ExperimentSubset" TargetMode="External" /><Relationship Type="http://schemas.openxmlformats.org/officeDocument/2006/relationships/hyperlink" Id="rId108" Target="https://github.com/rstudio/shiny/issues" TargetMode="External" /><Relationship Type="http://schemas.openxmlformats.org/officeDocument/2006/relationships/hyperlink" Id="rId99" Target="https://support.10xgenomics.com/single-cell-gene-expression/datasets" TargetMode="External" /><Relationship Type="http://schemas.openxmlformats.org/officeDocument/2006/relationships/hyperlink" Id="rId103" Target="https://www.r-project.org/" TargetMode="External" /><Relationship Type="http://schemas.openxmlformats.org/officeDocument/2006/relationships/hyperlink" Id="rId61"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2021-08-29T02:48:04Z</dcterms:created>
  <dcterms:modified xsi:type="dcterms:W3CDTF">2021-08-29T02:48:04Z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ieee.csl</vt:lpwstr>
  </property>
  <property fmtid="{D5CDD505-2E9C-101B-9397-08002B2CF9AE}" pid="4" name="date">
    <vt:lpwstr>August 29, 2021</vt:lpwstr>
  </property>
  <property fmtid="{D5CDD505-2E9C-101B-9397-08002B2CF9AE}" pid="5" name="editor_options">
    <vt:lpwstr/>
  </property>
  <property fmtid="{D5CDD505-2E9C-101B-9397-08002B2CF9AE}" pid="6" name="output">
    <vt:lpwstr>word_document</vt:lpwstr>
  </property>
  <property fmtid="{D5CDD505-2E9C-101B-9397-08002B2CF9AE}" pid="7" name="subtitle">
    <vt:lpwstr>ExperimentSubset: An R package to manage subsets of Bioconductor Experiment objects</vt:lpwstr>
  </property>
</Properties>
</file>