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bookmarkStart w:colFirst="0" w:colLast="0" w:name="_cd0mjam6231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32"/>
          <w:szCs w:val="32"/>
          <w:rtl w:val="0"/>
        </w:rPr>
        <w:t xml:space="preserve">Alternate Flow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Problem Statement #37: Group Travel Expense Simplification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Name:M STUTHI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SRN:PES1UG24CS283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SECTION:E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4a. Missing Exchange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="240" w:lineRule="auto"/>
        <w:ind w:firstLine="72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4a1. System detects that no exchange rate exists for an expense's currency and date.</w:t>
      </w:r>
    </w:p>
    <w:p w:rsidR="00000000" w:rsidDel="00000000" w:rsidP="00000000" w:rsidRDefault="00000000" w:rsidRPr="00000000" w14:paraId="0000000A">
      <w:pPr>
        <w:spacing w:after="40" w:line="240" w:lineRule="auto"/>
        <w:ind w:left="72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4a2. System flags the affected expense and excludes it from the balance calculation, displaying a warning banner: "1 expense could not be converted — rate unavailable."</w:t>
      </w:r>
    </w:p>
    <w:p w:rsidR="00000000" w:rsidDel="00000000" w:rsidP="00000000" w:rsidRDefault="00000000" w:rsidRPr="00000000" w14:paraId="0000000B">
      <w:pPr>
        <w:spacing w:after="40" w:line="240" w:lineRule="auto"/>
        <w:ind w:left="72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4a3. System proceeds to compute the settlement graph using the remaining convertible expenses, then resumes the main flow at step 5.</w:t>
      </w:r>
    </w:p>
    <w:p w:rsidR="00000000" w:rsidDel="00000000" w:rsidP="00000000" w:rsidRDefault="00000000" w:rsidRPr="00000000" w14:paraId="0000000C">
      <w:pPr>
        <w:spacing w:after="40"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4a4. System notifies the Trip Admin (who holds permission to edit exchange rates) to manually enter or retry the missing rate; once entered, the Group Traveler can re-run step 1 to include it.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