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2515901</wp:posOffset>
            </wp:positionV>
            <wp:extent cx="5267325" cy="273685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2673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Comportamentos Humanos: </w:t>
                        </w:r>
                        <w:r>
                          <w:rPr>
                            <w:rFonts w:ascii="Arial" w:hAnsi="Arial" w:eastAsia="Arial" w:cs="Arial"/>
                            <w:color w:val="595959"/>
                            <w:sz w:val="60"/>
                            <w:szCs w:val="60"/>
                            <w:b/>
                            <w:i/>
                            <w:iCs/>
                          </w:rPr>
                          <w:t xml:space="preserve">Submódulo dangerLevel </w:t>
                        </w:r>
                      </w:p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a arquitetura proposta para o submódulo dangerLevel, pertencente ao módulo dos “algoritmos de colaboração com humanos“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3" behindDoc="0" locked="0" layoutInCell="1" allowOverlap="1">
            <wp:simplePos x="0" y="0"/>
            <wp:positionH relativeFrom="page">
              <wp:posOffset>2366962</wp:posOffset>
            </wp:positionH>
            <wp:positionV relativeFrom="page">
              <wp:posOffset>42734484</wp:posOffset>
            </wp:positionV>
            <wp:extent cx="3581400" cy="2598358"/>
            <wp:effectExtent l="19050" t="38100" r="19050" b="0"/>
            <wp:wrapTopAndBottom/>
            <wp:docPr id="4" name="awareness_mode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areness_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581400" cy="2598358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UC</w:t>
            </w: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Paulo Menezes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795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Elaborado por:</w:t>
            </w:r>
          </w:p>
        </w:tc>
        <w:tc>
          <w:tcPr>
            <w:tcW w:w="265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100" w:line="24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Paulo Menezes</w:t>
            </w:r>
          </w:p>
          <w:p>
            <w:pPr>
              <w:jc w:val="center"/>
              <w:ind w:firstLine="0"/>
              <w:spacing w:before="240" w:after="100" w:line="24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Andrey Solovov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100" w:line="144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sdt>
      <w:sdtPr>
        <w:id w:val="792451477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8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Este documento tem como objetivo especificar o funcionamento </w:t>
      </w: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AAAAAAAAA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fff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8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O perigo inerente a uma interação entre um trabalhador e o robô depende da natureza da interação, da atividade do robô, e da consciência deste possuída pelo trabalhador. É intuitivo supor que, por exemplo, um robô a realizar lentamente um movimento simples e previsível dentro de uma área pequena será mais seguro que um robô a realizar rapidamente um movimento complexo numa área abrangente. Tal como o perigo implicado é menor quanto mais distante o trabalhador estiver do robô, e quanto mais consciente estiver do comportamento do mesmo. 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O aspeto mais subtil aqui consiste na medição do nível de consciência do trabalhador relativo ao robô. A consciência cognitiva visual em relação a um objeto ocorre através do mecanismo da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atenção</w:t>
      </w:r>
      <w:r>
        <w:rPr>
          <w:rFonts w:ascii="Arial" w:hAnsi="Arial" w:eastAsia="Arial" w:cs="Arial"/>
          <w:sz w:val="20"/>
          <w:szCs w:val="20"/>
        </w:rPr>
        <w:t xml:space="preserve">, que serve para promover o processamento de certos estímulos dentro da cena visual a favor de outros, com base na relevância percecionada. A teoria de atenção por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scanpath</w:t>
      </w:r>
      <w:r>
        <w:rPr>
          <w:rFonts w:ascii="Arial" w:hAnsi="Arial" w:eastAsia="Arial" w:cs="Arial"/>
          <w:sz w:val="20"/>
          <w:szCs w:val="20"/>
        </w:rPr>
        <w:t xml:space="preserve">, de Noton e Stark, aludem para o crescimento incremental ao longo do tempo do nível de consciência de um objeto através de repetidos contactos visuais com o objeto.  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Por outro lado, existem no geral dois tipos de atenção: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voluntária </w:t>
      </w:r>
      <w:r>
        <w:rPr>
          <w:rFonts w:ascii="Arial" w:hAnsi="Arial" w:eastAsia="Arial" w:cs="Arial"/>
          <w:sz w:val="20"/>
          <w:szCs w:val="20"/>
        </w:rPr>
        <w:t xml:space="preserve">(dirigida com esforço mental para um objeto); e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involuntária</w:t>
      </w:r>
      <w:r>
        <w:rPr>
          <w:rFonts w:ascii="Arial" w:hAnsi="Arial" w:eastAsia="Arial" w:cs="Arial"/>
          <w:sz w:val="20"/>
          <w:szCs w:val="20"/>
        </w:rPr>
        <w:t xml:space="preserve"> (dirigida incidentalmente devido à sua saliência em cena). Um trabalhador, mesmo a colaborar diretamente com o robô, estará no geral a dirigir voluntariamente a sua atenção à tarefa, e não ao robô,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trike/>
          <w:shd w:val="clear" w:color="auto" w:fill="fff001"/>
        </w:rPr>
        <w:t xml:space="preserve">The level of danger of the interaction between a worker and the robot depends on what the robot is doing and on the awareness that a person has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trike/>
          <w:shd w:val="clear" w:color="auto" w:fill="fff001"/>
        </w:rPr>
        <w:t xml:space="preserve">Cognitive visual awareness occurs through the mechanism of attention, which highlights the recall of certain elements in the scene in favor of others when observing.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trike/>
          <w:shd w:val="clear" w:color="auto" w:fill="fff001"/>
        </w:rPr>
        <w:t xml:space="preserve">From Noton and Stark’s scanpath theory of attention, it is reasonable to propose that awarteness grows incrementally over time via repeated glances at an object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There are two types of attention. Voluntary and involuntary. In this case, the type of attention that is of interest to us is involountary attention. A consequence of this is that the workers’ awareness of the robot will decrease over time whenever they are not looking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That being the case, it is a reasonable heuristic to make an addition-and-decay model of awareness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At the same time, the nature of the interaction. together with the behavior with the robot can serve to affect the danger level of the interaction between the human and robot. </w:t>
      </w:r>
    </w:p>
    <w:p>
      <w:pPr>
        <w:numPr>
          <w:ilvl w:val="0"/>
          <w:numId w:val="26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List factors as in the paper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9495" w:type="dxa"/>
      </w:tblGrid>
      <w:tblPr>
        <w:jc w:val="left"/>
        <w:tblW w:w="94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-86" w:type="dxa"/>
      </w:tblPr>
      <w:tr>
        <w:trPr>
          <w:trHeight w:val="3090" w:hRule="atLeast"/>
        </w:trPr>
        <w:tc>
          <w:tcPr>
            <w:tcW w:w="94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850541" cy="1611946"/>
                  <wp:effectExtent l="19050" t="38100" r="19050" b="0"/>
                  <wp:docPr id="5" name="structur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ructur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50540" cy="161194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One paragraph describing the diagram, explaining the info that each block transmits to the next, and that the comportamentos Humanos module’s front-end, back-end, and data base consist of the conjunction of those of each individual submodule (LATER REUSE THE SAME PARAGRAPH FOR EACH OF THE OTHER)</w:t>
      </w:r>
    </w:p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The scope of this spec is dangerLevel. Describe an overview of what it does (i.e. assess awareness, assess necessary awareness. If not enough awareness, stop</w:t>
      </w:r>
      <w:r>
        <w:rPr>
          <w:rFonts w:ascii="Arial" w:hAnsi="Arial" w:eastAsia="Arial" w:cs="Arial"/>
          <w:sz w:val="20"/>
          <w:szCs w:val="20"/>
        </w:rPr>
        <w:t xml:space="preserve">)</w:t>
      </w:r>
    </w:p>
    <w:p>
      <w:pPr>
        <w:numPr>
          <w:ilvl w:val="0"/>
          <w:numId w:val="28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</w:rPr>
        <w:t xml:space="preserve">Componentes do submódulo dangerLevel</w:t>
      </w:r>
      <w:bookmarkEnd w:id="6"/>
    </w:p>
    <w:p>
      <w:pPr>
        <w:numPr>
          <w:ilvl w:val="0"/>
          <w:numId w:val="30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dangerLevel consists of back-end and front-end (given the weay it’s designed, no need for dataset)</w:t>
      </w:r>
    </w:p>
    <w:p>
      <w:pPr>
        <w:numPr>
          <w:ilvl w:val="0"/>
          <w:numId w:val="30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Quick description of what the back-end does and what the front-end does. 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Back-end do submódulo dangerLevel</w:t>
      </w:r>
      <w:bookmarkEnd w:id="7"/>
    </w:p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STUFF</w:t>
      </w:r>
    </w:p>
    <w:p>
      <w:pPr>
        <w:pStyle w:val="Heading2"/>
        <w:jc w:val="both"/>
        <w:ind w:firstLine="0"/>
        <w:spacing w:before="480" w:after="0" w:line="312" w:lineRule="auto"/>
      </w:pPr>
      <w:bookmarkStart w:id="8" w:name="7NxEYlcFYF"/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3.2. Front-end do submódulo dangerLevel</w:t>
      </w:r>
      <w:bookmarkEnd w:id="8"/>
    </w:p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STUFF</w:t>
      </w:r>
    </w:p>
    <w:p>
      <w:pPr>
        <w:pStyle w:val="Heading2"/>
        <w:jc w:val="both"/>
        <w:ind w:firstLine="0"/>
        <w:spacing w:before="480" w:after="0" w:line="312" w:lineRule="auto"/>
      </w:pPr>
      <w:bookmarkStart w:id="9" w:name="mmhYqn8rp0"/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3.3. Comunicação com módulo RSS</w:t>
      </w:r>
      <w:bookmarkEnd w:id="9"/>
    </w:p>
    <w:p>
      <w:pPr>
        <w:numPr>
          <w:ilvl w:val="0"/>
          <w:numId w:val="27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The back-end of the dangerLevel module outputs to the RSS actuation module, which commits requests to slow down or stop to the robot arm / rover.</w:t>
      </w: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F5F1A5CE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0D7960C1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B3B5E4A8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F821129D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2174691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3FC3D0A8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CEEC4A3C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C7AF8FAD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B3549178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E11CB57C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52021928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00CBD165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1BB309AD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ED2B7FDB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44699DC2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5674B3A5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372ACA97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C443CF37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1AE67641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7">
    <w:nsid w:val="F6745394"/>
    <w:lvl w:ilvl="0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500"/>
        </w:tabs>
        <w:ind w:left="4500" w:hanging="450"/>
      </w:pPr>
      <w:rPr>
        <w:rFonts/>
      </w:rPr>
    </w:lvl>
  </w:abstractNum>
  <w:abstractNum w:abstractNumId="28">
    <w:nsid w:val="5D0C99AE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9">
    <w:nsid w:val="3F2F4BFD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0">
    <w:nsid w:val="CD49C861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1">
    <w:nsid w:val="93248062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image" Target="media/UAD5SLT67L1TRE9B3297P98SCG.png"/><Relationship Id="rId11" Type="http://schemas.openxmlformats.org/officeDocument/2006/relationships/hyperlink" Target="MSOFFICE_HEADING_0" TargetMode="External"/><Relationship Id="rId12" Type="http://schemas.openxmlformats.org/officeDocument/2006/relationships/hyperlink" Target="MSOFFICE_HEADING_1" TargetMode="External"/><Relationship Id="rId13" Type="http://schemas.openxmlformats.org/officeDocument/2006/relationships/hyperlink" Target="MSOFFICE_HEADING_2" TargetMode="External"/><Relationship Id="rId14" Type="http://schemas.openxmlformats.org/officeDocument/2006/relationships/hyperlink" Target="MSOFFICE_HEADING_3" TargetMode="External"/><Relationship Id="rId15" Type="http://schemas.openxmlformats.org/officeDocument/2006/relationships/hyperlink" Target="MSOFFICE_HEADING_4" TargetMode="External"/><Relationship Id="rId16" Type="http://schemas.openxmlformats.org/officeDocument/2006/relationships/hyperlink" Target="MSOFFICE_HEADING_5" TargetMode="External"/><Relationship Id="rId17" Type="http://schemas.openxmlformats.org/officeDocument/2006/relationships/hyperlink" Target="MSOFFICE_HEADING_6" TargetMode="External"/><Relationship Id="rId18" Type="http://schemas.openxmlformats.org/officeDocument/2006/relationships/image" Target="media/KM6PJ72FGH0ND3ML0P3RS5GOF4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2024-03-19T22:53:35+00:00</dcterms:created>
  <dcterms:modified xsi:type="dcterms:W3CDTF">2024-03-19T22:53:35+00:00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