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38912" cy="438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-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pleGothic" w:hAnsi="AppleGothic" w:eastAsia="AppleGothic" w:cs="AppleGothic"/>
          <w:b/>
          <w:color w:val="2E74B5"/>
          <w:sz w:val="24"/>
        </w:rPr>
        <w:t>MATTHS</w:t>
      </w:r>
    </w:p>
    <w:p>
      <w:pPr>
        <w:spacing w:after="100"/>
        <w:jc w:val="center"/>
      </w:pPr>
      <w:r>
        <w:rPr>
          <w:rFonts w:ascii="AppleGothic" w:hAnsi="AppleGothic" w:eastAsia="AppleGothic" w:cs="AppleGothic"/>
          <w:b/>
          <w:color w:val="0B2545"/>
          <w:sz w:val="50"/>
        </w:rPr>
        <w:t>사업소개서 및 공동사업 운영계획서</w:t>
      </w:r>
    </w:p>
    <w:p>
      <w:pPr>
        <w:spacing w:after="440"/>
        <w:jc w:val="center"/>
      </w:pPr>
      <w:r>
        <w:rPr>
          <w:rFonts w:ascii="AppleGothic" w:hAnsi="AppleGothic" w:eastAsia="AppleGothic" w:cs="AppleGothic"/>
          <w:color w:val="5B6573"/>
          <w:sz w:val="26"/>
        </w:rPr>
        <w:t>시각화 기반 고등수학 학습 플랫폼 · GOAT Arena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문서 목적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공동사업자 등록·협의 및 사업성 검토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사업 형태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개인 공동사업(예정)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작성 기준일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2026년 8월 2일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문서 버전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9"/>
              </w:rPr>
              <w:t>v1.0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주: 상호, 사업장 소재지, 공동사업자 인적사항 및 손익분배비율은 사업자등록 신청서·동업계약서에서 별도 확정한다.</w:t>
      </w:r>
    </w:p>
    <w:p>
      <w:pPr>
        <w:spacing w:before="120" w:after="200" w:line="264" w:lineRule="auto"/>
        <w:ind w:left="173" w:right="173"/>
        <w:shd w:fill="FDECEC"/>
        <w:pBdr>
          <w:left w:val="single" w:sz="12" w:space="5" w:color="9B1C1C"/>
        </w:pBdr>
      </w:pPr>
      <w:r>
        <w:rPr>
          <w:rFonts w:ascii="AppleGothic" w:hAnsi="AppleGothic" w:eastAsia="AppleGothic" w:cs="AppleGothic"/>
          <w:b/>
          <w:color w:val="9B1C1C"/>
          <w:sz w:val="20"/>
        </w:rPr>
        <w:t xml:space="preserve">문서 등급  </w:t>
      </w:r>
      <w:r>
        <w:rPr>
          <w:rFonts w:ascii="AppleGothic" w:hAnsi="AppleGothic" w:eastAsia="AppleGothic" w:cs="AppleGothic"/>
          <w:color w:val="20252B"/>
          <w:sz w:val="20"/>
        </w:rPr>
        <w:t>본 문서는 공동사업자 제출 및 내부 의사결정을 위한 비공개 자료이다. 이용자 홍보물, 투자권유 자료 또는 세무·법률 의견서로 사용하지 않는다.</w:t>
      </w:r>
    </w:p>
    <w:p>
      <w:pPr>
        <w:spacing w:before="280"/>
        <w:jc w:val="center"/>
      </w:pPr>
      <w:r>
        <w:rPr>
          <w:rFonts w:ascii="AppleGothic" w:hAnsi="AppleGothic" w:eastAsia="AppleGothic" w:cs="AppleGothic"/>
          <w:i/>
          <w:color w:val="5B6573"/>
          <w:sz w:val="18"/>
        </w:rPr>
        <w:t>Prepared for Joint Business Registration &amp; Internal Review</w:t>
      </w:r>
    </w:p>
    <w:p>
      <w:pPr>
        <w:pageBreakBefore/>
        <w:spacing w:before="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00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요약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공동사업자 검토를 위한 핵심 사업성·수익성·세무 판단 요약</w:t>
      </w:r>
    </w:p>
    <w:p>
      <w:pPr>
        <w:spacing w:before="120" w:after="200" w:line="264" w:lineRule="auto"/>
        <w:ind w:left="173" w:right="173"/>
        <w:shd w:fill="F4F6F9"/>
        <w:pBdr>
          <w:left w:val="single" w:sz="12" w:space="5" w:color="2E74B5"/>
        </w:pBdr>
      </w:pPr>
      <w:r>
        <w:rPr>
          <w:rFonts w:ascii="AppleGothic" w:hAnsi="AppleGothic" w:eastAsia="AppleGothic" w:cs="AppleGothic"/>
          <w:b/>
          <w:color w:val="2E74B5"/>
          <w:sz w:val="20"/>
        </w:rPr>
        <w:t xml:space="preserve">핵심 판단  </w:t>
      </w:r>
      <w:r>
        <w:rPr>
          <w:rFonts w:ascii="AppleGothic" w:hAnsi="AppleGothic" w:eastAsia="AppleGothic" w:cs="AppleGothic"/>
          <w:color w:val="20252B"/>
          <w:sz w:val="20"/>
        </w:rPr>
        <w:t>Matths는 월 79.3만 원 수준의 사교육 참여 고등학생 지출 환경에서 29,000원의 저가 디지털 학습 패키지를 제공하고, 시각화 학습과 성취형 페이백·랭킹을 결합해 학습 지속성과 재구매를 유도하는 사업이다.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요약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사업 영역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온라인 고등수학 교육·학습평가 플랫폼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핵심 고객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2022 개정 교육과정 고등학생 및 N수생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핵심 제품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시각화 개념학습, 문제 적용·오답 복습, 주간 평가, GOAT Arena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기준 가격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29일 학습 패키지 29,000원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수익 구조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유료 학습 패키지 반복 결제 + 조건부 페이백 + 경쟁형 리텐션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기준 손익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최초 결제자 1,000명 기준 연 결제 1,940건, 고객 결제총액 약 5,626만 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문서상 결론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시장 가격 대비 진입 부담이 낮고, 페이백 지급률이 제한적인 대신 운영자 측 공헌이익이 높은 구조</w:t>
            </w:r>
          </w:p>
        </w:tc>
      </w:tr>
    </w:tbl>
    <w:p>
      <w:pPr>
        <w:pStyle w:val="Heading2"/>
      </w:pPr>
      <w:r>
        <w:t>의사결정 전제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현재 손익은 실제 유료 운영 실적이 아닌 Monte Carlo 기반 정책 검증 추정치다.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연매출은 세액감면으로 증가하지 않는다. 세액감면은 세후 유보금·현금흐름을 증가시킨다.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29,000원이 부가가치세 포함 소비자가격인지, 교육용역 면세가 가능한지가 회계상 매출과 이익을 크게 바꾼다.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청년창업 세액감면은 청년 여부만으로 적용되지 않으며, 실제 주업종·창업일·사업장 위치·공동사업 손익분배비율을 함께 충족해야 한다.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공동사업 지분·역할·의사결정·지식재산·탈퇴·정산 기준은 본 소개서와 별도의 동업계약서로 확정해야 한다.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01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사업 개요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공식 사업계획서의 문제인식·실현가능성·성장전략·팀 구성 체계를 반영 [S4]</w:t>
      </w:r>
    </w:p>
    <w:p>
      <w:pPr>
        <w:pStyle w:val="Heading2"/>
      </w:pPr>
      <w:r>
        <w:t>1.1 사업 정의</w:t>
      </w:r>
    </w:p>
    <w:p>
      <w:r>
        <w:rPr>
          <w:rFonts w:ascii="AppleGothic" w:hAnsi="AppleGothic" w:eastAsia="AppleGothic" w:cs="AppleGothic"/>
          <w:color w:val="20252B"/>
        </w:rPr>
        <w:t>Matths는 수학 공식을 정답으로 제시하는 데 그치지 않고, 도형·그래프·식이 변하는 과정을 장면 단위로 보여주는 고등수학 학습 플랫폼이다. 이용자는 개념의 생성 원리를 시각적으로 이해한 뒤 문제에 적용하고, 오답이 발생하면 막힌 단계로 돌아가 재학습한다. 서비스의 주된 급부는 교육 콘텐츠·문제 풀이·학습 기록·평가·피드백이며, GOAT Arena는 학습 성과를 경쟁과 랭킹으로 확장하는 부가 기능이다. [I1]</w:t>
      </w:r>
    </w:p>
    <w:p>
      <w:pPr>
        <w:pStyle w:val="Heading2"/>
      </w:pPr>
      <w:r>
        <w:t>1.2 해결하려는 문제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500"/>
        <w:gridCol w:w="3780"/>
        <w:gridCol w:w="40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문제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현재 불편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Matths 접근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원리 단절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공식과 정답을 먼저 제시해 개념이 만들어지는 과정이 생략됨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도형·그래프·식의 단계별 변화를 함께 제시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오답 반복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어디서 막혔는지 모른 채 전체 강의나 해설을 반복함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개념·조건 해석·적용·계산 단계별 복귀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학습 지속성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단기 집중 후 이탈하고 성취 확인이 늦음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일일 학습·주간 평가·랭킹·페이백으로 동기 강화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가격 부담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참여 고등학생의 사교육비가 월평균 79.3만 원 수준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29,000원 진입 가격으로 보조 학습재 포지셔닝</w:t>
            </w:r>
          </w:p>
        </w:tc>
      </w:tr>
    </w:tbl>
    <w:p>
      <w:pPr>
        <w:pStyle w:val="Heading2"/>
      </w:pPr>
      <w:r>
        <w:t>1.3 사업 목표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2022 개정 교육과정의 고등학교 공통수학을 시작점으로 시각화 학습·문제 적용·오답 복습의 완결된 학습 흐름을 제공한다.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유료 학습 패키지와 주간 평가를 결합해 단순 콘텐츠 판매가 아닌 반복 이용형 학습 운영 모델을 확립한다.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페이백과 Division 경쟁을 교육 성취 보상으로 운영하되, 결제·학습권·랭킹·환급 원장을 분리하여 공정성과 재현성을 확보한다.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공동사업자 간 제품·교육·기술·운영 책임을 문서화하고, 유료 베타 데이터를 통해 수익 가정을 단계적으로 보정한다.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02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시장 배경 및 고객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2025년 국가통계에 기반한 고등학생 사교육 지출 환경</w:t>
      </w:r>
    </w:p>
    <w:p>
      <w:pPr>
        <w:pStyle w:val="Heading2"/>
      </w:pPr>
      <w:r>
        <w:t>2.1 2025년 사교육 시장</w:t>
      </w:r>
    </w:p>
    <w:p>
      <w:r>
        <w:rPr>
          <w:rFonts w:ascii="AppleGothic" w:hAnsi="AppleGothic" w:eastAsia="AppleGothic" w:cs="AppleGothic"/>
          <w:color w:val="20252B"/>
        </w:rPr>
        <w:t>교육부·국가데이터처의 2025년 초중고 사교육비 조사에 따르면, 고등학교 사교육비 총액은 약 7.8조 원, 고등학생 사교육 참여율은 63.0%이다. 사교육 참여 고등학생 1인당 월평균 지출은 79만 3천 원이며, 고1은 80만 6천 원으로 가장 높다. [S1][S2]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900"/>
        <w:gridCol w:w="1800"/>
        <w:gridCol w:w="46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2025년 값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고등학교 사교육비 총액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7.8조 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전년 대비 4.3% 감소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고등학생 사교육 참여율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63.0%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전체 고등학생 중 참여 비중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참여 고등학생 월평균 지출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793,000원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2025년 학교급 평균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고1 참여학생 월평균 지출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806,000원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학년별 최고 수준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Matths 기준 가격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29,000원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참여학생 월평균 지출의 약 3.7%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자료: 국가데이터처·교육부, 2025년 초중고사교육비조사 결과(2026.3.12 공표) [S1][S2]. 금액 반올림.</w:t>
      </w:r>
    </w:p>
    <w:p>
      <w:pPr>
        <w:spacing w:before="120" w:after="200" w:line="264" w:lineRule="auto"/>
        <w:ind w:left="173" w:right="173"/>
        <w:shd w:fill="F4F6F9"/>
        <w:pBdr>
          <w:left w:val="single" w:sz="12" w:space="5" w:color="2E74B5"/>
        </w:pBdr>
      </w:pPr>
      <w:r>
        <w:rPr>
          <w:rFonts w:ascii="AppleGothic" w:hAnsi="AppleGothic" w:eastAsia="AppleGothic" w:cs="AppleGothic"/>
          <w:b/>
          <w:color w:val="2E74B5"/>
          <w:sz w:val="20"/>
        </w:rPr>
        <w:t xml:space="preserve">시장 해석  </w:t>
      </w:r>
      <w:r>
        <w:rPr>
          <w:rFonts w:ascii="AppleGothic" w:hAnsi="AppleGothic" w:eastAsia="AppleGothic" w:cs="AppleGothic"/>
          <w:color w:val="20252B"/>
          <w:sz w:val="20"/>
        </w:rPr>
        <w:t>Matths의 29,000원은 기존 학원·과외를 전면 대체하기보다 월 사교육 예산의 약 3.7%로 추가 채택 가능한 보조 학습 서비스 가격대다. 따라서 초기 전략은 ‘대체재’보다 ‘개념 이해와 학습 지속성을 보완하는 디지털 학습재’가 적합하다.</w:t>
      </w:r>
    </w:p>
    <w:p>
      <w:pPr>
        <w:pStyle w:val="Heading2"/>
      </w:pPr>
      <w:r>
        <w:t>2.2 핵심 고객 세그먼트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100"/>
        <w:gridCol w:w="2000"/>
        <w:gridCol w:w="3100"/>
        <w:gridCol w:w="31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대상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핵심 필요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제공 가치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핵심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고1 공통수학 학습자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공식을 외웠으나 변형 문제 적용이 어려운 학생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시각화 개념 → 문제 적용 → 오답 복귀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확장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고2·고3 학습자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내신·모의고사 개념 결손을 빠르게 보완하려는 학생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단원별 진단·주간 평가·오답 노트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확장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N수생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학교 소속 없이 반복 평가와 실력 추적이 필요한 학습자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독립 랭킹·모의고사·기록 기반 재학습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구매 영향자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학부모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학습 진행과 가격 대비 효율을 확인하려는 보호자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투명한 이용기간·성과 기록·환급 조건</w:t>
            </w:r>
          </w:p>
        </w:tc>
      </w:tr>
    </w:tbl>
    <w:p>
      <w:pPr>
        <w:pStyle w:val="Heading2"/>
      </w:pPr>
      <w:r>
        <w:t>2.3 경쟁 구도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학원·과외: 높은 상호작용과 관리 강점이 있으나 비용과 장소 제약이 큼.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인터넷 강의: 범위와 강사 선택이 넓으나 수동 시청과 오답 구간 복귀의 한계가 있음.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문제집·문제은행: 반복 연습에 강하나 공식이 생성되는 원리를 동적으로 설명하기 어려움.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AI 풀이 서비스: 즉시 해설은 빠르지만 교육과정 기반의 누적 학습·공정한 경쟁·환급 운영은 별도 설계가 필요함.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03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서비스 구성 및 차별성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학습 콘텐츠와 경쟁 시스템을 하나의 서비스 흐름으로 연결</w:t>
      </w:r>
    </w:p>
    <w:p>
      <w:pPr>
        <w:pStyle w:val="Heading2"/>
      </w:pPr>
      <w:r>
        <w:t>3.1 핵심 학습 흐름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850"/>
        <w:gridCol w:w="2200"/>
        <w:gridCol w:w="63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기능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이용자 가치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개념 시각화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공식이 만들어지는 과정을 도형·그래프·식의 변화로 제시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문제 적용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학습한 개념을 교육과정·모의고사 유형 문제에 적용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막힌 지점 진단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개념·조건 해석·적용·계산 중 실패 단계를 구분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모션그래픽 오답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틀린 문제의 조건과 풀이를 장면 단위로 재설명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유사 문제 재도전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새 문제로 실제 이해 여부를 재검증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주간 평가·랭킹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공식 모의고사와 Arena 경쟁으로 성취를 지속 측정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내부 서비스 소개 및 구현 문서 기준 [I1][I2].</w:t>
      </w:r>
    </w:p>
    <w:p>
      <w:pPr>
        <w:pStyle w:val="Heading2"/>
      </w:pPr>
      <w:r>
        <w:t>3.2 제품 차별성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차별 요소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구현 방향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시각 설명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한 화면에 하나의 핵심 변화를 배치해 공식·도형·그래프를 연결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오답 복귀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전체 강의 반복이 아니라 사용자가 막힌 장면부터 재학습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평가 분리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시험 기반 실력지표와 Arena 경쟁지표를 분리해 결과 왜곡을 방지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정책 버전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가격·페이백·랭킹 규칙을 주기 시작 시점에 고정하고 소급 변경하지 않음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감사 가능성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결제·학습권·경기·정산 이벤트를 원장으로 남겨 결과를 재현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리텐션 설계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학습권 만료·주간 평가·Division 이동·재구독을 하나의 운영 주기로 연결</w:t>
            </w:r>
          </w:p>
        </w:tc>
      </w:tr>
    </w:tbl>
    <w:p>
      <w:pPr>
        <w:pStyle w:val="Heading2"/>
      </w:pPr>
      <w:r>
        <w:t>3.3 현재 개발 상태</w:t>
      </w:r>
    </w:p>
    <w:p>
      <w:r>
        <w:rPr>
          <w:rFonts w:ascii="AppleGothic" w:hAnsi="AppleGothic" w:eastAsia="AppleGothic" w:cs="AppleGothic"/>
          <w:color w:val="20252B"/>
        </w:rPr>
        <w:t>현재 저장소에는 Node.js·Express·EJS·MongoDB 기반 학습, 평가, 회원, 커뮤니티, 랭킹, GOAT Arena 정책·원장·검증 로직이 구현되어 있다. 다만 외부 PG 실결제 연동, 상용 인프라 운영, 세무 업종 확정, 유료 사용자 데이터 확보는 출시 전 과제로 남아 있다. [I2]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900"/>
        <w:gridCol w:w="1600"/>
        <w:gridCol w:w="5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상태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판단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제품 구조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MVP 구현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시각화 학습·평가·랭킹·관리 기능의 코드 기반 보유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Arena 정책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정책·검증 구현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Sub/Main 규칙, 학습일수 원장, 서버 판정, 이상 징후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수익 검증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가정 검증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1,000명 코호트 기반 시뮬레이션, 실제 전환 데이터 없음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연동 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 승인 내부 경계는 있으나 PG 계약·실연동 필요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출시 준비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진행 필요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사업자등록, VAT·업종 검토, 약관·보안·CS 운영 확정</w:t>
            </w:r>
          </w:p>
        </w:tc>
      </w:tr>
    </w:tbl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04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수익모델과 비대칭적 수익 구조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조건부 리워드의 기대비용은 낮고, 반복 결제에 따른 공헌이익은 높은 구조</w:t>
      </w:r>
    </w:p>
    <w:p>
      <w:pPr>
        <w:pStyle w:val="Heading2"/>
      </w:pPr>
      <w:r>
        <w:t>4.1 기본 수익모델</w:t>
      </w:r>
    </w:p>
    <w:p>
      <w:r>
        <w:rPr>
          <w:rFonts w:ascii="AppleGothic" w:hAnsi="AppleGothic" w:eastAsia="AppleGothic" w:cs="AppleGothic"/>
          <w:color w:val="20252B"/>
        </w:rPr>
        <w:t>이용자는 29일 학습 패키지를 29,000원에 구매한다. Sub Division에서 사전 고지된 연속 학습·경기·점수·무결성 조건을 충족하면 결제대금의 일부 또는 전부를 페이백 받을 수 있다. Main Division은 페이백을 다시 지급하지 않고, 추가 학습일수와 상위 랭킹 경쟁을 제공해 체류와 재구독 동기를 강화한다. [I3][I4]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200"/>
        <w:gridCol w:w="2700"/>
        <w:gridCol w:w="5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수익·운영 장치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사업 효과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유입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저가 유료 패키지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참여학생 월평균 사교육비의 약 3.7%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이용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29일 학습·평가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학습 콘텐츠와 주간 공식 평가 제공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성과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Sub 페이백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조건 충족자에 한해 50%·80%·100% 환급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유지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Main 경쟁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페이백 종료 후 추가 학습일수·랭킹 경쟁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재구매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만료 후 재구독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72시간 내 복귀 혜택과 이후 재배치</w:t>
            </w:r>
          </w:p>
        </w:tc>
      </w:tr>
    </w:tbl>
    <w:p>
      <w:pPr>
        <w:pStyle w:val="Heading2"/>
      </w:pPr>
      <w:r>
        <w:t>4.2 비대칭 구조의 경제적 의미</w:t>
      </w:r>
    </w:p>
    <w:p>
      <w:r>
        <w:rPr>
          <w:rFonts w:ascii="AppleGothic" w:hAnsi="AppleGothic" w:eastAsia="AppleGothic" w:cs="AppleGothic"/>
          <w:color w:val="20252B"/>
        </w:rPr>
        <w:t>현재 내부 시뮬레이션에서 페이백 수령자는 결제자의 약 9.81%, 전체 매출 대비 지급액은 약 4.95%로 추정된다. 모든 결제자는 교육 서비스를 제공받지만 현금 환급은 별도의 높은 성취 조건을 충족한 일부에게만 발생한다. 이에 따라 사용자에게는 ‘학습 서비스 + 성취형 환급 기회’가 제공되고, 운영자에게는 환급 재원을 부담한 뒤에도 높은 평균 공헌이익이 남는다. [I4]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600"/>
        <w:gridCol w:w="2000"/>
        <w:gridCol w:w="4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1건당 금액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 1건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29,000원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고객 결제총액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예상 페이백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1,436원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매출의 4.95%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PG 변동비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1,085원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가정 수수료 3.74%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PG 고정비 배분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330원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1,000건 기준 내부 가정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직접 공헌이익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26,150원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변동 운영비 전, 결제액의 약 90.2%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운영비 5,000원 반영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21,150원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결제액의 약 72.9%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내부 손익 시뮬레이션의 30일 결제 1,000건 평균값을 1건 기준으로 환산 [I4].</w:t>
      </w:r>
    </w:p>
    <w:p>
      <w:pPr>
        <w:spacing w:before="120" w:after="200" w:line="264" w:lineRule="auto"/>
        <w:ind w:left="173" w:right="173"/>
        <w:shd w:fill="FFF7E2"/>
        <w:pBdr>
          <w:left w:val="single" w:sz="12" w:space="5" w:color="7A5A00"/>
        </w:pBdr>
      </w:pPr>
      <w:r>
        <w:rPr>
          <w:rFonts w:ascii="AppleGothic" w:hAnsi="AppleGothic" w:eastAsia="AppleGothic" w:cs="AppleGothic"/>
          <w:b/>
          <w:color w:val="7A5A00"/>
          <w:sz w:val="20"/>
        </w:rPr>
        <w:t xml:space="preserve">운영 원칙  </w:t>
      </w:r>
      <w:r>
        <w:rPr>
          <w:rFonts w:ascii="AppleGothic" w:hAnsi="AppleGothic" w:eastAsia="AppleGothic" w:cs="AppleGothic"/>
          <w:color w:val="20252B"/>
          <w:sz w:val="20"/>
        </w:rPr>
        <w:t>비대칭 수익 구조는 환급 난도를 은폐하거나 이용자 손실을 전제로 하는 구조가 아니라, 모든 결제자에게 동일한 교육 서비스를 제공한 뒤 일부 성취자에게 운영자 재원으로 환급하는 구조로 설명해야 한다. 페이백은 확정 수익이 아니며, 수령 확률·조건·검증 절차를 결제 전에 명확히 고지한다.</w:t>
      </w:r>
    </w:p>
    <w:p>
      <w:pPr>
        <w:pStyle w:val="Heading2"/>
      </w:pPr>
      <w:r>
        <w:t>4.3 손익에 가장 민감한 변수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Sub 만료자와 Main 강등자의 24시간·72시간 내 재구독률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실제 페이백 수령률 및 50%·80%·100% 구간별 지급 분포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문제 제작·검수·고객지원·서버의 결제 1건당 변동원가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신규 사용자 획득비용(CAC)과 유료 전환율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Main 경기의 학습일수 이전이 평균 체류기간에 미치는 영향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부가가치세 과·면세 및 청년창업 세액감면 적용 여부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05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Main Division 운영 규칙(요약)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사용자용 상세 룰이 아닌 공동사업자·행정 제출용 핵심 운영 원칙</w:t>
      </w:r>
    </w:p>
    <w:p>
      <w:pPr>
        <w:spacing w:before="120" w:after="200" w:line="264" w:lineRule="auto"/>
        <w:ind w:left="173" w:right="173"/>
        <w:shd w:fill="F4F6F9"/>
        <w:pBdr>
          <w:left w:val="single" w:sz="12" w:space="5" w:color="2E74B5"/>
        </w:pBdr>
      </w:pPr>
      <w:r>
        <w:rPr>
          <w:rFonts w:ascii="AppleGothic" w:hAnsi="AppleGothic" w:eastAsia="AppleGothic" w:cs="AppleGothic"/>
          <w:b/>
          <w:color w:val="2E74B5"/>
          <w:sz w:val="20"/>
        </w:rPr>
        <w:t xml:space="preserve">제도 목적  </w:t>
      </w:r>
      <w:r>
        <w:rPr>
          <w:rFonts w:ascii="AppleGothic" w:hAnsi="AppleGothic" w:eastAsia="AppleGothic" w:cs="AppleGothic"/>
          <w:color w:val="20252B"/>
          <w:sz w:val="20"/>
        </w:rPr>
        <w:t>Main Division은 Sub Division에서 페이백 및 진입 자격을 달성한 이용자가 추가 학습일수와 상위 Arena 지위를 두고 경쟁하는 상위 단계다. Main에서는 새로운 페이백을 지급하지 않는다. [I3]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공식 요약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진입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Sub 페이백·Main 진입 자격 달성 후 이동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시작 학습일수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Sub 최종 페이백 점수 - 29일 + 진입 보너스 2일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학습일수 관리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사용 가능·초대 예약·경기 잠금으로 분리하고, 매일 1일 차감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상대 선정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이용자는 목표 티어를 선택하고 서버가 적격 후보를 무작위 배정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배팅 범위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티어 차이 1·2·3단계에 최소 1·2·3일, 4단계 이상 불가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잔액 보호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양측 모두 경기 후 최소 1일을 남겨야 하며 운영자가 부족분을 임의 발행하지 않음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Arena 정산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도전자가 이기면 양측 Arena 상태를 교환하고, 방어자가 이기면 유지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Main 페이백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없음. 추가 학습일수와 랭킹 경쟁만 운영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만료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모든 학습일수와 미정산 경기가 정리되면 Sub로 강등되고 Arena 이용 잠금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재구독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72시간 내 결제 시 시험 없이 Sub 복귀, 이후에는 랭크 복귀전 진행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주간 운영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일요일 14:30 신규 경기 차단, 15:00 동결, 월요일 00:00 일괄 공개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Main Division Ranking System v1.1(2026.8.2) 요약 [I3].</w:t>
      </w:r>
    </w:p>
    <w:p>
      <w:pPr>
        <w:pStyle w:val="Heading2"/>
      </w:pPr>
      <w:r>
        <w:t>사업적 역할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Sub의 페이백 달성 이후에도 상위 성취 목표를 제공해 환급 직후 이탈을 줄인다.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학습일수가 소진되면 Sub 강등과 재구독 경로가 열려 반복 결제 주기를 만든다.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개인 상대 지정이 아닌 티어 선택·서버 무작위 배정으로 담합과 특정 상대 몰아주기를 줄인다.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정책 버전, 원장, 서버 시간, 문제·답안·증거 기록으로 정산 결과를 재현할 수 있게 한다.</w:t>
      </w:r>
    </w:p>
    <w:p>
      <w:pPr>
        <w:pStyle w:val="Heading2"/>
      </w:pPr>
      <w:r>
        <w:t>상용화 전 통제사항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500"/>
        <w:gridCol w:w="3750"/>
        <w:gridCol w:w="41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위험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내용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통제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공정성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문제 난이도·채점·상대 선정의 사후 조작 금지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정책 버전 고정·서버 권위 판정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과몰입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학습일수 경쟁이 교육 목적을 압도할 위험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일일 횟수 제한·보호자 안내·휴식 정책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부정행위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AI 대리풀이·공모·다계정·동일 파일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풀이 증거·이상 징후·운영자 검토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환급 분쟁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조건 오해·정산 지연·지급 거절 분쟁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결제 전 요약·근거 원장·이의신청 절차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재무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예상보다 높은 페이백률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별도 충당금·월별 상한 경보·정책 신규 버전</w:t>
            </w:r>
          </w:p>
        </w:tc>
      </w:tr>
    </w:tbl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06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공동사업 운영 구조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사업자등록용 공동사업과 실제 운영 책임을 일치시키는 내부 기준</w:t>
      </w:r>
    </w:p>
    <w:p>
      <w:pPr>
        <w:pStyle w:val="Heading2"/>
      </w:pPr>
      <w:r>
        <w:t>6.1 공동사업 원칙</w:t>
      </w:r>
    </w:p>
    <w:p>
      <w:r>
        <w:rPr>
          <w:rFonts w:ascii="AppleGothic" w:hAnsi="AppleGothic" w:eastAsia="AppleGothic" w:cs="AppleGothic"/>
          <w:color w:val="20252B"/>
        </w:rPr>
        <w:t>공동사업장은 하나의 사업자로 장부와 사업소득을 계산한 후, 동업계약에서 약정한 손익분배비율에 따라 각 공동사업자에게 소득을 배분한다. 사업자등록 시 공동사업자, 대표공동사업자, 손익분배비율, 지분·출자명세를 신고해야 하며, 형식상 비율과 실제 출자·업무·분배가 일치해야 한다. [S8]</w:t>
      </w:r>
    </w:p>
    <w:p>
      <w:pPr>
        <w:pStyle w:val="Heading2"/>
      </w:pPr>
      <w:r>
        <w:t>6.2 권장 역할 분장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900"/>
        <w:gridCol w:w="1800"/>
        <w:gridCol w:w="5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주체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주관 영역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주요 책임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공동사업자 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제품·교육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교육과정 설계, 콘텐츠 기준, 문제 품질, 학습정책, 사용자 리서치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공동사업자 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기술·운영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서비스 개발, 인프라, 데이터·보안, 결제·원장, 운영 자동화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경영·통제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가격·예산·채용·외주·정책 변경·분쟁·대외계약의 공동 의사결정</w:t>
            </w:r>
          </w:p>
        </w:tc>
      </w:tr>
    </w:tbl>
    <w:p>
      <w:pPr>
        <w:pStyle w:val="Heading2"/>
      </w:pPr>
      <w:r>
        <w:t>6.3 동업계약서에 별도 확정할 항목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확정 내용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출자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현금·현물·기존 개발물·향후 노동 기여의 평가 방식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지분·손익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지분비율, 손익분배비율, 추가 출자, 적자 부담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의사결정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일상 집행 한도, 중요사항 전원동의, 교착상태 해결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지식재산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기존 코드·콘텐츠 귀속, 공동사업 중 산출물, 탈퇴 후 사용권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보수·인출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사업자 인출금, 비용 정산, 이익배당 시점, 세금 유보금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계정·보안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도메인·서버·DB·PG·은행·소스 저장소의 공동 통제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탈퇴·사망·분쟁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지분 평가, 우선매수권, 고객·데이터 인계, 경업·비밀유지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청산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부채·환불·페이백 충당금 우선 변제 후 잔여재산 배분</w:t>
            </w:r>
          </w:p>
        </w:tc>
      </w:tr>
    </w:tbl>
    <w:p>
      <w:pPr>
        <w:spacing w:before="120" w:after="200" w:line="264" w:lineRule="auto"/>
        <w:ind w:left="173" w:right="173"/>
        <w:shd w:fill="FFF7E2"/>
        <w:pBdr>
          <w:left w:val="single" w:sz="12" w:space="5" w:color="7A5A00"/>
        </w:pBdr>
      </w:pPr>
      <w:r>
        <w:rPr>
          <w:rFonts w:ascii="AppleGothic" w:hAnsi="AppleGothic" w:eastAsia="AppleGothic" w:cs="AppleGothic"/>
          <w:b/>
          <w:color w:val="7A5A00"/>
          <w:sz w:val="20"/>
        </w:rPr>
        <w:t xml:space="preserve">청년 감면 유의  </w:t>
      </w:r>
      <w:r>
        <w:rPr>
          <w:rFonts w:ascii="AppleGothic" w:hAnsi="AppleGothic" w:eastAsia="AppleGothic" w:cs="AppleGothic"/>
          <w:color w:val="20252B"/>
          <w:sz w:val="20"/>
        </w:rPr>
        <w:t>공동사업에서 청년창업 대표자는 손익분배비율이 가장 큰 사업자다. 가장 큰 비율이 같은 사람이 둘 이상이면 그 모두가 청년 요건을 충족해야 한다. 따라서 50:50 구조에서 한 명만 청년이면 청년창업 감면이 배제될 수 있다. 비율은 절세만을 위해 형식적으로 정하지 않고 실제 출자·역할·분배와 일치시킨다. [S6][S8]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07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예상 매출·지출·이익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최초 유료 결제자 1,000명, 가격 29,000원, 실제 실적 전의 추정치</w:t>
      </w:r>
    </w:p>
    <w:p>
      <w:pPr>
        <w:pStyle w:val="Heading2"/>
      </w:pPr>
      <w:r>
        <w:t>7.1 산출 가정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가정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분석대상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최초 유료 결제자 1,000명 코호트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가격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 1건당 29,000원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PG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변동 수수료 3.74%, 연 고정비 330,000원 가정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페이백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매출 대비 평균 약 4.95%, 수령자 약 9.81%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변동 운영비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 1건당 5,000원(서버·문제·고객지원 통합 가정)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추가 연간 예산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마케팅·관리·보안·도구·예비비 13,000,000원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제외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공동사업자 본인 인출금·국민연금·건강보험·VAT 확정효과·소득세</w:t>
            </w:r>
          </w:p>
        </w:tc>
      </w:tr>
    </w:tbl>
    <w:p>
      <w:pPr>
        <w:pStyle w:val="Heading2"/>
      </w:pPr>
      <w:r>
        <w:t>7.2 12개월 손익 시나리오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250"/>
        <w:gridCol w:w="1300"/>
        <w:gridCol w:w="1900"/>
        <w:gridCol w:w="1900"/>
        <w:gridCol w:w="1900"/>
        <w:gridCol w:w="11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시나리오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연 결제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고객 결제총액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예상 지출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세전 사업이익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이익률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보수적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1,447건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41,956,040원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24,213,474원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17,742,566원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42.3%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기준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1,940건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56,261,450원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27,946,297원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28,315,153원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50.3%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강한 유지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3,085건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89,467,610원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36,540,451원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52,927,159원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59.2%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내부 시뮬레이션 [I4]에 결제 1건당 운영비 5,000원과 추가 연간 예산 13,000,000원을 반영. VAT·소득세 전.</w:t>
      </w:r>
    </w:p>
    <w:p>
      <w:pPr>
        <w:pStyle w:val="Heading2"/>
      </w:pPr>
      <w:r>
        <w:t>7.3 기준 시나리오 지출 세부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3000"/>
        <w:gridCol w:w="2000"/>
        <w:gridCol w:w="4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지출 항목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연간 금액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비고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페이백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2,811,869원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조건 충족 이용자 환급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PG 변동 수수료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2,104,178원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결제액의 3.74% 가정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PG 고정비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330,000원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연간 내부 가정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변동 운영비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9,700,250원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1,940건 × 약 5,000원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마케팅·초기 유입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6,000,000원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월 500,000원 운영예산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회계·세무·법률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2,400,000원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월평균 200,000원 상당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보안·개인정보·보험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1,200,000원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연간 예비비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개발 도구·콘텐츠 자산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2,400,000원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연간 운영예산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일반 예비비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1,000,000원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분쟁·환급·장애 대응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b/>
                <w:color w:val="20252B"/>
                <w:sz w:val="18"/>
              </w:rPr>
              <w:t>합계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b/>
                <w:color w:val="20252B"/>
                <w:sz w:val="18"/>
              </w:rPr>
              <w:t>27,946,297원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b/>
                <w:color w:val="20252B"/>
                <w:sz w:val="18"/>
              </w:rPr>
              <w:t>세전 사업비용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사업자 본인의 이익 인출은 공동사업 소득의 분배이며 본 표의 비용에 포함하지 않음.</w:t>
      </w:r>
    </w:p>
    <w:p>
      <w:pPr>
        <w:pStyle w:val="Heading2"/>
      </w:pPr>
      <w:r>
        <w:t>7.4 규모 민감도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700"/>
        <w:gridCol w:w="1700"/>
        <w:gridCol w:w="25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최초 결제자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예상 연 결제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예상 고객 결제총액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비고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500명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970건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28,130,725원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기준 시나리오의 50% 선형 환산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1,000명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1,940건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56,261,450원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내부 기준 시나리오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3,000명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5,820건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168,784,350원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동일 재구독률·가격 가정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5,000명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약 9,700건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281,307,250원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동일 재구독률·가격 가정</w:t>
            </w:r>
          </w:p>
        </w:tc>
      </w:tr>
    </w:tbl>
    <w:p>
      <w:pPr>
        <w:spacing w:before="120" w:after="200" w:line="264" w:lineRule="auto"/>
        <w:ind w:left="173" w:right="173"/>
        <w:shd w:fill="F4F6F9"/>
        <w:pBdr>
          <w:left w:val="single" w:sz="12" w:space="5" w:color="2E74B5"/>
        </w:pBdr>
      </w:pPr>
      <w:r>
        <w:rPr>
          <w:rFonts w:ascii="AppleGothic" w:hAnsi="AppleGothic" w:eastAsia="AppleGothic" w:cs="AppleGothic"/>
          <w:b/>
          <w:color w:val="2E74B5"/>
          <w:sz w:val="20"/>
        </w:rPr>
        <w:t xml:space="preserve">손익분기 해석  </w:t>
      </w:r>
      <w:r>
        <w:rPr>
          <w:rFonts w:ascii="AppleGothic" w:hAnsi="AppleGothic" w:eastAsia="AppleGothic" w:cs="AppleGothic"/>
          <w:color w:val="20252B"/>
          <w:sz w:val="20"/>
        </w:rPr>
        <w:t>결제 1건당 직접 공헌이익을 약 21,150원으로 볼 때, 추가 연간 예산 1,300만 원을 충당하는 단순 손익분기점은 약 615건이다. 다만 대표자 생활비, 보험료, 세금, 환불·차지백, 신규 콘텐츠 확대비가 추가되면 실제 손익분기점은 높아진다.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08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세무 및 절세 가능성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2026년 8월 현재 법령 기준의 조건부 검토 — 확정 세무의견 아님</w:t>
      </w:r>
    </w:p>
    <w:p>
      <w:pPr>
        <w:spacing w:before="120" w:after="200" w:line="264" w:lineRule="auto"/>
        <w:ind w:left="173" w:right="173"/>
        <w:shd w:fill="EAF3FA"/>
        <w:pBdr>
          <w:left w:val="single" w:sz="12" w:space="5" w:color="2E74B5"/>
        </w:pBdr>
      </w:pPr>
      <w:r>
        <w:rPr>
          <w:rFonts w:ascii="AppleGothic" w:hAnsi="AppleGothic" w:eastAsia="AppleGothic" w:cs="AppleGothic"/>
          <w:b/>
          <w:color w:val="2E74B5"/>
          <w:sz w:val="20"/>
        </w:rPr>
        <w:t xml:space="preserve">가장 중요한 결론  </w:t>
      </w:r>
      <w:r>
        <w:rPr>
          <w:rFonts w:ascii="AppleGothic" w:hAnsi="AppleGothic" w:eastAsia="AppleGothic" w:cs="AppleGothic"/>
          <w:color w:val="20252B"/>
          <w:sz w:val="20"/>
        </w:rPr>
        <w:t>세액감면은 연매출을 바꾸지 않는다. 청년창업 감면은 소득세를 줄여 세후 유보금을 늘리고, 부가가치세 과·면세는 29,000원 소비자가격 중 얼마를 회계상 매출로 인식하는지를 바꾼다.</w:t>
      </w:r>
    </w:p>
    <w:p>
      <w:pPr>
        <w:pStyle w:val="Heading2"/>
      </w:pPr>
      <w:r>
        <w:t>8.1 청년창업중소기업 세액감면</w:t>
      </w:r>
    </w:p>
    <w:p>
      <w:r>
        <w:rPr>
          <w:rFonts w:ascii="AppleGothic" w:hAnsi="AppleGothic" w:eastAsia="AppleGothic" w:cs="AppleGothic"/>
          <w:color w:val="20252B"/>
        </w:rPr>
        <w:t>2026년 1월 1일 이후 창업하는 청년창업중소기업은 최초 소득 발생연도부터 5년간 사업장 위치에 따라 소득세 감면을 받을 수 있다. 청년은 개인사업자 창업 당시 15세 이상 34세 이하이며, 병역 이행기간은 최대 6년까지 연령 계산에서 제외된다. 수도권과밀억제권역 50%, 그 밖의 수도권 75%, 수도권 밖 100%가 기본 감면율이다. [S5][S6]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3200"/>
        <w:gridCol w:w="1800"/>
        <w:gridCol w:w="43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2026년 이후 사업장 위치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청년 기본 감면율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유의사항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수도권과밀억제권역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50%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서울 등 해당 권역 여부를 주소별 확인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수도권 내 비과밀 지역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75%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수도권 인구감소지역 포함 여부 별도 확인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수도권 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100%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업종·창업 요건 충족 전제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자료: 국세청 청년 창업기업 세액감면 안내 및 조세특례제한법 제6조 [S5][S6].</w:t>
      </w:r>
    </w:p>
    <w:p>
      <w:pPr>
        <w:pStyle w:val="Heading3"/>
      </w:pPr>
      <w:r>
        <w:t>업종 적격성</w:t>
      </w:r>
    </w:p>
    <w:p>
      <w:r>
        <w:rPr>
          <w:rFonts w:ascii="AppleGothic" w:hAnsi="AppleGothic" w:eastAsia="AppleGothic" w:cs="AppleGothic"/>
          <w:color w:val="20252B"/>
        </w:rPr>
        <w:t>일반 고등수학 교육서비스는 조세특례제한법 제6조 제3항의 열거 업종에 포함되지 않는다. 교육 분야 중 명시적으로 포함되는 것은 직업기술 분야 학원 또는 직업능력개발훈련시설 등으로 제한된다. 반면 정보통신업은 열거 업종이므로 Matths의 실제 주된 사업이 소프트웨어·정보서비스인지, 교육용역인지에 따라 결론이 달라질 수 있다. 업종코드만 정보통신업으로 선택하는 것은 충분하지 않으며 계약, 화면, 매출 발생 원인, 콘텐츠 제공 방식 등 사업의 실질이 일치해야 한다. [S6]</w:t>
      </w:r>
    </w:p>
    <w:p>
      <w:pPr>
        <w:spacing w:before="120" w:after="200" w:line="264" w:lineRule="auto"/>
        <w:ind w:left="173" w:right="173"/>
        <w:shd w:fill="FFF7E2"/>
        <w:pBdr>
          <w:left w:val="single" w:sz="12" w:space="5" w:color="7A5A00"/>
        </w:pBdr>
      </w:pPr>
      <w:r>
        <w:rPr>
          <w:rFonts w:ascii="AppleGothic" w:hAnsi="AppleGothic" w:eastAsia="AppleGothic" w:cs="AppleGothic"/>
          <w:b/>
          <w:color w:val="7A5A00"/>
          <w:sz w:val="20"/>
        </w:rPr>
        <w:t xml:space="preserve">보수적 판단  </w:t>
      </w:r>
      <w:r>
        <w:rPr>
          <w:rFonts w:ascii="AppleGothic" w:hAnsi="AppleGothic" w:eastAsia="AppleGothic" w:cs="AppleGothic"/>
          <w:color w:val="20252B"/>
          <w:sz w:val="20"/>
        </w:rPr>
        <w:t>현재 사업 설명이 ‘고등학생에게 수학을 가르치는 유료 서비스’에 가깝다면 청년창업 감면 0%를 기본값으로 두고, 사업자등록 전 국세청의 소득세 공제·감면 컨설팅 또는 세무대리인 서면검토를 받아 정보통신업 해당 가능성을 확인하는 것이 안전하다. [S7]</w:t>
      </w:r>
    </w:p>
    <w:p>
      <w:pPr>
        <w:pStyle w:val="Heading2"/>
      </w:pPr>
      <w:r>
        <w:t>8.2 부가가치세 과·면세</w:t>
      </w:r>
    </w:p>
    <w:p>
      <w:r>
        <w:rPr>
          <w:rFonts w:ascii="AppleGothic" w:hAnsi="AppleGothic" w:eastAsia="AppleGothic" w:cs="AppleGothic"/>
          <w:color w:val="20252B"/>
        </w:rPr>
        <w:t>교육 목적만으로 부가가치세가 면제되지는 않는다. 면세 교육용역은 원칙적으로 주무관청의 허가·인가를 받거나 등록·신고된 학교·학원·강습소·교습소 등이 학생에게 지식·기술을 가르치는 경우다. 온라인 플랫폼이 이러한 지위를 갖추지 못하면 과세사업으로 판단될 가능성을 먼저 검토해야 한다. [S9]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2800"/>
        <w:gridCol w:w="2100"/>
        <w:gridCol w:w="2100"/>
        <w:gridCol w:w="23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기준 시나리오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회계상 매출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잠정 세전이익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비고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교육용역 면세 인정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56,261,450원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28,315,153원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매입세액 불공제 가능성 반영 전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VAT 과세·29,000원 포함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51,146,773원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23,200,476원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산출 VAT 5,114,677원 단순 분리, 매입세액공제 전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고객 결제총액 56,261,450원을 기준으로 단순 비교. 실제 납부 VAT는 매입세액·간이과세·면세 겸영 여부에 따라 달라짐.</w:t>
      </w:r>
    </w:p>
    <w:p>
      <w:pPr>
        <w:pStyle w:val="Heading2"/>
      </w:pPr>
      <w:r>
        <w:t>8.3 세액감면에 따른 세후 유보금 변화</w:t>
      </w:r>
    </w:p>
    <w:p>
      <w:r>
        <w:rPr>
          <w:rFonts w:ascii="AppleGothic" w:hAnsi="AppleGothic" w:eastAsia="AppleGothic" w:cs="AppleGothic"/>
          <w:color w:val="20252B"/>
        </w:rPr>
        <w:t>아래는 ‘VAT 과세, 기준 시나리오 잠정 세전이익 23,200,476원, 공동사업자 2인 50:50, 두 사람 모두 청년, 다른 종합소득 없음, 본인 기본공제 각 150만 원’이라는 제한된 예시다. 공동사업소득은 1인당 약 1,160만 원, 과세표준은 약 1,010만 원으로 보고 6% 세율을 적용했다. 지방소득세는 보수적으로 국세 산출세액의 약 10% 수준을 별도 유지해 표시했다. [S10][S11]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400"/>
        <w:gridCol w:w="1800"/>
        <w:gridCol w:w="1600"/>
        <w:gridCol w:w="1450"/>
        <w:gridCol w:w="1650"/>
        <w:gridCol w:w="14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국세 감면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고객 결제총액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예상 소득세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지방세 가정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세후 유보금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절세효과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감면 없음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56,261,450원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1,212,029원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121,203원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21,867,244원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-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청년 50%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56,261,450원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606,014원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121,203원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22,473,259원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+606,014원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청년 75%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56,261,450원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303,007원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121,203원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22,776,265원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+909,021원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청년 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56,261,450원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121,203원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23,079,273원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right"/>
            </w:pPr>
            <w:r>
              <w:rPr>
                <w:rFonts w:ascii="AppleGothic" w:hAnsi="AppleGothic" w:eastAsia="AppleGothic" w:cs="AppleGothic"/>
                <w:color w:val="20252B"/>
                <w:sz w:val="16"/>
              </w:rPr>
              <w:t>+1,212,029원</w:t>
            </w:r>
          </w:p>
        </w:tc>
      </w:tr>
    </w:tbl>
    <w:p>
      <w:pPr>
        <w:pStyle w:val="TableSource"/>
      </w:pPr>
      <w:r>
        <w:rPr>
          <w:rFonts w:ascii="AppleGothic" w:hAnsi="AppleGothic" w:eastAsia="AppleGothic" w:cs="AppleGothic"/>
          <w:color w:val="5B6573"/>
          <w:sz w:val="17"/>
        </w:rPr>
        <w:t>단순 예시이며 건강보험료·연금·타소득·세액공제·최저한세·농어촌특별세·지방세 감면·매입 VAT를 반영하지 않음. 실제 신고액이 아님.</w:t>
      </w:r>
    </w:p>
    <w:p>
      <w:pPr>
        <w:pStyle w:val="Heading2"/>
      </w:pPr>
      <w:r>
        <w:t>8.4 합법적 절세 실행항목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사업자등록 전 실제 주업종, 사업장 소재지, 창업 해당 여부, 공동사업 청년 대표 요건을 서면 검토한다.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사업용 계좌·카드·PG 정산계정을 분리하고 서버·콘텐츠·광고·외주·법률·회계비용의 적격증빙을 수취한다.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페이백 예정액과 환불·차지백을 월별 충당금으로 관리하고 실제 지급 증빙을 보관한다.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공동사업자 손익분배비율을 동업계약·사업자등록·장부·실제 분배에 동일하게 반영한다.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노란우산공제, 통합투자세액공제, 고용 관련 공제는 실제 가입·투자·채용 시 별도 검토한다.</w:t>
      </w:r>
    </w:p>
    <w:p>
      <w:pPr>
        <w:spacing w:after="160" w:line="280" w:lineRule="auto"/>
        <w:ind w:left="720" w:hanging="360"/>
        <w:numPr>
          <w:ilvl w:val="0"/>
          <w:numId w:val="911"/>
        </w:numPr>
      </w:pPr>
      <w:r>
        <w:rPr>
          <w:rFonts w:ascii="AppleGothic" w:hAnsi="AppleGothic" w:eastAsia="AppleGothic" w:cs="AppleGothic"/>
          <w:color w:val="20252B"/>
        </w:rPr>
        <w:t>유료화 전 부가가치세 과·면세와 소비자가격 표시 방식을 확정하고, 면세를 전제로 가격을 정하지 않는다.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09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실행계획 및 성과관리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등록·유료 베타·데이터 보정·확장의 단계별 계획</w:t>
      </w:r>
    </w:p>
    <w:p>
      <w:pPr>
        <w:pStyle w:val="Heading2"/>
      </w:pPr>
      <w:r>
        <w:t>9.1 단계별 실행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100"/>
        <w:gridCol w:w="1800"/>
        <w:gridCol w:w="1300"/>
        <w:gridCol w:w="51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목표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기간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완료 기준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등록·통제 설계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0~1개월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동업계약, 업종·VAT 검토, 사업자등록, 계좌·장부, PG·약관·개인정보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2단계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폐쇄형 베타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1~3개월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고1 공통수학 콘텐츠, 경기 공정성, 운영자 검토, CS·장애 대응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3단계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유료 파일럿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3~6개월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100~500명 대상 가격·페이백·재구독·환급 프로세스 실측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4단계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기준 코호트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6~12개월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최초 유료 1,000명 확보, 손익 모델 재보정, Main 이용 데이터 축적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5단계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과목·학년 확장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12개월 이후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고2·고3·N수생 범위, 학교·학년별 리텐션 분석, B2B 제휴 검토</w:t>
            </w:r>
          </w:p>
        </w:tc>
      </w:tr>
    </w:tbl>
    <w:p>
      <w:pPr>
        <w:pStyle w:val="Heading2"/>
      </w:pPr>
      <w:r>
        <w:t>9.2 핵심 KPI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600"/>
        <w:gridCol w:w="6300"/>
        <w:gridCol w:w="1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핵심 지표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주기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획득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방문→가입, 가입→배치, 배치→결제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주·월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학습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활성일, 개념 완료율, 오답 재도전률, 30일 연속 학습률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일·주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평가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주간 공식 모의고사 응시율, 점수 변화, 제출·증거 완결률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수익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결제건수, ARPPU, 재구독률, CAC, 공헌이익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페이백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수령률, 지급액/매출, 구간 분포, 심사 소요시간, 이의신청률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Main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진입률, 체류일, 배팅일수, 강등률, 72시간 재구독률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품질·위험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오류·장애, 환불·차지백, 부정행위 보류, 개인정보 사고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상시</w:t>
            </w:r>
          </w:p>
        </w:tc>
      </w:tr>
    </w:tbl>
    <w:p>
      <w:pPr>
        <w:pStyle w:val="Heading2"/>
      </w:pPr>
      <w:r>
        <w:t>9.3 모델 재산출 기준</w:t>
      </w:r>
    </w:p>
    <w:p>
      <w:r>
        <w:rPr>
          <w:rFonts w:ascii="AppleGothic" w:hAnsi="AppleGothic" w:eastAsia="AppleGothic" w:cs="AppleGothic"/>
          <w:color w:val="20252B"/>
        </w:rPr>
        <w:t>Sub 만료, Main 강등, 72시간 내·이후 재구독, 페이백 심사, Main 경기 결과가 각 100건 이상 축적되면 결제주기·승률·체류기간·페이백률을 다시 추정한다. 가정과 실제 값의 차이가 20%를 넘거나 지급액/매출이 사전 경보선을 넘으면 신규 정책 버전에서 가격·조건·원가를 조정한다. 이미 시작된 주기에는 소급 적용하지 않는다.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10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주요 위험 및 대응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사업·재무·규제·운영 위험을 사전에 분리 관리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400"/>
        <w:gridCol w:w="3150"/>
        <w:gridCol w:w="850"/>
        <w:gridCol w:w="39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위험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등급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대응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수요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시각화 콘텐츠의 유료 전환이 낮음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고1 단원별 무료 체험, 전환 퍼널 측정, 가격 A/B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리텐션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랭킹·페이백이 학습보다 경쟁만 자극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학습 완료를 필수 조건으로 연결, 보호자·청소년 정책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페이백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실제 지급률이 5% 가정을 상회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월별 충당금, 경보선, 신규 정책 버전, 과장광고 금지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VAT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면세 오판으로 세금·가산세 발생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등록 전 서면검토, 과세 기준 가격 확보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청년감면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업종·지분·지역 요건 미충족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감면 0%를 기본 예산으로 보고 사전 컨설팅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공동사업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역할·지분·IP·탈퇴 분쟁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상세 동업계약, 계정 공동통제, 중요사항 전원동의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개인정보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미성년자·답안·결제·증거자료 유출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최소수집, 분리보관, 접근통제, 보존기간, 사고대응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공정성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AI 대리풀이·공모·다계정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서버 판정, 증거 제출, 이상징후, 보류·이의신청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콘텐츠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오답·교육과정 불일치·저작권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출처관리, 이중검수, 자체 생성 문제, 정정 이력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인프라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시험·정산 시 장애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7"/>
              </w:rPr>
              <w:t>동결·재시도·멱등성·백업·장애 공지</w:t>
            </w:r>
          </w:p>
        </w:tc>
      </w:tr>
    </w:tbl>
    <w:p>
      <w:pPr>
        <w:pStyle w:val="Heading2"/>
      </w:pPr>
      <w:r>
        <w:t>승인 전 필수 체크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공동사업자 동업계약서 서명 및 손익분배비율·대표공동사업자 확정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세무 주업종·VAT 과면세·청년창업 감면 사전검토 완료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PG 계약과 소비자가격의 VAT 포함 여부 확정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페이백 충당금 계정, 지급 절차, 이의신청·환불 절차 확정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미성년자 개인정보·풀이 증거·결제정보의 수집·보관·파기 검토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서비스 약관·결제 전 핵심조건 요약·과장표현 금지 문구 검수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유료 베타 장애·보안·CS 담당자와 비상 연락체계 지정</w:t>
      </w:r>
    </w:p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11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종합 결론 및 공동사업자 확인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본 문서의 가정과 조건을 전제로 한 내부 사업 추진 판단</w:t>
      </w:r>
    </w:p>
    <w:p>
      <w:pPr>
        <w:pStyle w:val="Heading2"/>
      </w:pPr>
      <w:r>
        <w:t>11.1 종합 결론</w:t>
      </w:r>
    </w:p>
    <w:p>
      <w:r>
        <w:rPr>
          <w:rFonts w:ascii="AppleGothic" w:hAnsi="AppleGothic" w:eastAsia="AppleGothic" w:cs="AppleGothic"/>
          <w:color w:val="20252B"/>
        </w:rPr>
        <w:t>Matths는 고등학생 사교육 참여자의 월평균 지출 79만 3천 원 대비 약 3.7%의 가격으로 진입 가능한 시각화 수학 학습 서비스다. 내부 기준 시나리오에서는 최초 유료 결제자 1,000명으로 연간 약 1,940건의 결제와 고객 결제총액 약 5,626만 원을 예상한다. 페이백·PG·결제건당 운영비·추가 연간 예산을 반영한 세전 사업이익은 VAT 판단 전 기준 약 2,832만 원이다.</w:t>
      </w:r>
    </w:p>
    <w:p>
      <w:r>
        <w:rPr>
          <w:rFonts w:ascii="AppleGothic" w:hAnsi="AppleGothic" w:eastAsia="AppleGothic" w:cs="AppleGothic"/>
          <w:color w:val="20252B"/>
        </w:rPr>
        <w:t>다만 사업성 판단의 선결조건은 ① 실제 유료 전환·재구독 데이터, ② 페이백 지급률, ③ Main 체류효과, ④ 부가가치세 과·면세, ⑤ 청년창업 세액감면 대상 업종 인정 여부다. 따라서 공동사업은 감면 0%와 VAT 과세를 기본 재무안으로 준비하고, 유료 파일럿 데이터가 축적될 때마다 가격·비용·정책을 신규 버전으로 조정하는 방식이 타당하다.</w:t>
      </w:r>
    </w:p>
    <w:p>
      <w:pPr>
        <w:spacing w:before="120" w:after="200" w:line="264" w:lineRule="auto"/>
        <w:ind w:left="173" w:right="173"/>
        <w:shd w:fill="F4F6F9"/>
        <w:pBdr>
          <w:left w:val="single" w:sz="12" w:space="5" w:color="2E74B5"/>
        </w:pBdr>
      </w:pPr>
      <w:r>
        <w:rPr>
          <w:rFonts w:ascii="AppleGothic" w:hAnsi="AppleGothic" w:eastAsia="AppleGothic" w:cs="AppleGothic"/>
          <w:b/>
          <w:color w:val="2E74B5"/>
          <w:sz w:val="20"/>
        </w:rPr>
        <w:t xml:space="preserve">권고  </w:t>
      </w:r>
      <w:r>
        <w:rPr>
          <w:rFonts w:ascii="AppleGothic" w:hAnsi="AppleGothic" w:eastAsia="AppleGothic" w:cs="AppleGothic"/>
          <w:color w:val="20252B"/>
          <w:sz w:val="20"/>
        </w:rPr>
        <w:t>사업자등록은 추진할 수 있으나, 유료 결제 개시 전 ‘공동사업 동업계약 + 업종·VAT·청년감면 서면검토 + 페이백 충당금·분쟁절차 + PG 실연동 검증’의 네 가지 조건을 완료한다.</w:t>
      </w:r>
    </w:p>
    <w:p>
      <w:pPr>
        <w:pStyle w:val="Heading2"/>
      </w:pPr>
      <w:r>
        <w:t>11.2 공동사업자 확인</w:t>
      </w:r>
    </w:p>
    <w:p>
      <w:r>
        <w:rPr>
          <w:rFonts w:ascii="AppleGothic" w:hAnsi="AppleGothic" w:eastAsia="AppleGothic" w:cs="AppleGothic"/>
          <w:color w:val="20252B"/>
        </w:rPr>
        <w:t>아래 공동사업자는 본 문서가 실제 유료 운영 실적이 아닌 내부 가정을 포함하고 있음을 확인하며, 사업자등록 신청서와 동업계약서에서 확정한 사항이 본 문서보다 우선함에 동의한다.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700"/>
        <w:gridCol w:w="2600"/>
        <w:gridCol w:w="2600"/>
        <w:gridCol w:w="2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성명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확인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일자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공동사업자 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성명: ____________________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서명/인: ____________________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일자: 20____. ____. ____.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공동사업자 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성명: ____________________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서명/인: ____________________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일자: 20____. ____. ____.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대표공동사업자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성명: ____________________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서명/인: ____________________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일자: 20____. ____. ____.</w:t>
            </w:r>
          </w:p>
        </w:tc>
      </w:tr>
    </w:tbl>
    <w:p>
      <w:pPr>
        <w:pStyle w:val="Heading2"/>
      </w:pPr>
      <w:r>
        <w:t>11.3 문서 통제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2DA"/>
          <w:left w:val="single" w:sz="6" w:space="0" w:color="CBD2DA"/>
          <w:bottom w:val="single" w:sz="6" w:space="0" w:color="CBD2DA"/>
          <w:right w:val="single" w:sz="6" w:space="0" w:color="CBD2DA"/>
          <w:insideH w:val="single" w:sz="6" w:space="0" w:color="CBD2DA"/>
          <w:insideV w:val="single" w:sz="6" w:space="0" w:color="CBD2DA"/>
        </w:tblBorders>
      </w:tblPr>
      <w:tblGrid>
        <w:gridCol w:w="1200"/>
        <w:gridCol w:w="1600"/>
        <w:gridCol w:w="1500"/>
        <w:gridCol w:w="50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버전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기준일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  <w:jc w:val="center"/>
            </w:pPr>
            <w:r>
              <w:rPr>
                <w:rFonts w:ascii="AppleGothic" w:hAnsi="AppleGothic" w:eastAsia="AppleGothic" w:cs="AppleGothic"/>
                <w:b/>
                <w:color w:val="0B2545"/>
                <w:sz w:val="18"/>
              </w:rPr>
              <w:t>변경 내용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v1.0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2026.08.02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center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최초 작성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  <w:jc w:val="left"/>
            </w:pPr>
            <w:r>
              <w:rPr>
                <w:rFonts w:ascii="AppleGothic" w:hAnsi="AppleGothic" w:eastAsia="AppleGothic" w:cs="AppleGothic"/>
                <w:color w:val="20252B"/>
                <w:sz w:val="18"/>
              </w:rPr>
              <w:t>시장·수익·Main Division·공동사업·세무 시나리오 통합</w:t>
            </w:r>
          </w:p>
        </w:tc>
      </w:tr>
    </w:tbl>
    <w:p>
      <w:pPr>
        <w:spacing w:before="40" w:after="0" w:line="20" w:lineRule="exact"/>
      </w:pPr>
      <w:r>
        <w:rPr>
          <w:rFonts w:ascii="AppleGothic" w:hAnsi="AppleGothic" w:eastAsia="AppleGothic" w:cs="AppleGothic"/>
          <w:color w:val="FFFFFF"/>
          <w:sz w:val="2"/>
        </w:rPr>
      </w:r>
    </w:p>
    <w:p>
      <w:pPr>
        <w:pStyle w:val="Kicker"/>
      </w:pPr>
      <w:r>
        <w:rPr>
          <w:rFonts w:ascii="AppleGothic" w:hAnsi="AppleGothic" w:eastAsia="AppleGothic" w:cs="AppleGothic"/>
          <w:b/>
          <w:color w:val="2E74B5"/>
          <w:sz w:val="18"/>
        </w:rPr>
        <w:t>SECTION A</w:t>
      </w:r>
    </w:p>
    <w:p>
      <w:pPr>
        <w:pStyle w:val="Heading1"/>
      </w:pPr>
      <w:r>
        <w:rPr>
          <w:rFonts w:ascii="AppleGothic" w:hAnsi="AppleGothic" w:eastAsia="AppleGothic" w:cs="AppleGothic"/>
          <w:b/>
          <w:color w:val="2E74B5"/>
          <w:sz w:val="32"/>
        </w:rPr>
        <w:t>근거자료 및 출처</w:t>
      </w:r>
    </w:p>
    <w:p>
      <w:pPr>
        <w:pStyle w:val="SmallNote"/>
        <w:spacing w:after="200"/>
      </w:pPr>
      <w:r>
        <w:rPr>
          <w:rFonts w:ascii="AppleGothic" w:hAnsi="AppleGothic" w:eastAsia="AppleGothic" w:cs="AppleGothic"/>
          <w:color w:val="5B6573"/>
          <w:sz w:val="18"/>
        </w:rPr>
        <w:t>외부 공식자료와 내부 정책·시뮬레이션을 구분</w:t>
      </w:r>
    </w:p>
    <w:p>
      <w:pPr>
        <w:pStyle w:val="Heading2"/>
      </w:pPr>
      <w:r>
        <w:t>A.1 외부 공식자료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[S1] 국가데이터처(통계청)·교육부, 2025년 초중고사교육비조사 결과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(2026.03.12). </w:t>
      </w:r>
      <w:hyperlink r:id="rId12">
        <w:r>
          <w:rPr>
            <w:rFonts w:ascii="AppleGothic" w:hAnsi="AppleGothic" w:eastAsia="AppleGothic"/>
            <w:color w:val="2E74B5"/>
            <w:u w:val="single"/>
          </w:rPr>
          <w:t>https://sri.kostat.go.kr/boardDownload.es?bid=245&amp;list_no=443953&amp;seq=1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고등학교 참여학생 월평균 79.3만 원, 고1 80.6만 원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[S2] 교육부, 2025년 초·중·고 사교육비 조사결과 카드뉴스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(2026.05.12). </w:t>
      </w:r>
      <w:hyperlink r:id="rId13">
        <w:r>
          <w:rPr>
            <w:rFonts w:ascii="AppleGothic" w:hAnsi="AppleGothic" w:eastAsia="AppleGothic"/>
            <w:color w:val="2E74B5"/>
            <w:u w:val="single"/>
          </w:rPr>
          <w:t>https://www.moe.go.kr/boardCnts/viewRenew.do?boardID=340&amp;boardSeq=106117&amp;lev=0&amp;m=0206&amp;opType=N&amp;page=3&amp;s=moe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고등학교 사교육비 7.8조 원, 참여율 63.0%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[S3] 창업진흥원, 2025-4 예비창업패키지 사업실명제</w:t>
      </w:r>
      <w:r>
        <w:rPr>
          <w:rFonts w:ascii="AppleGothic" w:hAnsi="AppleGothic" w:eastAsia="AppleGothic" w:cs="AppleGothic"/>
          <w:color w:val="5B6573"/>
          <w:sz w:val="17"/>
        </w:rPr>
        <w:t xml:space="preserve"> (2025). </w:t>
      </w:r>
      <w:hyperlink r:id="rId14">
        <w:r>
          <w:rPr>
            <w:rFonts w:ascii="AppleGothic" w:hAnsi="AppleGothic" w:eastAsia="AppleGothic"/>
            <w:color w:val="2E74B5"/>
            <w:u w:val="single"/>
          </w:rPr>
          <w:t>https://www.kised.or.kr/board.es?act=view&amp;bid=0002&amp;list_no=4089&amp;mid=a10106000000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공식 창업지원 사업계획서 참고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[S4] 중소벤처기업부, 사업계획서 주요 작성항목</w:t>
      </w:r>
      <w:r>
        <w:rPr>
          <w:rFonts w:ascii="AppleGothic" w:hAnsi="AppleGothic" w:eastAsia="AppleGothic" w:cs="AppleGothic"/>
          <w:color w:val="5B6573"/>
          <w:sz w:val="17"/>
        </w:rPr>
        <w:t xml:space="preserve"> (2023). </w:t>
      </w:r>
      <w:hyperlink r:id="rId15">
        <w:r>
          <w:rPr>
            <w:rFonts w:ascii="AppleGothic" w:hAnsi="AppleGothic" w:eastAsia="AppleGothic"/>
            <w:color w:val="2E74B5"/>
            <w:u w:val="single"/>
          </w:rPr>
          <w:t>https://www.mss.go.kr/common/board/Download.do?bcIdx=1041279&amp;cbIdx=86&amp;streFileNm=f2f83f71-94cb-49d5-9d3d-0f2445e65c26.pdf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필요성·경쟁사·확대전략·자금운용·팀 구성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[S5] 국세청, 청년 창업기업에 대한 세액감면 적용 사전 안내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(2026). </w:t>
      </w:r>
      <w:hyperlink r:id="rId16">
        <w:r>
          <w:rPr>
            <w:rFonts w:ascii="AppleGothic" w:hAnsi="AppleGothic" w:eastAsia="AppleGothic"/>
            <w:color w:val="2E74B5"/>
            <w:u w:val="single"/>
          </w:rPr>
          <w:t>https://s.nts.go.kr/nts/cm/cntnts/cntntsView.do?cntntsId=239082&amp;mi=41127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2026년 이후 지역별 50%·75%·100%, 5년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[S6] 국가법령정보센터, 조세특례제한법 제6조 및 시행령 제5조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(2026.07.01 시행). </w:t>
      </w:r>
      <w:hyperlink r:id="rId17">
        <w:r>
          <w:rPr>
            <w:rFonts w:ascii="AppleGothic" w:hAnsi="AppleGothic" w:eastAsia="AppleGothic"/>
            <w:color w:val="2E74B5"/>
            <w:u w:val="single"/>
          </w:rPr>
          <w:t>https://www.law.go.kr/LSW/lsLinkCommonInfo.do?chrClsCd=010202&amp;lsJoLnkSeq=1032222983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감면 대상 업종·지역별 비율·청년 요건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[S7] 국세청, 소득세 공제·감면 컨설팅 제도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(2026). </w:t>
      </w:r>
      <w:hyperlink r:id="rId18">
        <w:r>
          <w:rPr>
            <w:rFonts w:ascii="AppleGothic" w:hAnsi="AppleGothic" w:eastAsia="AppleGothic"/>
            <w:color w:val="2E74B5"/>
            <w:u w:val="single"/>
          </w:rPr>
          <w:t>https://s.nts.go.kr/nts/cm/cntnts/cntntsView.do?cntntsId=239070&amp;mi=41093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개인 중소기업 공제·감면 사전검토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[S8] 국가법령정보센터, 소득세법 제43조 공동사업 소득금액 계산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(2026.07.01 시행). </w:t>
      </w:r>
      <w:hyperlink r:id="rId19">
        <w:r>
          <w:rPr>
            <w:rFonts w:ascii="AppleGothic" w:hAnsi="AppleGothic" w:eastAsia="AppleGothic"/>
            <w:color w:val="2E74B5"/>
            <w:u w:val="single"/>
          </w:rPr>
          <w:t>https://law.go.kr/lsLinkCommonInfo.do?chrClsCd=010202&amp;lsJoLnkSeq=1021859115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공동사업장 소득을 약정 손익분배비율로 배분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[S9] 국가법령정보센터, 부가가치세법 시행령 제36조 면세 교육용역 범위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(2026.04.01 시행). </w:t>
      </w:r>
      <w:hyperlink r:id="rId20">
        <w:r>
          <w:rPr>
            <w:rFonts w:ascii="AppleGothic" w:hAnsi="AppleGothic" w:eastAsia="AppleGothic"/>
            <w:color w:val="2E74B5"/>
            <w:u w:val="single"/>
          </w:rPr>
          <w:t>https://law.go.kr/LSW/lsLinkCommonInfo.do?chrClsCd=010202&amp;lspttninfSeq=112803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주무관청 허가·인가·등록·신고 시설 등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[S10] 국가법령정보센터, 소득세법 제55조 종합소득세율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(2026.07.01 시행). </w:t>
      </w:r>
      <w:hyperlink r:id="rId21">
        <w:r>
          <w:rPr>
            <w:rFonts w:ascii="AppleGothic" w:hAnsi="AppleGothic" w:eastAsia="AppleGothic"/>
            <w:color w:val="2E74B5"/>
            <w:u w:val="single"/>
          </w:rPr>
          <w:t>https://law.go.kr/lsLinkCommonInfo.do?chrClsCd=010202&amp;lsJoLnkSeq=1023583825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과세표준 1,400만 원 이하 6%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[S11] 국가법령정보센터, 소득세법 제50조 기본공제</w:t>
      </w:r>
      <w:r>
        <w:rPr>
          <w:rFonts w:ascii="AppleGothic" w:hAnsi="AppleGothic" w:eastAsia="AppleGothic" w:cs="AppleGothic"/>
          <w:color w:val="5B6573"/>
          <w:sz w:val="17"/>
        </w:rPr>
        <w:t xml:space="preserve"> (2026.07.01 시행). </w:t>
      </w:r>
      <w:hyperlink r:id="rId22">
        <w:r>
          <w:rPr>
            <w:rFonts w:ascii="AppleGothic" w:hAnsi="AppleGothic" w:eastAsia="AppleGothic"/>
            <w:color w:val="2E74B5"/>
            <w:u w:val="single"/>
          </w:rPr>
          <w:t>https://www.law.go.kr/lsLinkCommonInfo.do?lsJoLnkSeq=1032954559</w:t>
        </w:r>
      </w:hyperlink>
      <w:r>
        <w:rPr>
          <w:rFonts w:ascii="AppleGothic" w:hAnsi="AppleGothic" w:eastAsia="AppleGothic" w:cs="AppleGothic"/>
          <w:color w:val="5B6573"/>
          <w:sz w:val="17"/>
        </w:rPr>
        <w:t xml:space="preserve"> — 본인 등 1명당 연 150만 원</w:t>
      </w:r>
    </w:p>
    <w:p>
      <w:pPr>
        <w:pStyle w:val="Heading2"/>
      </w:pPr>
      <w:r>
        <w:t>A.2 내부자료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[I1] views/intro.ejs 및 views/faq.ejs</w:t>
      </w:r>
      <w:r>
        <w:rPr>
          <w:rFonts w:ascii="AppleGothic" w:hAnsi="AppleGothic" w:eastAsia="AppleGothic" w:cs="AppleGothic"/>
          <w:color w:val="5B6573"/>
          <w:sz w:val="17"/>
        </w:rPr>
        <w:t xml:space="preserve"> — 서비스 가치제안·학습 흐름·교육과정 범위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[I2] docs/logic/01_MATTHS_CURRENT_SYSTEM.md</w:t>
      </w:r>
      <w:r>
        <w:rPr>
          <w:rFonts w:ascii="AppleGothic" w:hAnsi="AppleGothic" w:eastAsia="AppleGothic" w:cs="AppleGothic"/>
          <w:color w:val="5B6573"/>
          <w:sz w:val="17"/>
        </w:rPr>
        <w:t xml:space="preserve"> — 현행 기술·학습·평가·운영 구조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[I3] docs/logic/03_SUB_DIVISION_RANKING_SYSTEM_PAYBACK.md 및 04_MAIN_DIVISION_RANKING_SYSTEM.md</w:t>
      </w:r>
      <w:r>
        <w:rPr>
          <w:rFonts w:ascii="AppleGothic" w:hAnsi="AppleGothic" w:eastAsia="AppleGothic" w:cs="AppleGothic"/>
          <w:color w:val="5B6573"/>
          <w:sz w:val="17"/>
        </w:rPr>
        <w:t xml:space="preserve"> — Sub 페이백과 Main Division 운영 규칙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[I4] docs/logic/09_GOAT_ARENA_PROFIT_LOSS_SIMULATION.md</w:t>
      </w:r>
      <w:r>
        <w:rPr>
          <w:rFonts w:ascii="AppleGothic" w:hAnsi="AppleGothic" w:eastAsia="AppleGothic" w:cs="AppleGothic"/>
          <w:color w:val="5B6573"/>
          <w:sz w:val="17"/>
        </w:rPr>
        <w:t xml:space="preserve"> — 1,000명 코호트·결제·페이백·PG·재구독 손익 추정</w:t>
      </w:r>
    </w:p>
    <w:p>
      <w:pPr>
        <w:pStyle w:val="SourceList"/>
      </w:pPr>
      <w:r>
        <w:rPr>
          <w:rFonts w:ascii="AppleGothic" w:hAnsi="AppleGothic" w:eastAsia="AppleGothic" w:cs="AppleGothic"/>
          <w:b/>
          <w:color w:val="20252B"/>
          <w:sz w:val="17"/>
        </w:rPr>
        <w:t>[I5] output/legal/Matths_서비스_적법성_검토_및_법률적_소명서_v1.0.md</w:t>
      </w:r>
      <w:r>
        <w:rPr>
          <w:rFonts w:ascii="AppleGothic" w:hAnsi="AppleGothic" w:eastAsia="AppleGothic" w:cs="AppleGothic"/>
          <w:color w:val="5B6573"/>
          <w:sz w:val="17"/>
        </w:rPr>
        <w:t xml:space="preserve"> — 교육서비스·내부 일수·페이백 구조에 관한 내부 검토</w:t>
      </w:r>
    </w:p>
    <w:p>
      <w:pPr>
        <w:pStyle w:val="Heading2"/>
      </w:pPr>
      <w:r>
        <w:t>A.3 산출 및 해석 유의사항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시장 통계는 2025년 조사 결과이며 2026년 3~5월 공표된 공식 자료를 사용했다.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재무 수치는 내부 정책 검증 모델이며 실제 매출, 사용자 행동, 세무 신고 결과가 아니다.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세무 법령은 2026년 8월 2일 현재 시행 기준으로 정리했으며 개별 사실관계에 따라 적용이 달라질 수 있다.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‘연매출’은 고객 결제총액과 회계상 공급가액을 구분했다. VAT 과세 시 29,000원에 포함된 VAT는 매출이 아니다.</w:t>
      </w:r>
    </w:p>
    <w:p>
      <w:pPr>
        <w:spacing w:after="160" w:line="280" w:lineRule="auto"/>
        <w:ind w:left="720" w:hanging="360"/>
        <w:numPr>
          <w:ilvl w:val="0"/>
          <w:numId w:val="910"/>
        </w:numPr>
      </w:pPr>
      <w:r>
        <w:rPr>
          <w:rFonts w:ascii="AppleGothic" w:hAnsi="AppleGothic" w:eastAsia="AppleGothic" w:cs="AppleGothic"/>
          <w:color w:val="20252B"/>
        </w:rPr>
        <w:t>법률·세무 확정 판단은 관할 세무서, 국세청 사전컨설팅, 세무대리인·변호사의 검토를 거친다.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 w:cs="AppleGothic"/>
        <w:color w:val="5B6573"/>
        <w:sz w:val="17"/>
      </w:rPr>
      <w:t xml:space="preserve">Matths  |  v1.0  |  </w:t>
    </w:r>
    <w:r>
      <w:rPr>
        <w:rFonts w:ascii="AppleGothic" w:hAnsi="AppleGothic" w:eastAsia="AppleGothic" w:cs="AppleGothic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80"/>
    </w:pPr>
    <w:r>
      <w:rPr>
        <w:rFonts w:ascii="AppleGothic" w:hAnsi="AppleGothic" w:eastAsia="AppleGothic" w:cs="AppleGothic"/>
        <w:b/>
        <w:color w:val="5B6573"/>
        <w:sz w:val="17"/>
      </w:rPr>
      <w:t>MATTHS  |  사업소개서</w:t>
    </w:r>
    <w:r>
      <w:rPr>
        <w:rFonts w:ascii="AppleGothic" w:hAnsi="AppleGothic" w:eastAsia="AppleGothic" w:cs="AppleGothic"/>
        <w:b/>
        <w:color w:val="9B1C1C"/>
        <w:sz w:val="17"/>
      </w:rPr>
      <w:tab/>
      <w:t>내부검토용 · 대외배포금지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9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10">
    <w:abstractNumId w:val="910"/>
  </w:num>
  <w:num w:numId="911">
    <w:abstractNumId w:val="9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ppleGothic" w:hAnsi="AppleGothic" w:eastAsia="AppleGothic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ppleGothic" w:hAnsi="AppleGothic" w:eastAsia="Apple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ppleGothic" w:hAnsi="AppleGothic" w:eastAsia="Apple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ource">
    <w:name w:val="Table Source"/>
    <w:pPr>
      <w:spacing w:before="80" w:after="80" w:line="264" w:lineRule="auto"/>
    </w:pPr>
    <w:rPr>
      <w:rFonts w:ascii="AppleGothic" w:hAnsi="AppleGothic" w:eastAsia="AppleGothic"/>
      <w:i w:val="0"/>
      <w:color w:val="5B6573"/>
      <w:sz w:val="17"/>
    </w:rPr>
  </w:style>
  <w:style w:type="paragraph" w:customStyle="1" w:styleId="SourceList">
    <w:name w:val="Source List"/>
    <w:pPr>
      <w:spacing w:before="80" w:after="80" w:line="264" w:lineRule="auto"/>
      <w:ind w:left="461" w:hanging="461"/>
    </w:pPr>
    <w:rPr>
      <w:rFonts w:ascii="AppleGothic" w:hAnsi="AppleGothic" w:eastAsia="AppleGothic"/>
      <w:i w:val="0"/>
      <w:color w:val="20252B"/>
      <w:sz w:val="17"/>
    </w:rPr>
  </w:style>
  <w:style w:type="paragraph" w:customStyle="1" w:styleId="SmallNote">
    <w:name w:val="Small Note"/>
    <w:pPr>
      <w:spacing w:before="80" w:after="80" w:line="264" w:lineRule="auto"/>
    </w:pPr>
    <w:rPr>
      <w:rFonts w:ascii="AppleGothic" w:hAnsi="AppleGothic" w:eastAsia="AppleGothic"/>
      <w:i w:val="0"/>
      <w:color w:val="5B6573"/>
      <w:sz w:val="18"/>
    </w:rPr>
  </w:style>
  <w:style w:type="paragraph" w:customStyle="1" w:styleId="Kicker">
    <w:name w:val="Kicker"/>
    <w:pPr>
      <w:spacing w:before="80" w:after="80" w:line="264" w:lineRule="auto"/>
    </w:pPr>
    <w:rPr>
      <w:rFonts w:ascii="AppleGothic" w:hAnsi="AppleGothic" w:eastAsia="AppleGothic"/>
      <w:b/>
      <w:i w:val="0"/>
      <w:caps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ri.kostat.go.kr/boardDownload.es?bid=245&amp;list_no=443953&amp;seq=1" TargetMode="External"/><Relationship Id="rId13" Type="http://schemas.openxmlformats.org/officeDocument/2006/relationships/hyperlink" Target="https://www.moe.go.kr/boardCnts/viewRenew.do?boardID=340&amp;boardSeq=106117&amp;lev=0&amp;m=0206&amp;opType=N&amp;page=3&amp;s=moe" TargetMode="External"/><Relationship Id="rId14" Type="http://schemas.openxmlformats.org/officeDocument/2006/relationships/hyperlink" Target="https://www.kised.or.kr/board.es?act=view&amp;bid=0002&amp;list_no=4089&amp;mid=a10106000000" TargetMode="External"/><Relationship Id="rId15" Type="http://schemas.openxmlformats.org/officeDocument/2006/relationships/hyperlink" Target="https://www.mss.go.kr/common/board/Download.do?bcIdx=1041279&amp;cbIdx=86&amp;streFileNm=f2f83f71-94cb-49d5-9d3d-0f2445e65c26.pdf" TargetMode="External"/><Relationship Id="rId16" Type="http://schemas.openxmlformats.org/officeDocument/2006/relationships/hyperlink" Target="https://s.nts.go.kr/nts/cm/cntnts/cntntsView.do?cntntsId=239082&amp;mi=41127" TargetMode="External"/><Relationship Id="rId17" Type="http://schemas.openxmlformats.org/officeDocument/2006/relationships/hyperlink" Target="https://www.law.go.kr/LSW/lsLinkCommonInfo.do?chrClsCd=010202&amp;lsJoLnkSeq=1032222983" TargetMode="External"/><Relationship Id="rId18" Type="http://schemas.openxmlformats.org/officeDocument/2006/relationships/hyperlink" Target="https://s.nts.go.kr/nts/cm/cntnts/cntntsView.do?cntntsId=239070&amp;mi=41093" TargetMode="External"/><Relationship Id="rId19" Type="http://schemas.openxmlformats.org/officeDocument/2006/relationships/hyperlink" Target="https://law.go.kr/lsLinkCommonInfo.do?chrClsCd=010202&amp;lsJoLnkSeq=1021859115" TargetMode="External"/><Relationship Id="rId20" Type="http://schemas.openxmlformats.org/officeDocument/2006/relationships/hyperlink" Target="https://law.go.kr/LSW/lsLinkCommonInfo.do?chrClsCd=010202&amp;lspttninfSeq=112803" TargetMode="External"/><Relationship Id="rId21" Type="http://schemas.openxmlformats.org/officeDocument/2006/relationships/hyperlink" Target="https://law.go.kr/lsLinkCommonInfo.do?chrClsCd=010202&amp;lsJoLnkSeq=1023583825" TargetMode="External"/><Relationship Id="rId22" Type="http://schemas.openxmlformats.org/officeDocument/2006/relationships/hyperlink" Target="https://www.law.go.kr/lsLinkCommonInfo.do?lsJoLnkSeq=1032954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Matths 사업소개서 및 공동사업 운영계획서</dc:title>
  <dc:subject>공동사업자 등록 및 내부 협의용</dc:subject>
  <dc:creator/>
  <cp:keywords>Matths, 사업소개서, 공동사업, 교육서비스, GOAT Arena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