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6A6C2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1.背景与痛点</w:t>
      </w:r>
    </w:p>
    <w:p w14:paraId="7D8E4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电商售后客服每天要处理大量对话，回复是否合规（如违规拒绝七日无理由退货、作出虚假承诺）会影响消费者权益和商家风险。</w:t>
      </w:r>
    </w:p>
    <w:p w14:paraId="40D52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人工质检通常靠抽检，难以覆盖全部对话，不同质检员的判定标准也可能不一致。</w:t>
      </w:r>
    </w:p>
    <w:p w14:paraId="6D999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相关规则分散在法规和店铺规则中，质检员要逐条对照，耗时且容易遗漏。</w:t>
      </w:r>
    </w:p>
    <w:p w14:paraId="3926F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本项目尝试用知识库检索规则依据，对客服对话做初检，标出"合规 / 违规 / 待人工复核"并写明依据，最终判断仍由人做出。</w:t>
      </w:r>
    </w:p>
    <w:p w14:paraId="1AF53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说明：本项目为方法验证，对话均为模拟数据，不构成法律意见。</w:t>
      </w:r>
    </w:p>
    <w:p w14:paraId="78C67576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2.目标与边界</w:t>
      </w:r>
    </w:p>
    <w:p w14:paraId="760B8A5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2.1目标</w:t>
      </w:r>
    </w:p>
    <w:p w14:paraId="334E8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①验证一种方法：用知识库检索法规条文，再由大模型对模拟的售后客服对话做初检，输出"合规 / 违规 / 待人工复核"，违规时写明类型和依据条文。</w:t>
      </w:r>
    </w:p>
    <w:p w14:paraId="325D2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②用自建测试集量三个数：违规召回率（该抓的抓到几条）、误判率（没违规的被错标几条）、人工复核占比。</w:t>
      </w:r>
    </w:p>
    <w:p w14:paraId="578FE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③对答错的对话做根因归类（规则没写清 / 资料没覆盖 / 检索没找到 / 模型理解偏差），改进一轮后重测，记录前后对比。</w:t>
      </w:r>
    </w:p>
    <w:p w14:paraId="6784C338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2.2边界（不做什么）</w:t>
      </w:r>
    </w:p>
    <w:p w14:paraId="41764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不判断法律责任，不认定是否构成欺诈或应否处罚，最终判断由人做出。</w:t>
      </w:r>
    </w:p>
    <w:p w14:paraId="448CA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不使用真实客服对话，不接入任何业务系统，数据均为模拟。</w:t>
      </w:r>
    </w:p>
    <w:p w14:paraId="31C22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只覆盖 R1 到 R5 五类问题，只依据全国性法律法规。</w:t>
      </w:r>
    </w:p>
    <w:p w14:paraId="379EB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只处理文字对话，不含图片、语音。</w:t>
      </w:r>
    </w:p>
    <w:p w14:paraId="3BE3E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不测算真实人力节省。</w:t>
      </w:r>
    </w:p>
    <w:p w14:paraId="343BA17E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3.质检规则表</w:t>
      </w:r>
    </w:p>
    <w:p w14:paraId="2FA27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每段对话判为"合规 / 违规 / 待人工复核"。判为违规时，须写明违规类型和依据条文。</w:t>
      </w:r>
    </w:p>
    <w:p w14:paraId="5A6810E3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 拒绝七日无理由退货</w:t>
      </w:r>
    </w:p>
    <w:p w14:paraId="332C4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违规：</w:t>
      </w:r>
    </w:p>
    <w:p w14:paraId="0CECC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消费者在收货七日内（自签收次日起算）申请退货，商品不属于《暂行办法》第六条所列四类，客服仍拒绝</w:t>
      </w:r>
    </w:p>
    <w:p w14:paraId="04383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以"不适用无理由退货"为由拒绝，但消费者购买时并未确认过（含默认勾选）</w:t>
      </w:r>
    </w:p>
    <w:p w14:paraId="7026B0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以"已拆封、查验"为由拒绝，但拆封只是出于查验需要，商品仍完好。</w:t>
      </w:r>
    </w:p>
    <w:p w14:paraId="39EA2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待复核：看不出商品是否属于例外情形；看不出购买时是否确认过；商品是否完好无法判断；疑似消费者滥用退货规则。</w:t>
      </w:r>
    </w:p>
    <w:p w14:paraId="7E179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依据：《暂行办法》第六至十条、第二十条、第三十一条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《消费者权益保护法》第二十五条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《实施条例》第十九条</w:t>
      </w:r>
    </w:p>
    <w:p w14:paraId="2187D377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R2 虚假承诺</w:t>
      </w:r>
    </w:p>
    <w:p w14:paraId="60BB2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违规：</w:t>
      </w:r>
    </w:p>
    <w:p w14:paraId="1CBE1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对商品质量、性能、用途等作虚假或引人误解的说法，或作出绝对化、无法保证的承诺（如"保证有效"）</w:t>
      </w:r>
    </w:p>
    <w:p w14:paraId="6C50E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虚构、夸大商品的治疗、保健、养生等功效</w:t>
      </w:r>
    </w:p>
    <w:p w14:paraId="5F349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对售后服务、责任承担作出承诺，但对话中明显不打算兑现。</w:t>
      </w:r>
    </w:p>
    <w:p w14:paraId="1B915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待复核：表述模糊，难以判断是否构成承诺。</w:t>
      </w:r>
    </w:p>
    <w:p w14:paraId="793F4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依据：《消费者权益保护法》第二十条第一款、第五十六条第一款第（六）项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《实施条例》第九条、第十二条、第十五条</w:t>
      </w:r>
    </w:p>
    <w:p w14:paraId="00617322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R3 推诿拖延</w:t>
      </w:r>
    </w:p>
    <w:p w14:paraId="6CB2F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违规：</w:t>
      </w:r>
    </w:p>
    <w:p w14:paraId="1954AB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消费者提出退货、换货、修理、退款等要求，客服故意拖延或无理拒绝</w:t>
      </w:r>
    </w:p>
    <w:p w14:paraId="4AEBB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无理由退货的商品已退回且完好，超过十五日仍未退款</w:t>
      </w:r>
    </w:p>
    <w:p w14:paraId="49E29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质量问题的退货、换货、修理，要求消费者承担运输等必要费用</w:t>
      </w:r>
    </w:p>
    <w:p w14:paraId="0ACE9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 对退货、换货、修理作出承诺（含页面公示的期限），却拒绝兑现</w:t>
      </w:r>
    </w:p>
    <w:p w14:paraId="55F60E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待复核：反复让顾客等待，但对话被截断，看不出是否故意；是否属于质量问题无法判断。</w:t>
      </w:r>
    </w:p>
    <w:p w14:paraId="7DAF5B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：《消费者权益保护法》第二十四条、第二十四条第二款、第五十六条第一款第（八）项；《网络购买商品七日无理由退货暂行办法》第十三条、第三十一条第（三）项；《实施条例》第十二条、第四十四条第一款</w:t>
      </w:r>
    </w:p>
    <w:p w14:paraId="59B06C20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R4 不当索要或泄露个人信息</w:t>
      </w:r>
    </w:p>
    <w:p w14:paraId="351B1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违规：</w:t>
      </w:r>
    </w:p>
    <w:p w14:paraId="489920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索要与售后无直接关系的个人信息（如银行卡密码、身份证号）</w:t>
      </w:r>
    </w:p>
    <w:p w14:paraId="76EC0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向他人透露、泄露消费者个人信息。</w:t>
      </w:r>
    </w:p>
    <w:p w14:paraId="47C0F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待复核：是否"必要"难判断（如物流需要手机号）。</w:t>
      </w:r>
    </w:p>
    <w:p w14:paraId="589C6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依据：《消费者权益保护法》第十四条、第二十九条、第五十条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《实施条例》第二十三条</w:t>
      </w:r>
    </w:p>
    <w:p w14:paraId="676DD3BF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R5 侵害人格尊严</w:t>
      </w:r>
    </w:p>
    <w:p w14:paraId="49E32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违规：辱骂、侮辱、威胁消费者。</w:t>
      </w:r>
    </w:p>
    <w:p w14:paraId="47C51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待复核：语气生硬或冷淡，但不确定是否构成侮辱。</w:t>
      </w:r>
    </w:p>
    <w:p w14:paraId="7F4647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依据：《消费者权益保护法》第十四条、第五十条、第五十六条第一款第（九）项</w:t>
      </w:r>
    </w:p>
    <w:p w14:paraId="58320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说明：本表仅用于方法演示，不构成法律意见，最终判断由人做出。《暂行办法》条文号为2020年修订后的编号。</w:t>
      </w:r>
    </w:p>
    <w:p w14:paraId="6479C743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4.评估方案</w:t>
      </w:r>
    </w:p>
    <w:p w14:paraId="1B2083CB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测试集</w:t>
      </w:r>
    </w:p>
    <w:p w14:paraId="002363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自建40段模拟售后客服对话，每段由本人标注标准答案（合规 / 违规 / 待人工复核，违规须标明类型）。对话文本由 Claude 协助起草，标准答案和判定由本人确定。</w:t>
      </w:r>
    </w:p>
    <w:p w14:paraId="6CC31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违规20段：R1五段，R2四段，R3四段，R4四段，R5三段。</w:t>
      </w:r>
    </w:p>
    <w:p w14:paraId="5AAAD6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• 待复核6段：R1 至 R3各两段。</w:t>
      </w:r>
    </w:p>
    <w:p w14:paraId="34FDE7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合规14段：其中约一半为"表面像违规、实际合规"的难题（如：正确拒绝购买时已确认不退的商品、为发货询问手机号、语气生硬但无侮辱、给出非绝对化的时间说明）</w:t>
      </w:r>
    </w:p>
    <w:p w14:paraId="3B68D8C6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两轮测试</w:t>
      </w:r>
    </w:p>
    <w:p w14:paraId="29318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40段分为两组：前30段用于第一、二轮评估与改进；后10段在改进完成后运行，用于验证改进是否对没见过的对话也有效，而不只是对已分析过的题有效。</w:t>
      </w:r>
    </w:p>
    <w:p w14:paraId="15C64C20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评估指标</w:t>
      </w:r>
    </w:p>
    <w:p w14:paraId="4FA8C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违规召回率 = 违规对话中，Agent 判为违规且类型正确的段数 ÷ 违规对话总段数</w:t>
      </w:r>
    </w:p>
    <w:p w14:paraId="67205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误判率 = 合规对话中，被错判为违规的段数 ÷ 合规对话总段数</w:t>
      </w:r>
    </w:p>
    <w:p w14:paraId="3783F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人工复核占比 = Agent 判为待复核的段数 ÷ 总段数</w:t>
      </w:r>
    </w:p>
    <w:p w14:paraId="17B53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另外记录：依据条文是否正确（抽查）</w:t>
      </w:r>
    </w:p>
    <w:p w14:paraId="48B38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说明：违规对话若被判为“待复核”</w:t>
      </w:r>
      <w:bookmarkStart w:id="0" w:name="_GoBack"/>
      <w:bookmarkEnd w:id="0"/>
      <w:r>
        <w:rPr>
          <w:rFonts w:hint="eastAsia"/>
          <w:lang w:val="en-US" w:eastAsia="zh-CN"/>
        </w:rPr>
        <w:t>，不计入召回，单独记录。</w:t>
      </w:r>
    </w:p>
    <w:p w14:paraId="77820F5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 错误归因</w:t>
      </w:r>
    </w:p>
    <w:p w14:paraId="6DEAE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对判错的对话，逐条归入以下一类：规则表没写清 / 法规资料没覆盖 / 检索没找到相关条文 / 模型理解偏差。针对占比最高的一类改进一轮，用后 10 段重测，记录前后对比。</w:t>
      </w:r>
    </w:p>
    <w:p w14:paraId="758EC62B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5.测试结果与迭代</w:t>
      </w:r>
    </w:p>
    <w:p w14:paraId="03964A60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 第一轮结果（前30题，原始提示词）</w:t>
      </w:r>
    </w:p>
    <w:p w14:paraId="03D21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测试日期：2026年10月；模型：豆包·2.0·pro；深度思考：开启（中）；生成多样性：精确；携带上下文轮数：0。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638"/>
      </w:tblGrid>
      <w:tr w14:paraId="5DEDE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61E64EAE">
            <w:r>
              <w:rPr>
                <w:rFonts w:hint="eastAsia"/>
                <w:lang w:val="en-US" w:eastAsia="zh-CN"/>
              </w:rPr>
              <w:t>指标</w:t>
            </w:r>
          </w:p>
        </w:tc>
        <w:tc>
          <w:tcPr>
            <w:tcW w:w="1638" w:type="dxa"/>
          </w:tcPr>
          <w:p w14:paraId="1F282F53">
            <w:r>
              <w:rPr>
                <w:rFonts w:hint="eastAsia"/>
                <w:lang w:val="en-US" w:eastAsia="zh-CN"/>
              </w:rPr>
              <w:t>数值</w:t>
            </w:r>
          </w:p>
        </w:tc>
      </w:tr>
      <w:tr w14:paraId="2BFCD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5449C64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结论类型准确率</w:t>
            </w:r>
          </w:p>
        </w:tc>
        <w:tc>
          <w:tcPr>
            <w:tcW w:w="1638" w:type="dxa"/>
          </w:tcPr>
          <w:p w14:paraId="2D43C7B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30/30=100%</w:t>
            </w:r>
          </w:p>
        </w:tc>
      </w:tr>
      <w:tr w14:paraId="348CA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1FD8C21D">
            <w:r>
              <w:rPr>
                <w:rFonts w:hint="eastAsia"/>
                <w:lang w:val="en-US" w:eastAsia="zh-CN"/>
              </w:rPr>
              <w:t>违规召回率</w:t>
            </w:r>
          </w:p>
        </w:tc>
        <w:tc>
          <w:tcPr>
            <w:tcW w:w="1638" w:type="dxa"/>
          </w:tcPr>
          <w:p w14:paraId="6529265A">
            <w:r>
              <w:rPr>
                <w:rFonts w:hint="eastAsia"/>
                <w:lang w:val="en-US" w:eastAsia="zh-CN"/>
              </w:rPr>
              <w:t>15/15=100%</w:t>
            </w:r>
          </w:p>
        </w:tc>
      </w:tr>
      <w:tr w14:paraId="15896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3D257FF4">
            <w:r>
              <w:rPr>
                <w:rFonts w:hint="eastAsia"/>
                <w:lang w:val="en-US" w:eastAsia="zh-CN"/>
              </w:rPr>
              <w:t>误判率</w:t>
            </w:r>
          </w:p>
        </w:tc>
        <w:tc>
          <w:tcPr>
            <w:tcW w:w="1638" w:type="dxa"/>
          </w:tcPr>
          <w:p w14:paraId="714F97B7">
            <w:r>
              <w:rPr>
                <w:rFonts w:hint="eastAsia"/>
                <w:lang w:val="en-US" w:eastAsia="zh-CN"/>
              </w:rPr>
              <w:t>0/10=0%</w:t>
            </w:r>
          </w:p>
        </w:tc>
      </w:tr>
      <w:tr w14:paraId="704F2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4495D170">
            <w:r>
              <w:rPr>
                <w:rFonts w:hint="eastAsia"/>
                <w:lang w:val="en-US" w:eastAsia="zh-CN"/>
              </w:rPr>
              <w:t>人工复核占比</w:t>
            </w:r>
          </w:p>
        </w:tc>
        <w:tc>
          <w:tcPr>
            <w:tcW w:w="1638" w:type="dxa"/>
          </w:tcPr>
          <w:p w14:paraId="3BB3C4E8">
            <w:r>
              <w:rPr>
                <w:rFonts w:hint="eastAsia"/>
                <w:lang w:val="en-US" w:eastAsia="zh-CN"/>
              </w:rPr>
              <w:t>5/30=17%</w:t>
            </w:r>
          </w:p>
        </w:tc>
      </w:tr>
      <w:tr w14:paraId="4D4AC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559486AF">
            <w:r>
              <w:rPr>
                <w:rFonts w:hint="eastAsia"/>
                <w:lang w:val="en-US" w:eastAsia="zh-CN"/>
              </w:rPr>
              <w:t>违规被判待复核</w:t>
            </w:r>
          </w:p>
        </w:tc>
        <w:tc>
          <w:tcPr>
            <w:tcW w:w="1638" w:type="dxa"/>
          </w:tcPr>
          <w:p w14:paraId="7A55CB31">
            <w:r>
              <w:rPr>
                <w:rFonts w:hint="eastAsia"/>
                <w:lang w:val="en-US" w:eastAsia="zh-CN"/>
              </w:rPr>
              <w:t>0题</w:t>
            </w:r>
          </w:p>
        </w:tc>
      </w:tr>
      <w:tr w14:paraId="3B93F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2C181E7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法律法规引用率</w:t>
            </w:r>
          </w:p>
        </w:tc>
        <w:tc>
          <w:tcPr>
            <w:tcW w:w="1638" w:type="dxa"/>
          </w:tcPr>
          <w:p w14:paraId="3D92C20B">
            <w:r>
              <w:rPr>
                <w:rFonts w:hint="eastAsia"/>
                <w:lang w:val="en-US" w:eastAsia="zh-CN"/>
              </w:rPr>
              <w:t>6/20=30%</w:t>
            </w:r>
          </w:p>
        </w:tc>
      </w:tr>
    </w:tbl>
    <w:p w14:paraId="32419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说明：本轮共30段，含违规15段、待复核5段、合规10段。</w:t>
      </w:r>
    </w:p>
    <w:p w14:paraId="5400488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第一轮错误归因</w:t>
      </w:r>
    </w:p>
    <w:p w14:paraId="3CE76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法律法规引用率低（30%）根因：R2、R3非退款场景、R4、R5类均未触发知识库检索，模型靠规则表判断后写“资料中没有”。模型在无检索结果时守住了“不编造条文”的原则。</w:t>
      </w:r>
    </w:p>
    <w:p w14:paraId="1A6995D1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 第一轮改进内容</w:t>
      </w:r>
    </w:p>
    <w:p w14:paraId="35792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在提示词里为每类规则加入对应条文的主动检索指引，引导模型在判定前主动检索相关条文，而不是依赖关键词匹配触发检索。</w:t>
      </w:r>
    </w:p>
    <w:p w14:paraId="7611EFCB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 第二轮结果（改进提示词后，前30题重跑）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625"/>
      </w:tblGrid>
      <w:tr w14:paraId="072FA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63121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</w:t>
            </w:r>
          </w:p>
        </w:tc>
        <w:tc>
          <w:tcPr>
            <w:tcW w:w="1625" w:type="dxa"/>
          </w:tcPr>
          <w:p w14:paraId="4D48B0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数值</w:t>
            </w:r>
          </w:p>
        </w:tc>
      </w:tr>
      <w:tr w14:paraId="5E5F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539A5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结论类型准确率</w:t>
            </w:r>
          </w:p>
        </w:tc>
        <w:tc>
          <w:tcPr>
            <w:tcW w:w="1625" w:type="dxa"/>
          </w:tcPr>
          <w:p w14:paraId="68FE1A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30/30=100%</w:t>
            </w:r>
          </w:p>
        </w:tc>
      </w:tr>
      <w:tr w14:paraId="0D93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DBC66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违规召回率</w:t>
            </w:r>
          </w:p>
        </w:tc>
        <w:tc>
          <w:tcPr>
            <w:tcW w:w="1625" w:type="dxa"/>
          </w:tcPr>
          <w:p w14:paraId="75E060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15/15=100%</w:t>
            </w:r>
          </w:p>
        </w:tc>
      </w:tr>
      <w:tr w14:paraId="43D88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B0376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误判率</w:t>
            </w:r>
          </w:p>
        </w:tc>
        <w:tc>
          <w:tcPr>
            <w:tcW w:w="1625" w:type="dxa"/>
          </w:tcPr>
          <w:p w14:paraId="0AD1A0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0/10=0%</w:t>
            </w:r>
          </w:p>
        </w:tc>
      </w:tr>
      <w:tr w14:paraId="7BFD5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39A27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人工复核占比</w:t>
            </w:r>
          </w:p>
        </w:tc>
        <w:tc>
          <w:tcPr>
            <w:tcW w:w="1625" w:type="dxa"/>
          </w:tcPr>
          <w:p w14:paraId="7DA70CD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5/30=17%</w:t>
            </w:r>
          </w:p>
        </w:tc>
      </w:tr>
      <w:tr w14:paraId="5BD9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7E1BB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违规被判待复核</w:t>
            </w:r>
          </w:p>
        </w:tc>
        <w:tc>
          <w:tcPr>
            <w:tcW w:w="1625" w:type="dxa"/>
          </w:tcPr>
          <w:p w14:paraId="1584DF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0题</w:t>
            </w:r>
          </w:p>
        </w:tc>
      </w:tr>
      <w:tr w14:paraId="282A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019A8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法律法规引用率</w:t>
            </w:r>
          </w:p>
        </w:tc>
        <w:tc>
          <w:tcPr>
            <w:tcW w:w="1625" w:type="dxa"/>
          </w:tcPr>
          <w:p w14:paraId="3333D7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20/20=100%</w:t>
            </w:r>
          </w:p>
        </w:tc>
      </w:tr>
    </w:tbl>
    <w:p w14:paraId="69129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新发现bad case： 合规题引用了违规类条文（《保护法》第二十九条“禁止泄露”）来佐证合规，逻辑上勉强成立但方向不准确。</w:t>
      </w:r>
    </w:p>
    <w:p w14:paraId="086A1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根因：检索指引让模型对涉及个人信息的对话都检索第二十九条，未区分违规和合规场景。涉及题目：合规-03、合规-04、合规-12，共3题。</w:t>
      </w:r>
    </w:p>
    <w:p w14:paraId="04724279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5.5第二轮改进内容</w:t>
      </w:r>
    </w:p>
    <w:p w14:paraId="6C3EB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补充提示词：合规的对话不需要强制给出法律依据，依据一行留空或写“无”即可。</w:t>
      </w:r>
    </w:p>
    <w:p w14:paraId="686C6514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5.6 第三轮结果（后10题）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2"/>
        <w:gridCol w:w="1650"/>
      </w:tblGrid>
      <w:tr w14:paraId="2BCE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2" w:type="dxa"/>
          </w:tcPr>
          <w:p w14:paraId="3EA96FE0">
            <w:r>
              <w:rPr>
                <w:rFonts w:hint="eastAsia"/>
                <w:lang w:val="en-US" w:eastAsia="zh-CN"/>
              </w:rPr>
              <w:t>指标</w:t>
            </w:r>
          </w:p>
        </w:tc>
        <w:tc>
          <w:tcPr>
            <w:tcW w:w="1650" w:type="dxa"/>
          </w:tcPr>
          <w:p w14:paraId="6285B365">
            <w:r>
              <w:rPr>
                <w:rFonts w:hint="eastAsia"/>
                <w:lang w:val="en-US" w:eastAsia="zh-CN"/>
              </w:rPr>
              <w:t>数值</w:t>
            </w:r>
          </w:p>
        </w:tc>
      </w:tr>
      <w:tr w14:paraId="51E17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2" w:type="dxa"/>
          </w:tcPr>
          <w:p w14:paraId="2A5718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结论类型准确率</w:t>
            </w:r>
          </w:p>
        </w:tc>
        <w:tc>
          <w:tcPr>
            <w:tcW w:w="1650" w:type="dxa"/>
          </w:tcPr>
          <w:p w14:paraId="47B51F7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10/10=100%</w:t>
            </w:r>
          </w:p>
        </w:tc>
      </w:tr>
      <w:tr w14:paraId="5F6EB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2" w:type="dxa"/>
          </w:tcPr>
          <w:p w14:paraId="27F643F4">
            <w:r>
              <w:rPr>
                <w:rFonts w:hint="eastAsia"/>
                <w:lang w:val="en-US" w:eastAsia="zh-CN"/>
              </w:rPr>
              <w:t>违规召回率</w:t>
            </w:r>
          </w:p>
        </w:tc>
        <w:tc>
          <w:tcPr>
            <w:tcW w:w="1650" w:type="dxa"/>
          </w:tcPr>
          <w:p w14:paraId="39EF4094">
            <w:r>
              <w:rPr>
                <w:rFonts w:hint="eastAsia"/>
                <w:lang w:val="en-US" w:eastAsia="zh-CN"/>
              </w:rPr>
              <w:t>5/5=100%</w:t>
            </w:r>
          </w:p>
        </w:tc>
      </w:tr>
      <w:tr w14:paraId="5A945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2" w:type="dxa"/>
          </w:tcPr>
          <w:p w14:paraId="4A4D54E6">
            <w:r>
              <w:rPr>
                <w:rFonts w:hint="eastAsia"/>
                <w:lang w:val="en-US" w:eastAsia="zh-CN"/>
              </w:rPr>
              <w:t>误判率</w:t>
            </w:r>
          </w:p>
        </w:tc>
        <w:tc>
          <w:tcPr>
            <w:tcW w:w="1650" w:type="dxa"/>
          </w:tcPr>
          <w:p w14:paraId="1AC28E7F">
            <w:r>
              <w:rPr>
                <w:rFonts w:hint="eastAsia"/>
                <w:lang w:val="en-US" w:eastAsia="zh-CN"/>
              </w:rPr>
              <w:t>0/4=0%</w:t>
            </w:r>
          </w:p>
        </w:tc>
      </w:tr>
      <w:tr w14:paraId="0B956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2" w:type="dxa"/>
          </w:tcPr>
          <w:p w14:paraId="56079786">
            <w:r>
              <w:rPr>
                <w:rFonts w:hint="eastAsia"/>
                <w:lang w:val="en-US" w:eastAsia="zh-CN"/>
              </w:rPr>
              <w:t>人工复核占比</w:t>
            </w:r>
          </w:p>
        </w:tc>
        <w:tc>
          <w:tcPr>
            <w:tcW w:w="1650" w:type="dxa"/>
          </w:tcPr>
          <w:p w14:paraId="4E528E4A">
            <w:r>
              <w:rPr>
                <w:rFonts w:hint="eastAsia"/>
                <w:lang w:val="en-US" w:eastAsia="zh-CN"/>
              </w:rPr>
              <w:t>1/10=10%</w:t>
            </w:r>
          </w:p>
        </w:tc>
      </w:tr>
      <w:tr w14:paraId="7AAB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2" w:type="dxa"/>
          </w:tcPr>
          <w:p w14:paraId="0F72288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违规被判待复核</w:t>
            </w:r>
          </w:p>
        </w:tc>
        <w:tc>
          <w:tcPr>
            <w:tcW w:w="1650" w:type="dxa"/>
          </w:tcPr>
          <w:p w14:paraId="0840418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0题</w:t>
            </w:r>
          </w:p>
        </w:tc>
      </w:tr>
      <w:tr w14:paraId="081B4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2" w:type="dxa"/>
          </w:tcPr>
          <w:p w14:paraId="5E9F11C9">
            <w:r>
              <w:rPr>
                <w:rFonts w:hint="eastAsia"/>
                <w:lang w:val="en-US" w:eastAsia="zh-CN"/>
              </w:rPr>
              <w:t>法律法规引用率</w:t>
            </w:r>
          </w:p>
        </w:tc>
        <w:tc>
          <w:tcPr>
            <w:tcW w:w="1650" w:type="dxa"/>
          </w:tcPr>
          <w:p w14:paraId="066B5575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6/6=100%</w:t>
            </w:r>
          </w:p>
        </w:tc>
      </w:tr>
    </w:tbl>
    <w:p w14:paraId="496BB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合规题依据写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无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，第二轮的bad case在本轮未再出现，改进有效。</w:t>
      </w:r>
    </w:p>
    <w:p w14:paraId="48A20B4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5.7 三轮对比汇总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67B9B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284ACDE">
            <w:r>
              <w:rPr>
                <w:rFonts w:hint="eastAsia"/>
                <w:lang w:val="en-US" w:eastAsia="zh-CN"/>
              </w:rPr>
              <w:t>指标</w:t>
            </w:r>
          </w:p>
        </w:tc>
        <w:tc>
          <w:tcPr>
            <w:tcW w:w="2130" w:type="dxa"/>
          </w:tcPr>
          <w:p w14:paraId="21567173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第一轮（前30）</w:t>
            </w:r>
          </w:p>
        </w:tc>
        <w:tc>
          <w:tcPr>
            <w:tcW w:w="2130" w:type="dxa"/>
          </w:tcPr>
          <w:p w14:paraId="65027F4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第二轮（前30）</w:t>
            </w:r>
          </w:p>
        </w:tc>
        <w:tc>
          <w:tcPr>
            <w:tcW w:w="2130" w:type="dxa"/>
          </w:tcPr>
          <w:p w14:paraId="3B6B36F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第三轮（后10）</w:t>
            </w:r>
          </w:p>
        </w:tc>
      </w:tr>
      <w:tr w14:paraId="6AA1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A31B2C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结论类型准确率</w:t>
            </w:r>
          </w:p>
        </w:tc>
        <w:tc>
          <w:tcPr>
            <w:tcW w:w="2130" w:type="dxa"/>
            <w:vAlign w:val="top"/>
          </w:tcPr>
          <w:p w14:paraId="7F8767D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30/30=100%</w:t>
            </w:r>
          </w:p>
        </w:tc>
        <w:tc>
          <w:tcPr>
            <w:tcW w:w="2130" w:type="dxa"/>
            <w:vAlign w:val="top"/>
          </w:tcPr>
          <w:p w14:paraId="0549E5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30/30=100%</w:t>
            </w:r>
          </w:p>
        </w:tc>
        <w:tc>
          <w:tcPr>
            <w:tcW w:w="2130" w:type="dxa"/>
            <w:vAlign w:val="top"/>
          </w:tcPr>
          <w:p w14:paraId="7BA57CD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10/10=100%</w:t>
            </w:r>
          </w:p>
        </w:tc>
      </w:tr>
      <w:tr w14:paraId="3F392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1DBDEC8">
            <w:r>
              <w:rPr>
                <w:rFonts w:hint="eastAsia"/>
                <w:lang w:val="en-US" w:eastAsia="zh-CN"/>
              </w:rPr>
              <w:t>违规召回率</w:t>
            </w:r>
          </w:p>
        </w:tc>
        <w:tc>
          <w:tcPr>
            <w:tcW w:w="2130" w:type="dxa"/>
            <w:vAlign w:val="top"/>
          </w:tcPr>
          <w:p w14:paraId="09D12FD9">
            <w:r>
              <w:rPr>
                <w:rFonts w:hint="eastAsia"/>
                <w:lang w:val="en-US" w:eastAsia="zh-CN"/>
              </w:rPr>
              <w:t>15/15=100%</w:t>
            </w:r>
          </w:p>
        </w:tc>
        <w:tc>
          <w:tcPr>
            <w:tcW w:w="2130" w:type="dxa"/>
            <w:vAlign w:val="top"/>
          </w:tcPr>
          <w:p w14:paraId="16207A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15/15=100%</w:t>
            </w:r>
          </w:p>
        </w:tc>
        <w:tc>
          <w:tcPr>
            <w:tcW w:w="2130" w:type="dxa"/>
            <w:vAlign w:val="top"/>
          </w:tcPr>
          <w:p w14:paraId="7716654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5/5=100%</w:t>
            </w:r>
          </w:p>
        </w:tc>
      </w:tr>
      <w:tr w14:paraId="6BDAC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3AC7E82">
            <w:r>
              <w:rPr>
                <w:rFonts w:hint="eastAsia"/>
                <w:lang w:val="en-US" w:eastAsia="zh-CN"/>
              </w:rPr>
              <w:t>误判率</w:t>
            </w:r>
          </w:p>
        </w:tc>
        <w:tc>
          <w:tcPr>
            <w:tcW w:w="2130" w:type="dxa"/>
            <w:vAlign w:val="top"/>
          </w:tcPr>
          <w:p w14:paraId="02EB2E4F">
            <w:r>
              <w:rPr>
                <w:rFonts w:hint="eastAsia"/>
                <w:lang w:val="en-US" w:eastAsia="zh-CN"/>
              </w:rPr>
              <w:t>0/10=0%</w:t>
            </w:r>
          </w:p>
        </w:tc>
        <w:tc>
          <w:tcPr>
            <w:tcW w:w="2130" w:type="dxa"/>
            <w:vAlign w:val="top"/>
          </w:tcPr>
          <w:p w14:paraId="7A08DEE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0/10=0%</w:t>
            </w:r>
          </w:p>
        </w:tc>
        <w:tc>
          <w:tcPr>
            <w:tcW w:w="2130" w:type="dxa"/>
            <w:vAlign w:val="top"/>
          </w:tcPr>
          <w:p w14:paraId="10A5576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0/4=0%</w:t>
            </w:r>
          </w:p>
        </w:tc>
      </w:tr>
      <w:tr w14:paraId="20E0E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63EF052">
            <w:r>
              <w:rPr>
                <w:rFonts w:hint="eastAsia"/>
                <w:lang w:val="en-US" w:eastAsia="zh-CN"/>
              </w:rPr>
              <w:t>人工复核占比</w:t>
            </w:r>
          </w:p>
        </w:tc>
        <w:tc>
          <w:tcPr>
            <w:tcW w:w="2130" w:type="dxa"/>
            <w:vAlign w:val="top"/>
          </w:tcPr>
          <w:p w14:paraId="15E00433">
            <w:r>
              <w:rPr>
                <w:rFonts w:hint="eastAsia"/>
                <w:lang w:val="en-US" w:eastAsia="zh-CN"/>
              </w:rPr>
              <w:t>5/30=17%</w:t>
            </w:r>
          </w:p>
        </w:tc>
        <w:tc>
          <w:tcPr>
            <w:tcW w:w="2130" w:type="dxa"/>
            <w:vAlign w:val="top"/>
          </w:tcPr>
          <w:p w14:paraId="0957E8C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5/30=17%</w:t>
            </w:r>
          </w:p>
        </w:tc>
        <w:tc>
          <w:tcPr>
            <w:tcW w:w="2130" w:type="dxa"/>
            <w:vAlign w:val="top"/>
          </w:tcPr>
          <w:p w14:paraId="33C9CB8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1/10=10%</w:t>
            </w:r>
          </w:p>
        </w:tc>
      </w:tr>
      <w:tr w14:paraId="185C8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4AACA0C">
            <w:r>
              <w:rPr>
                <w:rFonts w:hint="eastAsia"/>
                <w:lang w:val="en-US" w:eastAsia="zh-CN"/>
              </w:rPr>
              <w:t>违规被判待复核</w:t>
            </w:r>
          </w:p>
        </w:tc>
        <w:tc>
          <w:tcPr>
            <w:tcW w:w="2130" w:type="dxa"/>
            <w:vAlign w:val="top"/>
          </w:tcPr>
          <w:p w14:paraId="752290B9">
            <w:r>
              <w:rPr>
                <w:rFonts w:hint="eastAsia"/>
                <w:lang w:val="en-US" w:eastAsia="zh-CN"/>
              </w:rPr>
              <w:t>0题</w:t>
            </w:r>
          </w:p>
        </w:tc>
        <w:tc>
          <w:tcPr>
            <w:tcW w:w="2130" w:type="dxa"/>
            <w:vAlign w:val="top"/>
          </w:tcPr>
          <w:p w14:paraId="712761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0题</w:t>
            </w:r>
          </w:p>
        </w:tc>
        <w:tc>
          <w:tcPr>
            <w:tcW w:w="2130" w:type="dxa"/>
            <w:vAlign w:val="top"/>
          </w:tcPr>
          <w:p w14:paraId="17799E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0题</w:t>
            </w:r>
          </w:p>
        </w:tc>
      </w:tr>
      <w:tr w14:paraId="31E28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038FCD8">
            <w:r>
              <w:rPr>
                <w:rFonts w:hint="eastAsia"/>
                <w:lang w:val="en-US" w:eastAsia="zh-CN"/>
              </w:rPr>
              <w:t>法律法规与引用率率</w:t>
            </w:r>
          </w:p>
        </w:tc>
        <w:tc>
          <w:tcPr>
            <w:tcW w:w="2130" w:type="dxa"/>
            <w:vAlign w:val="top"/>
          </w:tcPr>
          <w:p w14:paraId="2C266808">
            <w:r>
              <w:rPr>
                <w:rFonts w:hint="eastAsia"/>
                <w:lang w:val="en-US" w:eastAsia="zh-CN"/>
              </w:rPr>
              <w:t>6/20=30%</w:t>
            </w:r>
          </w:p>
        </w:tc>
        <w:tc>
          <w:tcPr>
            <w:tcW w:w="2130" w:type="dxa"/>
            <w:vAlign w:val="top"/>
          </w:tcPr>
          <w:p w14:paraId="39060E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20/20=100%</w:t>
            </w:r>
          </w:p>
        </w:tc>
        <w:tc>
          <w:tcPr>
            <w:tcW w:w="2130" w:type="dxa"/>
            <w:vAlign w:val="top"/>
          </w:tcPr>
          <w:p w14:paraId="0045857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6/6=100%</w:t>
            </w:r>
          </w:p>
        </w:tc>
      </w:tr>
    </w:tbl>
    <w:p w14:paraId="548198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说明：有出处率第三轮分母为6，合规4题依据写“无”不计入。</w:t>
      </w:r>
    </w:p>
    <w:p w14:paraId="53BA0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提示词改进（加入条文检索指引）使</w:t>
      </w:r>
      <w:r>
        <w:rPr>
          <w:rFonts w:hint="eastAsia"/>
          <w:lang w:val="en-US" w:eastAsia="zh-CN"/>
        </w:rPr>
        <w:t>法律法规引用</w:t>
      </w:r>
      <w:r>
        <w:rPr>
          <w:rFonts w:hint="default"/>
          <w:lang w:val="en-US" w:eastAsia="zh-CN"/>
        </w:rPr>
        <w:t>率从</w:t>
      </w:r>
      <w:r>
        <w:rPr>
          <w:rFonts w:hint="eastAsia"/>
          <w:lang w:val="en-US" w:eastAsia="zh-CN"/>
        </w:rPr>
        <w:t>30</w:t>
      </w:r>
      <w:r>
        <w:rPr>
          <w:rFonts w:hint="default"/>
          <w:lang w:val="en-US" w:eastAsia="zh-CN"/>
        </w:rPr>
        <w:t>%提升至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%（前30题），后10题</w:t>
      </w:r>
      <w:r>
        <w:rPr>
          <w:rFonts w:hint="eastAsia"/>
          <w:lang w:val="en-US" w:eastAsia="zh-CN"/>
        </w:rPr>
        <w:t>亦</w:t>
      </w:r>
      <w:r>
        <w:rPr>
          <w:rFonts w:hint="default"/>
          <w:lang w:val="en-US" w:eastAsia="zh-CN"/>
        </w:rPr>
        <w:t>达到100%，同时结论和类型准确率保持稳定，误判率保持0%。</w:t>
      </w:r>
    </w:p>
    <w:p w14:paraId="26A7A7A3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6.局限</w:t>
      </w:r>
    </w:p>
    <w:p w14:paraId="08143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标准答案由非法律专业人员依据法规文本和规则表确定，可能与专业判断存在出入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对话为自编，措辞可能比真实场景更直白或更典型，评估结果可能偏乐观。</w:t>
      </w:r>
      <w:r>
        <w:rPr>
          <w:rFonts w:hint="eastAsia"/>
          <w:lang w:val="en-US" w:eastAsia="zh-CN"/>
        </w:rPr>
        <w:t>个人信息类对话缺少真实案例参照，待复核样本较少。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6D30C">
    <w:pPr>
      <w:pStyle w:val="5"/>
      <w:tabs>
        <w:tab w:val="clear" w:pos="4153"/>
      </w:tabs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5BD77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5BD77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324D73"/>
    <w:rsid w:val="0CFD290C"/>
    <w:rsid w:val="0FAC46A7"/>
    <w:rsid w:val="17154CA5"/>
    <w:rsid w:val="192E0BC5"/>
    <w:rsid w:val="1E7260C3"/>
    <w:rsid w:val="21BC1810"/>
    <w:rsid w:val="283807D7"/>
    <w:rsid w:val="2ADD6527"/>
    <w:rsid w:val="2E7404E6"/>
    <w:rsid w:val="30CC0A26"/>
    <w:rsid w:val="33EC3263"/>
    <w:rsid w:val="346D548C"/>
    <w:rsid w:val="3B2F6376"/>
    <w:rsid w:val="3B6E67CD"/>
    <w:rsid w:val="408022FE"/>
    <w:rsid w:val="49D510A2"/>
    <w:rsid w:val="4A6A1800"/>
    <w:rsid w:val="56DC3F05"/>
    <w:rsid w:val="5A1C0947"/>
    <w:rsid w:val="65662BDE"/>
    <w:rsid w:val="78422C86"/>
    <w:rsid w:val="7C41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120"/>
      <w:outlineLvl w:val="0"/>
    </w:pPr>
    <w:rPr>
      <w:rFonts w:ascii="Times New Roman" w:hAnsi="Times New Roman" w:eastAsia="宋体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00" w:after="100"/>
      <w:outlineLvl w:val="1"/>
    </w:pPr>
    <w:rPr>
      <w:rFonts w:ascii="Times New Roman" w:hAnsi="Times New Roman" w:eastAsia="宋体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="宋体"/>
      <w:b/>
      <w:bCs/>
      <w:sz w:val="24"/>
      <w:szCs w:val="24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2392</Words>
  <Characters>2531</Characters>
  <Lines>0</Lines>
  <Paragraphs>0</Paragraphs>
  <TotalTime>13</TotalTime>
  <ScaleCrop>false</ScaleCrop>
  <LinksUpToDate>false</LinksUpToDate>
  <CharactersWithSpaces>2620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2022-06-10T07:29:00Z</dcterms:created>
  <dc:creator>lenovo</dc:creator>
  <cp:lastModifiedBy>长街与风</cp:lastModifiedBy>
  <dcterms:modified xsi:type="dcterms:W3CDTF">2026-10-28T05:49:45Z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9E94322878D14F70A4AC1894E691F9B3</vt:lpwstr>
  </property>
  <property fmtid="{D5CDD505-2E9C-101B-9397-08002B2CF9AE}" pid="4" name="KSOTemplateDocerSaveRecord">
    <vt:lpwstr>eyJoZGlkIjoiYWNhMjc4M2MzYzkyNTgxYTI1Yjk4MjY0MzI1ZTYwZGIiLCJ1c2VySWQiOiIzNzA3NTQyNzgifQ==</vt:lpwstr>
  </property>
</Properties>
</file>