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b/>
          <w:color w:val="1F4E79"/>
          <w:sz w:val="32"/>
        </w:rPr>
        <w:t>AI303L: Computer Vision Lab</w:t>
      </w:r>
    </w:p>
    <w:p>
      <w:pPr>
        <w:spacing w:before="400"/>
        <w:jc w:val="center"/>
      </w:pPr>
      <w:r>
        <w:rPr>
          <w:b/>
          <w:color w:val="1F4E79"/>
          <w:sz w:val="50"/>
        </w:rPr>
        <w:t>Assignment 2 Report</w:t>
      </w:r>
    </w:p>
    <w:p>
      <w:pPr>
        <w:jc w:val="center"/>
      </w:pPr>
      <w:r>
        <w:rPr>
          <w:color w:val="5F5F5F"/>
          <w:sz w:val="26"/>
        </w:rPr>
        <w:t>Segmentation, Morphology, Chain Code, and Convex Hull</w:t>
      </w:r>
    </w:p>
    <w:p>
      <w:pPr>
        <w:spacing w:before="500"/>
        <w:jc w:val="center"/>
      </w:pPr>
      <w:r>
        <w:rPr>
          <w:b/>
          <w:sz w:val="24"/>
        </w:rPr>
        <w:t>Submitted By</w:t>
      </w:r>
    </w:p>
    <w:tbl>
      <w:tblPr>
        <w:tblStyle w:val="TableGrid"/>
        <w:tblW w:type="auto" w:w="0"/>
        <w:jc w:val="center"/>
        <w:tblLook w:firstColumn="1" w:firstRow="1" w:lastColumn="0" w:lastRow="0" w:noHBand="0" w:noVBand="1" w:val="04A0"/>
      </w:tblPr>
      <w:tblGrid>
        <w:gridCol w:w="5071"/>
        <w:gridCol w:w="5071"/>
      </w:tblGrid>
      <w:tr>
        <w:tc>
          <w:tcPr>
            <w:tcW w:type="dxa" w:w="5071"/>
            <w:vAlign w:val="center"/>
            <w:shd w:fill="F4F6F8"/>
          </w:tcPr>
          <w:p>
            <w:pPr>
              <w:spacing w:after="0"/>
              <w:jc w:val="center"/>
            </w:pPr>
            <w:r/>
            <w:r>
              <w:rPr>
                <w:rFonts w:ascii="Calibri" w:hAnsi="Calibri"/>
                <w:b/>
                <w:sz w:val="17"/>
              </w:rPr>
              <w:t>Muhammad Maaz Akram</w:t>
            </w:r>
          </w:p>
        </w:tc>
        <w:tc>
          <w:tcPr>
            <w:tcW w:type="dxa" w:w="5071"/>
            <w:vAlign w:val="center"/>
            <w:shd w:fill="F4F6F8"/>
          </w:tcPr>
          <w:p>
            <w:pPr>
              <w:spacing w:after="0"/>
              <w:jc w:val="center"/>
            </w:pPr>
            <w:r/>
            <w:r>
              <w:rPr>
                <w:rFonts w:ascii="Calibri" w:hAnsi="Calibri"/>
                <w:b/>
                <w:sz w:val="17"/>
              </w:rPr>
              <w:t>231192</w:t>
            </w:r>
          </w:p>
        </w:tc>
      </w:tr>
      <w:tr>
        <w:tc>
          <w:tcPr>
            <w:tcW w:type="dxa" w:w="5071"/>
            <w:vAlign w:val="center"/>
            <w:shd w:fill="F4F6F8"/>
          </w:tcPr>
          <w:p>
            <w:pPr>
              <w:spacing w:after="0"/>
              <w:jc w:val="center"/>
            </w:pPr>
            <w:r/>
            <w:r>
              <w:rPr>
                <w:rFonts w:ascii="Calibri" w:hAnsi="Calibri"/>
                <w:b/>
                <w:sz w:val="17"/>
              </w:rPr>
              <w:t>Muhammad Umar</w:t>
            </w:r>
          </w:p>
        </w:tc>
        <w:tc>
          <w:tcPr>
            <w:tcW w:type="dxa" w:w="5071"/>
            <w:vAlign w:val="center"/>
            <w:shd w:fill="F4F6F8"/>
          </w:tcPr>
          <w:p>
            <w:pPr>
              <w:spacing w:after="0"/>
              <w:jc w:val="center"/>
            </w:pPr>
            <w:r/>
            <w:r>
              <w:rPr>
                <w:rFonts w:ascii="Calibri" w:hAnsi="Calibri"/>
                <w:b/>
                <w:sz w:val="17"/>
              </w:rPr>
              <w:t>231200</w:t>
            </w:r>
          </w:p>
        </w:tc>
      </w:tr>
    </w:tbl>
    <w:p>
      <w:pPr>
        <w:spacing w:before="200"/>
        <w:jc w:val="center"/>
      </w:pPr>
      <w:r>
        <w:rPr>
          <w:b/>
          <w:sz w:val="22"/>
        </w:rPr>
        <w:t>BSAI-6-A</w:t>
      </w:r>
    </w:p>
    <w:p>
      <w:pPr>
        <w:spacing w:before="400"/>
        <w:jc w:val="center"/>
      </w:pPr>
      <w:r>
        <w:rPr>
          <w:b/>
          <w:sz w:val="24"/>
        </w:rPr>
        <w:t>Submitted To</w:t>
      </w:r>
    </w:p>
    <w:p>
      <w:pPr>
        <w:jc w:val="center"/>
      </w:pPr>
      <w:r>
        <w:rPr>
          <w:b/>
          <w:sz w:val="24"/>
        </w:rPr>
        <w:t>Ms. Hina Rashid</w:t>
      </w:r>
    </w:p>
    <w:p>
      <w:pPr>
        <w:spacing w:before="360"/>
        <w:jc w:val="center"/>
      </w:pPr>
      <w:r>
        <w:rPr>
          <w:color w:val="5F5F5F"/>
          <w:sz w:val="19"/>
        </w:rPr>
        <w:t>Prepared on 18 May 2026</w:t>
      </w:r>
    </w:p>
    <w:p>
      <w:r>
        <w:br w:type="page"/>
      </w:r>
    </w:p>
    <w:p>
      <w:pPr>
        <w:pStyle w:val="Heading1"/>
      </w:pPr>
      <w:r>
        <w:t>Introduction</w:t>
      </w:r>
    </w:p>
    <w:p>
      <w:pPr>
        <w:spacing w:after="120"/>
        <w:jc w:val="both"/>
      </w:pPr>
      <w:r>
        <w:t>In this assignment, we moved from image filtering to image segmentation and shape analysis. The goal was to take MRI slices, create masks, clean those masks using morphology, and then describe the boundary using chain code and convex hull.</w:t>
      </w:r>
    </w:p>
    <w:p>
      <w:pPr>
        <w:spacing w:after="120"/>
        <w:jc w:val="both"/>
      </w:pPr>
      <w:r>
        <w:t>This type of work is useful in computer vision because many tasks start by separating an object from the background. After an object is separated, its shape can be studied using boundary and geometry methods.</w:t>
      </w:r>
    </w:p>
    <w:p>
      <w:pPr>
        <w:pStyle w:val="Heading1"/>
      </w:pPr>
      <w:r>
        <w:t>Dataset Used</w:t>
      </w:r>
    </w:p>
    <w:p>
      <w:pPr>
        <w:spacing w:after="120"/>
        <w:jc w:val="both"/>
      </w:pPr>
      <w:r>
        <w:t>The main dataset selected for this work was the BraTS-PEDs dataset from The Cancer Imaging Archive. The full dataset is very large, so it was not practical to download and process the complete collection again and again during the lab work. To make the work manageable, a smaller chunk of the dataset was uploaded to Kaggle and then used inside the code through the KaggleHub API.</w:t>
      </w:r>
    </w:p>
    <w:p>
      <w:pPr>
        <w:spacing w:after="120"/>
        <w:jc w:val="both"/>
      </w:pPr>
      <w:r>
        <w:t>So, the original source of the data is TCIA BraTS-PEDs, but the actual files used by the notebook came from the Kaggle dataset named awansaad6797/cancer-dataset. This is why the code contains the KaggleHub download command. It allowed the notebook to work with a smaller and easier-to-handle part of the original dataset.</w:t>
      </w:r>
    </w:p>
    <w:tbl>
      <w:tblPr>
        <w:tblStyle w:val="TableGrid"/>
        <w:tblW w:type="auto" w:w="0"/>
        <w:jc w:val="center"/>
        <w:tblLook w:firstColumn="1" w:firstRow="1" w:lastColumn="0" w:lastRow="0" w:noHBand="0" w:noVBand="1" w:val="04A0"/>
      </w:tblPr>
      <w:tblGrid>
        <w:gridCol w:w="5071"/>
        <w:gridCol w:w="5071"/>
      </w:tblGrid>
      <w:tr>
        <w:tc>
          <w:tcPr>
            <w:tcW w:type="dxa" w:w="5071"/>
            <w:vAlign w:val="center"/>
            <w:shd w:fill="E2F0D9"/>
          </w:tcPr>
          <w:p>
            <w:pPr>
              <w:spacing w:after="0"/>
              <w:jc w:val="center"/>
            </w:pPr>
            <w:r/>
            <w:r>
              <w:rPr>
                <w:rFonts w:ascii="Calibri" w:hAnsi="Calibri"/>
                <w:b/>
                <w:color w:val="1F4E79"/>
                <w:sz w:val="17"/>
              </w:rPr>
              <w:t>Dataset Point</w:t>
            </w:r>
          </w:p>
        </w:tc>
        <w:tc>
          <w:tcPr>
            <w:tcW w:type="dxa" w:w="5071"/>
            <w:vAlign w:val="center"/>
            <w:shd w:fill="E2F0D9"/>
          </w:tcPr>
          <w:p>
            <w:pPr>
              <w:spacing w:after="0"/>
              <w:jc w:val="center"/>
            </w:pPr>
            <w:r/>
            <w:r>
              <w:rPr>
                <w:rFonts w:ascii="Calibri" w:hAnsi="Calibri"/>
                <w:b/>
                <w:color w:val="1F4E79"/>
                <w:sz w:val="17"/>
              </w:rPr>
              <w:t>Explanation</w:t>
            </w:r>
          </w:p>
        </w:tc>
      </w:tr>
      <w:tr>
        <w:tc>
          <w:tcPr>
            <w:tcW w:type="dxa" w:w="5071"/>
            <w:vAlign w:val="center"/>
          </w:tcPr>
          <w:p>
            <w:pPr>
              <w:spacing w:after="0"/>
              <w:jc w:val="center"/>
            </w:pPr>
            <w:r/>
            <w:r>
              <w:rPr>
                <w:rFonts w:ascii="Calibri" w:hAnsi="Calibri"/>
                <w:b w:val="0"/>
                <w:sz w:val="17"/>
              </w:rPr>
              <w:t>Original dataset</w:t>
            </w:r>
          </w:p>
        </w:tc>
        <w:tc>
          <w:tcPr>
            <w:tcW w:type="dxa" w:w="5071"/>
            <w:vAlign w:val="center"/>
          </w:tcPr>
          <w:p>
            <w:pPr>
              <w:spacing w:after="0"/>
              <w:jc w:val="left"/>
            </w:pPr>
            <w:r/>
            <w:r>
              <w:rPr>
                <w:rFonts w:ascii="Calibri" w:hAnsi="Calibri"/>
                <w:b w:val="0"/>
                <w:sz w:val="17"/>
              </w:rPr>
              <w:t>BraTS-PEDs from The Cancer Imaging Archive</w:t>
            </w:r>
          </w:p>
        </w:tc>
      </w:tr>
      <w:tr>
        <w:tc>
          <w:tcPr>
            <w:tcW w:type="dxa" w:w="5071"/>
            <w:vAlign w:val="center"/>
          </w:tcPr>
          <w:p>
            <w:pPr>
              <w:spacing w:after="0"/>
              <w:jc w:val="center"/>
            </w:pPr>
            <w:r/>
            <w:r>
              <w:rPr>
                <w:rFonts w:ascii="Calibri" w:hAnsi="Calibri"/>
                <w:b w:val="0"/>
                <w:sz w:val="17"/>
              </w:rPr>
              <w:t>Original dataset link</w:t>
            </w:r>
          </w:p>
        </w:tc>
        <w:tc>
          <w:tcPr>
            <w:tcW w:type="dxa" w:w="5071"/>
            <w:vAlign w:val="center"/>
          </w:tcPr>
          <w:p>
            <w:pPr>
              <w:spacing w:after="0"/>
              <w:jc w:val="left"/>
            </w:pPr>
            <w:r/>
            <w:r>
              <w:rPr>
                <w:rFonts w:ascii="Calibri" w:hAnsi="Calibri"/>
                <w:b w:val="0"/>
                <w:sz w:val="17"/>
              </w:rPr>
              <w:t>https://www.cancerimagingarchive.net/collection/brats-peds/</w:t>
            </w:r>
          </w:p>
        </w:tc>
      </w:tr>
      <w:tr>
        <w:tc>
          <w:tcPr>
            <w:tcW w:type="dxa" w:w="5071"/>
            <w:vAlign w:val="center"/>
          </w:tcPr>
          <w:p>
            <w:pPr>
              <w:spacing w:after="0"/>
              <w:jc w:val="center"/>
            </w:pPr>
            <w:r/>
            <w:r>
              <w:rPr>
                <w:rFonts w:ascii="Calibri" w:hAnsi="Calibri"/>
                <w:b w:val="0"/>
                <w:sz w:val="17"/>
              </w:rPr>
              <w:t>Dataset DOI</w:t>
            </w:r>
          </w:p>
        </w:tc>
        <w:tc>
          <w:tcPr>
            <w:tcW w:type="dxa" w:w="5071"/>
            <w:vAlign w:val="center"/>
          </w:tcPr>
          <w:p>
            <w:pPr>
              <w:spacing w:after="0"/>
              <w:jc w:val="left"/>
            </w:pPr>
            <w:r/>
            <w:r>
              <w:rPr>
                <w:rFonts w:ascii="Calibri" w:hAnsi="Calibri"/>
                <w:b w:val="0"/>
                <w:sz w:val="17"/>
              </w:rPr>
              <w:t>10.7937/dx5c-tj86</w:t>
            </w:r>
          </w:p>
        </w:tc>
      </w:tr>
      <w:tr>
        <w:tc>
          <w:tcPr>
            <w:tcW w:type="dxa" w:w="5071"/>
            <w:vAlign w:val="center"/>
          </w:tcPr>
          <w:p>
            <w:pPr>
              <w:spacing w:after="0"/>
              <w:jc w:val="center"/>
            </w:pPr>
            <w:r/>
            <w:r>
              <w:rPr>
                <w:rFonts w:ascii="Calibri" w:hAnsi="Calibri"/>
                <w:b w:val="0"/>
                <w:sz w:val="17"/>
              </w:rPr>
              <w:t>Full dataset size</w:t>
            </w:r>
          </w:p>
        </w:tc>
        <w:tc>
          <w:tcPr>
            <w:tcW w:type="dxa" w:w="5071"/>
            <w:vAlign w:val="center"/>
          </w:tcPr>
          <w:p>
            <w:pPr>
              <w:spacing w:after="0"/>
              <w:jc w:val="left"/>
            </w:pPr>
            <w:r/>
            <w:r>
              <w:rPr>
                <w:rFonts w:ascii="Calibri" w:hAnsi="Calibri"/>
                <w:b w:val="0"/>
                <w:sz w:val="17"/>
              </w:rPr>
              <w:t>About 457 subjects and around 32.7 GB of image data</w:t>
            </w:r>
          </w:p>
        </w:tc>
      </w:tr>
      <w:tr>
        <w:tc>
          <w:tcPr>
            <w:tcW w:type="dxa" w:w="5071"/>
            <w:vAlign w:val="center"/>
          </w:tcPr>
          <w:p>
            <w:pPr>
              <w:spacing w:after="0"/>
              <w:jc w:val="center"/>
            </w:pPr>
            <w:r/>
            <w:r>
              <w:rPr>
                <w:rFonts w:ascii="Calibri" w:hAnsi="Calibri"/>
                <w:b w:val="0"/>
                <w:sz w:val="17"/>
              </w:rPr>
              <w:t>Dataset used in code</w:t>
            </w:r>
          </w:p>
        </w:tc>
        <w:tc>
          <w:tcPr>
            <w:tcW w:type="dxa" w:w="5071"/>
            <w:vAlign w:val="center"/>
          </w:tcPr>
          <w:p>
            <w:pPr>
              <w:spacing w:after="0"/>
              <w:jc w:val="left"/>
            </w:pPr>
            <w:r/>
            <w:r>
              <w:rPr>
                <w:rFonts w:ascii="Calibri" w:hAnsi="Calibri"/>
                <w:b w:val="0"/>
                <w:sz w:val="17"/>
              </w:rPr>
              <w:t>Kaggle chunk accessed with KaggleHub</w:t>
            </w:r>
          </w:p>
        </w:tc>
      </w:tr>
      <w:tr>
        <w:tc>
          <w:tcPr>
            <w:tcW w:type="dxa" w:w="5071"/>
            <w:vAlign w:val="center"/>
          </w:tcPr>
          <w:p>
            <w:pPr>
              <w:spacing w:after="0"/>
              <w:jc w:val="center"/>
            </w:pPr>
            <w:r/>
            <w:r>
              <w:rPr>
                <w:rFonts w:ascii="Calibri" w:hAnsi="Calibri"/>
                <w:b w:val="0"/>
                <w:sz w:val="17"/>
              </w:rPr>
              <w:t>Kaggle dataset name</w:t>
            </w:r>
          </w:p>
        </w:tc>
        <w:tc>
          <w:tcPr>
            <w:tcW w:type="dxa" w:w="5071"/>
            <w:vAlign w:val="center"/>
          </w:tcPr>
          <w:p>
            <w:pPr>
              <w:spacing w:after="0"/>
              <w:jc w:val="left"/>
            </w:pPr>
            <w:r/>
            <w:r>
              <w:rPr>
                <w:rFonts w:ascii="Calibri" w:hAnsi="Calibri"/>
                <w:b w:val="0"/>
                <w:sz w:val="17"/>
              </w:rPr>
              <w:t>awansaad6797/cancer-dataset</w:t>
            </w:r>
          </w:p>
        </w:tc>
      </w:tr>
      <w:tr>
        <w:tc>
          <w:tcPr>
            <w:tcW w:type="dxa" w:w="5071"/>
            <w:vAlign w:val="center"/>
          </w:tcPr>
          <w:p>
            <w:pPr>
              <w:spacing w:after="0"/>
              <w:jc w:val="center"/>
            </w:pPr>
            <w:r/>
            <w:r>
              <w:rPr>
                <w:rFonts w:ascii="Calibri" w:hAnsi="Calibri"/>
                <w:b w:val="0"/>
                <w:sz w:val="17"/>
              </w:rPr>
              <w:t>Reason for Kaggle use</w:t>
            </w:r>
          </w:p>
        </w:tc>
        <w:tc>
          <w:tcPr>
            <w:tcW w:type="dxa" w:w="5071"/>
            <w:vAlign w:val="center"/>
          </w:tcPr>
          <w:p>
            <w:pPr>
              <w:spacing w:after="0"/>
              <w:jc w:val="left"/>
            </w:pPr>
            <w:r/>
            <w:r>
              <w:rPr>
                <w:rFonts w:ascii="Calibri" w:hAnsi="Calibri"/>
                <w:b w:val="0"/>
                <w:sz w:val="17"/>
              </w:rPr>
              <w:t>The full dataset was large, so a smaller uploaded chunk was used for the assignment.</w:t>
            </w:r>
          </w:p>
        </w:tc>
      </w:tr>
    </w:tbl>
    <w:p/>
    <w:p>
      <w:pPr>
        <w:pStyle w:val="Heading1"/>
      </w:pPr>
      <w:r>
        <w:t>Objectives</w:t>
      </w:r>
    </w:p>
    <w:p>
      <w:pPr>
        <w:pStyle w:val="ListBullet"/>
        <w:spacing w:after="40"/>
      </w:pPr>
      <w:r>
        <w:t>Create edge maps using Canny and Sobel methods.</w:t>
      </w:r>
    </w:p>
    <w:p>
      <w:pPr>
        <w:pStyle w:val="ListBullet"/>
        <w:spacing w:after="40"/>
      </w:pPr>
      <w:r>
        <w:t>Generate binary masks from the edge results.</w:t>
      </w:r>
    </w:p>
    <w:p>
      <w:pPr>
        <w:pStyle w:val="ListBullet"/>
        <w:spacing w:after="40"/>
      </w:pPr>
      <w:r>
        <w:t>Apply erosion, dilation, opening, and closing.</w:t>
      </w:r>
    </w:p>
    <w:p>
      <w:pPr>
        <w:pStyle w:val="ListBullet"/>
        <w:spacing w:after="40"/>
      </w:pPr>
      <w:r>
        <w:t>Trace the object boundary using Freeman chain code.</w:t>
      </w:r>
    </w:p>
    <w:p>
      <w:pPr>
        <w:pStyle w:val="ListBullet"/>
        <w:spacing w:after="40"/>
      </w:pPr>
      <w:r>
        <w:t>Calculate first difference and shape number.</w:t>
      </w:r>
    </w:p>
    <w:p>
      <w:pPr>
        <w:pStyle w:val="ListBullet"/>
        <w:spacing w:after="40"/>
      </w:pPr>
      <w:r>
        <w:t>Find and display the convex hull using Graham Scan.</w:t>
      </w:r>
    </w:p>
    <w:p>
      <w:pPr>
        <w:pStyle w:val="Heading1"/>
      </w:pPr>
      <w:r>
        <w:t>Methods</w:t>
      </w:r>
    </w:p>
    <w:p>
      <w:pPr>
        <w:spacing w:after="120"/>
        <w:jc w:val="both"/>
      </w:pPr>
      <w:r>
        <w:t>The notebook loaded MRI volumes from the Kaggle dataset chunk and selected center slices. Each slice was normalized between 0 and 1. Then Canny and Sobel edge detection were applied. The edge results were closed using a disk-shaped structure, and the largest connected component was selected as the mask.</w:t>
      </w:r>
    </w:p>
    <w:p>
      <w:pPr>
        <w:spacing w:after="120"/>
        <w:jc w:val="both"/>
      </w:pPr>
      <w:r>
        <w:t>The Canny mask was used as the main mask for the next steps. Morphological operations were then applied to show how the mask changes. Closing was used as the cleaned mask for chain code and convex hull because it helps fill small gaps in the boundary.</w:t>
      </w:r>
    </w:p>
    <w:tbl>
      <w:tblPr>
        <w:tblStyle w:val="TableGrid"/>
        <w:tblW w:type="auto" w:w="0"/>
        <w:jc w:val="center"/>
        <w:tblLook w:firstColumn="1" w:firstRow="1" w:lastColumn="0" w:lastRow="0" w:noHBand="0" w:noVBand="1" w:val="04A0"/>
      </w:tblPr>
      <w:tblGrid>
        <w:gridCol w:w="5071"/>
        <w:gridCol w:w="5071"/>
      </w:tblGrid>
      <w:tr>
        <w:tc>
          <w:tcPr>
            <w:tcW w:type="dxa" w:w="5071"/>
            <w:vAlign w:val="center"/>
            <w:shd w:fill="E2F0D9"/>
          </w:tcPr>
          <w:p>
            <w:pPr>
              <w:spacing w:after="0"/>
              <w:jc w:val="center"/>
            </w:pPr>
            <w:r/>
            <w:r>
              <w:rPr>
                <w:rFonts w:ascii="Calibri" w:hAnsi="Calibri"/>
                <w:b/>
                <w:color w:val="1F4E79"/>
                <w:sz w:val="17"/>
              </w:rPr>
              <w:t>Step</w:t>
            </w:r>
          </w:p>
        </w:tc>
        <w:tc>
          <w:tcPr>
            <w:tcW w:type="dxa" w:w="5071"/>
            <w:vAlign w:val="center"/>
            <w:shd w:fill="E2F0D9"/>
          </w:tcPr>
          <w:p>
            <w:pPr>
              <w:spacing w:after="0"/>
              <w:jc w:val="center"/>
            </w:pPr>
            <w:r/>
            <w:r>
              <w:rPr>
                <w:rFonts w:ascii="Calibri" w:hAnsi="Calibri"/>
                <w:b/>
                <w:color w:val="1F4E79"/>
                <w:sz w:val="17"/>
              </w:rPr>
              <w:t>Simple Explanation</w:t>
            </w:r>
          </w:p>
        </w:tc>
      </w:tr>
      <w:tr>
        <w:tc>
          <w:tcPr>
            <w:tcW w:type="dxa" w:w="5071"/>
            <w:vAlign w:val="center"/>
          </w:tcPr>
          <w:p>
            <w:pPr>
              <w:spacing w:after="0"/>
              <w:jc w:val="center"/>
            </w:pPr>
            <w:r/>
            <w:r>
              <w:rPr>
                <w:rFonts w:ascii="Calibri" w:hAnsi="Calibri"/>
                <w:b w:val="0"/>
                <w:sz w:val="17"/>
              </w:rPr>
              <w:t>Canny</w:t>
            </w:r>
          </w:p>
        </w:tc>
        <w:tc>
          <w:tcPr>
            <w:tcW w:type="dxa" w:w="5071"/>
            <w:vAlign w:val="center"/>
          </w:tcPr>
          <w:p>
            <w:pPr>
              <w:spacing w:after="0"/>
              <w:jc w:val="left"/>
            </w:pPr>
            <w:r/>
            <w:r>
              <w:rPr>
                <w:rFonts w:ascii="Calibri" w:hAnsi="Calibri"/>
                <w:b w:val="0"/>
                <w:sz w:val="17"/>
              </w:rPr>
              <w:t>Finds strong edges in the image.</w:t>
            </w:r>
          </w:p>
        </w:tc>
      </w:tr>
      <w:tr>
        <w:tc>
          <w:tcPr>
            <w:tcW w:type="dxa" w:w="5071"/>
            <w:vAlign w:val="center"/>
          </w:tcPr>
          <w:p>
            <w:pPr>
              <w:spacing w:after="0"/>
              <w:jc w:val="center"/>
            </w:pPr>
            <w:r/>
            <w:r>
              <w:rPr>
                <w:rFonts w:ascii="Calibri" w:hAnsi="Calibri"/>
                <w:b w:val="0"/>
                <w:sz w:val="17"/>
              </w:rPr>
              <w:t>Sobel</w:t>
            </w:r>
          </w:p>
        </w:tc>
        <w:tc>
          <w:tcPr>
            <w:tcW w:type="dxa" w:w="5071"/>
            <w:vAlign w:val="center"/>
          </w:tcPr>
          <w:p>
            <w:pPr>
              <w:spacing w:after="0"/>
              <w:jc w:val="left"/>
            </w:pPr>
            <w:r/>
            <w:r>
              <w:rPr>
                <w:rFonts w:ascii="Calibri" w:hAnsi="Calibri"/>
                <w:b w:val="0"/>
                <w:sz w:val="17"/>
              </w:rPr>
              <w:t>Finds edges by measuring image gradient.</w:t>
            </w:r>
          </w:p>
        </w:tc>
      </w:tr>
      <w:tr>
        <w:tc>
          <w:tcPr>
            <w:tcW w:type="dxa" w:w="5071"/>
            <w:vAlign w:val="center"/>
          </w:tcPr>
          <w:p>
            <w:pPr>
              <w:spacing w:after="0"/>
              <w:jc w:val="center"/>
            </w:pPr>
            <w:r/>
            <w:r>
              <w:rPr>
                <w:rFonts w:ascii="Calibri" w:hAnsi="Calibri"/>
                <w:b w:val="0"/>
                <w:sz w:val="17"/>
              </w:rPr>
              <w:t>Erosion</w:t>
            </w:r>
          </w:p>
        </w:tc>
        <w:tc>
          <w:tcPr>
            <w:tcW w:type="dxa" w:w="5071"/>
            <w:vAlign w:val="center"/>
          </w:tcPr>
          <w:p>
            <w:pPr>
              <w:spacing w:after="0"/>
              <w:jc w:val="left"/>
            </w:pPr>
            <w:r/>
            <w:r>
              <w:rPr>
                <w:rFonts w:ascii="Calibri" w:hAnsi="Calibri"/>
                <w:b w:val="0"/>
                <w:sz w:val="17"/>
              </w:rPr>
              <w:t>Shrinks the white mask area.</w:t>
            </w:r>
          </w:p>
        </w:tc>
      </w:tr>
      <w:tr>
        <w:tc>
          <w:tcPr>
            <w:tcW w:type="dxa" w:w="5071"/>
            <w:vAlign w:val="center"/>
          </w:tcPr>
          <w:p>
            <w:pPr>
              <w:spacing w:after="0"/>
              <w:jc w:val="center"/>
            </w:pPr>
            <w:r/>
            <w:r>
              <w:rPr>
                <w:rFonts w:ascii="Calibri" w:hAnsi="Calibri"/>
                <w:b w:val="0"/>
                <w:sz w:val="17"/>
              </w:rPr>
              <w:t>Dilation</w:t>
            </w:r>
          </w:p>
        </w:tc>
        <w:tc>
          <w:tcPr>
            <w:tcW w:type="dxa" w:w="5071"/>
            <w:vAlign w:val="center"/>
          </w:tcPr>
          <w:p>
            <w:pPr>
              <w:spacing w:after="0"/>
              <w:jc w:val="left"/>
            </w:pPr>
            <w:r/>
            <w:r>
              <w:rPr>
                <w:rFonts w:ascii="Calibri" w:hAnsi="Calibri"/>
                <w:b w:val="0"/>
                <w:sz w:val="17"/>
              </w:rPr>
              <w:t>Expands the white mask area.</w:t>
            </w:r>
          </w:p>
        </w:tc>
      </w:tr>
      <w:tr>
        <w:tc>
          <w:tcPr>
            <w:tcW w:type="dxa" w:w="5071"/>
            <w:vAlign w:val="center"/>
          </w:tcPr>
          <w:p>
            <w:pPr>
              <w:spacing w:after="0"/>
              <w:jc w:val="center"/>
            </w:pPr>
            <w:r/>
            <w:r>
              <w:rPr>
                <w:rFonts w:ascii="Calibri" w:hAnsi="Calibri"/>
                <w:b w:val="0"/>
                <w:sz w:val="17"/>
              </w:rPr>
              <w:t>Opening</w:t>
            </w:r>
          </w:p>
        </w:tc>
        <w:tc>
          <w:tcPr>
            <w:tcW w:type="dxa" w:w="5071"/>
            <w:vAlign w:val="center"/>
          </w:tcPr>
          <w:p>
            <w:pPr>
              <w:spacing w:after="0"/>
              <w:jc w:val="left"/>
            </w:pPr>
            <w:r/>
            <w:r>
              <w:rPr>
                <w:rFonts w:ascii="Calibri" w:hAnsi="Calibri"/>
                <w:b w:val="0"/>
                <w:sz w:val="17"/>
              </w:rPr>
              <w:t>Removes small noisy parts.</w:t>
            </w:r>
          </w:p>
        </w:tc>
      </w:tr>
      <w:tr>
        <w:tc>
          <w:tcPr>
            <w:tcW w:type="dxa" w:w="5071"/>
            <w:vAlign w:val="center"/>
          </w:tcPr>
          <w:p>
            <w:pPr>
              <w:spacing w:after="0"/>
              <w:jc w:val="center"/>
            </w:pPr>
            <w:r/>
            <w:r>
              <w:rPr>
                <w:rFonts w:ascii="Calibri" w:hAnsi="Calibri"/>
                <w:b w:val="0"/>
                <w:sz w:val="17"/>
              </w:rPr>
              <w:t>Closing</w:t>
            </w:r>
          </w:p>
        </w:tc>
        <w:tc>
          <w:tcPr>
            <w:tcW w:type="dxa" w:w="5071"/>
            <w:vAlign w:val="center"/>
          </w:tcPr>
          <w:p>
            <w:pPr>
              <w:spacing w:after="0"/>
              <w:jc w:val="left"/>
            </w:pPr>
            <w:r/>
            <w:r>
              <w:rPr>
                <w:rFonts w:ascii="Calibri" w:hAnsi="Calibri"/>
                <w:b w:val="0"/>
                <w:sz w:val="17"/>
              </w:rPr>
              <w:t>Fills small gaps and connects broken parts.</w:t>
            </w:r>
          </w:p>
        </w:tc>
      </w:tr>
      <w:tr>
        <w:tc>
          <w:tcPr>
            <w:tcW w:type="dxa" w:w="5071"/>
            <w:vAlign w:val="center"/>
          </w:tcPr>
          <w:p>
            <w:pPr>
              <w:spacing w:after="0"/>
              <w:jc w:val="center"/>
            </w:pPr>
            <w:r/>
            <w:r>
              <w:rPr>
                <w:rFonts w:ascii="Calibri" w:hAnsi="Calibri"/>
                <w:b w:val="0"/>
                <w:sz w:val="17"/>
              </w:rPr>
              <w:t>Chain code</w:t>
            </w:r>
          </w:p>
        </w:tc>
        <w:tc>
          <w:tcPr>
            <w:tcW w:type="dxa" w:w="5071"/>
            <w:vAlign w:val="center"/>
          </w:tcPr>
          <w:p>
            <w:pPr>
              <w:spacing w:after="0"/>
              <w:jc w:val="left"/>
            </w:pPr>
            <w:r/>
            <w:r>
              <w:rPr>
                <w:rFonts w:ascii="Calibri" w:hAnsi="Calibri"/>
                <w:b w:val="0"/>
                <w:sz w:val="17"/>
              </w:rPr>
              <w:t>Stores the boundary as direction numbers.</w:t>
            </w:r>
          </w:p>
        </w:tc>
      </w:tr>
      <w:tr>
        <w:tc>
          <w:tcPr>
            <w:tcW w:type="dxa" w:w="5071"/>
            <w:vAlign w:val="center"/>
          </w:tcPr>
          <w:p>
            <w:pPr>
              <w:spacing w:after="0"/>
              <w:jc w:val="center"/>
            </w:pPr>
            <w:r/>
            <w:r>
              <w:rPr>
                <w:rFonts w:ascii="Calibri" w:hAnsi="Calibri"/>
                <w:b w:val="0"/>
                <w:sz w:val="17"/>
              </w:rPr>
              <w:t>Convex hull</w:t>
            </w:r>
          </w:p>
        </w:tc>
        <w:tc>
          <w:tcPr>
            <w:tcW w:type="dxa" w:w="5071"/>
            <w:vAlign w:val="center"/>
          </w:tcPr>
          <w:p>
            <w:pPr>
              <w:spacing w:after="0"/>
              <w:jc w:val="left"/>
            </w:pPr>
            <w:r/>
            <w:r>
              <w:rPr>
                <w:rFonts w:ascii="Calibri" w:hAnsi="Calibri"/>
                <w:b w:val="0"/>
                <w:sz w:val="17"/>
              </w:rPr>
              <w:t>Draws the smallest outer polygon around the boundary.</w:t>
            </w:r>
          </w:p>
        </w:tc>
      </w:tr>
    </w:tbl>
    <w:p/>
    <w:p>
      <w:pPr>
        <w:pStyle w:val="Heading1"/>
      </w:pPr>
      <w:r>
        <w:t>Algorithm Details</w:t>
      </w:r>
    </w:p>
    <w:p>
      <w:pPr>
        <w:spacing w:after="120"/>
        <w:jc w:val="both"/>
      </w:pPr>
      <w:r>
        <w:t>Freeman chain code uses direction numbers from 0 to 7. Each number shows the next movement along the boundary. This gives a compact way to describe the shape of the detected object. The first difference was also calculated so that the shape description depends less on the starting direction.</w:t>
      </w:r>
    </w:p>
    <w:p>
      <w:pPr>
        <w:spacing w:after="120"/>
        <w:jc w:val="both"/>
      </w:pPr>
      <w:r>
        <w:t>For the convex hull, boundary points were sampled from the cleaned mask. Graham Scan was then used to find the outer polygon around those points. The convex hull has fewer points than the full chain code because it only keeps the outer shape.</w:t>
      </w:r>
    </w:p>
    <w:p>
      <w:pPr>
        <w:pStyle w:val="Heading1"/>
      </w:pPr>
      <w:r>
        <w:t>Results</w:t>
      </w:r>
    </w:p>
    <w:tbl>
      <w:tblPr>
        <w:tblStyle w:val="TableGrid"/>
        <w:tblW w:type="auto" w:w="0"/>
        <w:jc w:val="center"/>
        <w:tblLook w:firstColumn="1" w:firstRow="1" w:lastColumn="0" w:lastRow="0" w:noHBand="0" w:noVBand="1" w:val="04A0"/>
      </w:tblPr>
      <w:tblGrid>
        <w:gridCol w:w="5071"/>
        <w:gridCol w:w="5071"/>
      </w:tblGrid>
      <w:tr>
        <w:tc>
          <w:tcPr>
            <w:tcW w:type="dxa" w:w="5071"/>
            <w:vAlign w:val="center"/>
            <w:shd w:fill="E2F0D9"/>
          </w:tcPr>
          <w:p>
            <w:pPr>
              <w:spacing w:after="0"/>
              <w:jc w:val="center"/>
            </w:pPr>
            <w:r/>
            <w:r>
              <w:rPr>
                <w:rFonts w:ascii="Calibri" w:hAnsi="Calibri"/>
                <w:b/>
                <w:color w:val="1F4E79"/>
                <w:sz w:val="17"/>
              </w:rPr>
              <w:t>Item</w:t>
            </w:r>
          </w:p>
        </w:tc>
        <w:tc>
          <w:tcPr>
            <w:tcW w:type="dxa" w:w="5071"/>
            <w:vAlign w:val="center"/>
            <w:shd w:fill="E2F0D9"/>
          </w:tcPr>
          <w:p>
            <w:pPr>
              <w:spacing w:after="0"/>
              <w:jc w:val="center"/>
            </w:pPr>
            <w:r/>
            <w:r>
              <w:rPr>
                <w:rFonts w:ascii="Calibri" w:hAnsi="Calibri"/>
                <w:b/>
                <w:color w:val="1F4E79"/>
                <w:sz w:val="17"/>
              </w:rPr>
              <w:t>Details</w:t>
            </w:r>
          </w:p>
        </w:tc>
      </w:tr>
      <w:tr>
        <w:tc>
          <w:tcPr>
            <w:tcW w:type="dxa" w:w="5071"/>
            <w:vAlign w:val="center"/>
          </w:tcPr>
          <w:p>
            <w:pPr>
              <w:spacing w:after="0"/>
              <w:jc w:val="center"/>
            </w:pPr>
            <w:r/>
            <w:r>
              <w:rPr>
                <w:rFonts w:ascii="Calibri" w:hAnsi="Calibri"/>
                <w:b w:val="0"/>
                <w:sz w:val="17"/>
              </w:rPr>
              <w:t>Notebook used</w:t>
            </w:r>
          </w:p>
        </w:tc>
        <w:tc>
          <w:tcPr>
            <w:tcW w:type="dxa" w:w="5071"/>
            <w:vAlign w:val="center"/>
          </w:tcPr>
          <w:p>
            <w:pPr>
              <w:spacing w:after="0"/>
              <w:jc w:val="left"/>
            </w:pPr>
            <w:r/>
            <w:r>
              <w:rPr>
                <w:rFonts w:ascii="Calibri" w:hAnsi="Calibri"/>
                <w:b w:val="0"/>
                <w:sz w:val="17"/>
              </w:rPr>
              <w:t>CV_ProjectA2_231192_231200.ipynb</w:t>
            </w:r>
          </w:p>
        </w:tc>
      </w:tr>
      <w:tr>
        <w:tc>
          <w:tcPr>
            <w:tcW w:type="dxa" w:w="5071"/>
            <w:vAlign w:val="center"/>
          </w:tcPr>
          <w:p>
            <w:pPr>
              <w:spacing w:after="0"/>
              <w:jc w:val="center"/>
            </w:pPr>
            <w:r/>
            <w:r>
              <w:rPr>
                <w:rFonts w:ascii="Calibri" w:hAnsi="Calibri"/>
                <w:b w:val="0"/>
                <w:sz w:val="17"/>
              </w:rPr>
              <w:t>CSV rows</w:t>
            </w:r>
          </w:p>
        </w:tc>
        <w:tc>
          <w:tcPr>
            <w:tcW w:type="dxa" w:w="5071"/>
            <w:vAlign w:val="center"/>
          </w:tcPr>
          <w:p>
            <w:pPr>
              <w:spacing w:after="0"/>
              <w:jc w:val="left"/>
            </w:pPr>
            <w:r/>
            <w:r>
              <w:rPr>
                <w:rFonts w:ascii="Calibri" w:hAnsi="Calibri"/>
                <w:b w:val="0"/>
                <w:sz w:val="17"/>
              </w:rPr>
              <w:t>15</w:t>
            </w:r>
          </w:p>
        </w:tc>
      </w:tr>
      <w:tr>
        <w:tc>
          <w:tcPr>
            <w:tcW w:type="dxa" w:w="5071"/>
            <w:vAlign w:val="center"/>
          </w:tcPr>
          <w:p>
            <w:pPr>
              <w:spacing w:after="0"/>
              <w:jc w:val="center"/>
            </w:pPr>
            <w:r/>
            <w:r>
              <w:rPr>
                <w:rFonts w:ascii="Calibri" w:hAnsi="Calibri"/>
                <w:b w:val="0"/>
                <w:sz w:val="17"/>
              </w:rPr>
              <w:t>Average chain length</w:t>
            </w:r>
          </w:p>
        </w:tc>
        <w:tc>
          <w:tcPr>
            <w:tcW w:type="dxa" w:w="5071"/>
            <w:vAlign w:val="center"/>
          </w:tcPr>
          <w:p>
            <w:pPr>
              <w:spacing w:after="0"/>
              <w:jc w:val="left"/>
            </w:pPr>
            <w:r/>
            <w:r>
              <w:rPr>
                <w:rFonts w:ascii="Calibri" w:hAnsi="Calibri"/>
                <w:b w:val="0"/>
                <w:sz w:val="17"/>
              </w:rPr>
              <w:t>469.53 steps</w:t>
            </w:r>
          </w:p>
        </w:tc>
      </w:tr>
      <w:tr>
        <w:tc>
          <w:tcPr>
            <w:tcW w:type="dxa" w:w="5071"/>
            <w:vAlign w:val="center"/>
          </w:tcPr>
          <w:p>
            <w:pPr>
              <w:spacing w:after="0"/>
              <w:jc w:val="center"/>
            </w:pPr>
            <w:r/>
            <w:r>
              <w:rPr>
                <w:rFonts w:ascii="Calibri" w:hAnsi="Calibri"/>
                <w:b w:val="0"/>
                <w:sz w:val="17"/>
              </w:rPr>
              <w:t>Chain length range</w:t>
            </w:r>
          </w:p>
        </w:tc>
        <w:tc>
          <w:tcPr>
            <w:tcW w:type="dxa" w:w="5071"/>
            <w:vAlign w:val="center"/>
          </w:tcPr>
          <w:p>
            <w:pPr>
              <w:spacing w:after="0"/>
              <w:jc w:val="left"/>
            </w:pPr>
            <w:r/>
            <w:r>
              <w:rPr>
                <w:rFonts w:ascii="Calibri" w:hAnsi="Calibri"/>
                <w:b w:val="0"/>
                <w:sz w:val="17"/>
              </w:rPr>
              <w:t>446 to 476 steps</w:t>
            </w:r>
          </w:p>
        </w:tc>
      </w:tr>
      <w:tr>
        <w:tc>
          <w:tcPr>
            <w:tcW w:type="dxa" w:w="5071"/>
            <w:vAlign w:val="center"/>
          </w:tcPr>
          <w:p>
            <w:pPr>
              <w:spacing w:after="0"/>
              <w:jc w:val="center"/>
            </w:pPr>
            <w:r/>
            <w:r>
              <w:rPr>
                <w:rFonts w:ascii="Calibri" w:hAnsi="Calibri"/>
                <w:b w:val="0"/>
                <w:sz w:val="17"/>
              </w:rPr>
              <w:t>Average hull vertices</w:t>
            </w:r>
          </w:p>
        </w:tc>
        <w:tc>
          <w:tcPr>
            <w:tcW w:type="dxa" w:w="5071"/>
            <w:vAlign w:val="center"/>
          </w:tcPr>
          <w:p>
            <w:pPr>
              <w:spacing w:after="0"/>
              <w:jc w:val="left"/>
            </w:pPr>
            <w:r/>
            <w:r>
              <w:rPr>
                <w:rFonts w:ascii="Calibri" w:hAnsi="Calibri"/>
                <w:b w:val="0"/>
                <w:sz w:val="17"/>
              </w:rPr>
              <w:t>54.00</w:t>
            </w:r>
          </w:p>
        </w:tc>
      </w:tr>
      <w:tr>
        <w:tc>
          <w:tcPr>
            <w:tcW w:type="dxa" w:w="5071"/>
            <w:vAlign w:val="center"/>
          </w:tcPr>
          <w:p>
            <w:pPr>
              <w:spacing w:after="0"/>
              <w:jc w:val="center"/>
            </w:pPr>
            <w:r/>
            <w:r>
              <w:rPr>
                <w:rFonts w:ascii="Calibri" w:hAnsi="Calibri"/>
                <w:b w:val="0"/>
                <w:sz w:val="17"/>
              </w:rPr>
              <w:t>Hull vertices range</w:t>
            </w:r>
          </w:p>
        </w:tc>
        <w:tc>
          <w:tcPr>
            <w:tcW w:type="dxa" w:w="5071"/>
            <w:vAlign w:val="center"/>
          </w:tcPr>
          <w:p>
            <w:pPr>
              <w:spacing w:after="0"/>
              <w:jc w:val="left"/>
            </w:pPr>
            <w:r/>
            <w:r>
              <w:rPr>
                <w:rFonts w:ascii="Calibri" w:hAnsi="Calibri"/>
                <w:b w:val="0"/>
                <w:sz w:val="17"/>
              </w:rPr>
              <w:t>45 to 60</w:t>
            </w:r>
          </w:p>
        </w:tc>
      </w:tr>
      <w:tr>
        <w:tc>
          <w:tcPr>
            <w:tcW w:type="dxa" w:w="5071"/>
            <w:vAlign w:val="center"/>
          </w:tcPr>
          <w:p>
            <w:pPr>
              <w:spacing w:after="0"/>
              <w:jc w:val="center"/>
            </w:pPr>
            <w:r/>
            <w:r>
              <w:rPr>
                <w:rFonts w:ascii="Calibri" w:hAnsi="Calibri"/>
                <w:b w:val="0"/>
                <w:sz w:val="17"/>
              </w:rPr>
              <w:t>Saved visual stages</w:t>
            </w:r>
          </w:p>
        </w:tc>
        <w:tc>
          <w:tcPr>
            <w:tcW w:type="dxa" w:w="5071"/>
            <w:vAlign w:val="center"/>
          </w:tcPr>
          <w:p>
            <w:pPr>
              <w:spacing w:after="0"/>
              <w:jc w:val="left"/>
            </w:pPr>
            <w:r/>
            <w:r>
              <w:rPr>
                <w:rFonts w:ascii="Calibri" w:hAnsi="Calibri"/>
                <w:b w:val="0"/>
                <w:sz w:val="17"/>
              </w:rPr>
              <w:t>masks, morphology, chain_code, and convex_hull</w:t>
            </w:r>
          </w:p>
        </w:tc>
      </w:tr>
    </w:tbl>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vAlign w:val="center"/>
            <w:shd w:fill="E2F0D9"/>
          </w:tcPr>
          <w:p>
            <w:pPr>
              <w:spacing w:after="0"/>
              <w:jc w:val="center"/>
            </w:pPr>
            <w:r/>
            <w:r>
              <w:rPr>
                <w:rFonts w:ascii="Calibri" w:hAnsi="Calibri"/>
                <w:b/>
                <w:color w:val="1F4E79"/>
                <w:sz w:val="17"/>
              </w:rPr>
              <w:t>Label</w:t>
            </w:r>
          </w:p>
        </w:tc>
        <w:tc>
          <w:tcPr>
            <w:tcW w:type="dxa" w:w="2535"/>
            <w:vAlign w:val="center"/>
            <w:shd w:fill="E2F0D9"/>
          </w:tcPr>
          <w:p>
            <w:pPr>
              <w:spacing w:after="0"/>
              <w:jc w:val="center"/>
            </w:pPr>
            <w:r/>
            <w:r>
              <w:rPr>
                <w:rFonts w:ascii="Calibri" w:hAnsi="Calibri"/>
                <w:b/>
                <w:color w:val="1F4E79"/>
                <w:sz w:val="17"/>
              </w:rPr>
              <w:t>Slice</w:t>
            </w:r>
          </w:p>
        </w:tc>
        <w:tc>
          <w:tcPr>
            <w:tcW w:type="dxa" w:w="2535"/>
            <w:vAlign w:val="center"/>
            <w:shd w:fill="E2F0D9"/>
          </w:tcPr>
          <w:p>
            <w:pPr>
              <w:spacing w:after="0"/>
              <w:jc w:val="center"/>
            </w:pPr>
            <w:r/>
            <w:r>
              <w:rPr>
                <w:rFonts w:ascii="Calibri" w:hAnsi="Calibri"/>
                <w:b/>
                <w:color w:val="1F4E79"/>
                <w:sz w:val="17"/>
              </w:rPr>
              <w:t>Chain Length</w:t>
            </w:r>
          </w:p>
        </w:tc>
        <w:tc>
          <w:tcPr>
            <w:tcW w:type="dxa" w:w="2535"/>
            <w:vAlign w:val="center"/>
            <w:shd w:fill="E2F0D9"/>
          </w:tcPr>
          <w:p>
            <w:pPr>
              <w:spacing w:after="0"/>
              <w:jc w:val="center"/>
            </w:pPr>
            <w:r/>
            <w:r>
              <w:rPr>
                <w:rFonts w:ascii="Calibri" w:hAnsi="Calibri"/>
                <w:b/>
                <w:color w:val="1F4E79"/>
                <w:sz w:val="17"/>
              </w:rPr>
              <w:t>Hull Vertices</w:t>
            </w:r>
          </w:p>
        </w:tc>
      </w:tr>
      <w:tr>
        <w:tc>
          <w:tcPr>
            <w:tcW w:type="dxa" w:w="2535"/>
            <w:vAlign w:val="center"/>
          </w:tcPr>
          <w:p>
            <w:pPr>
              <w:spacing w:after="0"/>
              <w:jc w:val="left"/>
            </w:pPr>
            <w:r/>
            <w:r>
              <w:rPr>
                <w:rFonts w:ascii="Calibri" w:hAnsi="Calibri"/>
                <w:b w:val="0"/>
                <w:sz w:val="17"/>
              </w:rPr>
              <w:t>T1CE_to_SRI_defaced</w:t>
            </w:r>
          </w:p>
        </w:tc>
        <w:tc>
          <w:tcPr>
            <w:tcW w:type="dxa" w:w="2535"/>
            <w:vAlign w:val="center"/>
          </w:tcPr>
          <w:p>
            <w:pPr>
              <w:spacing w:after="0"/>
              <w:jc w:val="center"/>
            </w:pPr>
            <w:r/>
            <w:r>
              <w:rPr>
                <w:rFonts w:ascii="Calibri" w:hAnsi="Calibri"/>
                <w:b w:val="0"/>
                <w:sz w:val="17"/>
              </w:rPr>
              <w:t>76</w:t>
            </w:r>
          </w:p>
        </w:tc>
        <w:tc>
          <w:tcPr>
            <w:tcW w:type="dxa" w:w="2535"/>
            <w:vAlign w:val="center"/>
          </w:tcPr>
          <w:p>
            <w:pPr>
              <w:spacing w:after="0"/>
              <w:jc w:val="center"/>
            </w:pPr>
            <w:r/>
            <w:r>
              <w:rPr>
                <w:rFonts w:ascii="Calibri" w:hAnsi="Calibri"/>
                <w:b w:val="0"/>
                <w:sz w:val="17"/>
              </w:rPr>
              <w:t>476</w:t>
            </w:r>
          </w:p>
        </w:tc>
        <w:tc>
          <w:tcPr>
            <w:tcW w:type="dxa" w:w="2535"/>
            <w:vAlign w:val="center"/>
          </w:tcPr>
          <w:p>
            <w:pPr>
              <w:spacing w:after="0"/>
              <w:jc w:val="center"/>
            </w:pPr>
            <w:r/>
            <w:r>
              <w:rPr>
                <w:rFonts w:ascii="Calibri" w:hAnsi="Calibri"/>
                <w:b w:val="0"/>
                <w:sz w:val="17"/>
              </w:rPr>
              <w:t>53</w:t>
            </w:r>
          </w:p>
        </w:tc>
      </w:tr>
      <w:tr>
        <w:tc>
          <w:tcPr>
            <w:tcW w:type="dxa" w:w="2535"/>
            <w:vAlign w:val="center"/>
          </w:tcPr>
          <w:p>
            <w:pPr>
              <w:spacing w:after="0"/>
              <w:jc w:val="left"/>
            </w:pPr>
            <w:r/>
            <w:r>
              <w:rPr>
                <w:rFonts w:ascii="Calibri" w:hAnsi="Calibri"/>
                <w:b w:val="0"/>
                <w:sz w:val="17"/>
              </w:rPr>
              <w:t>T1CE_to_SRI_defaced</w:t>
            </w:r>
          </w:p>
        </w:tc>
        <w:tc>
          <w:tcPr>
            <w:tcW w:type="dxa" w:w="2535"/>
            <w:vAlign w:val="center"/>
          </w:tcPr>
          <w:p>
            <w:pPr>
              <w:spacing w:after="0"/>
              <w:jc w:val="center"/>
            </w:pPr>
            <w:r/>
            <w:r>
              <w:rPr>
                <w:rFonts w:ascii="Calibri" w:hAnsi="Calibri"/>
                <w:b w:val="0"/>
                <w:sz w:val="17"/>
              </w:rPr>
              <w:t>77</w:t>
            </w:r>
          </w:p>
        </w:tc>
        <w:tc>
          <w:tcPr>
            <w:tcW w:type="dxa" w:w="2535"/>
            <w:vAlign w:val="center"/>
          </w:tcPr>
          <w:p>
            <w:pPr>
              <w:spacing w:after="0"/>
              <w:jc w:val="center"/>
            </w:pPr>
            <w:r/>
            <w:r>
              <w:rPr>
                <w:rFonts w:ascii="Calibri" w:hAnsi="Calibri"/>
                <w:b w:val="0"/>
                <w:sz w:val="17"/>
              </w:rPr>
              <w:t>476</w:t>
            </w:r>
          </w:p>
        </w:tc>
        <w:tc>
          <w:tcPr>
            <w:tcW w:type="dxa" w:w="2535"/>
            <w:vAlign w:val="center"/>
          </w:tcPr>
          <w:p>
            <w:pPr>
              <w:spacing w:after="0"/>
              <w:jc w:val="center"/>
            </w:pPr>
            <w:r/>
            <w:r>
              <w:rPr>
                <w:rFonts w:ascii="Calibri" w:hAnsi="Calibri"/>
                <w:b w:val="0"/>
                <w:sz w:val="17"/>
              </w:rPr>
              <w:t>55</w:t>
            </w:r>
          </w:p>
        </w:tc>
      </w:tr>
      <w:tr>
        <w:tc>
          <w:tcPr>
            <w:tcW w:type="dxa" w:w="2535"/>
            <w:vAlign w:val="center"/>
          </w:tcPr>
          <w:p>
            <w:pPr>
              <w:spacing w:after="0"/>
              <w:jc w:val="left"/>
            </w:pPr>
            <w:r/>
            <w:r>
              <w:rPr>
                <w:rFonts w:ascii="Calibri" w:hAnsi="Calibri"/>
                <w:b w:val="0"/>
                <w:sz w:val="17"/>
              </w:rPr>
              <w:t>T1CE_to_SRI_defaced</w:t>
            </w:r>
          </w:p>
        </w:tc>
        <w:tc>
          <w:tcPr>
            <w:tcW w:type="dxa" w:w="2535"/>
            <w:vAlign w:val="center"/>
          </w:tcPr>
          <w:p>
            <w:pPr>
              <w:spacing w:after="0"/>
              <w:jc w:val="center"/>
            </w:pPr>
            <w:r/>
            <w:r>
              <w:rPr>
                <w:rFonts w:ascii="Calibri" w:hAnsi="Calibri"/>
                <w:b w:val="0"/>
                <w:sz w:val="17"/>
              </w:rPr>
              <w:t>78</w:t>
            </w:r>
          </w:p>
        </w:tc>
        <w:tc>
          <w:tcPr>
            <w:tcW w:type="dxa" w:w="2535"/>
            <w:vAlign w:val="center"/>
          </w:tcPr>
          <w:p>
            <w:pPr>
              <w:spacing w:after="0"/>
              <w:jc w:val="center"/>
            </w:pPr>
            <w:r/>
            <w:r>
              <w:rPr>
                <w:rFonts w:ascii="Calibri" w:hAnsi="Calibri"/>
                <w:b w:val="0"/>
                <w:sz w:val="17"/>
              </w:rPr>
              <w:t>476</w:t>
            </w:r>
          </w:p>
        </w:tc>
        <w:tc>
          <w:tcPr>
            <w:tcW w:type="dxa" w:w="2535"/>
            <w:vAlign w:val="center"/>
          </w:tcPr>
          <w:p>
            <w:pPr>
              <w:spacing w:after="0"/>
              <w:jc w:val="center"/>
            </w:pPr>
            <w:r/>
            <w:r>
              <w:rPr>
                <w:rFonts w:ascii="Calibri" w:hAnsi="Calibri"/>
                <w:b w:val="0"/>
                <w:sz w:val="17"/>
              </w:rPr>
              <w:t>58</w:t>
            </w:r>
          </w:p>
        </w:tc>
      </w:tr>
      <w:tr>
        <w:tc>
          <w:tcPr>
            <w:tcW w:type="dxa" w:w="2535"/>
            <w:vAlign w:val="center"/>
          </w:tcPr>
          <w:p>
            <w:pPr>
              <w:spacing w:after="0"/>
              <w:jc w:val="left"/>
            </w:pPr>
            <w:r/>
            <w:r>
              <w:rPr>
                <w:rFonts w:ascii="Calibri" w:hAnsi="Calibri"/>
                <w:b w:val="0"/>
                <w:sz w:val="17"/>
              </w:rPr>
              <w:t>T1_to_SRI_defaced</w:t>
            </w:r>
          </w:p>
        </w:tc>
        <w:tc>
          <w:tcPr>
            <w:tcW w:type="dxa" w:w="2535"/>
            <w:vAlign w:val="center"/>
          </w:tcPr>
          <w:p>
            <w:pPr>
              <w:spacing w:after="0"/>
              <w:jc w:val="center"/>
            </w:pPr>
            <w:r/>
            <w:r>
              <w:rPr>
                <w:rFonts w:ascii="Calibri" w:hAnsi="Calibri"/>
                <w:b w:val="0"/>
                <w:sz w:val="17"/>
              </w:rPr>
              <w:t>76</w:t>
            </w:r>
          </w:p>
        </w:tc>
        <w:tc>
          <w:tcPr>
            <w:tcW w:type="dxa" w:w="2535"/>
            <w:vAlign w:val="center"/>
          </w:tcPr>
          <w:p>
            <w:pPr>
              <w:spacing w:after="0"/>
              <w:jc w:val="center"/>
            </w:pPr>
            <w:r/>
            <w:r>
              <w:rPr>
                <w:rFonts w:ascii="Calibri" w:hAnsi="Calibri"/>
                <w:b w:val="0"/>
                <w:sz w:val="17"/>
              </w:rPr>
              <w:t>476</w:t>
            </w:r>
          </w:p>
        </w:tc>
        <w:tc>
          <w:tcPr>
            <w:tcW w:type="dxa" w:w="2535"/>
            <w:vAlign w:val="center"/>
          </w:tcPr>
          <w:p>
            <w:pPr>
              <w:spacing w:after="0"/>
              <w:jc w:val="center"/>
            </w:pPr>
            <w:r/>
            <w:r>
              <w:rPr>
                <w:rFonts w:ascii="Calibri" w:hAnsi="Calibri"/>
                <w:b w:val="0"/>
                <w:sz w:val="17"/>
              </w:rPr>
              <w:t>56</w:t>
            </w:r>
          </w:p>
        </w:tc>
      </w:tr>
      <w:tr>
        <w:tc>
          <w:tcPr>
            <w:tcW w:type="dxa" w:w="2535"/>
            <w:vAlign w:val="center"/>
          </w:tcPr>
          <w:p>
            <w:pPr>
              <w:spacing w:after="0"/>
              <w:jc w:val="left"/>
            </w:pPr>
            <w:r/>
            <w:r>
              <w:rPr>
                <w:rFonts w:ascii="Calibri" w:hAnsi="Calibri"/>
                <w:b w:val="0"/>
                <w:sz w:val="17"/>
              </w:rPr>
              <w:t>T1_to_SRI_defaced</w:t>
            </w:r>
          </w:p>
        </w:tc>
        <w:tc>
          <w:tcPr>
            <w:tcW w:type="dxa" w:w="2535"/>
            <w:vAlign w:val="center"/>
          </w:tcPr>
          <w:p>
            <w:pPr>
              <w:spacing w:after="0"/>
              <w:jc w:val="center"/>
            </w:pPr>
            <w:r/>
            <w:r>
              <w:rPr>
                <w:rFonts w:ascii="Calibri" w:hAnsi="Calibri"/>
                <w:b w:val="0"/>
                <w:sz w:val="17"/>
              </w:rPr>
              <w:t>77</w:t>
            </w:r>
          </w:p>
        </w:tc>
        <w:tc>
          <w:tcPr>
            <w:tcW w:type="dxa" w:w="2535"/>
            <w:vAlign w:val="center"/>
          </w:tcPr>
          <w:p>
            <w:pPr>
              <w:spacing w:after="0"/>
              <w:jc w:val="center"/>
            </w:pPr>
            <w:r/>
            <w:r>
              <w:rPr>
                <w:rFonts w:ascii="Calibri" w:hAnsi="Calibri"/>
                <w:b w:val="0"/>
                <w:sz w:val="17"/>
              </w:rPr>
              <w:t>475</w:t>
            </w:r>
          </w:p>
        </w:tc>
        <w:tc>
          <w:tcPr>
            <w:tcW w:type="dxa" w:w="2535"/>
            <w:vAlign w:val="center"/>
          </w:tcPr>
          <w:p>
            <w:pPr>
              <w:spacing w:after="0"/>
              <w:jc w:val="center"/>
            </w:pPr>
            <w:r/>
            <w:r>
              <w:rPr>
                <w:rFonts w:ascii="Calibri" w:hAnsi="Calibri"/>
                <w:b w:val="0"/>
                <w:sz w:val="17"/>
              </w:rPr>
              <w:t>60</w:t>
            </w:r>
          </w:p>
        </w:tc>
      </w:tr>
      <w:tr>
        <w:tc>
          <w:tcPr>
            <w:tcW w:type="dxa" w:w="2535"/>
            <w:vAlign w:val="center"/>
          </w:tcPr>
          <w:p>
            <w:pPr>
              <w:spacing w:after="0"/>
              <w:jc w:val="left"/>
            </w:pPr>
            <w:r/>
            <w:r>
              <w:rPr>
                <w:rFonts w:ascii="Calibri" w:hAnsi="Calibri"/>
                <w:b w:val="0"/>
                <w:sz w:val="17"/>
              </w:rPr>
              <w:t>T1_to_SRI_defaced</w:t>
            </w:r>
          </w:p>
        </w:tc>
        <w:tc>
          <w:tcPr>
            <w:tcW w:type="dxa" w:w="2535"/>
            <w:vAlign w:val="center"/>
          </w:tcPr>
          <w:p>
            <w:pPr>
              <w:spacing w:after="0"/>
              <w:jc w:val="center"/>
            </w:pPr>
            <w:r/>
            <w:r>
              <w:rPr>
                <w:rFonts w:ascii="Calibri" w:hAnsi="Calibri"/>
                <w:b w:val="0"/>
                <w:sz w:val="17"/>
              </w:rPr>
              <w:t>78</w:t>
            </w:r>
          </w:p>
        </w:tc>
        <w:tc>
          <w:tcPr>
            <w:tcW w:type="dxa" w:w="2535"/>
            <w:vAlign w:val="center"/>
          </w:tcPr>
          <w:p>
            <w:pPr>
              <w:spacing w:after="0"/>
              <w:jc w:val="center"/>
            </w:pPr>
            <w:r/>
            <w:r>
              <w:rPr>
                <w:rFonts w:ascii="Calibri" w:hAnsi="Calibri"/>
                <w:b w:val="0"/>
                <w:sz w:val="17"/>
              </w:rPr>
              <w:t>475</w:t>
            </w:r>
          </w:p>
        </w:tc>
        <w:tc>
          <w:tcPr>
            <w:tcW w:type="dxa" w:w="2535"/>
            <w:vAlign w:val="center"/>
          </w:tcPr>
          <w:p>
            <w:pPr>
              <w:spacing w:after="0"/>
              <w:jc w:val="center"/>
            </w:pPr>
            <w:r/>
            <w:r>
              <w:rPr>
                <w:rFonts w:ascii="Calibri" w:hAnsi="Calibri"/>
                <w:b w:val="0"/>
                <w:sz w:val="17"/>
              </w:rPr>
              <w:t>55</w:t>
            </w:r>
          </w:p>
        </w:tc>
      </w:tr>
      <w:tr>
        <w:tc>
          <w:tcPr>
            <w:tcW w:type="dxa" w:w="2535"/>
            <w:vAlign w:val="center"/>
          </w:tcPr>
          <w:p>
            <w:pPr>
              <w:spacing w:after="0"/>
              <w:jc w:val="left"/>
            </w:pPr>
            <w:r/>
            <w:r>
              <w:rPr>
                <w:rFonts w:ascii="Calibri" w:hAnsi="Calibri"/>
                <w:b w:val="0"/>
                <w:sz w:val="17"/>
              </w:rPr>
              <w:t>FL_to_SRI_defaced</w:t>
            </w:r>
          </w:p>
        </w:tc>
        <w:tc>
          <w:tcPr>
            <w:tcW w:type="dxa" w:w="2535"/>
            <w:vAlign w:val="center"/>
          </w:tcPr>
          <w:p>
            <w:pPr>
              <w:spacing w:after="0"/>
              <w:jc w:val="center"/>
            </w:pPr>
            <w:r/>
            <w:r>
              <w:rPr>
                <w:rFonts w:ascii="Calibri" w:hAnsi="Calibri"/>
                <w:b w:val="0"/>
                <w:sz w:val="17"/>
              </w:rPr>
              <w:t>76</w:t>
            </w:r>
          </w:p>
        </w:tc>
        <w:tc>
          <w:tcPr>
            <w:tcW w:type="dxa" w:w="2535"/>
            <w:vAlign w:val="center"/>
          </w:tcPr>
          <w:p>
            <w:pPr>
              <w:spacing w:after="0"/>
              <w:jc w:val="center"/>
            </w:pPr>
            <w:r/>
            <w:r>
              <w:rPr>
                <w:rFonts w:ascii="Calibri" w:hAnsi="Calibri"/>
                <w:b w:val="0"/>
                <w:sz w:val="17"/>
              </w:rPr>
              <w:t>475</w:t>
            </w:r>
          </w:p>
        </w:tc>
        <w:tc>
          <w:tcPr>
            <w:tcW w:type="dxa" w:w="2535"/>
            <w:vAlign w:val="center"/>
          </w:tcPr>
          <w:p>
            <w:pPr>
              <w:spacing w:after="0"/>
              <w:jc w:val="center"/>
            </w:pPr>
            <w:r/>
            <w:r>
              <w:rPr>
                <w:rFonts w:ascii="Calibri" w:hAnsi="Calibri"/>
                <w:b w:val="0"/>
                <w:sz w:val="17"/>
              </w:rPr>
              <w:t>59</w:t>
            </w:r>
          </w:p>
        </w:tc>
      </w:tr>
      <w:tr>
        <w:tc>
          <w:tcPr>
            <w:tcW w:type="dxa" w:w="2535"/>
            <w:vAlign w:val="center"/>
          </w:tcPr>
          <w:p>
            <w:pPr>
              <w:spacing w:after="0"/>
              <w:jc w:val="left"/>
            </w:pPr>
            <w:r/>
            <w:r>
              <w:rPr>
                <w:rFonts w:ascii="Calibri" w:hAnsi="Calibri"/>
                <w:b w:val="0"/>
                <w:sz w:val="17"/>
              </w:rPr>
              <w:t>FL_to_SRI_defaced</w:t>
            </w:r>
          </w:p>
        </w:tc>
        <w:tc>
          <w:tcPr>
            <w:tcW w:type="dxa" w:w="2535"/>
            <w:vAlign w:val="center"/>
          </w:tcPr>
          <w:p>
            <w:pPr>
              <w:spacing w:after="0"/>
              <w:jc w:val="center"/>
            </w:pPr>
            <w:r/>
            <w:r>
              <w:rPr>
                <w:rFonts w:ascii="Calibri" w:hAnsi="Calibri"/>
                <w:b w:val="0"/>
                <w:sz w:val="17"/>
              </w:rPr>
              <w:t>77</w:t>
            </w:r>
          </w:p>
        </w:tc>
        <w:tc>
          <w:tcPr>
            <w:tcW w:type="dxa" w:w="2535"/>
            <w:vAlign w:val="center"/>
          </w:tcPr>
          <w:p>
            <w:pPr>
              <w:spacing w:after="0"/>
              <w:jc w:val="center"/>
            </w:pPr>
            <w:r/>
            <w:r>
              <w:rPr>
                <w:rFonts w:ascii="Calibri" w:hAnsi="Calibri"/>
                <w:b w:val="0"/>
                <w:sz w:val="17"/>
              </w:rPr>
              <w:t>475</w:t>
            </w:r>
          </w:p>
        </w:tc>
        <w:tc>
          <w:tcPr>
            <w:tcW w:type="dxa" w:w="2535"/>
            <w:vAlign w:val="center"/>
          </w:tcPr>
          <w:p>
            <w:pPr>
              <w:spacing w:after="0"/>
              <w:jc w:val="center"/>
            </w:pPr>
            <w:r/>
            <w:r>
              <w:rPr>
                <w:rFonts w:ascii="Calibri" w:hAnsi="Calibri"/>
                <w:b w:val="0"/>
                <w:sz w:val="17"/>
              </w:rPr>
              <w:t>53</w:t>
            </w:r>
          </w:p>
        </w:tc>
      </w:tr>
      <w:tr>
        <w:tc>
          <w:tcPr>
            <w:tcW w:type="dxa" w:w="2535"/>
            <w:vAlign w:val="center"/>
          </w:tcPr>
          <w:p>
            <w:pPr>
              <w:spacing w:after="0"/>
              <w:jc w:val="left"/>
            </w:pPr>
            <w:r/>
            <w:r>
              <w:rPr>
                <w:rFonts w:ascii="Calibri" w:hAnsi="Calibri"/>
                <w:b w:val="0"/>
                <w:sz w:val="17"/>
              </w:rPr>
              <w:t>FL_to_SRI_defaced</w:t>
            </w:r>
          </w:p>
        </w:tc>
        <w:tc>
          <w:tcPr>
            <w:tcW w:type="dxa" w:w="2535"/>
            <w:vAlign w:val="center"/>
          </w:tcPr>
          <w:p>
            <w:pPr>
              <w:spacing w:after="0"/>
              <w:jc w:val="center"/>
            </w:pPr>
            <w:r/>
            <w:r>
              <w:rPr>
                <w:rFonts w:ascii="Calibri" w:hAnsi="Calibri"/>
                <w:b w:val="0"/>
                <w:sz w:val="17"/>
              </w:rPr>
              <w:t>78</w:t>
            </w:r>
          </w:p>
        </w:tc>
        <w:tc>
          <w:tcPr>
            <w:tcW w:type="dxa" w:w="2535"/>
            <w:vAlign w:val="center"/>
          </w:tcPr>
          <w:p>
            <w:pPr>
              <w:spacing w:after="0"/>
              <w:jc w:val="center"/>
            </w:pPr>
            <w:r/>
            <w:r>
              <w:rPr>
                <w:rFonts w:ascii="Calibri" w:hAnsi="Calibri"/>
                <w:b w:val="0"/>
                <w:sz w:val="17"/>
              </w:rPr>
              <w:t>474</w:t>
            </w:r>
          </w:p>
        </w:tc>
        <w:tc>
          <w:tcPr>
            <w:tcW w:type="dxa" w:w="2535"/>
            <w:vAlign w:val="center"/>
          </w:tcPr>
          <w:p>
            <w:pPr>
              <w:spacing w:after="0"/>
              <w:jc w:val="center"/>
            </w:pPr>
            <w:r/>
            <w:r>
              <w:rPr>
                <w:rFonts w:ascii="Calibri" w:hAnsi="Calibri"/>
                <w:b w:val="0"/>
                <w:sz w:val="17"/>
              </w:rPr>
              <w:t>55</w:t>
            </w:r>
          </w:p>
        </w:tc>
      </w:tr>
      <w:tr>
        <w:tc>
          <w:tcPr>
            <w:tcW w:type="dxa" w:w="2535"/>
            <w:vAlign w:val="center"/>
          </w:tcPr>
          <w:p>
            <w:pPr>
              <w:spacing w:after="0"/>
              <w:jc w:val="left"/>
            </w:pPr>
            <w:r/>
            <w:r>
              <w:rPr>
                <w:rFonts w:ascii="Calibri" w:hAnsi="Calibri"/>
                <w:b w:val="0"/>
                <w:sz w:val="17"/>
              </w:rPr>
              <w:t>T2_to_SRI_defaced</w:t>
            </w:r>
          </w:p>
        </w:tc>
        <w:tc>
          <w:tcPr>
            <w:tcW w:type="dxa" w:w="2535"/>
            <w:vAlign w:val="center"/>
          </w:tcPr>
          <w:p>
            <w:pPr>
              <w:spacing w:after="0"/>
              <w:jc w:val="center"/>
            </w:pPr>
            <w:r/>
            <w:r>
              <w:rPr>
                <w:rFonts w:ascii="Calibri" w:hAnsi="Calibri"/>
                <w:b w:val="0"/>
                <w:sz w:val="17"/>
              </w:rPr>
              <w:t>76</w:t>
            </w:r>
          </w:p>
        </w:tc>
        <w:tc>
          <w:tcPr>
            <w:tcW w:type="dxa" w:w="2535"/>
            <w:vAlign w:val="center"/>
          </w:tcPr>
          <w:p>
            <w:pPr>
              <w:spacing w:after="0"/>
              <w:jc w:val="center"/>
            </w:pPr>
            <w:r/>
            <w:r>
              <w:rPr>
                <w:rFonts w:ascii="Calibri" w:hAnsi="Calibri"/>
                <w:b w:val="0"/>
                <w:sz w:val="17"/>
              </w:rPr>
              <w:t>475</w:t>
            </w:r>
          </w:p>
        </w:tc>
        <w:tc>
          <w:tcPr>
            <w:tcW w:type="dxa" w:w="2535"/>
            <w:vAlign w:val="center"/>
          </w:tcPr>
          <w:p>
            <w:pPr>
              <w:spacing w:after="0"/>
              <w:jc w:val="center"/>
            </w:pPr>
            <w:r/>
            <w:r>
              <w:rPr>
                <w:rFonts w:ascii="Calibri" w:hAnsi="Calibri"/>
                <w:b w:val="0"/>
                <w:sz w:val="17"/>
              </w:rPr>
              <w:t>57</w:t>
            </w:r>
          </w:p>
        </w:tc>
      </w:tr>
      <w:tr>
        <w:tc>
          <w:tcPr>
            <w:tcW w:type="dxa" w:w="2535"/>
            <w:vAlign w:val="center"/>
          </w:tcPr>
          <w:p>
            <w:pPr>
              <w:spacing w:after="0"/>
              <w:jc w:val="left"/>
            </w:pPr>
            <w:r/>
            <w:r>
              <w:rPr>
                <w:rFonts w:ascii="Calibri" w:hAnsi="Calibri"/>
                <w:b w:val="0"/>
                <w:sz w:val="17"/>
              </w:rPr>
              <w:t>T2_to_SRI_defaced</w:t>
            </w:r>
          </w:p>
        </w:tc>
        <w:tc>
          <w:tcPr>
            <w:tcW w:type="dxa" w:w="2535"/>
            <w:vAlign w:val="center"/>
          </w:tcPr>
          <w:p>
            <w:pPr>
              <w:spacing w:after="0"/>
              <w:jc w:val="center"/>
            </w:pPr>
            <w:r/>
            <w:r>
              <w:rPr>
                <w:rFonts w:ascii="Calibri" w:hAnsi="Calibri"/>
                <w:b w:val="0"/>
                <w:sz w:val="17"/>
              </w:rPr>
              <w:t>77</w:t>
            </w:r>
          </w:p>
        </w:tc>
        <w:tc>
          <w:tcPr>
            <w:tcW w:type="dxa" w:w="2535"/>
            <w:vAlign w:val="center"/>
          </w:tcPr>
          <w:p>
            <w:pPr>
              <w:spacing w:after="0"/>
              <w:jc w:val="center"/>
            </w:pPr>
            <w:r/>
            <w:r>
              <w:rPr>
                <w:rFonts w:ascii="Calibri" w:hAnsi="Calibri"/>
                <w:b w:val="0"/>
                <w:sz w:val="17"/>
              </w:rPr>
              <w:t>474</w:t>
            </w:r>
          </w:p>
        </w:tc>
        <w:tc>
          <w:tcPr>
            <w:tcW w:type="dxa" w:w="2535"/>
            <w:vAlign w:val="center"/>
          </w:tcPr>
          <w:p>
            <w:pPr>
              <w:spacing w:after="0"/>
              <w:jc w:val="center"/>
            </w:pPr>
            <w:r/>
            <w:r>
              <w:rPr>
                <w:rFonts w:ascii="Calibri" w:hAnsi="Calibri"/>
                <w:b w:val="0"/>
                <w:sz w:val="17"/>
              </w:rPr>
              <w:t>57</w:t>
            </w:r>
          </w:p>
        </w:tc>
      </w:tr>
      <w:tr>
        <w:tc>
          <w:tcPr>
            <w:tcW w:type="dxa" w:w="2535"/>
            <w:vAlign w:val="center"/>
          </w:tcPr>
          <w:p>
            <w:pPr>
              <w:spacing w:after="0"/>
              <w:jc w:val="left"/>
            </w:pPr>
            <w:r/>
            <w:r>
              <w:rPr>
                <w:rFonts w:ascii="Calibri" w:hAnsi="Calibri"/>
                <w:b w:val="0"/>
                <w:sz w:val="17"/>
              </w:rPr>
              <w:t>T2_to_SRI_defaced</w:t>
            </w:r>
          </w:p>
        </w:tc>
        <w:tc>
          <w:tcPr>
            <w:tcW w:type="dxa" w:w="2535"/>
            <w:vAlign w:val="center"/>
          </w:tcPr>
          <w:p>
            <w:pPr>
              <w:spacing w:after="0"/>
              <w:jc w:val="center"/>
            </w:pPr>
            <w:r/>
            <w:r>
              <w:rPr>
                <w:rFonts w:ascii="Calibri" w:hAnsi="Calibri"/>
                <w:b w:val="0"/>
                <w:sz w:val="17"/>
              </w:rPr>
              <w:t>78</w:t>
            </w:r>
          </w:p>
        </w:tc>
        <w:tc>
          <w:tcPr>
            <w:tcW w:type="dxa" w:w="2535"/>
            <w:vAlign w:val="center"/>
          </w:tcPr>
          <w:p>
            <w:pPr>
              <w:spacing w:after="0"/>
              <w:jc w:val="center"/>
            </w:pPr>
            <w:r/>
            <w:r>
              <w:rPr>
                <w:rFonts w:ascii="Calibri" w:hAnsi="Calibri"/>
                <w:b w:val="0"/>
                <w:sz w:val="17"/>
              </w:rPr>
              <w:t>473</w:t>
            </w:r>
          </w:p>
        </w:tc>
        <w:tc>
          <w:tcPr>
            <w:tcW w:type="dxa" w:w="2535"/>
            <w:vAlign w:val="center"/>
          </w:tcPr>
          <w:p>
            <w:pPr>
              <w:spacing w:after="0"/>
              <w:jc w:val="center"/>
            </w:pPr>
            <w:r/>
            <w:r>
              <w:rPr>
                <w:rFonts w:ascii="Calibri" w:hAnsi="Calibri"/>
                <w:b w:val="0"/>
                <w:sz w:val="17"/>
              </w:rPr>
              <w:t>55</w:t>
            </w:r>
          </w:p>
        </w:tc>
      </w:tr>
      <w:tr>
        <w:tc>
          <w:tcPr>
            <w:tcW w:type="dxa" w:w="2535"/>
            <w:vAlign w:val="center"/>
          </w:tcPr>
          <w:p>
            <w:pPr>
              <w:spacing w:after="0"/>
              <w:jc w:val="left"/>
            </w:pPr>
            <w:r/>
            <w:r>
              <w:rPr>
                <w:rFonts w:ascii="Calibri" w:hAnsi="Calibri"/>
                <w:b w:val="0"/>
                <w:sz w:val="17"/>
              </w:rPr>
              <w:t>T1CE_to_SRI_defaced</w:t>
            </w:r>
          </w:p>
        </w:tc>
        <w:tc>
          <w:tcPr>
            <w:tcW w:type="dxa" w:w="2535"/>
            <w:vAlign w:val="center"/>
          </w:tcPr>
          <w:p>
            <w:pPr>
              <w:spacing w:after="0"/>
              <w:jc w:val="center"/>
            </w:pPr>
            <w:r/>
            <w:r>
              <w:rPr>
                <w:rFonts w:ascii="Calibri" w:hAnsi="Calibri"/>
                <w:b w:val="0"/>
                <w:sz w:val="17"/>
              </w:rPr>
              <w:t>76</w:t>
            </w:r>
          </w:p>
        </w:tc>
        <w:tc>
          <w:tcPr>
            <w:tcW w:type="dxa" w:w="2535"/>
            <w:vAlign w:val="center"/>
          </w:tcPr>
          <w:p>
            <w:pPr>
              <w:spacing w:after="0"/>
              <w:jc w:val="center"/>
            </w:pPr>
            <w:r/>
            <w:r>
              <w:rPr>
                <w:rFonts w:ascii="Calibri" w:hAnsi="Calibri"/>
                <w:b w:val="0"/>
                <w:sz w:val="17"/>
              </w:rPr>
              <w:t>450</w:t>
            </w:r>
          </w:p>
        </w:tc>
        <w:tc>
          <w:tcPr>
            <w:tcW w:type="dxa" w:w="2535"/>
            <w:vAlign w:val="center"/>
          </w:tcPr>
          <w:p>
            <w:pPr>
              <w:spacing w:after="0"/>
              <w:jc w:val="center"/>
            </w:pPr>
            <w:r/>
            <w:r>
              <w:rPr>
                <w:rFonts w:ascii="Calibri" w:hAnsi="Calibri"/>
                <w:b w:val="0"/>
                <w:sz w:val="17"/>
              </w:rPr>
              <w:t>46</w:t>
            </w:r>
          </w:p>
        </w:tc>
      </w:tr>
      <w:tr>
        <w:tc>
          <w:tcPr>
            <w:tcW w:type="dxa" w:w="2535"/>
            <w:vAlign w:val="center"/>
          </w:tcPr>
          <w:p>
            <w:pPr>
              <w:spacing w:after="0"/>
              <w:jc w:val="left"/>
            </w:pPr>
            <w:r/>
            <w:r>
              <w:rPr>
                <w:rFonts w:ascii="Calibri" w:hAnsi="Calibri"/>
                <w:b w:val="0"/>
                <w:sz w:val="17"/>
              </w:rPr>
              <w:t>T1CE_to_SRI_defaced</w:t>
            </w:r>
          </w:p>
        </w:tc>
        <w:tc>
          <w:tcPr>
            <w:tcW w:type="dxa" w:w="2535"/>
            <w:vAlign w:val="center"/>
          </w:tcPr>
          <w:p>
            <w:pPr>
              <w:spacing w:after="0"/>
              <w:jc w:val="center"/>
            </w:pPr>
            <w:r/>
            <w:r>
              <w:rPr>
                <w:rFonts w:ascii="Calibri" w:hAnsi="Calibri"/>
                <w:b w:val="0"/>
                <w:sz w:val="17"/>
              </w:rPr>
              <w:t>77</w:t>
            </w:r>
          </w:p>
        </w:tc>
        <w:tc>
          <w:tcPr>
            <w:tcW w:type="dxa" w:w="2535"/>
            <w:vAlign w:val="center"/>
          </w:tcPr>
          <w:p>
            <w:pPr>
              <w:spacing w:after="0"/>
              <w:jc w:val="center"/>
            </w:pPr>
            <w:r/>
            <w:r>
              <w:rPr>
                <w:rFonts w:ascii="Calibri" w:hAnsi="Calibri"/>
                <w:b w:val="0"/>
                <w:sz w:val="17"/>
              </w:rPr>
              <w:t>447</w:t>
            </w:r>
          </w:p>
        </w:tc>
        <w:tc>
          <w:tcPr>
            <w:tcW w:type="dxa" w:w="2535"/>
            <w:vAlign w:val="center"/>
          </w:tcPr>
          <w:p>
            <w:pPr>
              <w:spacing w:after="0"/>
              <w:jc w:val="center"/>
            </w:pPr>
            <w:r/>
            <w:r>
              <w:rPr>
                <w:rFonts w:ascii="Calibri" w:hAnsi="Calibri"/>
                <w:b w:val="0"/>
                <w:sz w:val="17"/>
              </w:rPr>
              <w:t>45</w:t>
            </w:r>
          </w:p>
        </w:tc>
      </w:tr>
      <w:tr>
        <w:tc>
          <w:tcPr>
            <w:tcW w:type="dxa" w:w="2535"/>
            <w:vAlign w:val="center"/>
          </w:tcPr>
          <w:p>
            <w:pPr>
              <w:spacing w:after="0"/>
              <w:jc w:val="left"/>
            </w:pPr>
            <w:r/>
            <w:r>
              <w:rPr>
                <w:rFonts w:ascii="Calibri" w:hAnsi="Calibri"/>
                <w:b w:val="0"/>
                <w:sz w:val="17"/>
              </w:rPr>
              <w:t>T1CE_to_SRI_defaced</w:t>
            </w:r>
          </w:p>
        </w:tc>
        <w:tc>
          <w:tcPr>
            <w:tcW w:type="dxa" w:w="2535"/>
            <w:vAlign w:val="center"/>
          </w:tcPr>
          <w:p>
            <w:pPr>
              <w:spacing w:after="0"/>
              <w:jc w:val="center"/>
            </w:pPr>
            <w:r/>
            <w:r>
              <w:rPr>
                <w:rFonts w:ascii="Calibri" w:hAnsi="Calibri"/>
                <w:b w:val="0"/>
                <w:sz w:val="17"/>
              </w:rPr>
              <w:t>78</w:t>
            </w:r>
          </w:p>
        </w:tc>
        <w:tc>
          <w:tcPr>
            <w:tcW w:type="dxa" w:w="2535"/>
            <w:vAlign w:val="center"/>
          </w:tcPr>
          <w:p>
            <w:pPr>
              <w:spacing w:after="0"/>
              <w:jc w:val="center"/>
            </w:pPr>
            <w:r/>
            <w:r>
              <w:rPr>
                <w:rFonts w:ascii="Calibri" w:hAnsi="Calibri"/>
                <w:b w:val="0"/>
                <w:sz w:val="17"/>
              </w:rPr>
              <w:t>446</w:t>
            </w:r>
          </w:p>
        </w:tc>
        <w:tc>
          <w:tcPr>
            <w:tcW w:type="dxa" w:w="2535"/>
            <w:vAlign w:val="center"/>
          </w:tcPr>
          <w:p>
            <w:pPr>
              <w:spacing w:after="0"/>
              <w:jc w:val="center"/>
            </w:pPr>
            <w:r/>
            <w:r>
              <w:rPr>
                <w:rFonts w:ascii="Calibri" w:hAnsi="Calibri"/>
                <w:b w:val="0"/>
                <w:sz w:val="17"/>
              </w:rPr>
              <w:t>46</w:t>
            </w:r>
          </w:p>
        </w:tc>
      </w:tr>
    </w:tbl>
    <w:p/>
    <w:p>
      <w:pPr>
        <w:jc w:val="center"/>
      </w:pPr>
      <w:r>
        <w:drawing>
          <wp:inline xmlns:a="http://schemas.openxmlformats.org/drawingml/2006/main" xmlns:pic="http://schemas.openxmlformats.org/drawingml/2006/picture">
            <wp:extent cx="6126480" cy="2771503"/>
            <wp:docPr id="1" name="Picture 1"/>
            <wp:cNvGraphicFramePr>
              <a:graphicFrameLocks noChangeAspect="1"/>
            </wp:cNvGraphicFramePr>
            <a:graphic>
              <a:graphicData uri="http://schemas.openxmlformats.org/drawingml/2006/picture">
                <pic:pic>
                  <pic:nvPicPr>
                    <pic:cNvPr id="0" name="human_a2_chain_hull.png"/>
                    <pic:cNvPicPr/>
                  </pic:nvPicPr>
                  <pic:blipFill>
                    <a:blip r:embed="rId10"/>
                    <a:stretch>
                      <a:fillRect/>
                    </a:stretch>
                  </pic:blipFill>
                  <pic:spPr>
                    <a:xfrm>
                      <a:off x="0" y="0"/>
                      <a:ext cx="6126480" cy="2771503"/>
                    </a:xfrm>
                    <a:prstGeom prst="rect"/>
                  </pic:spPr>
                </pic:pic>
              </a:graphicData>
            </a:graphic>
          </wp:inline>
        </w:drawing>
      </w:r>
    </w:p>
    <w:p>
      <w:pPr>
        <w:spacing w:after="160"/>
        <w:jc w:val="center"/>
      </w:pPr>
      <w:r>
        <w:rPr>
          <w:i/>
          <w:color w:val="5F5F5F"/>
          <w:sz w:val="18"/>
        </w:rPr>
        <w:t>Figure 1. Chain code length and convex hull vertices for processed slices.</w:t>
      </w:r>
    </w:p>
    <w:p>
      <w:pPr>
        <w:pStyle w:val="Heading2"/>
      </w:pPr>
      <w:r>
        <w:t>Processed Labels</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vAlign w:val="center"/>
            <w:shd w:fill="E2F0D9"/>
          </w:tcPr>
          <w:p>
            <w:pPr>
              <w:spacing w:after="0"/>
              <w:jc w:val="center"/>
            </w:pPr>
            <w:r/>
            <w:r>
              <w:rPr>
                <w:rFonts w:ascii="Calibri" w:hAnsi="Calibri"/>
                <w:b/>
                <w:color w:val="1F4E79"/>
                <w:sz w:val="17"/>
              </w:rPr>
              <w:t>Label</w:t>
            </w:r>
          </w:p>
        </w:tc>
        <w:tc>
          <w:tcPr>
            <w:tcW w:type="dxa" w:w="2535"/>
            <w:vAlign w:val="center"/>
            <w:shd w:fill="E2F0D9"/>
          </w:tcPr>
          <w:p>
            <w:pPr>
              <w:spacing w:after="0"/>
              <w:jc w:val="center"/>
            </w:pPr>
            <w:r/>
            <w:r>
              <w:rPr>
                <w:rFonts w:ascii="Calibri" w:hAnsi="Calibri"/>
                <w:b/>
                <w:color w:val="1F4E79"/>
                <w:sz w:val="17"/>
              </w:rPr>
              <w:t>Rows</w:t>
            </w:r>
          </w:p>
        </w:tc>
        <w:tc>
          <w:tcPr>
            <w:tcW w:type="dxa" w:w="2535"/>
            <w:vAlign w:val="center"/>
            <w:shd w:fill="E2F0D9"/>
          </w:tcPr>
          <w:p>
            <w:pPr>
              <w:spacing w:after="0"/>
              <w:jc w:val="center"/>
            </w:pPr>
            <w:r/>
            <w:r>
              <w:rPr>
                <w:rFonts w:ascii="Calibri" w:hAnsi="Calibri"/>
                <w:b/>
                <w:color w:val="1F4E79"/>
                <w:sz w:val="17"/>
              </w:rPr>
              <w:t>Average Chain</w:t>
            </w:r>
          </w:p>
        </w:tc>
        <w:tc>
          <w:tcPr>
            <w:tcW w:type="dxa" w:w="2535"/>
            <w:vAlign w:val="center"/>
            <w:shd w:fill="E2F0D9"/>
          </w:tcPr>
          <w:p>
            <w:pPr>
              <w:spacing w:after="0"/>
              <w:jc w:val="center"/>
            </w:pPr>
            <w:r/>
            <w:r>
              <w:rPr>
                <w:rFonts w:ascii="Calibri" w:hAnsi="Calibri"/>
                <w:b/>
                <w:color w:val="1F4E79"/>
                <w:sz w:val="17"/>
              </w:rPr>
              <w:t>Average Hull</w:t>
            </w:r>
          </w:p>
        </w:tc>
      </w:tr>
      <w:tr>
        <w:tc>
          <w:tcPr>
            <w:tcW w:type="dxa" w:w="2535"/>
            <w:vAlign w:val="center"/>
          </w:tcPr>
          <w:p>
            <w:pPr>
              <w:spacing w:after="0"/>
              <w:jc w:val="left"/>
            </w:pPr>
            <w:r/>
            <w:r>
              <w:rPr>
                <w:rFonts w:ascii="Calibri" w:hAnsi="Calibri"/>
                <w:b w:val="0"/>
                <w:sz w:val="17"/>
              </w:rPr>
              <w:t>T1CE_to_SRI_defaced</w:t>
            </w:r>
          </w:p>
        </w:tc>
        <w:tc>
          <w:tcPr>
            <w:tcW w:type="dxa" w:w="2535"/>
            <w:vAlign w:val="center"/>
          </w:tcPr>
          <w:p>
            <w:pPr>
              <w:spacing w:after="0"/>
              <w:jc w:val="center"/>
            </w:pPr>
            <w:r/>
            <w:r>
              <w:rPr>
                <w:rFonts w:ascii="Calibri" w:hAnsi="Calibri"/>
                <w:b w:val="0"/>
                <w:sz w:val="17"/>
              </w:rPr>
              <w:t>6</w:t>
            </w:r>
          </w:p>
        </w:tc>
        <w:tc>
          <w:tcPr>
            <w:tcW w:type="dxa" w:w="2535"/>
            <w:vAlign w:val="center"/>
          </w:tcPr>
          <w:p>
            <w:pPr>
              <w:spacing w:after="0"/>
              <w:jc w:val="center"/>
            </w:pPr>
            <w:r/>
            <w:r>
              <w:rPr>
                <w:rFonts w:ascii="Calibri" w:hAnsi="Calibri"/>
                <w:b w:val="0"/>
                <w:sz w:val="17"/>
              </w:rPr>
              <w:t>461.8</w:t>
            </w:r>
          </w:p>
        </w:tc>
        <w:tc>
          <w:tcPr>
            <w:tcW w:type="dxa" w:w="2535"/>
            <w:vAlign w:val="center"/>
          </w:tcPr>
          <w:p>
            <w:pPr>
              <w:spacing w:after="0"/>
              <w:jc w:val="center"/>
            </w:pPr>
            <w:r/>
            <w:r>
              <w:rPr>
                <w:rFonts w:ascii="Calibri" w:hAnsi="Calibri"/>
                <w:b w:val="0"/>
                <w:sz w:val="17"/>
              </w:rPr>
              <w:t>50.5</w:t>
            </w:r>
          </w:p>
        </w:tc>
      </w:tr>
      <w:tr>
        <w:tc>
          <w:tcPr>
            <w:tcW w:type="dxa" w:w="2535"/>
            <w:vAlign w:val="center"/>
          </w:tcPr>
          <w:p>
            <w:pPr>
              <w:spacing w:after="0"/>
              <w:jc w:val="left"/>
            </w:pPr>
            <w:r/>
            <w:r>
              <w:rPr>
                <w:rFonts w:ascii="Calibri" w:hAnsi="Calibri"/>
                <w:b w:val="0"/>
                <w:sz w:val="17"/>
              </w:rPr>
              <w:t>T1_to_SRI_defaced</w:t>
            </w:r>
          </w:p>
        </w:tc>
        <w:tc>
          <w:tcPr>
            <w:tcW w:type="dxa" w:w="2535"/>
            <w:vAlign w:val="center"/>
          </w:tcPr>
          <w:p>
            <w:pPr>
              <w:spacing w:after="0"/>
              <w:jc w:val="center"/>
            </w:pPr>
            <w:r/>
            <w:r>
              <w:rPr>
                <w:rFonts w:ascii="Calibri" w:hAnsi="Calibri"/>
                <w:b w:val="0"/>
                <w:sz w:val="17"/>
              </w:rPr>
              <w:t>3</w:t>
            </w:r>
          </w:p>
        </w:tc>
        <w:tc>
          <w:tcPr>
            <w:tcW w:type="dxa" w:w="2535"/>
            <w:vAlign w:val="center"/>
          </w:tcPr>
          <w:p>
            <w:pPr>
              <w:spacing w:after="0"/>
              <w:jc w:val="center"/>
            </w:pPr>
            <w:r/>
            <w:r>
              <w:rPr>
                <w:rFonts w:ascii="Calibri" w:hAnsi="Calibri"/>
                <w:b w:val="0"/>
                <w:sz w:val="17"/>
              </w:rPr>
              <w:t>475.3</w:t>
            </w:r>
          </w:p>
        </w:tc>
        <w:tc>
          <w:tcPr>
            <w:tcW w:type="dxa" w:w="2535"/>
            <w:vAlign w:val="center"/>
          </w:tcPr>
          <w:p>
            <w:pPr>
              <w:spacing w:after="0"/>
              <w:jc w:val="center"/>
            </w:pPr>
            <w:r/>
            <w:r>
              <w:rPr>
                <w:rFonts w:ascii="Calibri" w:hAnsi="Calibri"/>
                <w:b w:val="0"/>
                <w:sz w:val="17"/>
              </w:rPr>
              <w:t>57.0</w:t>
            </w:r>
          </w:p>
        </w:tc>
      </w:tr>
      <w:tr>
        <w:tc>
          <w:tcPr>
            <w:tcW w:type="dxa" w:w="2535"/>
            <w:vAlign w:val="center"/>
          </w:tcPr>
          <w:p>
            <w:pPr>
              <w:spacing w:after="0"/>
              <w:jc w:val="left"/>
            </w:pPr>
            <w:r/>
            <w:r>
              <w:rPr>
                <w:rFonts w:ascii="Calibri" w:hAnsi="Calibri"/>
                <w:b w:val="0"/>
                <w:sz w:val="17"/>
              </w:rPr>
              <w:t>FL_to_SRI_defaced</w:t>
            </w:r>
          </w:p>
        </w:tc>
        <w:tc>
          <w:tcPr>
            <w:tcW w:type="dxa" w:w="2535"/>
            <w:vAlign w:val="center"/>
          </w:tcPr>
          <w:p>
            <w:pPr>
              <w:spacing w:after="0"/>
              <w:jc w:val="center"/>
            </w:pPr>
            <w:r/>
            <w:r>
              <w:rPr>
                <w:rFonts w:ascii="Calibri" w:hAnsi="Calibri"/>
                <w:b w:val="0"/>
                <w:sz w:val="17"/>
              </w:rPr>
              <w:t>3</w:t>
            </w:r>
          </w:p>
        </w:tc>
        <w:tc>
          <w:tcPr>
            <w:tcW w:type="dxa" w:w="2535"/>
            <w:vAlign w:val="center"/>
          </w:tcPr>
          <w:p>
            <w:pPr>
              <w:spacing w:after="0"/>
              <w:jc w:val="center"/>
            </w:pPr>
            <w:r/>
            <w:r>
              <w:rPr>
                <w:rFonts w:ascii="Calibri" w:hAnsi="Calibri"/>
                <w:b w:val="0"/>
                <w:sz w:val="17"/>
              </w:rPr>
              <w:t>474.7</w:t>
            </w:r>
          </w:p>
        </w:tc>
        <w:tc>
          <w:tcPr>
            <w:tcW w:type="dxa" w:w="2535"/>
            <w:vAlign w:val="center"/>
          </w:tcPr>
          <w:p>
            <w:pPr>
              <w:spacing w:after="0"/>
              <w:jc w:val="center"/>
            </w:pPr>
            <w:r/>
            <w:r>
              <w:rPr>
                <w:rFonts w:ascii="Calibri" w:hAnsi="Calibri"/>
                <w:b w:val="0"/>
                <w:sz w:val="17"/>
              </w:rPr>
              <w:t>55.7</w:t>
            </w:r>
          </w:p>
        </w:tc>
      </w:tr>
      <w:tr>
        <w:tc>
          <w:tcPr>
            <w:tcW w:type="dxa" w:w="2535"/>
            <w:vAlign w:val="center"/>
          </w:tcPr>
          <w:p>
            <w:pPr>
              <w:spacing w:after="0"/>
              <w:jc w:val="left"/>
            </w:pPr>
            <w:r/>
            <w:r>
              <w:rPr>
                <w:rFonts w:ascii="Calibri" w:hAnsi="Calibri"/>
                <w:b w:val="0"/>
                <w:sz w:val="17"/>
              </w:rPr>
              <w:t>T2_to_SRI_defaced</w:t>
            </w:r>
          </w:p>
        </w:tc>
        <w:tc>
          <w:tcPr>
            <w:tcW w:type="dxa" w:w="2535"/>
            <w:vAlign w:val="center"/>
          </w:tcPr>
          <w:p>
            <w:pPr>
              <w:spacing w:after="0"/>
              <w:jc w:val="center"/>
            </w:pPr>
            <w:r/>
            <w:r>
              <w:rPr>
                <w:rFonts w:ascii="Calibri" w:hAnsi="Calibri"/>
                <w:b w:val="0"/>
                <w:sz w:val="17"/>
              </w:rPr>
              <w:t>3</w:t>
            </w:r>
          </w:p>
        </w:tc>
        <w:tc>
          <w:tcPr>
            <w:tcW w:type="dxa" w:w="2535"/>
            <w:vAlign w:val="center"/>
          </w:tcPr>
          <w:p>
            <w:pPr>
              <w:spacing w:after="0"/>
              <w:jc w:val="center"/>
            </w:pPr>
            <w:r/>
            <w:r>
              <w:rPr>
                <w:rFonts w:ascii="Calibri" w:hAnsi="Calibri"/>
                <w:b w:val="0"/>
                <w:sz w:val="17"/>
              </w:rPr>
              <w:t>474.0</w:t>
            </w:r>
          </w:p>
        </w:tc>
        <w:tc>
          <w:tcPr>
            <w:tcW w:type="dxa" w:w="2535"/>
            <w:vAlign w:val="center"/>
          </w:tcPr>
          <w:p>
            <w:pPr>
              <w:spacing w:after="0"/>
              <w:jc w:val="center"/>
            </w:pPr>
            <w:r/>
            <w:r>
              <w:rPr>
                <w:rFonts w:ascii="Calibri" w:hAnsi="Calibri"/>
                <w:b w:val="0"/>
                <w:sz w:val="17"/>
              </w:rPr>
              <w:t>56.3</w:t>
            </w:r>
          </w:p>
        </w:tc>
      </w:tr>
    </w:tbl>
    <w:p/>
    <w:p>
      <w:pPr>
        <w:pStyle w:val="Heading1"/>
      </w:pPr>
      <w:r>
        <w:t>Visual Results</w:t>
      </w:r>
    </w:p>
    <w:p>
      <w:pPr>
        <w:spacing w:after="120"/>
        <w:jc w:val="both"/>
      </w:pPr>
      <w:r>
        <w:t>The visual results are the most useful part of this assignment because they show each step clearly. The mask figure shows how Canny and Sobel detected edges. The morphology figure shows how the mask changed. The chain code and convex hull figures show how the final boundary was represented.</w:t>
      </w:r>
    </w:p>
    <w:p>
      <w:pPr>
        <w:jc w:val="center"/>
      </w:pPr>
      <w:r>
        <w:drawing>
          <wp:inline xmlns:a="http://schemas.openxmlformats.org/drawingml/2006/main" xmlns:pic="http://schemas.openxmlformats.org/drawingml/2006/picture">
            <wp:extent cx="6035040" cy="1229743"/>
            <wp:docPr id="2" name="Picture 2"/>
            <wp:cNvGraphicFramePr>
              <a:graphicFrameLocks noChangeAspect="1"/>
            </wp:cNvGraphicFramePr>
            <a:graphic>
              <a:graphicData uri="http://schemas.openxmlformats.org/drawingml/2006/picture">
                <pic:pic>
                  <pic:nvPicPr>
                    <pic:cNvPr id="0" name="T1CE_to_SRI_defaced_z0077_masks.png"/>
                    <pic:cNvPicPr/>
                  </pic:nvPicPr>
                  <pic:blipFill>
                    <a:blip r:embed="rId11"/>
                    <a:stretch>
                      <a:fillRect/>
                    </a:stretch>
                  </pic:blipFill>
                  <pic:spPr>
                    <a:xfrm>
                      <a:off x="0" y="0"/>
                      <a:ext cx="6035040" cy="1229743"/>
                    </a:xfrm>
                    <a:prstGeom prst="rect"/>
                  </pic:spPr>
                </pic:pic>
              </a:graphicData>
            </a:graphic>
          </wp:inline>
        </w:drawing>
      </w:r>
    </w:p>
    <w:p>
      <w:pPr>
        <w:spacing w:after="160"/>
        <w:jc w:val="center"/>
      </w:pPr>
      <w:r>
        <w:rPr>
          <w:i/>
          <w:color w:val="5F5F5F"/>
          <w:sz w:val="18"/>
        </w:rPr>
        <w:t>Figure 2. Mask comparison using Canny and Sobel.</w:t>
      </w:r>
    </w:p>
    <w:p>
      <w:pPr>
        <w:jc w:val="center"/>
      </w:pPr>
      <w:r>
        <w:drawing>
          <wp:inline xmlns:a="http://schemas.openxmlformats.org/drawingml/2006/main" xmlns:pic="http://schemas.openxmlformats.org/drawingml/2006/picture">
            <wp:extent cx="6035040" cy="1229743"/>
            <wp:docPr id="3" name="Picture 3"/>
            <wp:cNvGraphicFramePr>
              <a:graphicFrameLocks noChangeAspect="1"/>
            </wp:cNvGraphicFramePr>
            <a:graphic>
              <a:graphicData uri="http://schemas.openxmlformats.org/drawingml/2006/picture">
                <pic:pic>
                  <pic:nvPicPr>
                    <pic:cNvPr id="0" name="T1CE_to_SRI_defaced_z0077_morphology.png"/>
                    <pic:cNvPicPr/>
                  </pic:nvPicPr>
                  <pic:blipFill>
                    <a:blip r:embed="rId12"/>
                    <a:stretch>
                      <a:fillRect/>
                    </a:stretch>
                  </pic:blipFill>
                  <pic:spPr>
                    <a:xfrm>
                      <a:off x="0" y="0"/>
                      <a:ext cx="6035040" cy="1229743"/>
                    </a:xfrm>
                    <a:prstGeom prst="rect"/>
                  </pic:spPr>
                </pic:pic>
              </a:graphicData>
            </a:graphic>
          </wp:inline>
        </w:drawing>
      </w:r>
    </w:p>
    <w:p>
      <w:pPr>
        <w:spacing w:after="160"/>
        <w:jc w:val="center"/>
      </w:pPr>
      <w:r>
        <w:rPr>
          <w:i/>
          <w:color w:val="5F5F5F"/>
          <w:sz w:val="18"/>
        </w:rPr>
        <w:t>Figure 3. Morphological operations on the mask.</w:t>
      </w:r>
    </w:p>
    <w:p>
      <w:pPr>
        <w:jc w:val="center"/>
      </w:pPr>
      <w:r>
        <w:drawing>
          <wp:inline xmlns:a="http://schemas.openxmlformats.org/drawingml/2006/main" xmlns:pic="http://schemas.openxmlformats.org/drawingml/2006/picture">
            <wp:extent cx="6035040" cy="3197134"/>
            <wp:docPr id="4" name="Picture 4"/>
            <wp:cNvGraphicFramePr>
              <a:graphicFrameLocks noChangeAspect="1"/>
            </wp:cNvGraphicFramePr>
            <a:graphic>
              <a:graphicData uri="http://schemas.openxmlformats.org/drawingml/2006/picture">
                <pic:pic>
                  <pic:nvPicPr>
                    <pic:cNvPr id="0" name="T1CE_to_SRI_defaced_z0077_chain.png"/>
                    <pic:cNvPicPr/>
                  </pic:nvPicPr>
                  <pic:blipFill>
                    <a:blip r:embed="rId13"/>
                    <a:stretch>
                      <a:fillRect/>
                    </a:stretch>
                  </pic:blipFill>
                  <pic:spPr>
                    <a:xfrm>
                      <a:off x="0" y="0"/>
                      <a:ext cx="6035040" cy="3197134"/>
                    </a:xfrm>
                    <a:prstGeom prst="rect"/>
                  </pic:spPr>
                </pic:pic>
              </a:graphicData>
            </a:graphic>
          </wp:inline>
        </w:drawing>
      </w:r>
    </w:p>
    <w:p>
      <w:pPr>
        <w:spacing w:after="160"/>
        <w:jc w:val="center"/>
      </w:pPr>
      <w:r>
        <w:rPr>
          <w:i/>
          <w:color w:val="5F5F5F"/>
          <w:sz w:val="18"/>
        </w:rPr>
        <w:t>Figure 4. Chain code boundary overlay.</w:t>
      </w:r>
    </w:p>
    <w:p>
      <w:pPr>
        <w:jc w:val="center"/>
      </w:pPr>
      <w:r>
        <w:drawing>
          <wp:inline xmlns:a="http://schemas.openxmlformats.org/drawingml/2006/main" xmlns:pic="http://schemas.openxmlformats.org/drawingml/2006/picture">
            <wp:extent cx="6035040" cy="3197134"/>
            <wp:docPr id="5" name="Picture 5"/>
            <wp:cNvGraphicFramePr>
              <a:graphicFrameLocks noChangeAspect="1"/>
            </wp:cNvGraphicFramePr>
            <a:graphic>
              <a:graphicData uri="http://schemas.openxmlformats.org/drawingml/2006/picture">
                <pic:pic>
                  <pic:nvPicPr>
                    <pic:cNvPr id="0" name="T1CE_to_SRI_defaced_z0077_hull.png"/>
                    <pic:cNvPicPr/>
                  </pic:nvPicPr>
                  <pic:blipFill>
                    <a:blip r:embed="rId14"/>
                    <a:stretch>
                      <a:fillRect/>
                    </a:stretch>
                  </pic:blipFill>
                  <pic:spPr>
                    <a:xfrm>
                      <a:off x="0" y="0"/>
                      <a:ext cx="6035040" cy="3197134"/>
                    </a:xfrm>
                    <a:prstGeom prst="rect"/>
                  </pic:spPr>
                </pic:pic>
              </a:graphicData>
            </a:graphic>
          </wp:inline>
        </w:drawing>
      </w:r>
    </w:p>
    <w:p>
      <w:pPr>
        <w:spacing w:after="160"/>
        <w:jc w:val="center"/>
      </w:pPr>
      <w:r>
        <w:rPr>
          <w:i/>
          <w:color w:val="5F5F5F"/>
          <w:sz w:val="18"/>
        </w:rPr>
        <w:t>Figure 5. Convex hull overlay using Graham Scan.</w:t>
      </w:r>
    </w:p>
    <w:p>
      <w:pPr>
        <w:jc w:val="center"/>
      </w:pPr>
      <w:r>
        <w:drawing>
          <wp:inline xmlns:a="http://schemas.openxmlformats.org/drawingml/2006/main" xmlns:pic="http://schemas.openxmlformats.org/drawingml/2006/picture">
            <wp:extent cx="6035040" cy="3197134"/>
            <wp:docPr id="6" name="Picture 6"/>
            <wp:cNvGraphicFramePr>
              <a:graphicFrameLocks noChangeAspect="1"/>
            </wp:cNvGraphicFramePr>
            <a:graphic>
              <a:graphicData uri="http://schemas.openxmlformats.org/drawingml/2006/picture">
                <pic:pic>
                  <pic:nvPicPr>
                    <pic:cNvPr id="0" name="T2_to_SRI_defaced_z0077_chain.png"/>
                    <pic:cNvPicPr/>
                  </pic:nvPicPr>
                  <pic:blipFill>
                    <a:blip r:embed="rId15"/>
                    <a:stretch>
                      <a:fillRect/>
                    </a:stretch>
                  </pic:blipFill>
                  <pic:spPr>
                    <a:xfrm>
                      <a:off x="0" y="0"/>
                      <a:ext cx="6035040" cy="3197134"/>
                    </a:xfrm>
                    <a:prstGeom prst="rect"/>
                  </pic:spPr>
                </pic:pic>
              </a:graphicData>
            </a:graphic>
          </wp:inline>
        </w:drawing>
      </w:r>
    </w:p>
    <w:p>
      <w:pPr>
        <w:spacing w:after="160"/>
        <w:jc w:val="center"/>
      </w:pPr>
      <w:r>
        <w:rPr>
          <w:i/>
          <w:color w:val="5F5F5F"/>
          <w:sz w:val="18"/>
        </w:rPr>
        <w:t>Figure 6. T2 chain code boundary overlay.</w:t>
      </w:r>
    </w:p>
    <w:p>
      <w:pPr>
        <w:jc w:val="center"/>
      </w:pPr>
      <w:r>
        <w:drawing>
          <wp:inline xmlns:a="http://schemas.openxmlformats.org/drawingml/2006/main" xmlns:pic="http://schemas.openxmlformats.org/drawingml/2006/picture">
            <wp:extent cx="6035040" cy="3197134"/>
            <wp:docPr id="7" name="Picture 7"/>
            <wp:cNvGraphicFramePr>
              <a:graphicFrameLocks noChangeAspect="1"/>
            </wp:cNvGraphicFramePr>
            <a:graphic>
              <a:graphicData uri="http://schemas.openxmlformats.org/drawingml/2006/picture">
                <pic:pic>
                  <pic:nvPicPr>
                    <pic:cNvPr id="0" name="T2_to_SRI_defaced_z0077_hull.png"/>
                    <pic:cNvPicPr/>
                  </pic:nvPicPr>
                  <pic:blipFill>
                    <a:blip r:embed="rId16"/>
                    <a:stretch>
                      <a:fillRect/>
                    </a:stretch>
                  </pic:blipFill>
                  <pic:spPr>
                    <a:xfrm>
                      <a:off x="0" y="0"/>
                      <a:ext cx="6035040" cy="3197134"/>
                    </a:xfrm>
                    <a:prstGeom prst="rect"/>
                  </pic:spPr>
                </pic:pic>
              </a:graphicData>
            </a:graphic>
          </wp:inline>
        </w:drawing>
      </w:r>
    </w:p>
    <w:p>
      <w:pPr>
        <w:spacing w:after="160"/>
        <w:jc w:val="center"/>
      </w:pPr>
      <w:r>
        <w:rPr>
          <w:i/>
          <w:color w:val="5F5F5F"/>
          <w:sz w:val="18"/>
        </w:rPr>
        <w:t>Figure 7. T2 convex hull overlay.</w:t>
      </w:r>
    </w:p>
    <w:p>
      <w:pPr>
        <w:pStyle w:val="Heading1"/>
      </w:pPr>
      <w:r>
        <w:t>Discussion</w:t>
      </w:r>
    </w:p>
    <w:p>
      <w:pPr>
        <w:spacing w:after="120"/>
        <w:jc w:val="both"/>
      </w:pPr>
      <w:r>
        <w:t>Canny gave a cleaner main mask for the next steps, which is why it was used as the primary mask. Sobel was still useful for comparison because it shows gradient-based edges. After edge detection, closing helped connect broken boundaries and made the mask better for chain code extraction.</w:t>
      </w:r>
    </w:p>
    <w:p>
      <w:pPr>
        <w:spacing w:after="120"/>
        <w:jc w:val="both"/>
      </w:pPr>
      <w:r>
        <w:t>The chain code values are much longer than the convex hull values because they describe the boundary in more detail. Chain code follows the boundary step by step, while the convex hull only keeps the outer covering shape. This is why the average chain length was about 469.53 steps, while the average hull size was only about 54 vertices.</w:t>
      </w:r>
    </w:p>
    <w:p>
      <w:pPr>
        <w:spacing w:after="120"/>
        <w:jc w:val="both"/>
      </w:pPr>
      <w:r>
        <w:t>One thing noticed in the output is that the CSV has 15 rows, but the visual folders have 12 unique images per stage. This can happen when the same subject and slice name appears again and the PNG file gets overwritten. The CSV still keeps the written rows, while the image folder keeps the latest file with that name.</w:t>
      </w:r>
    </w:p>
    <w:p>
      <w:pPr>
        <w:pStyle w:val="Heading1"/>
      </w:pPr>
      <w:r>
        <w:t>Conclusion</w:t>
      </w:r>
    </w:p>
    <w:p>
      <w:pPr>
        <w:spacing w:after="120"/>
        <w:jc w:val="both"/>
      </w:pPr>
      <w:r>
        <w:t>This assignment showed how MRI slices can be converted into masks and then into shape information. The notebook successfully performed edge detection, morphology, chain code extraction, first difference calculation, shape number calculation, and convex hull visualization. The results show that simple computer vision methods can be used to study boundaries and shapes in medical images.</w:t>
      </w:r>
    </w:p>
    <w:p>
      <w:pPr>
        <w:pStyle w:val="Heading1"/>
      </w:pPr>
      <w:r>
        <w:t>References</w:t>
      </w:r>
    </w:p>
    <w:p>
      <w:pPr>
        <w:pStyle w:val="ListBullet"/>
        <w:spacing w:after="40"/>
      </w:pPr>
      <w:r>
        <w:t>BraTS-PEDs dataset from The Cancer Imaging Archive: https://www.cancerimagingarchive.net/collection/brats-peds/</w:t>
      </w:r>
    </w:p>
    <w:p>
      <w:pPr>
        <w:pStyle w:val="ListBullet"/>
        <w:spacing w:after="40"/>
      </w:pPr>
      <w:r>
        <w:t>Kaggle dataset used in code: awansaad6797/cancer-dataset</w:t>
      </w:r>
    </w:p>
    <w:p>
      <w:pPr>
        <w:pStyle w:val="ListBullet"/>
        <w:spacing w:after="40"/>
      </w:pPr>
      <w:r>
        <w:t>scikit-image documentation for Canny and Sobel edge detection.</w:t>
      </w:r>
    </w:p>
    <w:p>
      <w:pPr>
        <w:pStyle w:val="ListBullet"/>
        <w:spacing w:after="40"/>
      </w:pPr>
      <w:r>
        <w:t>SciPy ndimage documentation for binary morphology.</w:t>
      </w:r>
    </w:p>
    <w:p>
      <w:pPr>
        <w:pStyle w:val="ListBullet"/>
        <w:spacing w:after="40"/>
      </w:pPr>
      <w:r>
        <w:t>Freeman chain code and Graham Scan concepts from computer vision and computational geometry.</w:t>
      </w:r>
    </w:p>
    <w:sectPr w:rsidR="00FC693F" w:rsidRPr="0006063C" w:rsidSect="00034616">
      <w:footerReference w:type="default" r:id="rId9"/>
      <w:pgSz w:w="12240" w:h="15840"/>
      <w:pgMar w:top="964" w:right="1049" w:bottom="907"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