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</w:t>
      </w:r>
    </w:p>
    <w:p>
      <w:r>
        <w:t>Supplementary results for the ZhiRun edge-cloud fertigation system. These tables and figures are excluded from the main-manuscript table/figure count and preserve the full robustness and iteration records.</w:t>
      </w:r>
    </w:p>
    <w:p>
      <w:pPr>
        <w:pStyle w:val="Heading1"/>
      </w:pPr>
      <w:r>
        <w:t>Appendix A. Runtime decision and execution algorithm</w:t>
      </w:r>
    </w:p>
    <w:p>
      <w:r>
        <w:t>The following ordered procedure defines the boundary between model inference and physical execution.</w:t>
      </w:r>
    </w:p>
    <w:p>
      <w:r>
        <w:t>A1. Trigger. Start a decision cycle from the daily 12:00 scheduler or an authenticated manual request. Record trigger source, crop, date, area and current device identifier.</w:t>
      </w:r>
    </w:p>
    <w:p>
      <w:r>
        <w:t>A2. Snapshot validation. Reject automatic execution if the timestamp is stale or a critical soil field is missing or invalid.</w:t>
      </w:r>
    </w:p>
    <w:p>
      <w:r>
        <w:t>A3. Optional-context recovery. Substitute only current regional weather fallback values and mark their source.</w:t>
      </w:r>
    </w:p>
    <w:p>
      <w:r>
        <w:t>A4. Policy inference. Construct the validated feature vector, infer targets and apply all operational bounds.</w:t>
      </w:r>
    </w:p>
    <w:p>
      <w:r>
        <w:t>A5. Execution gate. Require an executable decision, an enabled execution path, an online edge device, a current command and no active fault.</w:t>
      </w:r>
    </w:p>
    <w:p>
      <w:r>
        <w:t>A6. Fertilizer dosing. Stop each N/P/K channel on its own incremental flow target; stop all outputs on any safety fault.</w:t>
      </w:r>
    </w:p>
    <w:p>
      <w:r>
        <w:t>A7. Outlet transfer. Release the outlet only after every requested fertilizer channel has completed and log the terminal state.</w:t>
      </w:r>
    </w:p>
    <w:p>
      <w:pPr>
        <w:pStyle w:val="Heading1"/>
      </w:pPr>
      <w:r>
        <w:t>Appendix B. Reproducibility manifest</w:t>
      </w:r>
    </w:p>
    <w:p>
      <w:r>
        <w:t>B1. Configuration files define crop calendars, nutrient budgets, hardware mappings and sensor payloads.</w:t>
      </w:r>
    </w:p>
    <w:p>
      <w:r>
        <w:t>B2. NASA POWER weather data, source metadata, the training script, fitted model and metrics are retained in the repository.</w:t>
      </w:r>
    </w:p>
    <w:p>
      <w:r>
        <w:t>B3. Ablation, iteration, controller simulation, figure and document scripts rebuild the reported results.</w:t>
      </w:r>
    </w:p>
    <w:p>
      <w:r>
        <w:t>B4. Training uses 2015-2022, validation uses 2023 and independent testing uses 2024-2025. Production seed is 42; repeated runs use 11, 23, 37, 53 and 71; controller simulation uses 20260908.</w:t>
      </w:r>
    </w:p>
    <w:p>
      <w:r>
        <w:t>B5. Repository revision identifiers should be included in the final data-availability statement.</w:t>
      </w:r>
    </w:p>
    <w:p>
      <w:pPr>
        <w:pStyle w:val="Heading1"/>
      </w:pPr>
      <w:r>
        <w:t>Appendix C. Sensor and actuator semantics</w:t>
      </w:r>
    </w:p>
    <w:p>
      <w:r>
        <w:t>C1. Soil moisture, pH and measured N/P/K are direct critical inputs from one soil probe; missing or invalid values block automatic execution.</w:t>
      </w:r>
    </w:p>
    <w:p>
      <w:r>
        <w:t>C2. Air and soil environment values are logged when available; tipping-bucket rain requires site calibration and debounce handling.</w:t>
      </w:r>
    </w:p>
    <w:p>
      <w:r>
        <w:t>C3. Forecast rain, radiation, ET0 and accumulated weather features are server-derived context, not local sensor readings.</w:t>
      </w:r>
    </w:p>
    <w:p>
      <w:r>
        <w:t>C4. IDLE, DOSING, OUTLET_TRANSFER, COMPLETE and FAULT/STOPPED define mutually constrained relay states.</w:t>
      </w:r>
    </w:p>
    <w:p>
      <w:r>
        <w:t>C5. Relay-on is an electrical command; delivered volume is incremental flow since the work-order baseline divided by calibrated pulses per litre.</w:t>
      </w:r>
    </w:p>
    <w:p>
      <w:pPr>
        <w:pStyle w:val="CaptionText"/>
      </w:pPr>
      <w:r>
        <w:t>Supplementary Table S1. Optional-weather masking stress test on the independent test set.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Stress test</w:t>
            </w:r>
          </w:p>
        </w:tc>
        <w:tc>
          <w:tcPr>
            <w:tcW w:type="dxa" w:w="1814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Fields replaced</w:t>
            </w:r>
          </w:p>
        </w:tc>
        <w:tc>
          <w:tcPr>
            <w:tcW w:type="dxa" w:w="1814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Decision agreement</w:t>
            </w:r>
          </w:p>
        </w:tc>
        <w:tc>
          <w:tcPr>
            <w:tcW w:type="dxa" w:w="1814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Changed decisions</w:t>
            </w:r>
          </w:p>
        </w:tc>
        <w:tc>
          <w:tcPr>
            <w:tcW w:type="dxa" w:w="1814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Agreement with teacher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Optional-weather masking</w:t>
            </w:r>
          </w:p>
        </w:tc>
        <w:tc>
          <w:tcPr>
            <w:tcW w:type="dxa" w:w="181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wind, rain_today, rain_next_2d</w:t>
            </w:r>
          </w:p>
        </w:tc>
        <w:tc>
          <w:tcPr>
            <w:tcW w:type="dxa" w:w="181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0.8526</w:t>
            </w:r>
          </w:p>
        </w:tc>
        <w:tc>
          <w:tcPr>
            <w:tcW w:type="dxa" w:w="181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1,061 / 7,200</w:t>
            </w:r>
          </w:p>
        </w:tc>
        <w:tc>
          <w:tcPr>
            <w:tcW w:type="dxa" w:w="181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0.7975</w:t>
            </w:r>
          </w:p>
        </w:tc>
      </w:tr>
    </w:tbl>
    <w:p/>
    <w:p>
      <w:pPr>
        <w:pStyle w:val="CaptionText"/>
      </w:pPr>
      <w:r>
        <w:t>Supplementary Table S2. Large-sample controller safety simulation using the production state machine.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Scenario group</w:t>
            </w:r>
          </w:p>
        </w:tc>
        <w:tc>
          <w:tcPr>
            <w:tcW w:type="dxa" w:w="2268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268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Primary outcome</w:t>
            </w:r>
          </w:p>
        </w:tc>
        <w:tc>
          <w:tcPr>
            <w:tcW w:type="dxa" w:w="2268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Observed result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Random normal work orders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10,000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Completed without safety timeout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9,920 (99.2%)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Random normal work orders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10,000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Outlet-fertilizer overlap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 (0.0%)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Random normal work orders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10,000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Premature nutrient stop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 (0.0%)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Random normal work orders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10,000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All outputs OFF at terminal state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10,000 (100%)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Single-channel no-flow fault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2,000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Fault detected and all outputs OFF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2,000 (100%)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Emergency stop during dosing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2,000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Fault detected and all outputs OFF</w:t>
            </w:r>
          </w:p>
        </w:tc>
        <w:tc>
          <w:tcPr>
            <w:tcW w:type="dxa" w:w="226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2,000 (100%)</w:t>
            </w:r>
          </w:p>
        </w:tc>
      </w:tr>
    </w:tbl>
    <w:p/>
    <w:p>
      <w:pPr>
        <w:pStyle w:val="CaptionText"/>
      </w:pPr>
      <w:r>
        <w:t>Supplementary Table S3. Feature ablation and transparent soil-moisture reference on the independent test set.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Method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Removed or rule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Water MAE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Water R2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N R2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P2O5 R2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K2O R2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Decision accuracy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Full ExtraTrees policy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None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0.4599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0.9805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0.9230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0.9254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0.9576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0.9317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No weather features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15 weather variables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4.8725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0.4138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0.6070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0.6457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0.5731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0.8003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No soil features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9 soil variables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2.9602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0.8352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0.8517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0.8704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0.9001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0.5932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No crop-stage features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11 crop/stage/budget variables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0.4620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0.9807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0.8806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0.8914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0.8850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0.9250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Soil-moisture threshold + mean dose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Measured trigger only; no fertilizer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4.7158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0.1417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-0.0695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-0.0570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-0.0320</w:t>
            </w:r>
          </w:p>
        </w:tc>
        <w:tc>
          <w:tcPr>
            <w:tcW w:type="dxa" w:w="1134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0.8194</w:t>
            </w:r>
          </w:p>
        </w:tc>
      </w:tr>
    </w:tbl>
    <w:p/>
    <w:p>
      <w:pPr>
        <w:pStyle w:val="CaptionText"/>
      </w:pPr>
      <w:r>
        <w:t>Supplementary Table S4. Sensitivity of irrigation-event classification to the model-output threshold.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1008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Model threshold (m3 mu-1)</w:t>
            </w:r>
          </w:p>
        </w:tc>
        <w:tc>
          <w:tcPr>
            <w:tcW w:type="dxa" w:w="1008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TN</w:t>
            </w:r>
          </w:p>
        </w:tc>
        <w:tc>
          <w:tcPr>
            <w:tcW w:type="dxa" w:w="1008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FP</w:t>
            </w:r>
          </w:p>
        </w:tc>
        <w:tc>
          <w:tcPr>
            <w:tcW w:type="dxa" w:w="1008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FN</w:t>
            </w:r>
          </w:p>
        </w:tc>
        <w:tc>
          <w:tcPr>
            <w:tcW w:type="dxa" w:w="1008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TP</w:t>
            </w:r>
          </w:p>
        </w:tc>
        <w:tc>
          <w:tcPr>
            <w:tcW w:type="dxa" w:w="1008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Precision</w:t>
            </w:r>
          </w:p>
        </w:tc>
        <w:tc>
          <w:tcPr>
            <w:tcW w:type="dxa" w:w="1008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Recall</w:t>
            </w:r>
          </w:p>
        </w:tc>
        <w:tc>
          <w:tcPr>
            <w:tcW w:type="dxa" w:w="1008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F1</w:t>
            </w:r>
          </w:p>
        </w:tc>
        <w:tc>
          <w:tcPr>
            <w:tcW w:type="dxa" w:w="1008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Specificity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0.1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3,645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1,361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2,194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0.6172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1.0000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0.7633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0.7281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4,514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492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2,194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0.8168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1.0000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0.8992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0.9017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4,749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257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2,194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0.8951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1.0000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0.9447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0.9487</w:t>
            </w:r>
          </w:p>
        </w:tc>
      </w:tr>
      <w:tr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4,884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122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2,194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0.9473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1.0000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0.9729</w:t>
            </w:r>
          </w:p>
        </w:tc>
        <w:tc>
          <w:tcPr>
            <w:tcW w:type="dxa" w:w="1008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0.9756</w:t>
            </w:r>
          </w:p>
        </w:tc>
      </w:tr>
    </w:tbl>
    <w:p/>
    <w:p>
      <w:pPr>
        <w:pStyle w:val="CaptionText"/>
      </w:pPr>
      <w:r>
        <w:t>Supplementary Table S5. Repeated learning-curve results on the fixed 2023 validation set.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Training fraction</w:t>
            </w:r>
          </w:p>
        </w:tc>
        <w:tc>
          <w:tcPr>
            <w:tcW w:type="dxa" w:w="1296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Rows</w:t>
            </w:r>
          </w:p>
        </w:tc>
        <w:tc>
          <w:tcPr>
            <w:tcW w:type="dxa" w:w="1296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Runs</w:t>
            </w:r>
          </w:p>
        </w:tc>
        <w:tc>
          <w:tcPr>
            <w:tcW w:type="dxa" w:w="1296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Decision accuracy</w:t>
            </w:r>
          </w:p>
        </w:tc>
        <w:tc>
          <w:tcPr>
            <w:tcW w:type="dxa" w:w="1296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Water MAE</w:t>
            </w:r>
          </w:p>
        </w:tc>
        <w:tc>
          <w:tcPr>
            <w:tcW w:type="dxa" w:w="1296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Water R2</w:t>
            </w:r>
          </w:p>
        </w:tc>
        <w:tc>
          <w:tcPr>
            <w:tcW w:type="dxa" w:w="1296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Nutrient macro R2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2,880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0.8666 +/- 0.0037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0.7593 +/- 0.0175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0.9730 +/- 0.0016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0.8591 +/- 0.0130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25%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7,200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0.8969 +/- 0.0039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0.5310 +/- 0.0056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0.9822 +/- 0.0009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0.9184 +/- 0.0032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14,400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0.9231 +/- 0.0069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0.3990 +/- 0.0135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0.9871 +/- 0.0007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0.9475 +/- 0.0019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75%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21,600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0.9357 +/- 0.0053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0.3639 +/- 0.0074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0.9880 +/- 0.0006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0.9604 +/- 0.0024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28,800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0.9332 +/- 0.0044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0.3463 +/- 0.0167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0.9890 +/- 0.0011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0.9649 +/- 0.0012</w:t>
            </w:r>
          </w:p>
        </w:tc>
      </w:tr>
    </w:tbl>
    <w:p/>
    <w:p>
      <w:pPr>
        <w:pStyle w:val="CaptionText"/>
      </w:pPr>
      <w:r>
        <w:t>Supplementary Table S6. ExtraTrees parameter-sensitivity iterations.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Trees</w:t>
            </w:r>
          </w:p>
        </w:tc>
        <w:tc>
          <w:tcPr>
            <w:tcW w:type="dxa" w:w="1512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Minimum leaf</w:t>
            </w:r>
          </w:p>
        </w:tc>
        <w:tc>
          <w:tcPr>
            <w:tcW w:type="dxa" w:w="1512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Water MAE</w:t>
            </w:r>
          </w:p>
        </w:tc>
        <w:tc>
          <w:tcPr>
            <w:tcW w:type="dxa" w:w="1512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Water R2</w:t>
            </w:r>
          </w:p>
        </w:tc>
        <w:tc>
          <w:tcPr>
            <w:tcW w:type="dxa" w:w="1512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Nutrient macro R2</w:t>
            </w:r>
          </w:p>
        </w:tc>
        <w:tc>
          <w:tcPr>
            <w:tcW w:type="dxa" w:w="1512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Decision accuracy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0.3052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0.9904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0.9698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0.9372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0.3242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0.9888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0.9641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0.9381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0.3443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0.9885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0.9561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0.9278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0.3126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0.9902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0.9697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0.9408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0.3295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0.9896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0.9660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0.9347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0.3474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0.9886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0.9577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0.9358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350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0.3267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0.9898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0.9680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0.9394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350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0.3390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0.9893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0.9661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0.9311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350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0.3529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0.9883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0.9569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0.9386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0.3307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0.9897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0.9684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0.9344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0.3335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0.9896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0.9667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0.9358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0.3550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0.9886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0.9565</w:t>
            </w:r>
          </w:p>
        </w:tc>
        <w:tc>
          <w:tcPr>
            <w:tcW w:type="dxa" w:w="1512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0.9378</w:t>
            </w:r>
          </w:p>
        </w:tc>
      </w:tr>
    </w:tbl>
    <w:p/>
    <w:p>
      <w:pPr>
        <w:pStyle w:val="CaptionText"/>
      </w:pPr>
      <w:r>
        <w:t>Supplementary Table S7. Complete learning-curve iteration log for 25 model fits.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Training fraction</w:t>
            </w:r>
          </w:p>
        </w:tc>
        <w:tc>
          <w:tcPr>
            <w:tcW w:type="dxa" w:w="1296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Seed</w:t>
            </w:r>
          </w:p>
        </w:tc>
        <w:tc>
          <w:tcPr>
            <w:tcW w:type="dxa" w:w="1296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Rows</w:t>
            </w:r>
          </w:p>
        </w:tc>
        <w:tc>
          <w:tcPr>
            <w:tcW w:type="dxa" w:w="1296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Water MAE</w:t>
            </w:r>
          </w:p>
        </w:tc>
        <w:tc>
          <w:tcPr>
            <w:tcW w:type="dxa" w:w="1296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Water R2</w:t>
            </w:r>
          </w:p>
        </w:tc>
        <w:tc>
          <w:tcPr>
            <w:tcW w:type="dxa" w:w="1296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Nutrient macro R2</w:t>
            </w:r>
          </w:p>
        </w:tc>
        <w:tc>
          <w:tcPr>
            <w:tcW w:type="dxa" w:w="1296"/>
            <w:shd w:fill="D9EAF7"/>
            <w:vAlign w:val="center"/>
            <w:tcBorders>
              <w:top w:val="single" w:sz="6" w:color="557A95"/>
              <w:left w:val="single" w:sz="6" w:color="557A95"/>
              <w:bottom w:val="single" w:sz="6" w:color="557A95"/>
              <w:right w:val="single" w:sz="6" w:color="557A95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18"/>
              </w:rPr>
              <w:t>Decision accuracy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2,880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0.7520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0.9739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0.8515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0.8681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2,880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0.7562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0.9724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0.8410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0.8697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2,880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0.7854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0.9741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0.8693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0.8608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2,880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0.7647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0.9705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0.8610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0.8692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2,880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0.7382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0.9742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0.8728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0.8650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25%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7,200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0.5244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0.9824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0.9142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0.9014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25%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7,200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0.5302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0.9829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0.9177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0.8925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25%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7,200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0.5324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0.9828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0.9230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0.8967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25%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7,200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0.5285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0.9822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0.9174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0.8936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25%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7,200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0.5394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0.9808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0.9194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0.9003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14,400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0.3890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0.9873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0.9475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0.9308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14,400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0.3883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0.9881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0.9503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0.9233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14,400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0.4199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0.9863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0.9455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0.9122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14,400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0.3927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0.9867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0.9462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0.9228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14,400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0.4049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0.9873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0.9483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0.9264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75%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21,600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0.3731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0.9871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0.9562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0.9272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75%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21,600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0.3617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0.9881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0.9609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0.9386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75%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21,600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0.3605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0.9881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0.9619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0.9397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75%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21,600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0.3547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0.9888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0.9616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0.9339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75%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21,600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0.3695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0.9877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0.9615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0.9392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28,800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0.3363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0.9898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0.9666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0.9358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28,800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0.3527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0.9888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0.9645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0.9308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37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28,800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0.3507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0.9889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0.9637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0.9311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28,800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0.3241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0.9902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0.9656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0.9394</w:t>
            </w:r>
          </w:p>
        </w:tc>
      </w:tr>
      <w:tr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100%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71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28,800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0.3679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0.9873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0.9642</w:t>
            </w:r>
          </w:p>
        </w:tc>
        <w:tc>
          <w:tcPr>
            <w:tcW w:type="dxa" w:w="1296"/>
            <w:vAlign w:val="center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8"/>
              </w:rPr>
              <w:t>0.9286</w:t>
            </w:r>
          </w:p>
        </w:tc>
      </w:tr>
    </w:tbl>
    <w:p/>
    <w:p>
      <w:pPr>
        <w:pStyle w:val="Heading1"/>
      </w:pPr>
      <w:r>
        <w:t>Supplementary Figures</w:t>
      </w:r>
    </w:p>
    <w:p>
      <w:pPr>
        <w:pStyle w:val="CaptionText"/>
      </w:pPr>
      <w:r>
        <w:t>Supplementary Figure S1. Controller Monte Carlo safety evaluation across 14,000 reproducible scenarios. Normal completion excludes the 80 deliberately bounded safety timeouts; every terminal state turned all outputs off.</w:t>
      </w:r>
    </w:p>
    <w:p>
      <w:r>
        <w:drawing>
          <wp:inline xmlns:a="http://schemas.openxmlformats.org/drawingml/2006/main" xmlns:pic="http://schemas.openxmlformats.org/drawingml/2006/picture">
            <wp:extent cx="5669280" cy="3076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controller_monte_car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Supplementary Figure S2. Feature ablation and transparent-reference comparison. Bars show irrigation decision accuracy on the independent test years; labels are generated teacher-policy outcomes, not field treatment outcomes.</w:t>
      </w:r>
    </w:p>
    <w:p>
      <w:r>
        <w:drawing>
          <wp:inline xmlns:a="http://schemas.openxmlformats.org/drawingml/2006/main" xmlns:pic="http://schemas.openxmlformats.org/drawingml/2006/picture">
            <wp:extent cx="5669280" cy="3034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ablatio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Supplementary Figure S3. Repeated learning curves over five training fractions and five random seeds. Error bars show one standard deviation; all iteration evaluations use the fixed 2023 teacher-policy validation set.</w:t>
      </w:r>
    </w:p>
    <w:p>
      <w:r>
        <w:drawing>
          <wp:inline xmlns:a="http://schemas.openxmlformats.org/drawingml/2006/main" xmlns:pic="http://schemas.openxmlformats.org/drawingml/2006/picture">
            <wp:extent cx="5669280" cy="2294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iteration_learning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43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lnNumType w:countBy="1" w:restart="newPag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48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12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Text">
    <w:name w:val="CaptionText"/>
    <w:pPr>
      <w:spacing w:line="480" w:lineRule="auto"/>
      <w:jc w:val="center"/>
    </w:pPr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ZhiRun supplementary material</dc:title>
  <dc:subject/>
  <dc:creator>Li Tianhao; Liu Jiangping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