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 safety-gated edge-cloud fertigation system with flow-meter-closed-loop control and weather-aware policy distillation</w:t>
      </w:r>
    </w:p>
    <w:p>
      <w:pPr>
        <w:jc w:val="center"/>
      </w:pPr>
      <w:r>
        <w:t>Li Tianhao1, Liu Jiangping1*</w:t>
      </w:r>
    </w:p>
    <w:p>
      <w:pPr>
        <w:jc w:val="center"/>
      </w:pPr>
      <w:r>
        <w:t>1 Inner Mongolia Agricultural University, Hohhot, Inner Mongolia, China</w:t>
      </w:r>
    </w:p>
    <w:p>
      <w:pPr>
        <w:jc w:val="center"/>
      </w:pPr>
      <w:r>
        <w:t>*Corresponding author: Liu Jiangping; E-mail: SkyhaoLi@163.com; Postal address: Inner Mongolia Agricultural University, Hohhot, China</w:t>
      </w:r>
    </w:p>
    <w:p>
      <w:r>
        <w:br w:type="page"/>
      </w:r>
    </w:p>
    <w:p>
      <w:pPr>
        <w:pStyle w:val="Heading1"/>
      </w:pPr>
      <w:r>
        <w:t>Highlights</w:t>
      </w:r>
    </w:p>
    <w:p>
      <w:r>
        <w:t>- A single-probe edge-cloud system links sensing, inference and fertigation.</w:t>
      </w:r>
    </w:p>
    <w:p>
      <w:r>
        <w:t>- ExtraTrees distils an explicit weather and crop-stage teacher policy.</w:t>
      </w:r>
    </w:p>
    <w:p>
      <w:r>
        <w:t>- Independent flow-meter feedback stops N, P and K channels at target volume.</w:t>
      </w:r>
    </w:p>
    <w:p>
      <w:r>
        <w:t>- A hard safety gate blocks irrigation when critical soil data are invalid.</w:t>
      </w:r>
    </w:p>
    <w:p>
      <w:r>
        <w:t>- Held-out policy reproduction reached 93.17% irrigation decision accuracy.</w:t>
      </w:r>
    </w:p>
    <w:p>
      <w:pPr>
        <w:pStyle w:val="Heading1"/>
      </w:pPr>
      <w:r>
        <w:t>Abstract</w:t>
      </w:r>
    </w:p>
    <w:p>
      <w:r>
        <w:t>Small and medium farms need fertigation controllers that remain useful when sensors, networks and actuators are imperfect. This paper presents ZhiRun, an edge-cloud fertigation system that combines a Rockchip RK3506B edge node, a public-server inference service and an ESP32-S3 actuator node. A single soil probe supplies moisture, temperature, pH and measured N-P-K values; weather and rain observations are acquired through RS485 sensors and a weather service. The server implements a safety-gated multi-output policy distilled from an explicit crop-stage and weather teacher. An ExtraTrees regressor predicts irrigation water and N, P2O5 and K2O application targets for four crops. Critical soil fields are fail-closed, whereas selected non-critical weather fields can use a regional fallback. At the actuator, each fertilizer pump is paired with a pulse flow meter. The N, P and K channels stop independently when their targets are reached, and the mixing-tank outlet pump is interlocked until all fertilizer channels finish. The generated dataset contains 39,600 policy samples from 2015-2025 weather records; training uses 2015-2022, validation uses 2023, and the independent test uses 2024-2025. On the test split, water, N, P2O5 and K2O R2 values are 0.9805, 0.9230, 0.9254 and 0.9576, respectively, and irrigation decision accuracy is 0.9317. Removing weather or soil features reduced decision accuracy to 0.8003 and 0.5932, while a transparent soil-moisture threshold reference achieved 0.8194. Controller and server regression suites passed 35 tests, and 14,000 controller simulations produced no outlet-fertilizer overlap. These results quantify reproduction of the teacher policy and software safety, not yield improvement. Local yield, water-productivity and fertigation-response trials remain necessary for agronomic validation.</w:t>
      </w:r>
    </w:p>
    <w:p>
      <w:r>
        <w:t>Keywords: edge computing; ExtraTrees; fertigation; flow-meter feedback; missing-data safety; precision irrigation</w:t>
      </w:r>
    </w:p>
    <w:p>
      <w:pPr>
        <w:pStyle w:val="Heading1"/>
      </w:pPr>
      <w:r>
        <w:t>1. Introduction</w:t>
      </w:r>
    </w:p>
    <w:p>
      <w:r>
        <w:t>Agricultural water scarcity and rising fertilizer costs have increased interest in precision irrigation and fertigation. Conventional timer-based systems apply water and nutrients without jointly considering soil status, crop stage and short-term weather. Internet-of-Things (IoT) architectures improve observability, but many prototypes assume continuous connectivity, clean sensor values and independent protection circuits. These assumptions are difficult to maintain in small farms, where a single probe may be the only soil instrument and where pumps, relay boards and communication adapters are assembled incrementally.</w:t>
      </w:r>
    </w:p>
    <w:p>
      <w:r>
        <w:t>Three practical gaps motivate this work. First, a useful controller must distinguish critical soil evidence from optional environmental evidence: missing soil moisture or nutrient measurements should prevent automatic irrigation, whereas a missing wind or forecast value should not necessarily disable monitoring. Second, nutrient dosing cannot be validated by relay state alone. A pump can be energized while a blocked tube, empty tank or wiring fault produces no delivered volume. Third, a cloud model must be integrated with deterministic edge safety logic so that a transient network or inference error cannot leave a pump energized indefinitely.</w:t>
      </w:r>
    </w:p>
    <w:p>
      <w:r>
        <w:t>ZhiRun addresses these gaps through four contributions. (1) It provides a compact edge-cloud architecture in which the RK3506B performs sensor acquisition, local display and communication, while the server performs policy inference and work-order management. (2) It uses an ExtraTrees multi-output regressor to distil an auditable teacher policy based on crop stage, measured single-probe moisture, weather and nutrient budgets. (3) It introduces channel-level flow-meter closure and a sequential interlock: N, P and K fertilizer channels stop independently, and the outlet pump is enabled only after all fertilizer channels stop. (4) It implements a fail-closed data-quality gate and bounded actuator state machine for operation under missing data and imperfect networks. The evaluation therefore focuses on policy reproduction and control safety rather than claiming yield gains that are not supported by local field labels.</w:t>
      </w:r>
    </w:p>
    <w:p>
      <w:r>
        <w:t>The remainder of the paper describes the hardware and data pipeline, the teacher-policy distillation method, safety and execution logic, held-out metrics, and limitations that must be addressed in future field trials.</w:t>
      </w:r>
    </w:p>
    <w:p>
      <w:pPr>
        <w:pStyle w:val="Heading1"/>
      </w:pPr>
      <w:r>
        <w:t>2. Materials and methods</w:t>
      </w:r>
    </w:p>
    <w:p>
      <w:pPr>
        <w:pStyle w:val="Heading2"/>
      </w:pPr>
      <w:r>
        <w:t>2.1. System architecture</w:t>
      </w:r>
    </w:p>
    <w:p>
      <w:r>
        <w:t>The system follows a browser-server-edge-actuator chain: a browser communicates with the public server; the server exchanges data with the RK3506B over Wi-Fi or Ethernet; the RK3506B reads RS485/Modbus sensors and forwards commands over a USB/CH341 serial link; and the ESP32-S3 drives four relay inputs. The architecture deliberately keeps model inference on the server and keeps the edge node lightweight. The local LVGL display uses the same state fields as the web interface, allowing an operator to inspect sensor values and pump states without opening the browser.</w:t>
      </w:r>
    </w:p>
    <w:p>
      <w:r>
        <w:t>A normal data cycle begins with a timestamped sensor snapshot at the edge. The collector validates register values, normalizes units and publishes the snapshot to the server. The server stores the latest snapshot, enriches it with date-derived crop stage and weather features, and returns a decision object containing targets, alerts, data-quality flags and an explanatory status. The scheduler runs once each day at 12:00 server local time. When automatic execution is enabled, only a decision marked ready by the soil-data and weather safety gates is converted into a bounded command; manual generation, execution and STOP ALL remain available. The server forwards an accepted command to the RK3506B, which relays it to the ESP32-S3. Status messages travel in the reverse direction and include state, cumulative pulse totals, active outputs, elapsed time and faults. This separation allows the interface to remain informative when the actuator is offline and allows the actuator to stop safely when the server is unreachable.</w:t>
      </w:r>
    </w:p>
    <w:p>
      <w:r>
        <w:t>The communication design also accommodates the user's observed network conditions. Wi-Fi is retried after link loss, Ethernet and Wi-Fi are treated as alternative uplinks, and the edge software does not rely on a fixed USB insertion order. The paper treats these features as availability mechanisms rather than as agronomic innovations. Their purpose is to keep the sensing and command path recoverable while ensuring that reconnect logic cannot silently restart a previous pump command.</w:t>
      </w:r>
    </w:p>
    <w:p>
      <w:pPr>
        <w:pStyle w:val="Heading2"/>
      </w:pPr>
      <w:r>
        <w:t>2.2. Sensors, inputs and actuation</w:t>
      </w:r>
    </w:p>
    <w:p>
      <w:r>
        <w:t>The implemented input schema contains air temperature and relative humidity, CO2, light, a single soil-moisture probe, soil temperature, soil pH, measured soil N/P/K, wind speed, rain amount, crop and date, and weather-derived variables. The probe is intentionally treated as a single representative soil measurement; the implementation does not assume 20, 40 or 60 cm layered probes. Weather history is sourced from NASA POWER daily data and short-range forecasts from a weather provider, with a regional cached fallback for selected unavailable fields. A local tipping-bucket rain sensor can be read as a pulse input and converted with a configurable millimetres-per-tip scale.</w:t>
      </w:r>
    </w:p>
    <w:p>
      <w:pPr>
        <w:pStyle w:val="Heading2"/>
      </w:pPr>
      <w:r>
        <w:t>2.3. Teacher policy and crop calendar</w:t>
      </w:r>
    </w:p>
    <w:p>
      <w:r>
        <w:t>The model is a policy-reproduction model rather than a yield model. The teacher policy is deterministic and combines a measured soil-moisture trigger, crop-stage nutrient budgets, crop coefficients, recent evapotranspiration and rain, and safety constraints. Four crop calendars are currently configured: potato, sugar beet, maize and sunflower. The date is converted to day of year, and the active growth stage is selected from crop-specific intervals. The teacher outputs four targets per mu: irrigation water (m3 per mu), nitrogen (kg per mu), P2O5 (kg per mu) and K2O (kg per mu). Here, mu denotes the local Chinese land unit of 666.67 m2.</w:t>
      </w:r>
    </w:p>
    <w:p>
      <w:r>
        <w:t>The weather features include daily mean, maximum and minimum temperature, relative humidity, wind, radiation, current rain, two-day forecast rain, seven-day rain, ET0, seven-day ET0, growing degree accumulation and dry days. ET0 is calculated using the FAO-56 Penman-Monteith formulation. Rain and wind are used both as model features and as operational safety signals. The teacher adjusts the moisture trigger within bounded limits under forecast rain or high evaporative demand, but it never overrides a hard safety block.</w:t>
      </w:r>
    </w:p>
    <w:p>
      <w:r>
        <w:t>For a valid soil snapshot, the water deficit is computed from the difference between the measured probe moisture and the stage trigger/target pair. The implementation converts this percentage deficit through a stage-specific effective depth and an application-efficiency factor, then clips the result at the configured maximum single-event volume. In simplified form, moisture deficit is max(0, target - measured moisture) multiplied by effective depth and converted to millimetres; gross application is the larger of this deficit and the ET-driven need divided by application efficiency; and the final water target is gross application multiplied by the local mu conversion and bounded by the single-event limit. Fertilizer targets are calculated from the remaining stage budgets and the soil nutrient level factors low = 1.0, medium = 0.65 and high = 0.0. Fertilization is due only when irrigation is positive, the interval since the previous event is ready, and the EC safety gate is open. The maximum per-event nutrient rates are 2.5 kg mu-1 for N, 1.5 kg mu-1 for P2O5 and 3.0 kg mu-1 for K2O.</w:t>
      </w:r>
    </w:p>
    <w:p>
      <w:r>
        <w:t>This explicit teacher formulation is important for interpretation. ExtraTrees is not discovering a causal crop response from harvest labels; it is approximating a constrained decision surface. The model can smooth nonlinear interactions between crop, stage, weather and sensor context, but it cannot correct a biased teacher policy. The architecture therefore exposes the teacher assumptions and retains them as auditable configuration rather than hiding them in an opaque end-to-end neural model.</w:t>
      </w:r>
    </w:p>
    <w:p>
      <w:pPr>
        <w:pStyle w:val="Heading2"/>
      </w:pPr>
      <w:r>
        <w:t>2.4. ExtraTrees policy distillation</w:t>
      </w:r>
    </w:p>
    <w:p>
      <w:r>
        <w:t>A training sample is formed by combining a weather day, a crop and stage, one soil profile, and two reproducible single-probe scenarios. The generated dataset contains 39,600 rows. Categorical features are crop, stage and three nutrient-level categories; numerical features cover weather, soil, crop-stage budgets, geography and sensor context. The data are split chronologically to test temporal transfer: 2015-2022 for training, 2023 for validation, and 2024-2025 for independent testing. This split prevents random mixing of adjacent days across train and test.</w:t>
      </w:r>
    </w:p>
    <w:p>
      <w:r>
        <w:t>The estimator is an ExtraTreesRegressor with 350 trees, minimum leaf size 2, max_features 0.85, and a fixed random seed of 42. A preprocessing pipeline one-hot encodes categorical variables and passes numerical variables through unchanged. Predictions are clipped at zero. Irrigation decision accuracy is calculated by thresholding water at 0.5 m3 per mu and comparing the predicted and teacher binary decisions. MAE, RMSE and R2 are reported for each continuous target.</w:t>
      </w:r>
    </w:p>
    <w:p>
      <w:pPr>
        <w:pStyle w:val="Heading2"/>
      </w:pPr>
      <w:r>
        <w:t>2.5. Missing-data safety gate</w:t>
      </w:r>
    </w:p>
    <w:p>
      <w:r>
        <w:t>The runtime separates critical and non-critical fields. Automatic irrigation is held when soil moisture, soil pH or measured soil N/P/K are missing, stale or invalid. A forecast or wind field can instead be replaced by a regional weather fallback, and the decision is annotated with its data source. This design makes the system conservative about direct soil evidence while allowing continued monitoring and limited decision support when optional context is unavailable. Model inference alone does not energize a pump unless the automatic-execution option is enabled, the result is executable, a current device is online and the bounded command is accepted; the manual path uses the same gates.</w:t>
      </w:r>
    </w:p>
    <w:p>
      <w:pPr>
        <w:pStyle w:val="Heading2"/>
      </w:pPr>
      <w:r>
        <w:t>2.6. Flow-meter-closed-loop execution</w:t>
      </w:r>
    </w:p>
    <w:p>
      <w:r>
        <w:t>The ESP32-S3 maps relay inputs to N, P, K and the mixing-tank outlet pump. Each fertilizer pump is associated with one pulse flow meter. During a work order, pulse totals are converted to litres using a configurable pulses-per-litre calibration. When a channel reaches its target volume, only that channel is stopped. The outlet pump is inhibited while any fertilizer channel is active and is enabled only after all three channels report completion. A no-flow timeout, actuator fault, stale command or manual STOP ALL command de-energizes all four relays. Each channel also has a maximum run-time bound. These rules are implemented in the controller state machine and exposed through status feedback to the server and dashboard.</w:t>
      </w:r>
    </w:p>
    <w:p>
      <w:r>
        <w:t>The flow-meter closure is evaluated against a baseline captured when the controller starts, rather than against an absolute lifetime counter. This prevents historical pulses from satisfying a new work order. The controller accepts either line identifiers or nutrient identifiers in a sensor frame, which permits the RK3506B adapter to preserve the physical A/B/C wiring names while the server reports the agronomic N/P/K names. The default calibration is 450 pulses per litre, but the configuration explicitly warns that every meter must be calibrated with a measured container. In a production experiment, calibration error should be reported as a dose uncertainty and not silently absorbed into the machine-learning error.</w:t>
      </w:r>
    </w:p>
    <w:p>
      <w:pPr>
        <w:pStyle w:val="Heading2"/>
      </w:pPr>
      <w:r>
        <w:t>2.7. Evaluation protocol</w:t>
      </w:r>
    </w:p>
    <w:p>
      <w:r>
        <w:t>Evaluation uses the stored model metrics JSON and the generated policy sample file. The independent test set contains 7,200 rows from 2024-2025. Continuous predictions are evaluated with MAE, RMSE and R2. The controller logic is evaluated by deterministic simulations and unit tests for independent channel stopping, outlet-pump interlocking, no-flow timeout and stop-all behavior. Because the current project does not yet contain paired local treatment-yield observations, no claim is made about yield, water productivity, fertilizer recovery or economic return.</w:t>
      </w:r>
    </w:p>
    <w:p>
      <w:r>
        <w:t>For each continuous target, MAE measures the average absolute deviation in the native target unit, RMSE emphasizes larger deviations, and R2 measures variance explained relative to the test-set mean. The binary irrigation decision threshold is 0.5 m3 mu-1, chosen to separate a zero/hold decision from a positive irrigation recommendation in the teacher policy. The baseline comparison uses exactly the same rows and target units as the fitted model. No random resampling or test-time tuning is applied. Reported values are rounded to four decimal places only after calculation.</w:t>
      </w:r>
    </w:p>
    <w:p>
      <w:pPr>
        <w:pStyle w:val="Heading2"/>
      </w:pPr>
      <w:r>
        <w:t>2.8. Data quality and reproducibility</w:t>
      </w:r>
    </w:p>
    <w:p>
      <w:r>
        <w:t>The weather file is parsed by date, sentinel values are converted to missing values, and gaps of up to three days are linearly interpolated before feature construction. The sample generator fixes the NumPy random seed at 42. Soil scenarios are bounded to 2-95% during generation, while runtime validation accepts only a measured moisture value in the physical 0-100% range. All feature names, target names, split years, model hyperparameters and metric calculations are stored in the training script and the model metrics JSON. This makes the reported numbers reproducible from the repository without access to the live farm device.</w:t>
      </w:r>
    </w:p>
    <w:p>
      <w:pPr>
        <w:pStyle w:val="Heading2"/>
      </w:pPr>
      <w:r>
        <w:t>2.9. Baselines and robustness analysis</w:t>
      </w:r>
    </w:p>
    <w:p>
      <w:r>
        <w:t>Two simple baselines were calculated on the same independent test set. The zero-output baseline always returns zero water and nutrients, representing a controller that never irrigates. The training-mean baseline returns the mean target vector calculated from 2015-2022. These baselines are intentionally weak but provide a transparent reference for policy reproduction. We additionally report performance separately for 2024 and 2025 and separately for each crop to expose temporal and crop-specific variation rather than hiding it in one aggregate score.</w:t>
      </w:r>
    </w:p>
    <w:p>
      <w:pPr>
        <w:pStyle w:val="Heading2"/>
      </w:pPr>
      <w:r>
        <w:t>2.10. Feature ablation and transparent agronomic reference</w:t>
      </w:r>
    </w:p>
    <w:p>
      <w:r>
        <w:t>To test whether the model depends on the information sources claimed by the architecture, we retrained the same ExtraTrees configuration after removing three feature groups: all weather variables, all soil variables, or all crop-stage and nutrient-budget variables. The ablations use the identical chronological split, target definitions and random seed as the full model. We also evaluated a transparent soil-moisture reference that irrigates when measured moisture is below the stage trigger and assigns the mean positive water event; it never predicts fertilizer. These experiments quantify sensitivity of teacher-policy reproduction and are not evidence of crop response or treatment superiority.</w:t>
      </w:r>
    </w:p>
    <w:p>
      <w:pPr>
        <w:pStyle w:val="Heading2"/>
      </w:pPr>
      <w:r>
        <w:t>2.11. Decision-threshold sensitivity and software regression</w:t>
      </w:r>
    </w:p>
    <w:p>
      <w:r>
        <w:t>Operational irrigation classification was evaluated against the fixed teacher event definition of at least 0.5 m3 mu-1. The model-output threshold was varied from 0.1 to 2.0 m3 mu-1, and true-positive, false-positive, false-negative and true-negative counts were reported with precision, recall, F1 and specificity. This one-factor analysis tests sensitivity to the execution threshold without refitting the model. In addition, the current single-probe model/controller suite and server quality-gate suite were executed separately from their respective project roots to preserve their import paths.</w:t>
      </w:r>
    </w:p>
    <w:p>
      <w:pPr>
        <w:pStyle w:val="Heading1"/>
      </w:pPr>
      <w:r>
        <w:t>3. Results</w:t>
      </w:r>
    </w:p>
    <w:p>
      <w:pPr>
        <w:pStyle w:val="Heading2"/>
      </w:pPr>
      <w:r>
        <w:t>3.1. Dataset and held-out policy performance</w:t>
      </w:r>
    </w:p>
    <w:p>
      <w:r>
        <w:t>The chronological split produced 28,800 training rows, 3,600 validation rows and 7,200 independent test rows. Validation performance was stronger than the later-year test performance for every target, which is expected when the test period contains weather and scenario combinations not seen during fitting. The independent test results are summarized in Table 2.</w:t>
      </w:r>
    </w:p>
    <w:p>
      <w:r>
        <w:t>The water target achieved an R2 of 0.9805 and the nutrient targets achieved R2 values between 0.9230 and 0.9576. The binary irrigation decision accuracy was 0.9317. These scores indicate that the fitted model reproduces the generated teacher decisions well over the held-out years. They should not be interpreted as sensor-to-yield accuracy or as evidence that the teacher policy is agronomically optimal.</w:t>
      </w:r>
    </w:p>
    <w:p>
      <w:r>
        <w:t>The error scale is also informative. The water MAE of 0.4599 m3 mu-1 is small relative to the 25 m3 mu-1 maximum event configured in the teacher, whereas the nutrient MAEs are 0.0249, 0.0148 and 0.0123 kg mu-1 for N, P2O5 and K2O. Because most nutrient rows are zero, these aggregate errors should be read together with the non-zero rates in Table 4. A model can obtain a low average nutrient MAE by predicting zero too often; the decision comparison and the baseline table reduce this ambiguity but do not replace precision-recall analysis on positive fertigation events. That analysis is reserved for the future field-labeled dataset.</w:t>
      </w:r>
    </w:p>
    <w:p>
      <w:pPr>
        <w:pStyle w:val="Heading2"/>
      </w:pPr>
      <w:r>
        <w:t>3.2. Runtime behavior under incomplete context</w:t>
      </w:r>
    </w:p>
    <w:p>
      <w:r>
        <w:t>The runtime path preserves operation when non-critical environmental context is unavailable. For example, missing wind or forecast values can be replaced by a regional cached weather record and marked in the decision explanation. In contrast, missing or invalid soil moisture, pH or measured N/P/K holds automatic irrigation. This asymmetric policy prevents a visually complete but soil-unsupported decision. At 12:00 each day the scheduler can automatically generate and execute a ready work order, while the dashboard retains manual generation and execution for supervised use.</w:t>
      </w:r>
    </w:p>
    <w:p>
      <w:r>
        <w:t>The distinction between a recommendation and an execution command remains explicit in the state machine. A newly inferred result is first represented as a proposed work order with target volumes and reasons. A separate server action, initiated either by the configured daily scheduler or by the operator, is required to change the controller from IDLE to DOSING or OUTLET_TRANSFER. If the board is offline, the server retains the recommendation and reports the communication state; it does not infer successful physical delivery from a successful inference response. Conversely, a relay status without flow pulses is classified as a fault rather than as completed fertigation. These semantics are designed to avoid the common dashboard failure mode in which a generated work order is mistaken for delivered water or nutrient.</w:t>
      </w:r>
    </w:p>
    <w:p>
      <w:pPr>
        <w:pStyle w:val="Heading2"/>
      </w:pPr>
      <w:r>
        <w:t>3.3. Actuation and interlock behavior</w:t>
      </w:r>
    </w:p>
    <w:p>
      <w:r>
        <w:t>Controller simulations and unit tests confirm four safety properties. First, each fertilizer channel can stop independently when its own flow-meter target is met. Second, a completed N channel does not stop P or K prematurely. Third, the outlet pump cannot start while a fertilizer relay remains active. Fourth, no-flow timeout, stale command or stop-all transitions all set the four relay outputs to OFF. This provides a deterministic boundary between a server recommendation and physical actuation.</w:t>
      </w:r>
    </w:p>
    <w:p>
      <w:r>
        <w:t>The controller trace in Table 7 illustrates why this logic matters even for a small work order. The N/P/K target volumes are different because each channel has a different nutrient target and concentration. A single shared timer would either under-dose one channel or overrun another. Independent pulse totals allow the channels to finish at different times, while the outlet interlock guarantees that the mixing-tank pump starts only after the fertilizer phase has ended. The trace is intentionally small enough to reproduce on a bench without running a full field pump.</w:t>
      </w:r>
    </w:p>
    <w:p>
      <w:pPr>
        <w:pStyle w:val="Heading2"/>
      </w:pPr>
      <w:r>
        <w:t>3.4. Dataset composition and target sparsity</w:t>
      </w:r>
    </w:p>
    <w:p>
      <w:r>
        <w:t>The generated dataset contains 39,600 rows across 11 calendar years, with 3,600 rows per year. Crop representation is slightly unbalanced because the configured calendars have different numbers of active days: sugar beet contributes 10,560 rows, maize 10,164, sunflower 9,768 and potato 9,108. Twelve stage labels are represented across the four crops, with the seedling stage contributing 11,946 rows and maturity and filling stages contributing the remainder. Only 33.95% of rows have a non-zero water target, which means that a controller that always irrigates would be operationally unsafe even if its average volume appeared plausible. Non-zero N, P2O5 and K2O targets occur in 8.90%, 6.96% and 5.08% of rows, respectively. The target distributions are therefore sparse and strongly right-skewed.</w:t>
      </w:r>
    </w:p>
    <w:p>
      <w:pPr>
        <w:pStyle w:val="Heading2"/>
      </w:pPr>
      <w:r>
        <w:t>3.5. Temporal and crop-level generalization</w:t>
      </w:r>
    </w:p>
    <w:p>
      <w:r>
        <w:t>The two independent test years show a modest but measurable temporal change. Water R2 decreases from 0.9829 in 2024 to 0.9778 in 2025, while irrigation decision accuracy decreases from 0.9517 to 0.9117. The nutrient R2 values remain above 0.90 in both years, but K2O is more sensitive to the later-year distribution than water. At crop level, water decision accuracy ranges from 0.9239 for potato to 0.9375 for sugar beet. These differences are not large enough to support crop-specific claims of superiority, but they show why chronological and crop-stratified reporting is preferable to a single pooled score.</w:t>
      </w:r>
    </w:p>
    <w:p>
      <w:pPr>
        <w:pStyle w:val="Heading2"/>
      </w:pPr>
      <w:r>
        <w:t>3.6. Comparison with transparent baselines</w:t>
      </w:r>
    </w:p>
    <w:p>
      <w:r>
        <w:t>The proposed policy model substantially outperforms the two transparent baselines on the held-out years. The zero-output baseline obtains a decision accuracy of 0.6953 because the generated policy is intentionally sparse, but its water MAE is 7.4469 m3 mu-1 and its water R2 is negative. The training-mean baseline has a decision accuracy of 0.3047 because it predicts a positive mean water target for every row, and its water MAE is 10.7181 m3 mu-1. In contrast, the ExtraTrees policy reaches 0.9317 decision accuracy and 0.4599 water MAE. This comparison supports the claim that the model learns the teacher policy structure rather than simply reproducing the dominant zero class.</w:t>
      </w:r>
    </w:p>
    <w:p>
      <w:pPr>
        <w:pStyle w:val="Heading2"/>
      </w:pPr>
      <w:r>
        <w:t>3.7. Reproducible controller trace</w:t>
      </w:r>
    </w:p>
    <w:p>
      <w:r>
        <w:t>A deterministic hardware-in-the-loop simulation was run with a 0.01 mu work order, a 1 L min-1 flow on each fertilizer channel and a 60 L min-1 outlet flow. The generated targets were 0.25 L for N, 0.188 L for P and 0.225 L for K. All fertilizer channels were initially active; after the cumulative readings crossed their individual targets, the controller entered OUTLET_TRANSFER at 2 s and enabled the outlet pump. It completed the 250 s outlet phase at 252 s with no fault. This trace demonstrates sequencing and fail-safe state transitions; it is not a pump calibration or field throughput measurement.</w:t>
      </w:r>
    </w:p>
    <w:p>
      <w:pPr>
        <w:pStyle w:val="Heading2"/>
      </w:pPr>
      <w:r>
        <w:t>3.8. Missing-data decision matrix</w:t>
      </w:r>
    </w:p>
    <w:p>
      <w:r>
        <w:t>The missing-data policy was evaluated as a decision matrix rather than as a statistical imputation experiment. A valid soil moisture, pH and measured N/P/K set is required for automatic irrigation. If any of these critical fields is absent or stale, the server returns a hold decision and the interface explains that direct soil evidence is insufficient. Missing wind or forecast data can use a regional fallback record and are marked as fallback-derived. This asymmetry preserves monitoring and manual review without allowing the scheduler or operator to issue an unsupported automatic irrigation command. A future study should quantify the effect of each missingness pattern on decision utility using field-labeled data.</w:t>
      </w:r>
    </w:p>
    <w:p>
      <w:pPr>
        <w:pStyle w:val="Heading2"/>
      </w:pPr>
      <w:r>
        <w:t>3.9. Sampling uncertainty and positive-event discrimination</w:t>
      </w:r>
    </w:p>
    <w:p>
      <w:r>
        <w:t>Bootstrap resampling of the 7,200 independent test rows provides a sampling uncertainty check for the reported aggregate errors. With 1,000 fixed-seed replicates, the water MAE 95% interval is 0.4262-0.4979 m3 mu-1 and the N, P2O5 and K2O MAE intervals are 0.0220-0.0278, 0.0131-0.0166 and 0.0109-0.0138 kg mu-1, respectively. The corresponding R2 intervals are 0.9774-0.9832, 0.9065-0.9394, 0.9081-0.9420 and 0.9362-0.9751. The narrow water interval reflects the large test set; the wider nutrient intervals reflect sparse positive events and their smaller effective sample sizes.</w:t>
      </w:r>
    </w:p>
    <w:p>
      <w:r>
        <w:t>Positive-event metrics reveal a second aspect of performance. Using a 0.5 m3 mu-1 water threshold and a 0.01 kg mu-1 nutrient threshold, water positive-event F1 is 0.9027. Nutrient F1 values are 0.5241 for N, 0.5284 for P2O5 and 0.4064 for K2O, with 609, 489 and 344 positive test rows. The model recalls every positive event under these thresholds in this teacher-generated test, but precision is lower because small positive predictions can be operationally counted as events. This is a reason to report the continuous errors and not present the 93.17% decision accuracy as the only result.</w:t>
      </w:r>
    </w:p>
    <w:p>
      <w:r>
        <w:t>When wind, current rain and two-day rain forecast fields are replaced by their training-period medians as a stress test, 85.26% of irrigation decisions agree with the original model path and 1,061 of 7,200 decisions change. Agreement with the teacher decision falls to 79.75%. This result supports the need to retain a weather fallback and to expose the fallback flag to operators; it is not evidence that median imputation is an appropriate production forecast.</w:t>
      </w:r>
    </w:p>
    <w:p>
      <w:pPr>
        <w:pStyle w:val="Heading2"/>
      </w:pPr>
      <w:r>
        <w:t>3.10. Large-sample controller safety simulation</w:t>
      </w:r>
    </w:p>
    <w:p>
      <w:r>
        <w:t>The controller implementation was evaluated in 14,000 reproducible random scenarios using seed 20260908. Ten thousand normal scenarios independently sampled N/P/K targets between 0.1 and 4.0 L, channel flows between 0.08 and 4.5 L min-1, and outlet durations between 3 and 30 s. Two thousand scenarios forced one randomly selected fertilizer channel to report zero flow, and a further 2,000 asserted an emergency stop during dosing. The simulation executed the production FlowController state transitions rather than a separate analytical approximation.</w:t>
      </w:r>
    </w:p>
    <w:p>
      <w:r>
        <w:t>Of the 10,000 normal scenarios, 9,920 completed both dosing and outlet transfer. The remaining 80 combinations paired a sufficiently large target with a sufficiently low flow to exceed the configured 1,800 s dosing bound; the controller therefore entered FAULT and turned all outputs off. Across all normal scenarios, no outlet-fertilizer overlap and no premature fertilizer stop were observed, all terminal states had all outputs off, and the one-time-step overshoot stayed below the flow-dependent numerical bound. The largest observed cumulative overshoot was 0.0747 L. Every one of the 2,000 no-flow cases was detected and all four outputs were de-energized. The same 100% fault-and-off response was observed in the 2,000 emergency-stop cases.</w:t>
      </w:r>
    </w:p>
    <w:p>
      <w:r>
        <w:t>These simulation results verify software invariants across a broad parameter space, but they do not substitute for physical calibration. Real flow meters introduce pulse quantization, electrical bounce, viscosity effects and pressure-dependent flow. The next hardware experiment should repeat the same scenario matrix using graduated vessels and record delivered-volume error, response latency and fault-detection time.</w:t>
      </w:r>
    </w:p>
    <w:p>
      <w:pPr>
        <w:pStyle w:val="Heading2"/>
      </w:pPr>
      <w:r>
        <w:t>3.11. Feature ablation and transparent reference</w:t>
      </w:r>
    </w:p>
    <w:p>
      <w:r>
        <w:t>The ablation study confirms that the apparent performance is not explained by a single hard-coded field. Removing weather variables increased water MAE from 0.4599 to 4.8725 m3 mu-1 and reduced irrigation decision accuracy from 93.17% to 80.03%. Removing soil variables had an even larger effect on the decision path: accuracy fell to 59.32% and water R2 fell to 0.8352. Removing crop-stage and nutrient-budget variables left water reproduction nearly unchanged (R2 0.9807) but reduced nutrient R2 to 0.8806, 0.8914 and 0.8850 for N, P2O5 and K2O. The result is consistent with the teacher design: weather and measured soil status dominate irrigation timing, whereas crop-stage budgets contribute more strongly to nutrient allocation.</w:t>
      </w:r>
    </w:p>
    <w:p>
      <w:r>
        <w:t>The transparent soil-moisture threshold reference achieved 81.94% irrigation decision accuracy, water MAE 4.7158 m3 mu-1 and water R2 0.1417. Its nutrient R2 values were negative because it intentionally does not dose fertilizer. The full model therefore provides a materially better reproduction of the multi-output teacher than this single-threshold reference, but the comparison still remains within the synthetic policy-label setting. It does not establish that the learned policy saves water or increases yield relative to a farmer or timer controller.</w:t>
      </w:r>
    </w:p>
    <w:p>
      <w:pPr>
        <w:pStyle w:val="Heading2"/>
      </w:pPr>
      <w:r>
        <w:t>3.12. Decision-threshold sensitivity and regression tests</w:t>
      </w:r>
    </w:p>
    <w:p>
      <w:r>
        <w:t>At the deployed 0.5 m3 mu-1 threshold, the test set contained 2,194 true irrigation events, 4,514 true holds, 492 false triggers and no missed teacher events. Raising the model-output threshold to 2.0 m3 mu-1 reduced false triggers to 122 and increased specificity from 0.9017 to 0.9756 while retaining all 2,194 teacher events. The result reflects the discrete positive volumes produced by the generated teacher and should not be interpreted as proof of zero under-irrigation in the field. A field-calibrated threshold must instead balance crop stress risk against unnecessary actuation using measured soil trajectories and treatment outcomes.</w:t>
      </w:r>
    </w:p>
    <w:p>
      <w:r>
        <w:t>After replacing legacy 20/40/60 cm test fixtures with the implemented single-probe interface, all 17 model/controller tests and all 18 server tests passed. The suites cover recommendation limits, channel-level closure, outlet interlocking, no-flow shutdown, weather summarization and critical-soil missing/stale gates. Passing tests verify deterministic software behavior for the encoded cases; they do not measure physical relay, pump or flow-meter reliability.</w:t>
      </w:r>
    </w:p>
    <w:p>
      <w:pPr>
        <w:pStyle w:val="Heading1"/>
      </w:pPr>
      <w:r>
        <w:t>4. Discussion</w:t>
      </w:r>
    </w:p>
    <w:p>
      <w:pPr>
        <w:pStyle w:val="Heading2"/>
      </w:pPr>
      <w:r>
        <w:t>4.1. What is innovative in the present system</w:t>
      </w:r>
    </w:p>
    <w:p>
      <w:r>
        <w:t>The main contribution is the integration boundary rather than a claim of a new agronomic optimum. The system explicitly assigns different responsibilities to the cloud and edge: the cloud can host a heavier policy model and weather processing, while the edge preserves local visibility and deterministic actuator protection. The single-probe assumption is also explicit. Instead of fabricating layered soil states, the decision path uses the measurements that the deployed hardware can actually provide. This makes the system easier to audit and calibrate in a small farm.</w:t>
      </w:r>
    </w:p>
    <w:p>
      <w:r>
        <w:t>The second contribution is the combination of policy distillation and safety gates. A transparent teacher policy can be inspected by agronomists, while ExtraTrees provides a compact nonlinear approximation that is practical to serve. The model is never allowed to bypass hard gates. The third contribution is volume-based fertigation closure: relay state is not treated as delivered dose; flow pulses are used to terminate each nutrient channel, and the outlet pump is interlocked with channel completion. This directly addresses a failure mode that is common in timer-only prototypes.</w:t>
      </w:r>
    </w:p>
    <w:p>
      <w:pPr>
        <w:pStyle w:val="Heading2"/>
      </w:pPr>
      <w:r>
        <w:t>4.2. Relation to prior work</w:t>
      </w:r>
    </w:p>
    <w:p>
      <w:r>
        <w:t>The architecture follows the broader IoT agriculture direction in which distributed sensing, connectivity and analytics support site-specific management. It differs from many proof-of-concept systems by treating data quality and actuation sequencing as first-class control variables. The use of FAO-56 ET0 provides a recognized physical weather feature, but ET0 is used as context for a teacher policy and not as a substitute for local soil-water calibration. The ExtraTrees choice is consistent with its ability to model nonlinear interactions and mixed feature sets without requiring a large neural inference stack at the edge.</w:t>
      </w:r>
    </w:p>
    <w:p>
      <w:pPr>
        <w:pStyle w:val="Heading2"/>
      </w:pPr>
      <w:r>
        <w:t>4.3. Limitations and required next experiments</w:t>
      </w:r>
    </w:p>
    <w:p>
      <w:r>
        <w:t>The most important limitation is label origin. The 39,600 samples are generated from regional historical weather, published crop-stage priors and single-probe setpoints. The model therefore reproduces a rule-based teacher; it has not learned a local yield response. The present evaluation also lacks randomized field treatments, calibrated flow-meter uncertainty, pump energy measurements, communication latency distributions and multi-season crop-quality labels. The project should next collect synchronized soil, flow, weather, management and harvest records; recalibrate each meter in situ; and compare the policy against timer irrigation and an agronomist baseline across independent plots. A future multi-objective model can then optimize yield, water productivity, nutrient use and energy under explicit constraints.</w:t>
      </w:r>
    </w:p>
    <w:p>
      <w:r>
        <w:t>Operationally, the public-server dependency is a design trade-off. It simplifies model updates and allows a larger runtime environment, but it creates a need for a robust offline state and clear operator feedback. The current fail-closed soil gate and bounded relay state machine reduce physical risk, yet a production deployment should add local command expiry, signed firmware, authenticated transport, event persistence and an independent hardwired emergency stop.</w:t>
      </w:r>
    </w:p>
    <w:p>
      <w:pPr>
        <w:pStyle w:val="Heading2"/>
      </w:pPr>
      <w:r>
        <w:t>4.4. Deployment implications</w:t>
      </w:r>
    </w:p>
    <w:p>
      <w:r>
        <w:t>The design is appropriate for staged deployment. A first stage can use the server only for observation and work-order generation while an operator controls the relays manually. A second stage can enable automatic execution for irrigation with conservative limits and an active emergency stop. A third stage can enable closed-loop nutrient dosing after each flow meter has been calibrated and after the system has accumulated enough local observations to estimate delivery uncertainty. This staged approach is consistent with the evidence available in the current project: policy reproduction and actuator safety are demonstrated, while agronomic optimization is not yet demonstrated.</w:t>
      </w:r>
    </w:p>
    <w:p>
      <w:r>
        <w:t>The same staged logic also improves scientific evaluation. During shadow mode, every proposed decision can be logged without changing the irrigation schedule. The log can then be paired with soil moisture trajectories, actual flow, weather, energy and harvest observations. Counterfactual comparisons between the teacher, ExtraTrees and the farmer baseline become possible only after these synchronized records are collected. In this sense, the current software is both a controller and an instrumentation platform for the next experiment.</w:t>
      </w:r>
    </w:p>
    <w:p>
      <w:pPr>
        <w:pStyle w:val="Heading2"/>
      </w:pPr>
      <w:r>
        <w:t>4.5. Threats to validity</w:t>
      </w:r>
    </w:p>
    <w:p>
      <w:r>
        <w:t>Three threats to validity should be considered. First, the weather data are regional and the soil scenarios are generated; they may not represent the microclimate, soil texture or hydraulic response of the eventual farm. Second, the model metrics are conditional on the teacher labels and can be inflated when train and test distributions share the same rule structure. Third, controller simulation assumes ideal pulse timing and does not measure pump wear, air entrainment, pressure variation or meter bias. These threats do not invalidate the engineering baseline, but they limit the strength of any agronomic claim. The manuscript intentionally reports them so that a subsequent field study can be designed around them.</w:t>
      </w:r>
    </w:p>
    <w:p>
      <w:pPr>
        <w:pStyle w:val="Heading1"/>
      </w:pPr>
      <w:r>
        <w:t>5. Conclusions</w:t>
      </w:r>
    </w:p>
    <w:p>
      <w:r>
        <w:t>This paper presented ZhiRun, a safety-gated edge-cloud fertigation system built for a single soil probe and four-pump hardware configuration. The system combines RS485 sensing, server-side ExtraTrees policy distillation, asymmetric missing-data handling, independent flow-meter closure for N/P/K dosing, and an outlet-pump interlock. On a chronological independent test set, the policy reproduction model achieved R2 values of 0.9805 for water, 0.9230 for N, 0.9254 for P2O5 and 0.9576 for K2O, with 93.17% irrigation decision accuracy. These metrics establish a reproducible software and control baseline. They do not establish agronomic or economic superiority. Local field trials with measured yield, quality, water and nutrient outcomes are required before the system can be promoted as an optimized automatic irrigation strategy.</w:t>
      </w:r>
    </w:p>
    <w:p>
      <w:pPr>
        <w:pStyle w:val="Heading1"/>
      </w:pPr>
      <w:r>
        <w:t>Declarations</w:t>
      </w:r>
    </w:p>
    <w:p>
      <w:r>
        <w:t>Availability of data and materials. The project source code, model configuration, metric JSON, experiment scripts and exported dataset summary are maintained in the ZhiRun repository: https://github.com/isa-1211/ZhiRun. Weather data provenance and preprocessing scripts are included in the repository.</w:t>
      </w:r>
    </w:p>
    <w:p>
      <w:r>
        <w:t>Competing interests. The authors declare that they have no competing interests.</w:t>
      </w:r>
    </w:p>
    <w:p>
      <w:r>
        <w:t>Funding. No specific funding is reported for this study.</w:t>
      </w:r>
    </w:p>
    <w:p>
      <w:r>
        <w:t>Authors' contributions. Li Tianhao conceived the system, implemented the software and prepared the manuscript. Liu Jiangping supervised the study, reviewed the methodology and revised the manuscript. Both authors approved the submitted version.</w:t>
      </w:r>
    </w:p>
    <w:p>
      <w:r>
        <w:t>Acknowledgments. Not applicable at the draft stage. Add field, laboratory or open-source acknowledgments after permissions are obtained.</w:t>
      </w:r>
    </w:p>
    <w:p>
      <w:r>
        <w:t>Declaration of generative artificial intelligence and artificial intelligence-assisted technologies in the writing process. During preparation of this draft, generative AI assistance was used for language drafting and structural editing. The authors reviewed the technical content, source data, figures and references and remain responsible for the final manuscript.</w:t>
      </w:r>
    </w:p>
    <w:p>
      <w:pPr>
        <w:pStyle w:val="Heading1"/>
      </w:pPr>
      <w:r>
        <w:t>References</w:t>
      </w:r>
    </w:p>
    <w:p>
      <w:r>
        <w:t>Allen, R.G., Pereira, L.S., Raes, D., Smith, M. (1998). Crop evapotranspiration - Guidelines for computing crop water requirements - FAO Irrigation and drainage paper 56. FAO, Rome. https://www.fao.org/4/X0490E/X0490E00.htm</w:t>
      </w:r>
    </w:p>
    <w:p>
      <w:r>
        <w:t>Ayaz, M., Ammad-Uddin, M., Sharif, Z., Mansour, A., Aggoune, E.H.M. (2019). Internet-of-Things (IoT)-based smart agriculture: Toward making the fields talk. IEEE Access, 7, 129551-129583. https://doi.org/10.1109/ACCESS.2019.2932609</w:t>
      </w:r>
    </w:p>
    <w:p>
      <w:r>
        <w:t>Fereres, E., Soriano, M.A. (2007). Deficit irrigation for reducing agricultural water use. Journal of Experimental Botany, 58(2), 147-159. https://doi.org/10.1093/jxb/erl165</w:t>
      </w:r>
    </w:p>
    <w:p>
      <w:r>
        <w:t>Geurts, P., Ernst, D., Wehenkel, L. (2006). Extremely randomized trees. Machine Learning, 63, 3-42. https://doi.org/10.1007/s10994-006-6226-1</w:t>
      </w:r>
    </w:p>
    <w:p>
      <w:r>
        <w:t>NASA Langley Research Center (2024). NASA POWER project documentation. https://power.larc.nasa.gov/docs/</w:t>
      </w:r>
    </w:p>
    <w:p>
      <w:r>
        <w:t>Poggio, L., de Sousa, L.M., Batjes, N.H., et al. (2021). SoilGrids 2.0: producing soil information for the globe with quantified spatial uncertainty. SOIL, 7, 217-240. https://doi.org/10.5194/soil-7-217-2021</w:t>
      </w:r>
    </w:p>
    <w:p>
      <w:r>
        <w:t>ZhiRun project contributors (2026). ZhiRun smart agricultural water-fertilizer integration system: source code, model configuration and controller tests. GitHub repository. https://github.com/isa-1211/ZhiRun</w:t>
      </w:r>
    </w:p>
    <w:p>
      <w:pPr>
        <w:pStyle w:val="Heading1"/>
      </w:pPr>
      <w:r>
        <w:t>Tables</w:t>
      </w:r>
    </w:p>
    <w:p>
      <w:pPr>
        <w:pStyle w:val="CaptionText"/>
      </w:pPr>
      <w:r>
        <w:t>Table 1. Main hardware and software responsibilities.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D9EAF7"/>
            <w:vAlign w:val="center"/>
            <w:tcBorders>
              <w:top w:val="single" w:sz="6" w:color="557A95"/>
              <w:left w:val="single" w:sz="6" w:color="557A95"/>
              <w:bottom w:val="single" w:sz="6" w:color="557A95"/>
              <w:right w:val="single" w:sz="6" w:color="557A95"/>
            </w:tcBorders>
          </w:tcPr>
          <w:p>
            <w:r>
              <w:rPr>
                <w:b/>
              </w:rPr>
              <w:t>Subsystem</w:t>
            </w:r>
          </w:p>
        </w:tc>
        <w:tc>
          <w:tcPr>
            <w:tcW w:type="dxa" w:w="3024"/>
            <w:shd w:fill="D9EAF7"/>
            <w:vAlign w:val="center"/>
            <w:tcBorders>
              <w:top w:val="single" w:sz="6" w:color="557A95"/>
              <w:left w:val="single" w:sz="6" w:color="557A95"/>
              <w:bottom w:val="single" w:sz="6" w:color="557A95"/>
              <w:right w:val="single" w:sz="6" w:color="557A95"/>
            </w:tcBorders>
          </w:tcPr>
          <w:p>
            <w:r>
              <w:rPr>
                <w:b/>
              </w:rPr>
              <w:t>Implemented component</w:t>
            </w:r>
          </w:p>
        </w:tc>
        <w:tc>
          <w:tcPr>
            <w:tcW w:type="dxa" w:w="3024"/>
            <w:shd w:fill="D9EAF7"/>
            <w:vAlign w:val="center"/>
            <w:tcBorders>
              <w:top w:val="single" w:sz="6" w:color="557A95"/>
              <w:left w:val="single" w:sz="6" w:color="557A95"/>
              <w:bottom w:val="single" w:sz="6" w:color="557A95"/>
              <w:right w:val="single" w:sz="6" w:color="557A95"/>
            </w:tcBorders>
          </w:tcPr>
          <w:p>
            <w:r>
              <w:rPr>
                <w:b/>
              </w:rPr>
              <w:t>Role in the control loop</w:t>
            </w:r>
          </w:p>
        </w:tc>
      </w:tr>
      <w:tr>
        <w:tc>
          <w:tcPr>
            <w:tcW w:type="dxa" w:w="3024"/>
            <w:vAlign w:val="center"/>
            <w:tcBorders>
              <w:top w:val="single" w:sz="4" w:color="AAB7C4"/>
              <w:left w:val="single" w:sz="4" w:color="AAB7C4"/>
              <w:bottom w:val="single" w:sz="4" w:color="AAB7C4"/>
              <w:right w:val="single" w:sz="4" w:color="AAB7C4"/>
            </w:tcBorders>
          </w:tcPr>
          <w:p>
            <w:r>
              <w:t>Edge computer</w:t>
            </w:r>
          </w:p>
        </w:tc>
        <w:tc>
          <w:tcPr>
            <w:tcW w:type="dxa" w:w="3024"/>
            <w:vAlign w:val="center"/>
            <w:tcBorders>
              <w:top w:val="single" w:sz="4" w:color="AAB7C4"/>
              <w:left w:val="single" w:sz="4" w:color="AAB7C4"/>
              <w:bottom w:val="single" w:sz="4" w:color="AAB7C4"/>
              <w:right w:val="single" w:sz="4" w:color="AAB7C4"/>
            </w:tcBorders>
          </w:tcPr>
          <w:p>
            <w:r>
              <w:t>RK3506B</w:t>
            </w:r>
          </w:p>
        </w:tc>
        <w:tc>
          <w:tcPr>
            <w:tcW w:type="dxa" w:w="3024"/>
            <w:vAlign w:val="center"/>
            <w:tcBorders>
              <w:top w:val="single" w:sz="4" w:color="AAB7C4"/>
              <w:left w:val="single" w:sz="4" w:color="AAB7C4"/>
              <w:bottom w:val="single" w:sz="4" w:color="AAB7C4"/>
              <w:right w:val="single" w:sz="4" w:color="AAB7C4"/>
            </w:tcBorders>
          </w:tcPr>
          <w:p>
            <w:r>
              <w:t>RS485 acquisition, local HMI, uplink and command forwarding</w:t>
            </w:r>
          </w:p>
        </w:tc>
      </w:tr>
      <w:tr>
        <w:tc>
          <w:tcPr>
            <w:tcW w:type="dxa" w:w="3024"/>
            <w:vAlign w:val="center"/>
            <w:tcBorders>
              <w:top w:val="single" w:sz="4" w:color="AAB7C4"/>
              <w:left w:val="single" w:sz="4" w:color="AAB7C4"/>
              <w:bottom w:val="single" w:sz="4" w:color="AAB7C4"/>
              <w:right w:val="single" w:sz="4" w:color="AAB7C4"/>
            </w:tcBorders>
          </w:tcPr>
          <w:p>
            <w:r>
              <w:t>Actuator computer</w:t>
            </w:r>
          </w:p>
        </w:tc>
        <w:tc>
          <w:tcPr>
            <w:tcW w:type="dxa" w:w="3024"/>
            <w:vAlign w:val="center"/>
            <w:tcBorders>
              <w:top w:val="single" w:sz="4" w:color="AAB7C4"/>
              <w:left w:val="single" w:sz="4" w:color="AAB7C4"/>
              <w:bottom w:val="single" w:sz="4" w:color="AAB7C4"/>
              <w:right w:val="single" w:sz="4" w:color="AAB7C4"/>
            </w:tcBorders>
          </w:tcPr>
          <w:p>
            <w:r>
              <w:t>ESP32-S3</w:t>
            </w:r>
          </w:p>
        </w:tc>
        <w:tc>
          <w:tcPr>
            <w:tcW w:type="dxa" w:w="3024"/>
            <w:vAlign w:val="center"/>
            <w:tcBorders>
              <w:top w:val="single" w:sz="4" w:color="AAB7C4"/>
              <w:left w:val="single" w:sz="4" w:color="AAB7C4"/>
              <w:bottom w:val="single" w:sz="4" w:color="AAB7C4"/>
              <w:right w:val="single" w:sz="4" w:color="AAB7C4"/>
            </w:tcBorders>
          </w:tcPr>
          <w:p>
            <w:r>
              <w:t>Relay state machine, pulse counting, timeout and stop-all</w:t>
            </w:r>
          </w:p>
        </w:tc>
      </w:tr>
      <w:tr>
        <w:tc>
          <w:tcPr>
            <w:tcW w:type="dxa" w:w="3024"/>
            <w:vAlign w:val="center"/>
            <w:tcBorders>
              <w:top w:val="single" w:sz="4" w:color="AAB7C4"/>
              <w:left w:val="single" w:sz="4" w:color="AAB7C4"/>
              <w:bottom w:val="single" w:sz="4" w:color="AAB7C4"/>
              <w:right w:val="single" w:sz="4" w:color="AAB7C4"/>
            </w:tcBorders>
          </w:tcPr>
          <w:p>
            <w:r>
              <w:t>Soil sensing</w:t>
            </w:r>
          </w:p>
        </w:tc>
        <w:tc>
          <w:tcPr>
            <w:tcW w:type="dxa" w:w="3024"/>
            <w:vAlign w:val="center"/>
            <w:tcBorders>
              <w:top w:val="single" w:sz="4" w:color="AAB7C4"/>
              <w:left w:val="single" w:sz="4" w:color="AAB7C4"/>
              <w:bottom w:val="single" w:sz="4" w:color="AAB7C4"/>
              <w:right w:val="single" w:sz="4" w:color="AAB7C4"/>
            </w:tcBorders>
          </w:tcPr>
          <w:p>
            <w:r>
              <w:t>Single probe</w:t>
            </w:r>
          </w:p>
        </w:tc>
        <w:tc>
          <w:tcPr>
            <w:tcW w:type="dxa" w:w="3024"/>
            <w:vAlign w:val="center"/>
            <w:tcBorders>
              <w:top w:val="single" w:sz="4" w:color="AAB7C4"/>
              <w:left w:val="single" w:sz="4" w:color="AAB7C4"/>
              <w:bottom w:val="single" w:sz="4" w:color="AAB7C4"/>
              <w:right w:val="single" w:sz="4" w:color="AAB7C4"/>
            </w:tcBorders>
          </w:tcPr>
          <w:p>
            <w:r>
              <w:t>Moisture, soil temperature, pH and measured N/P/K inputs</w:t>
            </w:r>
          </w:p>
        </w:tc>
      </w:tr>
      <w:tr>
        <w:tc>
          <w:tcPr>
            <w:tcW w:type="dxa" w:w="3024"/>
            <w:vAlign w:val="center"/>
            <w:tcBorders>
              <w:top w:val="single" w:sz="4" w:color="AAB7C4"/>
              <w:left w:val="single" w:sz="4" w:color="AAB7C4"/>
              <w:bottom w:val="single" w:sz="4" w:color="AAB7C4"/>
              <w:right w:val="single" w:sz="4" w:color="AAB7C4"/>
            </w:tcBorders>
          </w:tcPr>
          <w:p>
            <w:r>
              <w:t>Fertilizer channels</w:t>
            </w:r>
          </w:p>
        </w:tc>
        <w:tc>
          <w:tcPr>
            <w:tcW w:type="dxa" w:w="3024"/>
            <w:vAlign w:val="center"/>
            <w:tcBorders>
              <w:top w:val="single" w:sz="4" w:color="AAB7C4"/>
              <w:left w:val="single" w:sz="4" w:color="AAB7C4"/>
              <w:bottom w:val="single" w:sz="4" w:color="AAB7C4"/>
              <w:right w:val="single" w:sz="4" w:color="AAB7C4"/>
            </w:tcBorders>
          </w:tcPr>
          <w:p>
            <w:r>
              <w:t>Three pumps + three flow meters</w:t>
            </w:r>
          </w:p>
        </w:tc>
        <w:tc>
          <w:tcPr>
            <w:tcW w:type="dxa" w:w="3024"/>
            <w:vAlign w:val="center"/>
            <w:tcBorders>
              <w:top w:val="single" w:sz="4" w:color="AAB7C4"/>
              <w:left w:val="single" w:sz="4" w:color="AAB7C4"/>
              <w:bottom w:val="single" w:sz="4" w:color="AAB7C4"/>
              <w:right w:val="single" w:sz="4" w:color="AAB7C4"/>
            </w:tcBorders>
          </w:tcPr>
          <w:p>
            <w:r>
              <w:t>N, P and K dosing with independent volume closure</w:t>
            </w:r>
          </w:p>
        </w:tc>
      </w:tr>
      <w:tr>
        <w:tc>
          <w:tcPr>
            <w:tcW w:type="dxa" w:w="3024"/>
            <w:vAlign w:val="center"/>
            <w:tcBorders>
              <w:top w:val="single" w:sz="4" w:color="AAB7C4"/>
              <w:left w:val="single" w:sz="4" w:color="AAB7C4"/>
              <w:bottom w:val="single" w:sz="4" w:color="AAB7C4"/>
              <w:right w:val="single" w:sz="4" w:color="AAB7C4"/>
            </w:tcBorders>
          </w:tcPr>
          <w:p>
            <w:r>
              <w:t>Mixing and irrigation</w:t>
            </w:r>
          </w:p>
        </w:tc>
        <w:tc>
          <w:tcPr>
            <w:tcW w:type="dxa" w:w="3024"/>
            <w:vAlign w:val="center"/>
            <w:tcBorders>
              <w:top w:val="single" w:sz="4" w:color="AAB7C4"/>
              <w:left w:val="single" w:sz="4" w:color="AAB7C4"/>
              <w:bottom w:val="single" w:sz="4" w:color="AAB7C4"/>
              <w:right w:val="single" w:sz="4" w:color="AAB7C4"/>
            </w:tcBorders>
          </w:tcPr>
          <w:p>
            <w:r>
              <w:t>Outlet pump</w:t>
            </w:r>
          </w:p>
        </w:tc>
        <w:tc>
          <w:tcPr>
            <w:tcW w:type="dxa" w:w="3024"/>
            <w:vAlign w:val="center"/>
            <w:tcBorders>
              <w:top w:val="single" w:sz="4" w:color="AAB7C4"/>
              <w:left w:val="single" w:sz="4" w:color="AAB7C4"/>
              <w:bottom w:val="single" w:sz="4" w:color="AAB7C4"/>
              <w:right w:val="single" w:sz="4" w:color="AAB7C4"/>
            </w:tcBorders>
          </w:tcPr>
          <w:p>
            <w:r>
              <w:t>Starts only after fertilizer channels finish</w:t>
            </w:r>
          </w:p>
        </w:tc>
      </w:tr>
      <w:tr>
        <w:tc>
          <w:tcPr>
            <w:tcW w:type="dxa" w:w="3024"/>
            <w:vAlign w:val="center"/>
            <w:tcBorders>
              <w:top w:val="single" w:sz="4" w:color="AAB7C4"/>
              <w:left w:val="single" w:sz="4" w:color="AAB7C4"/>
              <w:bottom w:val="single" w:sz="4" w:color="AAB7C4"/>
              <w:right w:val="single" w:sz="4" w:color="AAB7C4"/>
            </w:tcBorders>
          </w:tcPr>
          <w:p>
            <w:r>
              <w:t>Connectivity</w:t>
            </w:r>
          </w:p>
        </w:tc>
        <w:tc>
          <w:tcPr>
            <w:tcW w:type="dxa" w:w="3024"/>
            <w:vAlign w:val="center"/>
            <w:tcBorders>
              <w:top w:val="single" w:sz="4" w:color="AAB7C4"/>
              <w:left w:val="single" w:sz="4" w:color="AAB7C4"/>
              <w:bottom w:val="single" w:sz="4" w:color="AAB7C4"/>
              <w:right w:val="single" w:sz="4" w:color="AAB7C4"/>
            </w:tcBorders>
          </w:tcPr>
          <w:p>
            <w:r>
              <w:t>Wi-Fi/Ethernet + USB/CH341</w:t>
            </w:r>
          </w:p>
        </w:tc>
        <w:tc>
          <w:tcPr>
            <w:tcW w:type="dxa" w:w="3024"/>
            <w:vAlign w:val="center"/>
            <w:tcBorders>
              <w:top w:val="single" w:sz="4" w:color="AAB7C4"/>
              <w:left w:val="single" w:sz="4" w:color="AAB7C4"/>
              <w:bottom w:val="single" w:sz="4" w:color="AAB7C4"/>
              <w:right w:val="single" w:sz="4" w:color="AAB7C4"/>
            </w:tcBorders>
          </w:tcPr>
          <w:p>
            <w:r>
              <w:t>Public-server access and edge-actuator link</w:t>
            </w:r>
          </w:p>
        </w:tc>
      </w:tr>
    </w:tbl>
    <w:p/>
    <w:p>
      <w:pPr>
        <w:pStyle w:val="CaptionText"/>
      </w:pPr>
      <w:r>
        <w:t>Table 2. Independent test performance for policy reproduction (2024-2025; n = 7,200).</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D9EAF7"/>
            <w:vAlign w:val="center"/>
            <w:tcBorders>
              <w:top w:val="single" w:sz="6" w:color="557A95"/>
              <w:left w:val="single" w:sz="6" w:color="557A95"/>
              <w:bottom w:val="single" w:sz="6" w:color="557A95"/>
              <w:right w:val="single" w:sz="6" w:color="557A95"/>
            </w:tcBorders>
          </w:tcPr>
          <w:p>
            <w:r>
              <w:rPr>
                <w:b/>
              </w:rPr>
              <w:t>Target</w:t>
            </w:r>
          </w:p>
        </w:tc>
        <w:tc>
          <w:tcPr>
            <w:tcW w:type="dxa" w:w="2268"/>
            <w:shd w:fill="D9EAF7"/>
            <w:vAlign w:val="center"/>
            <w:tcBorders>
              <w:top w:val="single" w:sz="6" w:color="557A95"/>
              <w:left w:val="single" w:sz="6" w:color="557A95"/>
              <w:bottom w:val="single" w:sz="6" w:color="557A95"/>
              <w:right w:val="single" w:sz="6" w:color="557A95"/>
            </w:tcBorders>
          </w:tcPr>
          <w:p>
            <w:r>
              <w:rPr>
                <w:b/>
              </w:rPr>
              <w:t>MAE</w:t>
            </w:r>
          </w:p>
        </w:tc>
        <w:tc>
          <w:tcPr>
            <w:tcW w:type="dxa" w:w="2268"/>
            <w:shd w:fill="D9EAF7"/>
            <w:vAlign w:val="center"/>
            <w:tcBorders>
              <w:top w:val="single" w:sz="6" w:color="557A95"/>
              <w:left w:val="single" w:sz="6" w:color="557A95"/>
              <w:bottom w:val="single" w:sz="6" w:color="557A95"/>
              <w:right w:val="single" w:sz="6" w:color="557A95"/>
            </w:tcBorders>
          </w:tcPr>
          <w:p>
            <w:r>
              <w:rPr>
                <w:b/>
              </w:rPr>
              <w:t>RMSE</w:t>
            </w:r>
          </w:p>
        </w:tc>
        <w:tc>
          <w:tcPr>
            <w:tcW w:type="dxa" w:w="2268"/>
            <w:shd w:fill="D9EAF7"/>
            <w:vAlign w:val="center"/>
            <w:tcBorders>
              <w:top w:val="single" w:sz="6" w:color="557A95"/>
              <w:left w:val="single" w:sz="6" w:color="557A95"/>
              <w:bottom w:val="single" w:sz="6" w:color="557A95"/>
              <w:right w:val="single" w:sz="6" w:color="557A95"/>
            </w:tcBorders>
          </w:tcPr>
          <w:p>
            <w:r>
              <w:rPr>
                <w:b/>
              </w:rPr>
              <w:t>R2</w:t>
            </w:r>
          </w:p>
        </w:tc>
      </w:tr>
      <w:tr>
        <w:tc>
          <w:tcPr>
            <w:tcW w:type="dxa" w:w="2268"/>
            <w:vAlign w:val="center"/>
            <w:tcBorders>
              <w:top w:val="single" w:sz="4" w:color="AAB7C4"/>
              <w:left w:val="single" w:sz="4" w:color="AAB7C4"/>
              <w:bottom w:val="single" w:sz="4" w:color="AAB7C4"/>
              <w:right w:val="single" w:sz="4" w:color="AAB7C4"/>
            </w:tcBorders>
          </w:tcPr>
          <w:p>
            <w:r>
              <w:t>Irrigation water (m3 mu-1)</w:t>
            </w:r>
          </w:p>
        </w:tc>
        <w:tc>
          <w:tcPr>
            <w:tcW w:type="dxa" w:w="2268"/>
            <w:vAlign w:val="center"/>
            <w:tcBorders>
              <w:top w:val="single" w:sz="4" w:color="AAB7C4"/>
              <w:left w:val="single" w:sz="4" w:color="AAB7C4"/>
              <w:bottom w:val="single" w:sz="4" w:color="AAB7C4"/>
              <w:right w:val="single" w:sz="4" w:color="AAB7C4"/>
            </w:tcBorders>
          </w:tcPr>
          <w:p>
            <w:r>
              <w:t>0.4599</w:t>
            </w:r>
          </w:p>
        </w:tc>
        <w:tc>
          <w:tcPr>
            <w:tcW w:type="dxa" w:w="2268"/>
            <w:vAlign w:val="center"/>
            <w:tcBorders>
              <w:top w:val="single" w:sz="4" w:color="AAB7C4"/>
              <w:left w:val="single" w:sz="4" w:color="AAB7C4"/>
              <w:bottom w:val="single" w:sz="4" w:color="AAB7C4"/>
              <w:right w:val="single" w:sz="4" w:color="AAB7C4"/>
            </w:tcBorders>
          </w:tcPr>
          <w:p>
            <w:r>
              <w:t>1.5792</w:t>
            </w:r>
          </w:p>
        </w:tc>
        <w:tc>
          <w:tcPr>
            <w:tcW w:type="dxa" w:w="2268"/>
            <w:vAlign w:val="center"/>
            <w:tcBorders>
              <w:top w:val="single" w:sz="4" w:color="AAB7C4"/>
              <w:left w:val="single" w:sz="4" w:color="AAB7C4"/>
              <w:bottom w:val="single" w:sz="4" w:color="AAB7C4"/>
              <w:right w:val="single" w:sz="4" w:color="AAB7C4"/>
            </w:tcBorders>
          </w:tcPr>
          <w:p>
            <w:r>
              <w:t>0.9805</w:t>
            </w:r>
          </w:p>
        </w:tc>
      </w:tr>
      <w:tr>
        <w:tc>
          <w:tcPr>
            <w:tcW w:type="dxa" w:w="2268"/>
            <w:vAlign w:val="center"/>
            <w:tcBorders>
              <w:top w:val="single" w:sz="4" w:color="AAB7C4"/>
              <w:left w:val="single" w:sz="4" w:color="AAB7C4"/>
              <w:bottom w:val="single" w:sz="4" w:color="AAB7C4"/>
              <w:right w:val="single" w:sz="4" w:color="AAB7C4"/>
            </w:tcBorders>
          </w:tcPr>
          <w:p>
            <w:r>
              <w:t>N (kg mu-1)</w:t>
            </w:r>
          </w:p>
        </w:tc>
        <w:tc>
          <w:tcPr>
            <w:tcW w:type="dxa" w:w="2268"/>
            <w:vAlign w:val="center"/>
            <w:tcBorders>
              <w:top w:val="single" w:sz="4" w:color="AAB7C4"/>
              <w:left w:val="single" w:sz="4" w:color="AAB7C4"/>
              <w:bottom w:val="single" w:sz="4" w:color="AAB7C4"/>
              <w:right w:val="single" w:sz="4" w:color="AAB7C4"/>
            </w:tcBorders>
          </w:tcPr>
          <w:p>
            <w:r>
              <w:t>0.0249</w:t>
            </w:r>
          </w:p>
        </w:tc>
        <w:tc>
          <w:tcPr>
            <w:tcW w:type="dxa" w:w="2268"/>
            <w:vAlign w:val="center"/>
            <w:tcBorders>
              <w:top w:val="single" w:sz="4" w:color="AAB7C4"/>
              <w:left w:val="single" w:sz="4" w:color="AAB7C4"/>
              <w:bottom w:val="single" w:sz="4" w:color="AAB7C4"/>
              <w:right w:val="single" w:sz="4" w:color="AAB7C4"/>
            </w:tcBorders>
          </w:tcPr>
          <w:p>
            <w:r>
              <w:t>0.1286</w:t>
            </w:r>
          </w:p>
        </w:tc>
        <w:tc>
          <w:tcPr>
            <w:tcW w:type="dxa" w:w="2268"/>
            <w:vAlign w:val="center"/>
            <w:tcBorders>
              <w:top w:val="single" w:sz="4" w:color="AAB7C4"/>
              <w:left w:val="single" w:sz="4" w:color="AAB7C4"/>
              <w:bottom w:val="single" w:sz="4" w:color="AAB7C4"/>
              <w:right w:val="single" w:sz="4" w:color="AAB7C4"/>
            </w:tcBorders>
          </w:tcPr>
          <w:p>
            <w:r>
              <w:t>0.9230</w:t>
            </w:r>
          </w:p>
        </w:tc>
      </w:tr>
      <w:tr>
        <w:tc>
          <w:tcPr>
            <w:tcW w:type="dxa" w:w="2268"/>
            <w:vAlign w:val="center"/>
            <w:tcBorders>
              <w:top w:val="single" w:sz="4" w:color="AAB7C4"/>
              <w:left w:val="single" w:sz="4" w:color="AAB7C4"/>
              <w:bottom w:val="single" w:sz="4" w:color="AAB7C4"/>
              <w:right w:val="single" w:sz="4" w:color="AAB7C4"/>
            </w:tcBorders>
          </w:tcPr>
          <w:p>
            <w:r>
              <w:t>P2O5 (kg mu-1)</w:t>
            </w:r>
          </w:p>
        </w:tc>
        <w:tc>
          <w:tcPr>
            <w:tcW w:type="dxa" w:w="2268"/>
            <w:vAlign w:val="center"/>
            <w:tcBorders>
              <w:top w:val="single" w:sz="4" w:color="AAB7C4"/>
              <w:left w:val="single" w:sz="4" w:color="AAB7C4"/>
              <w:bottom w:val="single" w:sz="4" w:color="AAB7C4"/>
              <w:right w:val="single" w:sz="4" w:color="AAB7C4"/>
            </w:tcBorders>
          </w:tcPr>
          <w:p>
            <w:r>
              <w:t>0.0148</w:t>
            </w:r>
          </w:p>
        </w:tc>
        <w:tc>
          <w:tcPr>
            <w:tcW w:type="dxa" w:w="2268"/>
            <w:vAlign w:val="center"/>
            <w:tcBorders>
              <w:top w:val="single" w:sz="4" w:color="AAB7C4"/>
              <w:left w:val="single" w:sz="4" w:color="AAB7C4"/>
              <w:bottom w:val="single" w:sz="4" w:color="AAB7C4"/>
              <w:right w:val="single" w:sz="4" w:color="AAB7C4"/>
            </w:tcBorders>
          </w:tcPr>
          <w:p>
            <w:r>
              <w:t>0.0755</w:t>
            </w:r>
          </w:p>
        </w:tc>
        <w:tc>
          <w:tcPr>
            <w:tcW w:type="dxa" w:w="2268"/>
            <w:vAlign w:val="center"/>
            <w:tcBorders>
              <w:top w:val="single" w:sz="4" w:color="AAB7C4"/>
              <w:left w:val="single" w:sz="4" w:color="AAB7C4"/>
              <w:bottom w:val="single" w:sz="4" w:color="AAB7C4"/>
              <w:right w:val="single" w:sz="4" w:color="AAB7C4"/>
            </w:tcBorders>
          </w:tcPr>
          <w:p>
            <w:r>
              <w:t>0.9254</w:t>
            </w:r>
          </w:p>
        </w:tc>
      </w:tr>
      <w:tr>
        <w:tc>
          <w:tcPr>
            <w:tcW w:type="dxa" w:w="2268"/>
            <w:vAlign w:val="center"/>
            <w:tcBorders>
              <w:top w:val="single" w:sz="4" w:color="AAB7C4"/>
              <w:left w:val="single" w:sz="4" w:color="AAB7C4"/>
              <w:bottom w:val="single" w:sz="4" w:color="AAB7C4"/>
              <w:right w:val="single" w:sz="4" w:color="AAB7C4"/>
            </w:tcBorders>
          </w:tcPr>
          <w:p>
            <w:r>
              <w:t>K2O (kg mu-1)</w:t>
            </w:r>
          </w:p>
        </w:tc>
        <w:tc>
          <w:tcPr>
            <w:tcW w:type="dxa" w:w="2268"/>
            <w:vAlign w:val="center"/>
            <w:tcBorders>
              <w:top w:val="single" w:sz="4" w:color="AAB7C4"/>
              <w:left w:val="single" w:sz="4" w:color="AAB7C4"/>
              <w:bottom w:val="single" w:sz="4" w:color="AAB7C4"/>
              <w:right w:val="single" w:sz="4" w:color="AAB7C4"/>
            </w:tcBorders>
          </w:tcPr>
          <w:p>
            <w:r>
              <w:t>0.0123</w:t>
            </w:r>
          </w:p>
        </w:tc>
        <w:tc>
          <w:tcPr>
            <w:tcW w:type="dxa" w:w="2268"/>
            <w:vAlign w:val="center"/>
            <w:tcBorders>
              <w:top w:val="single" w:sz="4" w:color="AAB7C4"/>
              <w:left w:val="single" w:sz="4" w:color="AAB7C4"/>
              <w:bottom w:val="single" w:sz="4" w:color="AAB7C4"/>
              <w:right w:val="single" w:sz="4" w:color="AAB7C4"/>
            </w:tcBorders>
          </w:tcPr>
          <w:p>
            <w:r>
              <w:t>0.0666</w:t>
            </w:r>
          </w:p>
        </w:tc>
        <w:tc>
          <w:tcPr>
            <w:tcW w:type="dxa" w:w="2268"/>
            <w:vAlign w:val="center"/>
            <w:tcBorders>
              <w:top w:val="single" w:sz="4" w:color="AAB7C4"/>
              <w:left w:val="single" w:sz="4" w:color="AAB7C4"/>
              <w:bottom w:val="single" w:sz="4" w:color="AAB7C4"/>
              <w:right w:val="single" w:sz="4" w:color="AAB7C4"/>
            </w:tcBorders>
          </w:tcPr>
          <w:p>
            <w:r>
              <w:t>0.9576</w:t>
            </w:r>
          </w:p>
        </w:tc>
      </w:tr>
      <w:tr>
        <w:tc>
          <w:tcPr>
            <w:tcW w:type="dxa" w:w="2268"/>
            <w:vAlign w:val="center"/>
            <w:tcBorders>
              <w:top w:val="single" w:sz="4" w:color="AAB7C4"/>
              <w:left w:val="single" w:sz="4" w:color="AAB7C4"/>
              <w:bottom w:val="single" w:sz="4" w:color="AAB7C4"/>
              <w:right w:val="single" w:sz="4" w:color="AAB7C4"/>
            </w:tcBorders>
          </w:tcPr>
          <w:p>
            <w:r>
              <w:t>Irrigation decision accuracy</w:t>
            </w:r>
          </w:p>
        </w:tc>
        <w:tc>
          <w:tcPr>
            <w:tcW w:type="dxa" w:w="2268"/>
            <w:vAlign w:val="center"/>
            <w:tcBorders>
              <w:top w:val="single" w:sz="4" w:color="AAB7C4"/>
              <w:left w:val="single" w:sz="4" w:color="AAB7C4"/>
              <w:bottom w:val="single" w:sz="4" w:color="AAB7C4"/>
              <w:right w:val="single" w:sz="4" w:color="AAB7C4"/>
            </w:tcBorders>
          </w:tcPr>
          <w:p>
            <w:r>
              <w:t>-</w:t>
            </w:r>
          </w:p>
        </w:tc>
        <w:tc>
          <w:tcPr>
            <w:tcW w:type="dxa" w:w="2268"/>
            <w:vAlign w:val="center"/>
            <w:tcBorders>
              <w:top w:val="single" w:sz="4" w:color="AAB7C4"/>
              <w:left w:val="single" w:sz="4" w:color="AAB7C4"/>
              <w:bottom w:val="single" w:sz="4" w:color="AAB7C4"/>
              <w:right w:val="single" w:sz="4" w:color="AAB7C4"/>
            </w:tcBorders>
          </w:tcPr>
          <w:p>
            <w:r>
              <w:t>-</w:t>
            </w:r>
          </w:p>
        </w:tc>
        <w:tc>
          <w:tcPr>
            <w:tcW w:type="dxa" w:w="2268"/>
            <w:vAlign w:val="center"/>
            <w:tcBorders>
              <w:top w:val="single" w:sz="4" w:color="AAB7C4"/>
              <w:left w:val="single" w:sz="4" w:color="AAB7C4"/>
              <w:bottom w:val="single" w:sz="4" w:color="AAB7C4"/>
              <w:right w:val="single" w:sz="4" w:color="AAB7C4"/>
            </w:tcBorders>
          </w:tcPr>
          <w:p>
            <w:r>
              <w:t>0.9317</w:t>
            </w:r>
          </w:p>
        </w:tc>
      </w:tr>
    </w:tbl>
    <w:p/>
    <w:p>
      <w:pPr>
        <w:pStyle w:val="CaptionText"/>
      </w:pPr>
      <w:r>
        <w:t>Table 3. Safety and interlock rules verified in the controller implementation.</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D9EAF7"/>
            <w:vAlign w:val="center"/>
            <w:tcBorders>
              <w:top w:val="single" w:sz="6" w:color="557A95"/>
              <w:left w:val="single" w:sz="6" w:color="557A95"/>
              <w:bottom w:val="single" w:sz="6" w:color="557A95"/>
              <w:right w:val="single" w:sz="6" w:color="557A95"/>
            </w:tcBorders>
          </w:tcPr>
          <w:p>
            <w:r>
              <w:rPr>
                <w:b/>
              </w:rPr>
              <w:t>Condition</w:t>
            </w:r>
          </w:p>
        </w:tc>
        <w:tc>
          <w:tcPr>
            <w:tcW w:type="dxa" w:w="3024"/>
            <w:shd w:fill="D9EAF7"/>
            <w:vAlign w:val="center"/>
            <w:tcBorders>
              <w:top w:val="single" w:sz="6" w:color="557A95"/>
              <w:left w:val="single" w:sz="6" w:color="557A95"/>
              <w:bottom w:val="single" w:sz="6" w:color="557A95"/>
              <w:right w:val="single" w:sz="6" w:color="557A95"/>
            </w:tcBorders>
          </w:tcPr>
          <w:p>
            <w:r>
              <w:rPr>
                <w:b/>
              </w:rPr>
              <w:t>Required response</w:t>
            </w:r>
          </w:p>
        </w:tc>
        <w:tc>
          <w:tcPr>
            <w:tcW w:type="dxa" w:w="3024"/>
            <w:shd w:fill="D9EAF7"/>
            <w:vAlign w:val="center"/>
            <w:tcBorders>
              <w:top w:val="single" w:sz="6" w:color="557A95"/>
              <w:left w:val="single" w:sz="6" w:color="557A95"/>
              <w:bottom w:val="single" w:sz="6" w:color="557A95"/>
              <w:right w:val="single" w:sz="6" w:color="557A95"/>
            </w:tcBorders>
          </w:tcPr>
          <w:p>
            <w:r>
              <w:rPr>
                <w:b/>
              </w:rPr>
              <w:t>Reason</w:t>
            </w:r>
          </w:p>
        </w:tc>
      </w:tr>
      <w:tr>
        <w:tc>
          <w:tcPr>
            <w:tcW w:type="dxa" w:w="3024"/>
            <w:vAlign w:val="center"/>
            <w:tcBorders>
              <w:top w:val="single" w:sz="4" w:color="AAB7C4"/>
              <w:left w:val="single" w:sz="4" w:color="AAB7C4"/>
              <w:bottom w:val="single" w:sz="4" w:color="AAB7C4"/>
              <w:right w:val="single" w:sz="4" w:color="AAB7C4"/>
            </w:tcBorders>
          </w:tcPr>
          <w:p>
            <w:r>
              <w:t>Critical soil field absent or invalid</w:t>
            </w:r>
          </w:p>
        </w:tc>
        <w:tc>
          <w:tcPr>
            <w:tcW w:type="dxa" w:w="3024"/>
            <w:vAlign w:val="center"/>
            <w:tcBorders>
              <w:top w:val="single" w:sz="4" w:color="AAB7C4"/>
              <w:left w:val="single" w:sz="4" w:color="AAB7C4"/>
              <w:bottom w:val="single" w:sz="4" w:color="AAB7C4"/>
              <w:right w:val="single" w:sz="4" w:color="AAB7C4"/>
            </w:tcBorders>
          </w:tcPr>
          <w:p>
            <w:r>
              <w:t>Hold automatic irrigation</w:t>
            </w:r>
          </w:p>
        </w:tc>
        <w:tc>
          <w:tcPr>
            <w:tcW w:type="dxa" w:w="3024"/>
            <w:vAlign w:val="center"/>
            <w:tcBorders>
              <w:top w:val="single" w:sz="4" w:color="AAB7C4"/>
              <w:left w:val="single" w:sz="4" w:color="AAB7C4"/>
              <w:bottom w:val="single" w:sz="4" w:color="AAB7C4"/>
              <w:right w:val="single" w:sz="4" w:color="AAB7C4"/>
            </w:tcBorders>
          </w:tcPr>
          <w:p>
            <w:r>
              <w:t>Avoid decisions without direct soil evidence</w:t>
            </w:r>
          </w:p>
        </w:tc>
      </w:tr>
      <w:tr>
        <w:tc>
          <w:tcPr>
            <w:tcW w:type="dxa" w:w="3024"/>
            <w:vAlign w:val="center"/>
            <w:tcBorders>
              <w:top w:val="single" w:sz="4" w:color="AAB7C4"/>
              <w:left w:val="single" w:sz="4" w:color="AAB7C4"/>
              <w:bottom w:val="single" w:sz="4" w:color="AAB7C4"/>
              <w:right w:val="single" w:sz="4" w:color="AAB7C4"/>
            </w:tcBorders>
          </w:tcPr>
          <w:p>
            <w:r>
              <w:t>No flow while a fertilizer pump is ON</w:t>
            </w:r>
          </w:p>
        </w:tc>
        <w:tc>
          <w:tcPr>
            <w:tcW w:type="dxa" w:w="3024"/>
            <w:vAlign w:val="center"/>
            <w:tcBorders>
              <w:top w:val="single" w:sz="4" w:color="AAB7C4"/>
              <w:left w:val="single" w:sz="4" w:color="AAB7C4"/>
              <w:bottom w:val="single" w:sz="4" w:color="AAB7C4"/>
              <w:right w:val="single" w:sz="4" w:color="AAB7C4"/>
            </w:tcBorders>
          </w:tcPr>
          <w:p>
            <w:r>
              <w:t>Stop all relays and report fault</w:t>
            </w:r>
          </w:p>
        </w:tc>
        <w:tc>
          <w:tcPr>
            <w:tcW w:type="dxa" w:w="3024"/>
            <w:vAlign w:val="center"/>
            <w:tcBorders>
              <w:top w:val="single" w:sz="4" w:color="AAB7C4"/>
              <w:left w:val="single" w:sz="4" w:color="AAB7C4"/>
              <w:bottom w:val="single" w:sz="4" w:color="AAB7C4"/>
              <w:right w:val="single" w:sz="4" w:color="AAB7C4"/>
            </w:tcBorders>
          </w:tcPr>
          <w:p>
            <w:r>
              <w:t>Detect blocked line, empty tank or wiring fault</w:t>
            </w:r>
          </w:p>
        </w:tc>
      </w:tr>
      <w:tr>
        <w:tc>
          <w:tcPr>
            <w:tcW w:type="dxa" w:w="3024"/>
            <w:vAlign w:val="center"/>
            <w:tcBorders>
              <w:top w:val="single" w:sz="4" w:color="AAB7C4"/>
              <w:left w:val="single" w:sz="4" w:color="AAB7C4"/>
              <w:bottom w:val="single" w:sz="4" w:color="AAB7C4"/>
              <w:right w:val="single" w:sz="4" w:color="AAB7C4"/>
            </w:tcBorders>
          </w:tcPr>
          <w:p>
            <w:r>
              <w:t>One nutrient target reached</w:t>
            </w:r>
          </w:p>
        </w:tc>
        <w:tc>
          <w:tcPr>
            <w:tcW w:type="dxa" w:w="3024"/>
            <w:vAlign w:val="center"/>
            <w:tcBorders>
              <w:top w:val="single" w:sz="4" w:color="AAB7C4"/>
              <w:left w:val="single" w:sz="4" w:color="AAB7C4"/>
              <w:bottom w:val="single" w:sz="4" w:color="AAB7C4"/>
              <w:right w:val="single" w:sz="4" w:color="AAB7C4"/>
            </w:tcBorders>
          </w:tcPr>
          <w:p>
            <w:r>
              <w:t>Stop only that nutrient pump</w:t>
            </w:r>
          </w:p>
        </w:tc>
        <w:tc>
          <w:tcPr>
            <w:tcW w:type="dxa" w:w="3024"/>
            <w:vAlign w:val="center"/>
            <w:tcBorders>
              <w:top w:val="single" w:sz="4" w:color="AAB7C4"/>
              <w:left w:val="single" w:sz="4" w:color="AAB7C4"/>
              <w:bottom w:val="single" w:sz="4" w:color="AAB7C4"/>
              <w:right w:val="single" w:sz="4" w:color="AAB7C4"/>
            </w:tcBorders>
          </w:tcPr>
          <w:p>
            <w:r>
              <w:t>Preserve independent N/P/K dosing</w:t>
            </w:r>
          </w:p>
        </w:tc>
      </w:tr>
      <w:tr>
        <w:tc>
          <w:tcPr>
            <w:tcW w:type="dxa" w:w="3024"/>
            <w:vAlign w:val="center"/>
            <w:tcBorders>
              <w:top w:val="single" w:sz="4" w:color="AAB7C4"/>
              <w:left w:val="single" w:sz="4" w:color="AAB7C4"/>
              <w:bottom w:val="single" w:sz="4" w:color="AAB7C4"/>
              <w:right w:val="single" w:sz="4" w:color="AAB7C4"/>
            </w:tcBorders>
          </w:tcPr>
          <w:p>
            <w:r>
              <w:t>Any fertilizer channel active</w:t>
            </w:r>
          </w:p>
        </w:tc>
        <w:tc>
          <w:tcPr>
            <w:tcW w:type="dxa" w:w="3024"/>
            <w:vAlign w:val="center"/>
            <w:tcBorders>
              <w:top w:val="single" w:sz="4" w:color="AAB7C4"/>
              <w:left w:val="single" w:sz="4" w:color="AAB7C4"/>
              <w:bottom w:val="single" w:sz="4" w:color="AAB7C4"/>
              <w:right w:val="single" w:sz="4" w:color="AAB7C4"/>
            </w:tcBorders>
          </w:tcPr>
          <w:p>
            <w:r>
              <w:t>Keep outlet pump OFF</w:t>
            </w:r>
          </w:p>
        </w:tc>
        <w:tc>
          <w:tcPr>
            <w:tcW w:type="dxa" w:w="3024"/>
            <w:vAlign w:val="center"/>
            <w:tcBorders>
              <w:top w:val="single" w:sz="4" w:color="AAB7C4"/>
              <w:left w:val="single" w:sz="4" w:color="AAB7C4"/>
              <w:bottom w:val="single" w:sz="4" w:color="AAB7C4"/>
              <w:right w:val="single" w:sz="4" w:color="AAB7C4"/>
            </w:tcBorders>
          </w:tcPr>
          <w:p>
            <w:r>
              <w:t>Prevent unsequenced mixing and discharge</w:t>
            </w:r>
          </w:p>
        </w:tc>
      </w:tr>
      <w:tr>
        <w:tc>
          <w:tcPr>
            <w:tcW w:type="dxa" w:w="3024"/>
            <w:vAlign w:val="center"/>
            <w:tcBorders>
              <w:top w:val="single" w:sz="4" w:color="AAB7C4"/>
              <w:left w:val="single" w:sz="4" w:color="AAB7C4"/>
              <w:bottom w:val="single" w:sz="4" w:color="AAB7C4"/>
              <w:right w:val="single" w:sz="4" w:color="AAB7C4"/>
            </w:tcBorders>
          </w:tcPr>
          <w:p>
            <w:r>
              <w:t>Manual STOP ALL or stale command</w:t>
            </w:r>
          </w:p>
        </w:tc>
        <w:tc>
          <w:tcPr>
            <w:tcW w:type="dxa" w:w="3024"/>
            <w:vAlign w:val="center"/>
            <w:tcBorders>
              <w:top w:val="single" w:sz="4" w:color="AAB7C4"/>
              <w:left w:val="single" w:sz="4" w:color="AAB7C4"/>
              <w:bottom w:val="single" w:sz="4" w:color="AAB7C4"/>
              <w:right w:val="single" w:sz="4" w:color="AAB7C4"/>
            </w:tcBorders>
          </w:tcPr>
          <w:p>
            <w:r>
              <w:t>Turn all four relays OFF</w:t>
            </w:r>
          </w:p>
        </w:tc>
        <w:tc>
          <w:tcPr>
            <w:tcW w:type="dxa" w:w="3024"/>
            <w:vAlign w:val="center"/>
            <w:tcBorders>
              <w:top w:val="single" w:sz="4" w:color="AAB7C4"/>
              <w:left w:val="single" w:sz="4" w:color="AAB7C4"/>
              <w:bottom w:val="single" w:sz="4" w:color="AAB7C4"/>
              <w:right w:val="single" w:sz="4" w:color="AAB7C4"/>
            </w:tcBorders>
          </w:tcPr>
          <w:p>
            <w:r>
              <w:t>Provide immediate physical fail-safe</w:t>
            </w:r>
          </w:p>
        </w:tc>
      </w:tr>
    </w:tbl>
    <w:p/>
    <w:p>
      <w:pPr>
        <w:pStyle w:val="CaptionText"/>
      </w:pPr>
      <w:r>
        <w:t>Table 4. Dataset composition, target sparsity and feature ranges.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D9EAF7"/>
            <w:vAlign w:val="center"/>
            <w:tcBorders>
              <w:top w:val="single" w:sz="6" w:color="557A95"/>
              <w:left w:val="single" w:sz="6" w:color="557A95"/>
              <w:bottom w:val="single" w:sz="6" w:color="557A95"/>
              <w:right w:val="single" w:sz="6" w:color="557A95"/>
            </w:tcBorders>
          </w:tcPr>
          <w:p>
            <w:r>
              <w:rPr>
                <w:b/>
              </w:rPr>
              <w:t>Variable</w:t>
            </w:r>
          </w:p>
        </w:tc>
        <w:tc>
          <w:tcPr>
            <w:tcW w:type="dxa" w:w="2268"/>
            <w:shd w:fill="D9EAF7"/>
            <w:vAlign w:val="center"/>
            <w:tcBorders>
              <w:top w:val="single" w:sz="6" w:color="557A95"/>
              <w:left w:val="single" w:sz="6" w:color="557A95"/>
              <w:bottom w:val="single" w:sz="6" w:color="557A95"/>
              <w:right w:val="single" w:sz="6" w:color="557A95"/>
            </w:tcBorders>
          </w:tcPr>
          <w:p>
            <w:r>
              <w:rPr>
                <w:b/>
              </w:rPr>
              <w:t>Mean</w:t>
            </w:r>
          </w:p>
        </w:tc>
        <w:tc>
          <w:tcPr>
            <w:tcW w:type="dxa" w:w="2268"/>
            <w:shd w:fill="D9EAF7"/>
            <w:vAlign w:val="center"/>
            <w:tcBorders>
              <w:top w:val="single" w:sz="6" w:color="557A95"/>
              <w:left w:val="single" w:sz="6" w:color="557A95"/>
              <w:bottom w:val="single" w:sz="6" w:color="557A95"/>
              <w:right w:val="single" w:sz="6" w:color="557A95"/>
            </w:tcBorders>
          </w:tcPr>
          <w:p>
            <w:r>
              <w:rPr>
                <w:b/>
              </w:rPr>
              <w:t>Standard deviation</w:t>
            </w:r>
          </w:p>
        </w:tc>
        <w:tc>
          <w:tcPr>
            <w:tcW w:type="dxa" w:w="2268"/>
            <w:shd w:fill="D9EAF7"/>
            <w:vAlign w:val="center"/>
            <w:tcBorders>
              <w:top w:val="single" w:sz="6" w:color="557A95"/>
              <w:left w:val="single" w:sz="6" w:color="557A95"/>
              <w:bottom w:val="single" w:sz="6" w:color="557A95"/>
              <w:right w:val="single" w:sz="6" w:color="557A95"/>
            </w:tcBorders>
          </w:tcPr>
          <w:p>
            <w:r>
              <w:rPr>
                <w:b/>
              </w:rPr>
              <w:t>Non-zero rate</w:t>
            </w:r>
          </w:p>
        </w:tc>
      </w:tr>
      <w:tr>
        <w:tc>
          <w:tcPr>
            <w:tcW w:type="dxa" w:w="2268"/>
            <w:vAlign w:val="center"/>
            <w:tcBorders>
              <w:top w:val="single" w:sz="4" w:color="AAB7C4"/>
              <w:left w:val="single" w:sz="4" w:color="AAB7C4"/>
              <w:bottom w:val="single" w:sz="4" w:color="AAB7C4"/>
              <w:right w:val="single" w:sz="4" w:color="AAB7C4"/>
            </w:tcBorders>
          </w:tcPr>
          <w:p>
            <w:r>
              <w:t>Water (m3 mu-1)</w:t>
            </w:r>
          </w:p>
        </w:tc>
        <w:tc>
          <w:tcPr>
            <w:tcW w:type="dxa" w:w="2268"/>
            <w:vAlign w:val="center"/>
            <w:tcBorders>
              <w:top w:val="single" w:sz="4" w:color="AAB7C4"/>
              <w:left w:val="single" w:sz="4" w:color="AAB7C4"/>
              <w:bottom w:val="single" w:sz="4" w:color="AAB7C4"/>
              <w:right w:val="single" w:sz="4" w:color="AAB7C4"/>
            </w:tcBorders>
          </w:tcPr>
          <w:p>
            <w:r>
              <w:t>8.3166</w:t>
            </w:r>
          </w:p>
        </w:tc>
        <w:tc>
          <w:tcPr>
            <w:tcW w:type="dxa" w:w="2268"/>
            <w:vAlign w:val="center"/>
            <w:tcBorders>
              <w:top w:val="single" w:sz="4" w:color="AAB7C4"/>
              <w:left w:val="single" w:sz="4" w:color="AAB7C4"/>
              <w:bottom w:val="single" w:sz="4" w:color="AAB7C4"/>
              <w:right w:val="single" w:sz="4" w:color="AAB7C4"/>
            </w:tcBorders>
          </w:tcPr>
          <w:p>
            <w:r>
              <w:t>11.6524</w:t>
            </w:r>
          </w:p>
        </w:tc>
        <w:tc>
          <w:tcPr>
            <w:tcW w:type="dxa" w:w="2268"/>
            <w:vAlign w:val="center"/>
            <w:tcBorders>
              <w:top w:val="single" w:sz="4" w:color="AAB7C4"/>
              <w:left w:val="single" w:sz="4" w:color="AAB7C4"/>
              <w:bottom w:val="single" w:sz="4" w:color="AAB7C4"/>
              <w:right w:val="single" w:sz="4" w:color="AAB7C4"/>
            </w:tcBorders>
          </w:tcPr>
          <w:p>
            <w:r>
              <w:t>33.95%</w:t>
            </w:r>
          </w:p>
        </w:tc>
      </w:tr>
      <w:tr>
        <w:tc>
          <w:tcPr>
            <w:tcW w:type="dxa" w:w="2268"/>
            <w:vAlign w:val="center"/>
            <w:tcBorders>
              <w:top w:val="single" w:sz="4" w:color="AAB7C4"/>
              <w:left w:val="single" w:sz="4" w:color="AAB7C4"/>
              <w:bottom w:val="single" w:sz="4" w:color="AAB7C4"/>
              <w:right w:val="single" w:sz="4" w:color="AAB7C4"/>
            </w:tcBorders>
          </w:tcPr>
          <w:p>
            <w:r>
              <w:t>N (kg mu-1)</w:t>
            </w:r>
          </w:p>
        </w:tc>
        <w:tc>
          <w:tcPr>
            <w:tcW w:type="dxa" w:w="2268"/>
            <w:vAlign w:val="center"/>
            <w:tcBorders>
              <w:top w:val="single" w:sz="4" w:color="AAB7C4"/>
              <w:left w:val="single" w:sz="4" w:color="AAB7C4"/>
              <w:bottom w:val="single" w:sz="4" w:color="AAB7C4"/>
              <w:right w:val="single" w:sz="4" w:color="AAB7C4"/>
            </w:tcBorders>
          </w:tcPr>
          <w:p>
            <w:r>
              <w:t>0.1263</w:t>
            </w:r>
          </w:p>
        </w:tc>
        <w:tc>
          <w:tcPr>
            <w:tcW w:type="dxa" w:w="2268"/>
            <w:vAlign w:val="center"/>
            <w:tcBorders>
              <w:top w:val="single" w:sz="4" w:color="AAB7C4"/>
              <w:left w:val="single" w:sz="4" w:color="AAB7C4"/>
              <w:bottom w:val="single" w:sz="4" w:color="AAB7C4"/>
              <w:right w:val="single" w:sz="4" w:color="AAB7C4"/>
            </w:tcBorders>
          </w:tcPr>
          <w:p>
            <w:r>
              <w:t>0.4690</w:t>
            </w:r>
          </w:p>
        </w:tc>
        <w:tc>
          <w:tcPr>
            <w:tcW w:type="dxa" w:w="2268"/>
            <w:vAlign w:val="center"/>
            <w:tcBorders>
              <w:top w:val="single" w:sz="4" w:color="AAB7C4"/>
              <w:left w:val="single" w:sz="4" w:color="AAB7C4"/>
              <w:bottom w:val="single" w:sz="4" w:color="AAB7C4"/>
              <w:right w:val="single" w:sz="4" w:color="AAB7C4"/>
            </w:tcBorders>
          </w:tcPr>
          <w:p>
            <w:r>
              <w:t>8.90%</w:t>
            </w:r>
          </w:p>
        </w:tc>
      </w:tr>
      <w:tr>
        <w:tc>
          <w:tcPr>
            <w:tcW w:type="dxa" w:w="2268"/>
            <w:vAlign w:val="center"/>
            <w:tcBorders>
              <w:top w:val="single" w:sz="4" w:color="AAB7C4"/>
              <w:left w:val="single" w:sz="4" w:color="AAB7C4"/>
              <w:bottom w:val="single" w:sz="4" w:color="AAB7C4"/>
              <w:right w:val="single" w:sz="4" w:color="AAB7C4"/>
            </w:tcBorders>
          </w:tcPr>
          <w:p>
            <w:r>
              <w:t>P2O5 (kg mu-1)</w:t>
            </w:r>
          </w:p>
        </w:tc>
        <w:tc>
          <w:tcPr>
            <w:tcW w:type="dxa" w:w="2268"/>
            <w:vAlign w:val="center"/>
            <w:tcBorders>
              <w:top w:val="single" w:sz="4" w:color="AAB7C4"/>
              <w:left w:val="single" w:sz="4" w:color="AAB7C4"/>
              <w:bottom w:val="single" w:sz="4" w:color="AAB7C4"/>
              <w:right w:val="single" w:sz="4" w:color="AAB7C4"/>
            </w:tcBorders>
          </w:tcPr>
          <w:p>
            <w:r>
              <w:t>0.0696</w:t>
            </w:r>
          </w:p>
        </w:tc>
        <w:tc>
          <w:tcPr>
            <w:tcW w:type="dxa" w:w="2268"/>
            <w:vAlign w:val="center"/>
            <w:tcBorders>
              <w:top w:val="single" w:sz="4" w:color="AAB7C4"/>
              <w:left w:val="single" w:sz="4" w:color="AAB7C4"/>
              <w:bottom w:val="single" w:sz="4" w:color="AAB7C4"/>
              <w:right w:val="single" w:sz="4" w:color="AAB7C4"/>
            </w:tcBorders>
          </w:tcPr>
          <w:p>
            <w:r>
              <w:t>0.2836</w:t>
            </w:r>
          </w:p>
        </w:tc>
        <w:tc>
          <w:tcPr>
            <w:tcW w:type="dxa" w:w="2268"/>
            <w:vAlign w:val="center"/>
            <w:tcBorders>
              <w:top w:val="single" w:sz="4" w:color="AAB7C4"/>
              <w:left w:val="single" w:sz="4" w:color="AAB7C4"/>
              <w:bottom w:val="single" w:sz="4" w:color="AAB7C4"/>
              <w:right w:val="single" w:sz="4" w:color="AAB7C4"/>
            </w:tcBorders>
          </w:tcPr>
          <w:p>
            <w:r>
              <w:t>6.96%</w:t>
            </w:r>
          </w:p>
        </w:tc>
      </w:tr>
      <w:tr>
        <w:tc>
          <w:tcPr>
            <w:tcW w:type="dxa" w:w="2268"/>
            <w:vAlign w:val="center"/>
            <w:tcBorders>
              <w:top w:val="single" w:sz="4" w:color="AAB7C4"/>
              <w:left w:val="single" w:sz="4" w:color="AAB7C4"/>
              <w:bottom w:val="single" w:sz="4" w:color="AAB7C4"/>
              <w:right w:val="single" w:sz="4" w:color="AAB7C4"/>
            </w:tcBorders>
          </w:tcPr>
          <w:p>
            <w:r>
              <w:t>K2O (kg mu-1)</w:t>
            </w:r>
          </w:p>
        </w:tc>
        <w:tc>
          <w:tcPr>
            <w:tcW w:type="dxa" w:w="2268"/>
            <w:vAlign w:val="center"/>
            <w:tcBorders>
              <w:top w:val="single" w:sz="4" w:color="AAB7C4"/>
              <w:left w:val="single" w:sz="4" w:color="AAB7C4"/>
              <w:bottom w:val="single" w:sz="4" w:color="AAB7C4"/>
              <w:right w:val="single" w:sz="4" w:color="AAB7C4"/>
            </w:tcBorders>
          </w:tcPr>
          <w:p>
            <w:r>
              <w:t>0.0635</w:t>
            </w:r>
          </w:p>
        </w:tc>
        <w:tc>
          <w:tcPr>
            <w:tcW w:type="dxa" w:w="2268"/>
            <w:vAlign w:val="center"/>
            <w:tcBorders>
              <w:top w:val="single" w:sz="4" w:color="AAB7C4"/>
              <w:left w:val="single" w:sz="4" w:color="AAB7C4"/>
              <w:bottom w:val="single" w:sz="4" w:color="AAB7C4"/>
              <w:right w:val="single" w:sz="4" w:color="AAB7C4"/>
            </w:tcBorders>
          </w:tcPr>
          <w:p>
            <w:r>
              <w:t>0.3437</w:t>
            </w:r>
          </w:p>
        </w:tc>
        <w:tc>
          <w:tcPr>
            <w:tcW w:type="dxa" w:w="2268"/>
            <w:vAlign w:val="center"/>
            <w:tcBorders>
              <w:top w:val="single" w:sz="4" w:color="AAB7C4"/>
              <w:left w:val="single" w:sz="4" w:color="AAB7C4"/>
              <w:bottom w:val="single" w:sz="4" w:color="AAB7C4"/>
              <w:right w:val="single" w:sz="4" w:color="AAB7C4"/>
            </w:tcBorders>
          </w:tcPr>
          <w:p>
            <w:r>
              <w:t>5.08%</w:t>
            </w:r>
          </w:p>
        </w:tc>
      </w:tr>
      <w:tr>
        <w:tc>
          <w:tcPr>
            <w:tcW w:type="dxa" w:w="2268"/>
            <w:vAlign w:val="center"/>
            <w:tcBorders>
              <w:top w:val="single" w:sz="4" w:color="AAB7C4"/>
              <w:left w:val="single" w:sz="4" w:color="AAB7C4"/>
              <w:bottom w:val="single" w:sz="4" w:color="AAB7C4"/>
              <w:right w:val="single" w:sz="4" w:color="AAB7C4"/>
            </w:tcBorders>
          </w:tcPr>
          <w:p>
            <w:r>
              <w:t>Single-probe moisture (%)</w:t>
            </w:r>
          </w:p>
        </w:tc>
        <w:tc>
          <w:tcPr>
            <w:tcW w:type="dxa" w:w="2268"/>
            <w:vAlign w:val="center"/>
            <w:tcBorders>
              <w:top w:val="single" w:sz="4" w:color="AAB7C4"/>
              <w:left w:val="single" w:sz="4" w:color="AAB7C4"/>
              <w:bottom w:val="single" w:sz="4" w:color="AAB7C4"/>
              <w:right w:val="single" w:sz="4" w:color="AAB7C4"/>
            </w:tcBorders>
          </w:tcPr>
          <w:p>
            <w:r>
              <w:t>42.1001</w:t>
            </w:r>
          </w:p>
        </w:tc>
        <w:tc>
          <w:tcPr>
            <w:tcW w:type="dxa" w:w="2268"/>
            <w:vAlign w:val="center"/>
            <w:tcBorders>
              <w:top w:val="single" w:sz="4" w:color="AAB7C4"/>
              <w:left w:val="single" w:sz="4" w:color="AAB7C4"/>
              <w:bottom w:val="single" w:sz="4" w:color="AAB7C4"/>
              <w:right w:val="single" w:sz="4" w:color="AAB7C4"/>
            </w:tcBorders>
          </w:tcPr>
          <w:p>
            <w:r>
              <w:t>15.2287</w:t>
            </w:r>
          </w:p>
        </w:tc>
        <w:tc>
          <w:tcPr>
            <w:tcW w:type="dxa" w:w="2268"/>
            <w:vAlign w:val="center"/>
            <w:tcBorders>
              <w:top w:val="single" w:sz="4" w:color="AAB7C4"/>
              <w:left w:val="single" w:sz="4" w:color="AAB7C4"/>
              <w:bottom w:val="single" w:sz="4" w:color="AAB7C4"/>
              <w:right w:val="single" w:sz="4" w:color="AAB7C4"/>
            </w:tcBorders>
          </w:tcPr>
          <w:p>
            <w:r>
              <w:t>100%</w:t>
            </w:r>
          </w:p>
        </w:tc>
      </w:tr>
      <w:tr>
        <w:tc>
          <w:tcPr>
            <w:tcW w:type="dxa" w:w="2268"/>
            <w:vAlign w:val="center"/>
            <w:tcBorders>
              <w:top w:val="single" w:sz="4" w:color="AAB7C4"/>
              <w:left w:val="single" w:sz="4" w:color="AAB7C4"/>
              <w:bottom w:val="single" w:sz="4" w:color="AAB7C4"/>
              <w:right w:val="single" w:sz="4" w:color="AAB7C4"/>
            </w:tcBorders>
          </w:tcPr>
          <w:p>
            <w:r>
              <w:t>Two-day rain forecast (mm)</w:t>
            </w:r>
          </w:p>
        </w:tc>
        <w:tc>
          <w:tcPr>
            <w:tcW w:type="dxa" w:w="2268"/>
            <w:vAlign w:val="center"/>
            <w:tcBorders>
              <w:top w:val="single" w:sz="4" w:color="AAB7C4"/>
              <w:left w:val="single" w:sz="4" w:color="AAB7C4"/>
              <w:bottom w:val="single" w:sz="4" w:color="AAB7C4"/>
              <w:right w:val="single" w:sz="4" w:color="AAB7C4"/>
            </w:tcBorders>
          </w:tcPr>
          <w:p>
            <w:r>
              <w:t>5.0114</w:t>
            </w:r>
          </w:p>
        </w:tc>
        <w:tc>
          <w:tcPr>
            <w:tcW w:type="dxa" w:w="2268"/>
            <w:vAlign w:val="center"/>
            <w:tcBorders>
              <w:top w:val="single" w:sz="4" w:color="AAB7C4"/>
              <w:left w:val="single" w:sz="4" w:color="AAB7C4"/>
              <w:bottom w:val="single" w:sz="4" w:color="AAB7C4"/>
              <w:right w:val="single" w:sz="4" w:color="AAB7C4"/>
            </w:tcBorders>
          </w:tcPr>
          <w:p>
            <w:r>
              <w:t>9.3350</w:t>
            </w:r>
          </w:p>
        </w:tc>
        <w:tc>
          <w:tcPr>
            <w:tcW w:type="dxa" w:w="2268"/>
            <w:vAlign w:val="center"/>
            <w:tcBorders>
              <w:top w:val="single" w:sz="4" w:color="AAB7C4"/>
              <w:left w:val="single" w:sz="4" w:color="AAB7C4"/>
              <w:bottom w:val="single" w:sz="4" w:color="AAB7C4"/>
              <w:right w:val="single" w:sz="4" w:color="AAB7C4"/>
            </w:tcBorders>
          </w:tcPr>
          <w:p>
            <w:r>
              <w:t>100%</w:t>
            </w:r>
          </w:p>
        </w:tc>
      </w:tr>
      <w:tr>
        <w:tc>
          <w:tcPr>
            <w:tcW w:type="dxa" w:w="2268"/>
            <w:vAlign w:val="center"/>
            <w:tcBorders>
              <w:top w:val="single" w:sz="4" w:color="AAB7C4"/>
              <w:left w:val="single" w:sz="4" w:color="AAB7C4"/>
              <w:bottom w:val="single" w:sz="4" w:color="AAB7C4"/>
              <w:right w:val="single" w:sz="4" w:color="AAB7C4"/>
            </w:tcBorders>
          </w:tcPr>
          <w:p>
            <w:r>
              <w:t>ET0 (mm d-1)</w:t>
            </w:r>
          </w:p>
        </w:tc>
        <w:tc>
          <w:tcPr>
            <w:tcW w:type="dxa" w:w="2268"/>
            <w:vAlign w:val="center"/>
            <w:tcBorders>
              <w:top w:val="single" w:sz="4" w:color="AAB7C4"/>
              <w:left w:val="single" w:sz="4" w:color="AAB7C4"/>
              <w:bottom w:val="single" w:sz="4" w:color="AAB7C4"/>
              <w:right w:val="single" w:sz="4" w:color="AAB7C4"/>
            </w:tcBorders>
          </w:tcPr>
          <w:p>
            <w:r>
              <w:t>4.6361</w:t>
            </w:r>
          </w:p>
        </w:tc>
        <w:tc>
          <w:tcPr>
            <w:tcW w:type="dxa" w:w="2268"/>
            <w:vAlign w:val="center"/>
            <w:tcBorders>
              <w:top w:val="single" w:sz="4" w:color="AAB7C4"/>
              <w:left w:val="single" w:sz="4" w:color="AAB7C4"/>
              <w:bottom w:val="single" w:sz="4" w:color="AAB7C4"/>
              <w:right w:val="single" w:sz="4" w:color="AAB7C4"/>
            </w:tcBorders>
          </w:tcPr>
          <w:p>
            <w:r>
              <w:t>1.4941</w:t>
            </w:r>
          </w:p>
        </w:tc>
        <w:tc>
          <w:tcPr>
            <w:tcW w:type="dxa" w:w="2268"/>
            <w:vAlign w:val="center"/>
            <w:tcBorders>
              <w:top w:val="single" w:sz="4" w:color="AAB7C4"/>
              <w:left w:val="single" w:sz="4" w:color="AAB7C4"/>
              <w:bottom w:val="single" w:sz="4" w:color="AAB7C4"/>
              <w:right w:val="single" w:sz="4" w:color="AAB7C4"/>
            </w:tcBorders>
          </w:tcPr>
          <w:p>
            <w:r>
              <w:t>100%</w:t>
            </w:r>
          </w:p>
        </w:tc>
      </w:tr>
    </w:tbl>
    <w:p/>
    <w:p>
      <w:pPr>
        <w:pStyle w:val="CaptionText"/>
      </w:pPr>
      <w:r>
        <w:t>Table 5. Temporal and crop-level generalization results.</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D9EAF7"/>
            <w:vAlign w:val="center"/>
            <w:tcBorders>
              <w:top w:val="single" w:sz="6" w:color="557A95"/>
              <w:left w:val="single" w:sz="6" w:color="557A95"/>
              <w:bottom w:val="single" w:sz="6" w:color="557A95"/>
              <w:right w:val="single" w:sz="6" w:color="557A95"/>
            </w:tcBorders>
          </w:tcPr>
          <w:p>
            <w:r>
              <w:rPr>
                <w:b/>
              </w:rPr>
              <w:t>Subset</w:t>
            </w:r>
          </w:p>
        </w:tc>
        <w:tc>
          <w:tcPr>
            <w:tcW w:type="dxa" w:w="1134"/>
            <w:shd w:fill="D9EAF7"/>
            <w:vAlign w:val="center"/>
            <w:tcBorders>
              <w:top w:val="single" w:sz="6" w:color="557A95"/>
              <w:left w:val="single" w:sz="6" w:color="557A95"/>
              <w:bottom w:val="single" w:sz="6" w:color="557A95"/>
              <w:right w:val="single" w:sz="6" w:color="557A95"/>
            </w:tcBorders>
          </w:tcPr>
          <w:p>
            <w:r>
              <w:rPr>
                <w:b/>
              </w:rPr>
              <w:t>Rows</w:t>
            </w:r>
          </w:p>
        </w:tc>
        <w:tc>
          <w:tcPr>
            <w:tcW w:type="dxa" w:w="1134"/>
            <w:shd w:fill="D9EAF7"/>
            <w:vAlign w:val="center"/>
            <w:tcBorders>
              <w:top w:val="single" w:sz="6" w:color="557A95"/>
              <w:left w:val="single" w:sz="6" w:color="557A95"/>
              <w:bottom w:val="single" w:sz="6" w:color="557A95"/>
              <w:right w:val="single" w:sz="6" w:color="557A95"/>
            </w:tcBorders>
          </w:tcPr>
          <w:p>
            <w:r>
              <w:rPr>
                <w:b/>
              </w:rPr>
              <w:t>Water MAE</w:t>
            </w:r>
          </w:p>
        </w:tc>
        <w:tc>
          <w:tcPr>
            <w:tcW w:type="dxa" w:w="1134"/>
            <w:shd w:fill="D9EAF7"/>
            <w:vAlign w:val="center"/>
            <w:tcBorders>
              <w:top w:val="single" w:sz="6" w:color="557A95"/>
              <w:left w:val="single" w:sz="6" w:color="557A95"/>
              <w:bottom w:val="single" w:sz="6" w:color="557A95"/>
              <w:right w:val="single" w:sz="6" w:color="557A95"/>
            </w:tcBorders>
          </w:tcPr>
          <w:p>
            <w:r>
              <w:rPr>
                <w:b/>
              </w:rPr>
              <w:t>Water R2</w:t>
            </w:r>
          </w:p>
        </w:tc>
        <w:tc>
          <w:tcPr>
            <w:tcW w:type="dxa" w:w="1134"/>
            <w:shd w:fill="D9EAF7"/>
            <w:vAlign w:val="center"/>
            <w:tcBorders>
              <w:top w:val="single" w:sz="6" w:color="557A95"/>
              <w:left w:val="single" w:sz="6" w:color="557A95"/>
              <w:bottom w:val="single" w:sz="6" w:color="557A95"/>
              <w:right w:val="single" w:sz="6" w:color="557A95"/>
            </w:tcBorders>
          </w:tcPr>
          <w:p>
            <w:r>
              <w:rPr>
                <w:b/>
              </w:rPr>
              <w:t>N R2</w:t>
            </w:r>
          </w:p>
        </w:tc>
        <w:tc>
          <w:tcPr>
            <w:tcW w:type="dxa" w:w="1134"/>
            <w:shd w:fill="D9EAF7"/>
            <w:vAlign w:val="center"/>
            <w:tcBorders>
              <w:top w:val="single" w:sz="6" w:color="557A95"/>
              <w:left w:val="single" w:sz="6" w:color="557A95"/>
              <w:bottom w:val="single" w:sz="6" w:color="557A95"/>
              <w:right w:val="single" w:sz="6" w:color="557A95"/>
            </w:tcBorders>
          </w:tcPr>
          <w:p>
            <w:r>
              <w:rPr>
                <w:b/>
              </w:rPr>
              <w:t>P2O5 R2</w:t>
            </w:r>
          </w:p>
        </w:tc>
        <w:tc>
          <w:tcPr>
            <w:tcW w:type="dxa" w:w="1134"/>
            <w:shd w:fill="D9EAF7"/>
            <w:vAlign w:val="center"/>
            <w:tcBorders>
              <w:top w:val="single" w:sz="6" w:color="557A95"/>
              <w:left w:val="single" w:sz="6" w:color="557A95"/>
              <w:bottom w:val="single" w:sz="6" w:color="557A95"/>
              <w:right w:val="single" w:sz="6" w:color="557A95"/>
            </w:tcBorders>
          </w:tcPr>
          <w:p>
            <w:r>
              <w:rPr>
                <w:b/>
              </w:rPr>
              <w:t>K2O R2</w:t>
            </w:r>
          </w:p>
        </w:tc>
        <w:tc>
          <w:tcPr>
            <w:tcW w:type="dxa" w:w="1134"/>
            <w:shd w:fill="D9EAF7"/>
            <w:vAlign w:val="center"/>
            <w:tcBorders>
              <w:top w:val="single" w:sz="6" w:color="557A95"/>
              <w:left w:val="single" w:sz="6" w:color="557A95"/>
              <w:bottom w:val="single" w:sz="6" w:color="557A95"/>
              <w:right w:val="single" w:sz="6" w:color="557A95"/>
            </w:tcBorders>
          </w:tcPr>
          <w:p>
            <w:r>
              <w:rPr>
                <w:b/>
              </w:rPr>
              <w:t>Decision accuracy</w:t>
            </w:r>
          </w:p>
        </w:tc>
      </w:tr>
      <w:tr>
        <w:tc>
          <w:tcPr>
            <w:tcW w:type="dxa" w:w="1134"/>
            <w:vAlign w:val="center"/>
            <w:tcBorders>
              <w:top w:val="single" w:sz="4" w:color="AAB7C4"/>
              <w:left w:val="single" w:sz="4" w:color="AAB7C4"/>
              <w:bottom w:val="single" w:sz="4" w:color="AAB7C4"/>
              <w:right w:val="single" w:sz="4" w:color="AAB7C4"/>
            </w:tcBorders>
          </w:tcPr>
          <w:p>
            <w:r>
              <w:t>2024</w:t>
            </w:r>
          </w:p>
        </w:tc>
        <w:tc>
          <w:tcPr>
            <w:tcW w:type="dxa" w:w="1134"/>
            <w:vAlign w:val="center"/>
            <w:tcBorders>
              <w:top w:val="single" w:sz="4" w:color="AAB7C4"/>
              <w:left w:val="single" w:sz="4" w:color="AAB7C4"/>
              <w:bottom w:val="single" w:sz="4" w:color="AAB7C4"/>
              <w:right w:val="single" w:sz="4" w:color="AAB7C4"/>
            </w:tcBorders>
          </w:tcPr>
          <w:p>
            <w:r>
              <w:t>3,600</w:t>
            </w:r>
          </w:p>
        </w:tc>
        <w:tc>
          <w:tcPr>
            <w:tcW w:type="dxa" w:w="1134"/>
            <w:vAlign w:val="center"/>
            <w:tcBorders>
              <w:top w:val="single" w:sz="4" w:color="AAB7C4"/>
              <w:left w:val="single" w:sz="4" w:color="AAB7C4"/>
              <w:bottom w:val="single" w:sz="4" w:color="AAB7C4"/>
              <w:right w:val="single" w:sz="4" w:color="AAB7C4"/>
            </w:tcBorders>
          </w:tcPr>
          <w:p>
            <w:r>
              <w:t>0.4292</w:t>
            </w:r>
          </w:p>
        </w:tc>
        <w:tc>
          <w:tcPr>
            <w:tcW w:type="dxa" w:w="1134"/>
            <w:vAlign w:val="center"/>
            <w:tcBorders>
              <w:top w:val="single" w:sz="4" w:color="AAB7C4"/>
              <w:left w:val="single" w:sz="4" w:color="AAB7C4"/>
              <w:bottom w:val="single" w:sz="4" w:color="AAB7C4"/>
              <w:right w:val="single" w:sz="4" w:color="AAB7C4"/>
            </w:tcBorders>
          </w:tcPr>
          <w:p>
            <w:r>
              <w:t>0.9829</w:t>
            </w:r>
          </w:p>
        </w:tc>
        <w:tc>
          <w:tcPr>
            <w:tcW w:type="dxa" w:w="1134"/>
            <w:vAlign w:val="center"/>
            <w:tcBorders>
              <w:top w:val="single" w:sz="4" w:color="AAB7C4"/>
              <w:left w:val="single" w:sz="4" w:color="AAB7C4"/>
              <w:bottom w:val="single" w:sz="4" w:color="AAB7C4"/>
              <w:right w:val="single" w:sz="4" w:color="AAB7C4"/>
            </w:tcBorders>
          </w:tcPr>
          <w:p>
            <w:r>
              <w:t>0.9349</w:t>
            </w:r>
          </w:p>
        </w:tc>
        <w:tc>
          <w:tcPr>
            <w:tcW w:type="dxa" w:w="1134"/>
            <w:vAlign w:val="center"/>
            <w:tcBorders>
              <w:top w:val="single" w:sz="4" w:color="AAB7C4"/>
              <w:left w:val="single" w:sz="4" w:color="AAB7C4"/>
              <w:bottom w:val="single" w:sz="4" w:color="AAB7C4"/>
              <w:right w:val="single" w:sz="4" w:color="AAB7C4"/>
            </w:tcBorders>
          </w:tcPr>
          <w:p>
            <w:r>
              <w:t>0.9313</w:t>
            </w:r>
          </w:p>
        </w:tc>
        <w:tc>
          <w:tcPr>
            <w:tcW w:type="dxa" w:w="1134"/>
            <w:vAlign w:val="center"/>
            <w:tcBorders>
              <w:top w:val="single" w:sz="4" w:color="AAB7C4"/>
              <w:left w:val="single" w:sz="4" w:color="AAB7C4"/>
              <w:bottom w:val="single" w:sz="4" w:color="AAB7C4"/>
              <w:right w:val="single" w:sz="4" w:color="AAB7C4"/>
            </w:tcBorders>
          </w:tcPr>
          <w:p>
            <w:r>
              <w:t>0.9847</w:t>
            </w:r>
          </w:p>
        </w:tc>
        <w:tc>
          <w:tcPr>
            <w:tcW w:type="dxa" w:w="1134"/>
            <w:vAlign w:val="center"/>
            <w:tcBorders>
              <w:top w:val="single" w:sz="4" w:color="AAB7C4"/>
              <w:left w:val="single" w:sz="4" w:color="AAB7C4"/>
              <w:bottom w:val="single" w:sz="4" w:color="AAB7C4"/>
              <w:right w:val="single" w:sz="4" w:color="AAB7C4"/>
            </w:tcBorders>
          </w:tcPr>
          <w:p>
            <w:r>
              <w:t>0.9517</w:t>
            </w:r>
          </w:p>
        </w:tc>
      </w:tr>
      <w:tr>
        <w:tc>
          <w:tcPr>
            <w:tcW w:type="dxa" w:w="1134"/>
            <w:vAlign w:val="center"/>
            <w:tcBorders>
              <w:top w:val="single" w:sz="4" w:color="AAB7C4"/>
              <w:left w:val="single" w:sz="4" w:color="AAB7C4"/>
              <w:bottom w:val="single" w:sz="4" w:color="AAB7C4"/>
              <w:right w:val="single" w:sz="4" w:color="AAB7C4"/>
            </w:tcBorders>
          </w:tcPr>
          <w:p>
            <w:r>
              <w:t>2025</w:t>
            </w:r>
          </w:p>
        </w:tc>
        <w:tc>
          <w:tcPr>
            <w:tcW w:type="dxa" w:w="1134"/>
            <w:vAlign w:val="center"/>
            <w:tcBorders>
              <w:top w:val="single" w:sz="4" w:color="AAB7C4"/>
              <w:left w:val="single" w:sz="4" w:color="AAB7C4"/>
              <w:bottom w:val="single" w:sz="4" w:color="AAB7C4"/>
              <w:right w:val="single" w:sz="4" w:color="AAB7C4"/>
            </w:tcBorders>
          </w:tcPr>
          <w:p>
            <w:r>
              <w:t>3,600</w:t>
            </w:r>
          </w:p>
        </w:tc>
        <w:tc>
          <w:tcPr>
            <w:tcW w:type="dxa" w:w="1134"/>
            <w:vAlign w:val="center"/>
            <w:tcBorders>
              <w:top w:val="single" w:sz="4" w:color="AAB7C4"/>
              <w:left w:val="single" w:sz="4" w:color="AAB7C4"/>
              <w:bottom w:val="single" w:sz="4" w:color="AAB7C4"/>
              <w:right w:val="single" w:sz="4" w:color="AAB7C4"/>
            </w:tcBorders>
          </w:tcPr>
          <w:p>
            <w:r>
              <w:t>0.4905</w:t>
            </w:r>
          </w:p>
        </w:tc>
        <w:tc>
          <w:tcPr>
            <w:tcW w:type="dxa" w:w="1134"/>
            <w:vAlign w:val="center"/>
            <w:tcBorders>
              <w:top w:val="single" w:sz="4" w:color="AAB7C4"/>
              <w:left w:val="single" w:sz="4" w:color="AAB7C4"/>
              <w:bottom w:val="single" w:sz="4" w:color="AAB7C4"/>
              <w:right w:val="single" w:sz="4" w:color="AAB7C4"/>
            </w:tcBorders>
          </w:tcPr>
          <w:p>
            <w:r>
              <w:t>0.9778</w:t>
            </w:r>
          </w:p>
        </w:tc>
        <w:tc>
          <w:tcPr>
            <w:tcW w:type="dxa" w:w="1134"/>
            <w:vAlign w:val="center"/>
            <w:tcBorders>
              <w:top w:val="single" w:sz="4" w:color="AAB7C4"/>
              <w:left w:val="single" w:sz="4" w:color="AAB7C4"/>
              <w:bottom w:val="single" w:sz="4" w:color="AAB7C4"/>
              <w:right w:val="single" w:sz="4" w:color="AAB7C4"/>
            </w:tcBorders>
          </w:tcPr>
          <w:p>
            <w:r>
              <w:t>0.9090</w:t>
            </w:r>
          </w:p>
        </w:tc>
        <w:tc>
          <w:tcPr>
            <w:tcW w:type="dxa" w:w="1134"/>
            <w:vAlign w:val="center"/>
            <w:tcBorders>
              <w:top w:val="single" w:sz="4" w:color="AAB7C4"/>
              <w:left w:val="single" w:sz="4" w:color="AAB7C4"/>
              <w:bottom w:val="single" w:sz="4" w:color="AAB7C4"/>
              <w:right w:val="single" w:sz="4" w:color="AAB7C4"/>
            </w:tcBorders>
          </w:tcPr>
          <w:p>
            <w:r>
              <w:t>0.9182</w:t>
            </w:r>
          </w:p>
        </w:tc>
        <w:tc>
          <w:tcPr>
            <w:tcW w:type="dxa" w:w="1134"/>
            <w:vAlign w:val="center"/>
            <w:tcBorders>
              <w:top w:val="single" w:sz="4" w:color="AAB7C4"/>
              <w:left w:val="single" w:sz="4" w:color="AAB7C4"/>
              <w:bottom w:val="single" w:sz="4" w:color="AAB7C4"/>
              <w:right w:val="single" w:sz="4" w:color="AAB7C4"/>
            </w:tcBorders>
          </w:tcPr>
          <w:p>
            <w:r>
              <w:t>0.9226</w:t>
            </w:r>
          </w:p>
        </w:tc>
        <w:tc>
          <w:tcPr>
            <w:tcW w:type="dxa" w:w="1134"/>
            <w:vAlign w:val="center"/>
            <w:tcBorders>
              <w:top w:val="single" w:sz="4" w:color="AAB7C4"/>
              <w:left w:val="single" w:sz="4" w:color="AAB7C4"/>
              <w:bottom w:val="single" w:sz="4" w:color="AAB7C4"/>
              <w:right w:val="single" w:sz="4" w:color="AAB7C4"/>
            </w:tcBorders>
          </w:tcPr>
          <w:p>
            <w:r>
              <w:t>0.9117</w:t>
            </w:r>
          </w:p>
        </w:tc>
      </w:tr>
      <w:tr>
        <w:tc>
          <w:tcPr>
            <w:tcW w:type="dxa" w:w="1134"/>
            <w:vAlign w:val="center"/>
            <w:tcBorders>
              <w:top w:val="single" w:sz="4" w:color="AAB7C4"/>
              <w:left w:val="single" w:sz="4" w:color="AAB7C4"/>
              <w:bottom w:val="single" w:sz="4" w:color="AAB7C4"/>
              <w:right w:val="single" w:sz="4" w:color="AAB7C4"/>
            </w:tcBorders>
          </w:tcPr>
          <w:p>
            <w:r>
              <w:t>Sunflower</w:t>
            </w:r>
          </w:p>
        </w:tc>
        <w:tc>
          <w:tcPr>
            <w:tcW w:type="dxa" w:w="1134"/>
            <w:vAlign w:val="center"/>
            <w:tcBorders>
              <w:top w:val="single" w:sz="4" w:color="AAB7C4"/>
              <w:left w:val="single" w:sz="4" w:color="AAB7C4"/>
              <w:bottom w:val="single" w:sz="4" w:color="AAB7C4"/>
              <w:right w:val="single" w:sz="4" w:color="AAB7C4"/>
            </w:tcBorders>
          </w:tcPr>
          <w:p>
            <w:r>
              <w:t>1,776</w:t>
            </w:r>
          </w:p>
        </w:tc>
        <w:tc>
          <w:tcPr>
            <w:tcW w:type="dxa" w:w="1134"/>
            <w:vAlign w:val="center"/>
            <w:tcBorders>
              <w:top w:val="single" w:sz="4" w:color="AAB7C4"/>
              <w:left w:val="single" w:sz="4" w:color="AAB7C4"/>
              <w:bottom w:val="single" w:sz="4" w:color="AAB7C4"/>
              <w:right w:val="single" w:sz="4" w:color="AAB7C4"/>
            </w:tcBorders>
          </w:tcPr>
          <w:p>
            <w:r>
              <w:t>0.4474</w:t>
            </w:r>
          </w:p>
        </w:tc>
        <w:tc>
          <w:tcPr>
            <w:tcW w:type="dxa" w:w="1134"/>
            <w:vAlign w:val="center"/>
            <w:tcBorders>
              <w:top w:val="single" w:sz="4" w:color="AAB7C4"/>
              <w:left w:val="single" w:sz="4" w:color="AAB7C4"/>
              <w:bottom w:val="single" w:sz="4" w:color="AAB7C4"/>
              <w:right w:val="single" w:sz="4" w:color="AAB7C4"/>
            </w:tcBorders>
          </w:tcPr>
          <w:p>
            <w:r>
              <w:t>0.9794</w:t>
            </w:r>
          </w:p>
        </w:tc>
        <w:tc>
          <w:tcPr>
            <w:tcW w:type="dxa" w:w="1134"/>
            <w:vAlign w:val="center"/>
            <w:tcBorders>
              <w:top w:val="single" w:sz="4" w:color="AAB7C4"/>
              <w:left w:val="single" w:sz="4" w:color="AAB7C4"/>
              <w:bottom w:val="single" w:sz="4" w:color="AAB7C4"/>
              <w:right w:val="single" w:sz="4" w:color="AAB7C4"/>
            </w:tcBorders>
          </w:tcPr>
          <w:p>
            <w:r>
              <w:t>-</w:t>
            </w:r>
          </w:p>
        </w:tc>
        <w:tc>
          <w:tcPr>
            <w:tcW w:type="dxa" w:w="1134"/>
            <w:vAlign w:val="center"/>
            <w:tcBorders>
              <w:top w:val="single" w:sz="4" w:color="AAB7C4"/>
              <w:left w:val="single" w:sz="4" w:color="AAB7C4"/>
              <w:bottom w:val="single" w:sz="4" w:color="AAB7C4"/>
              <w:right w:val="single" w:sz="4" w:color="AAB7C4"/>
            </w:tcBorders>
          </w:tcPr>
          <w:p>
            <w:r>
              <w:t>-</w:t>
            </w:r>
          </w:p>
        </w:tc>
        <w:tc>
          <w:tcPr>
            <w:tcW w:type="dxa" w:w="1134"/>
            <w:vAlign w:val="center"/>
            <w:tcBorders>
              <w:top w:val="single" w:sz="4" w:color="AAB7C4"/>
              <w:left w:val="single" w:sz="4" w:color="AAB7C4"/>
              <w:bottom w:val="single" w:sz="4" w:color="AAB7C4"/>
              <w:right w:val="single" w:sz="4" w:color="AAB7C4"/>
            </w:tcBorders>
          </w:tcPr>
          <w:p>
            <w:r>
              <w:t>-</w:t>
            </w:r>
          </w:p>
        </w:tc>
        <w:tc>
          <w:tcPr>
            <w:tcW w:type="dxa" w:w="1134"/>
            <w:vAlign w:val="center"/>
            <w:tcBorders>
              <w:top w:val="single" w:sz="4" w:color="AAB7C4"/>
              <w:left w:val="single" w:sz="4" w:color="AAB7C4"/>
              <w:bottom w:val="single" w:sz="4" w:color="AAB7C4"/>
              <w:right w:val="single" w:sz="4" w:color="AAB7C4"/>
            </w:tcBorders>
          </w:tcPr>
          <w:p>
            <w:r>
              <w:t>0.9313</w:t>
            </w:r>
          </w:p>
        </w:tc>
      </w:tr>
      <w:tr>
        <w:tc>
          <w:tcPr>
            <w:tcW w:type="dxa" w:w="1134"/>
            <w:vAlign w:val="center"/>
            <w:tcBorders>
              <w:top w:val="single" w:sz="4" w:color="AAB7C4"/>
              <w:left w:val="single" w:sz="4" w:color="AAB7C4"/>
              <w:bottom w:val="single" w:sz="4" w:color="AAB7C4"/>
              <w:right w:val="single" w:sz="4" w:color="AAB7C4"/>
            </w:tcBorders>
          </w:tcPr>
          <w:p>
            <w:r>
              <w:t>Maize</w:t>
            </w:r>
          </w:p>
        </w:tc>
        <w:tc>
          <w:tcPr>
            <w:tcW w:type="dxa" w:w="1134"/>
            <w:vAlign w:val="center"/>
            <w:tcBorders>
              <w:top w:val="single" w:sz="4" w:color="AAB7C4"/>
              <w:left w:val="single" w:sz="4" w:color="AAB7C4"/>
              <w:bottom w:val="single" w:sz="4" w:color="AAB7C4"/>
              <w:right w:val="single" w:sz="4" w:color="AAB7C4"/>
            </w:tcBorders>
          </w:tcPr>
          <w:p>
            <w:r>
              <w:t>1,848</w:t>
            </w:r>
          </w:p>
        </w:tc>
        <w:tc>
          <w:tcPr>
            <w:tcW w:type="dxa" w:w="1134"/>
            <w:vAlign w:val="center"/>
            <w:tcBorders>
              <w:top w:val="single" w:sz="4" w:color="AAB7C4"/>
              <w:left w:val="single" w:sz="4" w:color="AAB7C4"/>
              <w:bottom w:val="single" w:sz="4" w:color="AAB7C4"/>
              <w:right w:val="single" w:sz="4" w:color="AAB7C4"/>
            </w:tcBorders>
          </w:tcPr>
          <w:p>
            <w:r>
              <w:t>0.4879</w:t>
            </w:r>
          </w:p>
        </w:tc>
        <w:tc>
          <w:tcPr>
            <w:tcW w:type="dxa" w:w="1134"/>
            <w:vAlign w:val="center"/>
            <w:tcBorders>
              <w:top w:val="single" w:sz="4" w:color="AAB7C4"/>
              <w:left w:val="single" w:sz="4" w:color="AAB7C4"/>
              <w:bottom w:val="single" w:sz="4" w:color="AAB7C4"/>
              <w:right w:val="single" w:sz="4" w:color="AAB7C4"/>
            </w:tcBorders>
          </w:tcPr>
          <w:p>
            <w:r>
              <w:t>0.9787</w:t>
            </w:r>
          </w:p>
        </w:tc>
        <w:tc>
          <w:tcPr>
            <w:tcW w:type="dxa" w:w="1134"/>
            <w:vAlign w:val="center"/>
            <w:tcBorders>
              <w:top w:val="single" w:sz="4" w:color="AAB7C4"/>
              <w:left w:val="single" w:sz="4" w:color="AAB7C4"/>
              <w:bottom w:val="single" w:sz="4" w:color="AAB7C4"/>
              <w:right w:val="single" w:sz="4" w:color="AAB7C4"/>
            </w:tcBorders>
          </w:tcPr>
          <w:p>
            <w:r>
              <w:t>-</w:t>
            </w:r>
          </w:p>
        </w:tc>
        <w:tc>
          <w:tcPr>
            <w:tcW w:type="dxa" w:w="1134"/>
            <w:vAlign w:val="center"/>
            <w:tcBorders>
              <w:top w:val="single" w:sz="4" w:color="AAB7C4"/>
              <w:left w:val="single" w:sz="4" w:color="AAB7C4"/>
              <w:bottom w:val="single" w:sz="4" w:color="AAB7C4"/>
              <w:right w:val="single" w:sz="4" w:color="AAB7C4"/>
            </w:tcBorders>
          </w:tcPr>
          <w:p>
            <w:r>
              <w:t>-</w:t>
            </w:r>
          </w:p>
        </w:tc>
        <w:tc>
          <w:tcPr>
            <w:tcW w:type="dxa" w:w="1134"/>
            <w:vAlign w:val="center"/>
            <w:tcBorders>
              <w:top w:val="single" w:sz="4" w:color="AAB7C4"/>
              <w:left w:val="single" w:sz="4" w:color="AAB7C4"/>
              <w:bottom w:val="single" w:sz="4" w:color="AAB7C4"/>
              <w:right w:val="single" w:sz="4" w:color="AAB7C4"/>
            </w:tcBorders>
          </w:tcPr>
          <w:p>
            <w:r>
              <w:t>-</w:t>
            </w:r>
          </w:p>
        </w:tc>
        <w:tc>
          <w:tcPr>
            <w:tcW w:type="dxa" w:w="1134"/>
            <w:vAlign w:val="center"/>
            <w:tcBorders>
              <w:top w:val="single" w:sz="4" w:color="AAB7C4"/>
              <w:left w:val="single" w:sz="4" w:color="AAB7C4"/>
              <w:bottom w:val="single" w:sz="4" w:color="AAB7C4"/>
              <w:right w:val="single" w:sz="4" w:color="AAB7C4"/>
            </w:tcBorders>
          </w:tcPr>
          <w:p>
            <w:r>
              <w:t>0.9329</w:t>
            </w:r>
          </w:p>
        </w:tc>
      </w:tr>
      <w:tr>
        <w:tc>
          <w:tcPr>
            <w:tcW w:type="dxa" w:w="1134"/>
            <w:vAlign w:val="center"/>
            <w:tcBorders>
              <w:top w:val="single" w:sz="4" w:color="AAB7C4"/>
              <w:left w:val="single" w:sz="4" w:color="AAB7C4"/>
              <w:bottom w:val="single" w:sz="4" w:color="AAB7C4"/>
              <w:right w:val="single" w:sz="4" w:color="AAB7C4"/>
            </w:tcBorders>
          </w:tcPr>
          <w:p>
            <w:r>
              <w:t>Sugar beet</w:t>
            </w:r>
          </w:p>
        </w:tc>
        <w:tc>
          <w:tcPr>
            <w:tcW w:type="dxa" w:w="1134"/>
            <w:vAlign w:val="center"/>
            <w:tcBorders>
              <w:top w:val="single" w:sz="4" w:color="AAB7C4"/>
              <w:left w:val="single" w:sz="4" w:color="AAB7C4"/>
              <w:bottom w:val="single" w:sz="4" w:color="AAB7C4"/>
              <w:right w:val="single" w:sz="4" w:color="AAB7C4"/>
            </w:tcBorders>
          </w:tcPr>
          <w:p>
            <w:r>
              <w:t>1,920</w:t>
            </w:r>
          </w:p>
        </w:tc>
        <w:tc>
          <w:tcPr>
            <w:tcW w:type="dxa" w:w="1134"/>
            <w:vAlign w:val="center"/>
            <w:tcBorders>
              <w:top w:val="single" w:sz="4" w:color="AAB7C4"/>
              <w:left w:val="single" w:sz="4" w:color="AAB7C4"/>
              <w:bottom w:val="single" w:sz="4" w:color="AAB7C4"/>
              <w:right w:val="single" w:sz="4" w:color="AAB7C4"/>
            </w:tcBorders>
          </w:tcPr>
          <w:p>
            <w:r>
              <w:t>0.4476</w:t>
            </w:r>
          </w:p>
        </w:tc>
        <w:tc>
          <w:tcPr>
            <w:tcW w:type="dxa" w:w="1134"/>
            <w:vAlign w:val="center"/>
            <w:tcBorders>
              <w:top w:val="single" w:sz="4" w:color="AAB7C4"/>
              <w:left w:val="single" w:sz="4" w:color="AAB7C4"/>
              <w:bottom w:val="single" w:sz="4" w:color="AAB7C4"/>
              <w:right w:val="single" w:sz="4" w:color="AAB7C4"/>
            </w:tcBorders>
          </w:tcPr>
          <w:p>
            <w:r>
              <w:t>0.9824</w:t>
            </w:r>
          </w:p>
        </w:tc>
        <w:tc>
          <w:tcPr>
            <w:tcW w:type="dxa" w:w="1134"/>
            <w:vAlign w:val="center"/>
            <w:tcBorders>
              <w:top w:val="single" w:sz="4" w:color="AAB7C4"/>
              <w:left w:val="single" w:sz="4" w:color="AAB7C4"/>
              <w:bottom w:val="single" w:sz="4" w:color="AAB7C4"/>
              <w:right w:val="single" w:sz="4" w:color="AAB7C4"/>
            </w:tcBorders>
          </w:tcPr>
          <w:p>
            <w:r>
              <w:t>-</w:t>
            </w:r>
          </w:p>
        </w:tc>
        <w:tc>
          <w:tcPr>
            <w:tcW w:type="dxa" w:w="1134"/>
            <w:vAlign w:val="center"/>
            <w:tcBorders>
              <w:top w:val="single" w:sz="4" w:color="AAB7C4"/>
              <w:left w:val="single" w:sz="4" w:color="AAB7C4"/>
              <w:bottom w:val="single" w:sz="4" w:color="AAB7C4"/>
              <w:right w:val="single" w:sz="4" w:color="AAB7C4"/>
            </w:tcBorders>
          </w:tcPr>
          <w:p>
            <w:r>
              <w:t>-</w:t>
            </w:r>
          </w:p>
        </w:tc>
        <w:tc>
          <w:tcPr>
            <w:tcW w:type="dxa" w:w="1134"/>
            <w:vAlign w:val="center"/>
            <w:tcBorders>
              <w:top w:val="single" w:sz="4" w:color="AAB7C4"/>
              <w:left w:val="single" w:sz="4" w:color="AAB7C4"/>
              <w:bottom w:val="single" w:sz="4" w:color="AAB7C4"/>
              <w:right w:val="single" w:sz="4" w:color="AAB7C4"/>
            </w:tcBorders>
          </w:tcPr>
          <w:p>
            <w:r>
              <w:t>-</w:t>
            </w:r>
          </w:p>
        </w:tc>
        <w:tc>
          <w:tcPr>
            <w:tcW w:type="dxa" w:w="1134"/>
            <w:vAlign w:val="center"/>
            <w:tcBorders>
              <w:top w:val="single" w:sz="4" w:color="AAB7C4"/>
              <w:left w:val="single" w:sz="4" w:color="AAB7C4"/>
              <w:bottom w:val="single" w:sz="4" w:color="AAB7C4"/>
              <w:right w:val="single" w:sz="4" w:color="AAB7C4"/>
            </w:tcBorders>
          </w:tcPr>
          <w:p>
            <w:r>
              <w:t>0.9375</w:t>
            </w:r>
          </w:p>
        </w:tc>
      </w:tr>
      <w:tr>
        <w:tc>
          <w:tcPr>
            <w:tcW w:type="dxa" w:w="1134"/>
            <w:vAlign w:val="center"/>
            <w:tcBorders>
              <w:top w:val="single" w:sz="4" w:color="AAB7C4"/>
              <w:left w:val="single" w:sz="4" w:color="AAB7C4"/>
              <w:bottom w:val="single" w:sz="4" w:color="AAB7C4"/>
              <w:right w:val="single" w:sz="4" w:color="AAB7C4"/>
            </w:tcBorders>
          </w:tcPr>
          <w:p>
            <w:r>
              <w:t>Potato</w:t>
            </w:r>
          </w:p>
        </w:tc>
        <w:tc>
          <w:tcPr>
            <w:tcW w:type="dxa" w:w="1134"/>
            <w:vAlign w:val="center"/>
            <w:tcBorders>
              <w:top w:val="single" w:sz="4" w:color="AAB7C4"/>
              <w:left w:val="single" w:sz="4" w:color="AAB7C4"/>
              <w:bottom w:val="single" w:sz="4" w:color="AAB7C4"/>
              <w:right w:val="single" w:sz="4" w:color="AAB7C4"/>
            </w:tcBorders>
          </w:tcPr>
          <w:p>
            <w:r>
              <w:t>1,656</w:t>
            </w:r>
          </w:p>
        </w:tc>
        <w:tc>
          <w:tcPr>
            <w:tcW w:type="dxa" w:w="1134"/>
            <w:vAlign w:val="center"/>
            <w:tcBorders>
              <w:top w:val="single" w:sz="4" w:color="AAB7C4"/>
              <w:left w:val="single" w:sz="4" w:color="AAB7C4"/>
              <w:bottom w:val="single" w:sz="4" w:color="AAB7C4"/>
              <w:right w:val="single" w:sz="4" w:color="AAB7C4"/>
            </w:tcBorders>
          </w:tcPr>
          <w:p>
            <w:r>
              <w:t>0.4562</w:t>
            </w:r>
          </w:p>
        </w:tc>
        <w:tc>
          <w:tcPr>
            <w:tcW w:type="dxa" w:w="1134"/>
            <w:vAlign w:val="center"/>
            <w:tcBorders>
              <w:top w:val="single" w:sz="4" w:color="AAB7C4"/>
              <w:left w:val="single" w:sz="4" w:color="AAB7C4"/>
              <w:bottom w:val="single" w:sz="4" w:color="AAB7C4"/>
              <w:right w:val="single" w:sz="4" w:color="AAB7C4"/>
            </w:tcBorders>
          </w:tcPr>
          <w:p>
            <w:r>
              <w:t>0.9811</w:t>
            </w:r>
          </w:p>
        </w:tc>
        <w:tc>
          <w:tcPr>
            <w:tcW w:type="dxa" w:w="1134"/>
            <w:vAlign w:val="center"/>
            <w:tcBorders>
              <w:top w:val="single" w:sz="4" w:color="AAB7C4"/>
              <w:left w:val="single" w:sz="4" w:color="AAB7C4"/>
              <w:bottom w:val="single" w:sz="4" w:color="AAB7C4"/>
              <w:right w:val="single" w:sz="4" w:color="AAB7C4"/>
            </w:tcBorders>
          </w:tcPr>
          <w:p>
            <w:r>
              <w:t>-</w:t>
            </w:r>
          </w:p>
        </w:tc>
        <w:tc>
          <w:tcPr>
            <w:tcW w:type="dxa" w:w="1134"/>
            <w:vAlign w:val="center"/>
            <w:tcBorders>
              <w:top w:val="single" w:sz="4" w:color="AAB7C4"/>
              <w:left w:val="single" w:sz="4" w:color="AAB7C4"/>
              <w:bottom w:val="single" w:sz="4" w:color="AAB7C4"/>
              <w:right w:val="single" w:sz="4" w:color="AAB7C4"/>
            </w:tcBorders>
          </w:tcPr>
          <w:p>
            <w:r>
              <w:t>-</w:t>
            </w:r>
          </w:p>
        </w:tc>
        <w:tc>
          <w:tcPr>
            <w:tcW w:type="dxa" w:w="1134"/>
            <w:vAlign w:val="center"/>
            <w:tcBorders>
              <w:top w:val="single" w:sz="4" w:color="AAB7C4"/>
              <w:left w:val="single" w:sz="4" w:color="AAB7C4"/>
              <w:bottom w:val="single" w:sz="4" w:color="AAB7C4"/>
              <w:right w:val="single" w:sz="4" w:color="AAB7C4"/>
            </w:tcBorders>
          </w:tcPr>
          <w:p>
            <w:r>
              <w:t>-</w:t>
            </w:r>
          </w:p>
        </w:tc>
        <w:tc>
          <w:tcPr>
            <w:tcW w:type="dxa" w:w="1134"/>
            <w:vAlign w:val="center"/>
            <w:tcBorders>
              <w:top w:val="single" w:sz="4" w:color="AAB7C4"/>
              <w:left w:val="single" w:sz="4" w:color="AAB7C4"/>
              <w:bottom w:val="single" w:sz="4" w:color="AAB7C4"/>
              <w:right w:val="single" w:sz="4" w:color="AAB7C4"/>
            </w:tcBorders>
          </w:tcPr>
          <w:p>
            <w:r>
              <w:t>0.9239</w:t>
            </w:r>
          </w:p>
        </w:tc>
      </w:tr>
    </w:tbl>
    <w:p/>
    <w:p>
      <w:pPr>
        <w:pStyle w:val="CaptionText"/>
      </w:pPr>
      <w:r>
        <w:t>Table 6. Comparison with transparent baselines on the independent test set.</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D9EAF7"/>
            <w:vAlign w:val="center"/>
            <w:tcBorders>
              <w:top w:val="single" w:sz="6" w:color="557A95"/>
              <w:left w:val="single" w:sz="6" w:color="557A95"/>
              <w:bottom w:val="single" w:sz="6" w:color="557A95"/>
              <w:right w:val="single" w:sz="6" w:color="557A95"/>
            </w:tcBorders>
          </w:tcPr>
          <w:p>
            <w:r>
              <w:rPr>
                <w:b/>
              </w:rPr>
              <w:t>Method</w:t>
            </w:r>
          </w:p>
        </w:tc>
        <w:tc>
          <w:tcPr>
            <w:tcW w:type="dxa" w:w="1512"/>
            <w:shd w:fill="D9EAF7"/>
            <w:vAlign w:val="center"/>
            <w:tcBorders>
              <w:top w:val="single" w:sz="6" w:color="557A95"/>
              <w:left w:val="single" w:sz="6" w:color="557A95"/>
              <w:bottom w:val="single" w:sz="6" w:color="557A95"/>
              <w:right w:val="single" w:sz="6" w:color="557A95"/>
            </w:tcBorders>
          </w:tcPr>
          <w:p>
            <w:r>
              <w:rPr>
                <w:b/>
              </w:rPr>
              <w:t>Water MAE</w:t>
            </w:r>
          </w:p>
        </w:tc>
        <w:tc>
          <w:tcPr>
            <w:tcW w:type="dxa" w:w="1512"/>
            <w:shd w:fill="D9EAF7"/>
            <w:vAlign w:val="center"/>
            <w:tcBorders>
              <w:top w:val="single" w:sz="6" w:color="557A95"/>
              <w:left w:val="single" w:sz="6" w:color="557A95"/>
              <w:bottom w:val="single" w:sz="6" w:color="557A95"/>
              <w:right w:val="single" w:sz="6" w:color="557A95"/>
            </w:tcBorders>
          </w:tcPr>
          <w:p>
            <w:r>
              <w:rPr>
                <w:b/>
              </w:rPr>
              <w:t>Water RMSE</w:t>
            </w:r>
          </w:p>
        </w:tc>
        <w:tc>
          <w:tcPr>
            <w:tcW w:type="dxa" w:w="1512"/>
            <w:shd w:fill="D9EAF7"/>
            <w:vAlign w:val="center"/>
            <w:tcBorders>
              <w:top w:val="single" w:sz="6" w:color="557A95"/>
              <w:left w:val="single" w:sz="6" w:color="557A95"/>
              <w:bottom w:val="single" w:sz="6" w:color="557A95"/>
              <w:right w:val="single" w:sz="6" w:color="557A95"/>
            </w:tcBorders>
          </w:tcPr>
          <w:p>
            <w:r>
              <w:rPr>
                <w:b/>
              </w:rPr>
              <w:t>Water R2</w:t>
            </w:r>
          </w:p>
        </w:tc>
        <w:tc>
          <w:tcPr>
            <w:tcW w:type="dxa" w:w="1512"/>
            <w:shd w:fill="D9EAF7"/>
            <w:vAlign w:val="center"/>
            <w:tcBorders>
              <w:top w:val="single" w:sz="6" w:color="557A95"/>
              <w:left w:val="single" w:sz="6" w:color="557A95"/>
              <w:bottom w:val="single" w:sz="6" w:color="557A95"/>
              <w:right w:val="single" w:sz="6" w:color="557A95"/>
            </w:tcBorders>
          </w:tcPr>
          <w:p>
            <w:r>
              <w:rPr>
                <w:b/>
              </w:rPr>
              <w:t>N MAE</w:t>
            </w:r>
          </w:p>
        </w:tc>
        <w:tc>
          <w:tcPr>
            <w:tcW w:type="dxa" w:w="1512"/>
            <w:shd w:fill="D9EAF7"/>
            <w:vAlign w:val="center"/>
            <w:tcBorders>
              <w:top w:val="single" w:sz="6" w:color="557A95"/>
              <w:left w:val="single" w:sz="6" w:color="557A95"/>
              <w:bottom w:val="single" w:sz="6" w:color="557A95"/>
              <w:right w:val="single" w:sz="6" w:color="557A95"/>
            </w:tcBorders>
          </w:tcPr>
          <w:p>
            <w:r>
              <w:rPr>
                <w:b/>
              </w:rPr>
              <w:t>Decision accuracy</w:t>
            </w:r>
          </w:p>
        </w:tc>
      </w:tr>
      <w:tr>
        <w:tc>
          <w:tcPr>
            <w:tcW w:type="dxa" w:w="1512"/>
            <w:vAlign w:val="center"/>
            <w:tcBorders>
              <w:top w:val="single" w:sz="4" w:color="AAB7C4"/>
              <w:left w:val="single" w:sz="4" w:color="AAB7C4"/>
              <w:bottom w:val="single" w:sz="4" w:color="AAB7C4"/>
              <w:right w:val="single" w:sz="4" w:color="AAB7C4"/>
            </w:tcBorders>
          </w:tcPr>
          <w:p>
            <w:r>
              <w:t>Zero-output baseline</w:t>
            </w:r>
          </w:p>
        </w:tc>
        <w:tc>
          <w:tcPr>
            <w:tcW w:type="dxa" w:w="1512"/>
            <w:vAlign w:val="center"/>
            <w:tcBorders>
              <w:top w:val="single" w:sz="4" w:color="AAB7C4"/>
              <w:left w:val="single" w:sz="4" w:color="AAB7C4"/>
              <w:bottom w:val="single" w:sz="4" w:color="AAB7C4"/>
              <w:right w:val="single" w:sz="4" w:color="AAB7C4"/>
            </w:tcBorders>
          </w:tcPr>
          <w:p>
            <w:r>
              <w:t>7.4469</w:t>
            </w:r>
          </w:p>
        </w:tc>
        <w:tc>
          <w:tcPr>
            <w:tcW w:type="dxa" w:w="1512"/>
            <w:vAlign w:val="center"/>
            <w:tcBorders>
              <w:top w:val="single" w:sz="4" w:color="AAB7C4"/>
              <w:left w:val="single" w:sz="4" w:color="AAB7C4"/>
              <w:bottom w:val="single" w:sz="4" w:color="AAB7C4"/>
              <w:right w:val="single" w:sz="4" w:color="AAB7C4"/>
            </w:tcBorders>
          </w:tcPr>
          <w:p>
            <w:r>
              <w:t>13.5368</w:t>
            </w:r>
          </w:p>
        </w:tc>
        <w:tc>
          <w:tcPr>
            <w:tcW w:type="dxa" w:w="1512"/>
            <w:vAlign w:val="center"/>
            <w:tcBorders>
              <w:top w:val="single" w:sz="4" w:color="AAB7C4"/>
              <w:left w:val="single" w:sz="4" w:color="AAB7C4"/>
              <w:bottom w:val="single" w:sz="4" w:color="AAB7C4"/>
              <w:right w:val="single" w:sz="4" w:color="AAB7C4"/>
            </w:tcBorders>
          </w:tcPr>
          <w:p>
            <w:r>
              <w:t>-0.4340</w:t>
            </w:r>
          </w:p>
        </w:tc>
        <w:tc>
          <w:tcPr>
            <w:tcW w:type="dxa" w:w="1512"/>
            <w:vAlign w:val="center"/>
            <w:tcBorders>
              <w:top w:val="single" w:sz="4" w:color="AAB7C4"/>
              <w:left w:val="single" w:sz="4" w:color="AAB7C4"/>
              <w:bottom w:val="single" w:sz="4" w:color="AAB7C4"/>
              <w:right w:val="single" w:sz="4" w:color="AAB7C4"/>
            </w:tcBorders>
          </w:tcPr>
          <w:p>
            <w:r>
              <w:t>0.1222</w:t>
            </w:r>
          </w:p>
        </w:tc>
        <w:tc>
          <w:tcPr>
            <w:tcW w:type="dxa" w:w="1512"/>
            <w:vAlign w:val="center"/>
            <w:tcBorders>
              <w:top w:val="single" w:sz="4" w:color="AAB7C4"/>
              <w:left w:val="single" w:sz="4" w:color="AAB7C4"/>
              <w:bottom w:val="single" w:sz="4" w:color="AAB7C4"/>
              <w:right w:val="single" w:sz="4" w:color="AAB7C4"/>
            </w:tcBorders>
          </w:tcPr>
          <w:p>
            <w:r>
              <w:t>0.6953</w:t>
            </w:r>
          </w:p>
        </w:tc>
      </w:tr>
      <w:tr>
        <w:tc>
          <w:tcPr>
            <w:tcW w:type="dxa" w:w="1512"/>
            <w:vAlign w:val="center"/>
            <w:tcBorders>
              <w:top w:val="single" w:sz="4" w:color="AAB7C4"/>
              <w:left w:val="single" w:sz="4" w:color="AAB7C4"/>
              <w:bottom w:val="single" w:sz="4" w:color="AAB7C4"/>
              <w:right w:val="single" w:sz="4" w:color="AAB7C4"/>
            </w:tcBorders>
          </w:tcPr>
          <w:p>
            <w:r>
              <w:t>Training-mean baseline</w:t>
            </w:r>
          </w:p>
        </w:tc>
        <w:tc>
          <w:tcPr>
            <w:tcW w:type="dxa" w:w="1512"/>
            <w:vAlign w:val="center"/>
            <w:tcBorders>
              <w:top w:val="single" w:sz="4" w:color="AAB7C4"/>
              <w:left w:val="single" w:sz="4" w:color="AAB7C4"/>
              <w:bottom w:val="single" w:sz="4" w:color="AAB7C4"/>
              <w:right w:val="single" w:sz="4" w:color="AAB7C4"/>
            </w:tcBorders>
          </w:tcPr>
          <w:p>
            <w:r>
              <w:t>10.7181</w:t>
            </w:r>
          </w:p>
        </w:tc>
        <w:tc>
          <w:tcPr>
            <w:tcW w:type="dxa" w:w="1512"/>
            <w:vAlign w:val="center"/>
            <w:tcBorders>
              <w:top w:val="single" w:sz="4" w:color="AAB7C4"/>
              <w:left w:val="single" w:sz="4" w:color="AAB7C4"/>
              <w:bottom w:val="single" w:sz="4" w:color="AAB7C4"/>
              <w:right w:val="single" w:sz="4" w:color="AAB7C4"/>
            </w:tcBorders>
          </w:tcPr>
          <w:p>
            <w:r>
              <w:t>11.3424</w:t>
            </w:r>
          </w:p>
        </w:tc>
        <w:tc>
          <w:tcPr>
            <w:tcW w:type="dxa" w:w="1512"/>
            <w:vAlign w:val="center"/>
            <w:tcBorders>
              <w:top w:val="single" w:sz="4" w:color="AAB7C4"/>
              <w:left w:val="single" w:sz="4" w:color="AAB7C4"/>
              <w:bottom w:val="single" w:sz="4" w:color="AAB7C4"/>
              <w:right w:val="single" w:sz="4" w:color="AAB7C4"/>
            </w:tcBorders>
          </w:tcPr>
          <w:p>
            <w:r>
              <w:t>-0.0068</w:t>
            </w:r>
          </w:p>
        </w:tc>
        <w:tc>
          <w:tcPr>
            <w:tcW w:type="dxa" w:w="1512"/>
            <w:vAlign w:val="center"/>
            <w:tcBorders>
              <w:top w:val="single" w:sz="4" w:color="AAB7C4"/>
              <w:left w:val="single" w:sz="4" w:color="AAB7C4"/>
              <w:bottom w:val="single" w:sz="4" w:color="AAB7C4"/>
              <w:right w:val="single" w:sz="4" w:color="AAB7C4"/>
            </w:tcBorders>
          </w:tcPr>
          <w:p>
            <w:r>
              <w:t>0.2257</w:t>
            </w:r>
          </w:p>
        </w:tc>
        <w:tc>
          <w:tcPr>
            <w:tcW w:type="dxa" w:w="1512"/>
            <w:vAlign w:val="center"/>
            <w:tcBorders>
              <w:top w:val="single" w:sz="4" w:color="AAB7C4"/>
              <w:left w:val="single" w:sz="4" w:color="AAB7C4"/>
              <w:bottom w:val="single" w:sz="4" w:color="AAB7C4"/>
              <w:right w:val="single" w:sz="4" w:color="AAB7C4"/>
            </w:tcBorders>
          </w:tcPr>
          <w:p>
            <w:r>
              <w:t>0.3047</w:t>
            </w:r>
          </w:p>
        </w:tc>
      </w:tr>
      <w:tr>
        <w:tc>
          <w:tcPr>
            <w:tcW w:type="dxa" w:w="1512"/>
            <w:vAlign w:val="center"/>
            <w:tcBorders>
              <w:top w:val="single" w:sz="4" w:color="AAB7C4"/>
              <w:left w:val="single" w:sz="4" w:color="AAB7C4"/>
              <w:bottom w:val="single" w:sz="4" w:color="AAB7C4"/>
              <w:right w:val="single" w:sz="4" w:color="AAB7C4"/>
            </w:tcBorders>
          </w:tcPr>
          <w:p>
            <w:r>
              <w:t>ExtraTrees policy (ours)</w:t>
            </w:r>
          </w:p>
        </w:tc>
        <w:tc>
          <w:tcPr>
            <w:tcW w:type="dxa" w:w="1512"/>
            <w:vAlign w:val="center"/>
            <w:tcBorders>
              <w:top w:val="single" w:sz="4" w:color="AAB7C4"/>
              <w:left w:val="single" w:sz="4" w:color="AAB7C4"/>
              <w:bottom w:val="single" w:sz="4" w:color="AAB7C4"/>
              <w:right w:val="single" w:sz="4" w:color="AAB7C4"/>
            </w:tcBorders>
          </w:tcPr>
          <w:p>
            <w:r>
              <w:t>0.4599</w:t>
            </w:r>
          </w:p>
        </w:tc>
        <w:tc>
          <w:tcPr>
            <w:tcW w:type="dxa" w:w="1512"/>
            <w:vAlign w:val="center"/>
            <w:tcBorders>
              <w:top w:val="single" w:sz="4" w:color="AAB7C4"/>
              <w:left w:val="single" w:sz="4" w:color="AAB7C4"/>
              <w:bottom w:val="single" w:sz="4" w:color="AAB7C4"/>
              <w:right w:val="single" w:sz="4" w:color="AAB7C4"/>
            </w:tcBorders>
          </w:tcPr>
          <w:p>
            <w:r>
              <w:t>1.5792</w:t>
            </w:r>
          </w:p>
        </w:tc>
        <w:tc>
          <w:tcPr>
            <w:tcW w:type="dxa" w:w="1512"/>
            <w:vAlign w:val="center"/>
            <w:tcBorders>
              <w:top w:val="single" w:sz="4" w:color="AAB7C4"/>
              <w:left w:val="single" w:sz="4" w:color="AAB7C4"/>
              <w:bottom w:val="single" w:sz="4" w:color="AAB7C4"/>
              <w:right w:val="single" w:sz="4" w:color="AAB7C4"/>
            </w:tcBorders>
          </w:tcPr>
          <w:p>
            <w:r>
              <w:t>0.9805</w:t>
            </w:r>
          </w:p>
        </w:tc>
        <w:tc>
          <w:tcPr>
            <w:tcW w:type="dxa" w:w="1512"/>
            <w:vAlign w:val="center"/>
            <w:tcBorders>
              <w:top w:val="single" w:sz="4" w:color="AAB7C4"/>
              <w:left w:val="single" w:sz="4" w:color="AAB7C4"/>
              <w:bottom w:val="single" w:sz="4" w:color="AAB7C4"/>
              <w:right w:val="single" w:sz="4" w:color="AAB7C4"/>
            </w:tcBorders>
          </w:tcPr>
          <w:p>
            <w:r>
              <w:t>0.0249</w:t>
            </w:r>
          </w:p>
        </w:tc>
        <w:tc>
          <w:tcPr>
            <w:tcW w:type="dxa" w:w="1512"/>
            <w:vAlign w:val="center"/>
            <w:tcBorders>
              <w:top w:val="single" w:sz="4" w:color="AAB7C4"/>
              <w:left w:val="single" w:sz="4" w:color="AAB7C4"/>
              <w:bottom w:val="single" w:sz="4" w:color="AAB7C4"/>
              <w:right w:val="single" w:sz="4" w:color="AAB7C4"/>
            </w:tcBorders>
          </w:tcPr>
          <w:p>
            <w:r>
              <w:t>0.9317</w:t>
            </w:r>
          </w:p>
        </w:tc>
      </w:tr>
    </w:tbl>
    <w:p/>
    <w:p>
      <w:pPr>
        <w:pStyle w:val="CaptionText"/>
      </w:pPr>
      <w:r>
        <w:t>Table 7. Deterministic controller trace for an illustrative 0.01 mu work order.</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D9EAF7"/>
            <w:vAlign w:val="center"/>
            <w:tcBorders>
              <w:top w:val="single" w:sz="6" w:color="557A95"/>
              <w:left w:val="single" w:sz="6" w:color="557A95"/>
              <w:bottom w:val="single" w:sz="6" w:color="557A95"/>
              <w:right w:val="single" w:sz="6" w:color="557A95"/>
            </w:tcBorders>
          </w:tcPr>
          <w:p>
            <w:r>
              <w:rPr>
                <w:b/>
              </w:rPr>
              <w:t>Time</w:t>
            </w:r>
          </w:p>
        </w:tc>
        <w:tc>
          <w:tcPr>
            <w:tcW w:type="dxa" w:w="1814"/>
            <w:shd w:fill="D9EAF7"/>
            <w:vAlign w:val="center"/>
            <w:tcBorders>
              <w:top w:val="single" w:sz="6" w:color="557A95"/>
              <w:left w:val="single" w:sz="6" w:color="557A95"/>
              <w:bottom w:val="single" w:sz="6" w:color="557A95"/>
              <w:right w:val="single" w:sz="6" w:color="557A95"/>
            </w:tcBorders>
          </w:tcPr>
          <w:p>
            <w:r>
              <w:rPr>
                <w:b/>
              </w:rPr>
              <w:t>Controller state</w:t>
            </w:r>
          </w:p>
        </w:tc>
        <w:tc>
          <w:tcPr>
            <w:tcW w:type="dxa" w:w="1814"/>
            <w:shd w:fill="D9EAF7"/>
            <w:vAlign w:val="center"/>
            <w:tcBorders>
              <w:top w:val="single" w:sz="6" w:color="557A95"/>
              <w:left w:val="single" w:sz="6" w:color="557A95"/>
              <w:bottom w:val="single" w:sz="6" w:color="557A95"/>
              <w:right w:val="single" w:sz="6" w:color="557A95"/>
            </w:tcBorders>
          </w:tcPr>
          <w:p>
            <w:r>
              <w:rPr>
                <w:b/>
              </w:rPr>
              <w:t>Cumulative N/P/K (L)</w:t>
            </w:r>
          </w:p>
        </w:tc>
        <w:tc>
          <w:tcPr>
            <w:tcW w:type="dxa" w:w="1814"/>
            <w:shd w:fill="D9EAF7"/>
            <w:vAlign w:val="center"/>
            <w:tcBorders>
              <w:top w:val="single" w:sz="6" w:color="557A95"/>
              <w:left w:val="single" w:sz="6" w:color="557A95"/>
              <w:bottom w:val="single" w:sz="6" w:color="557A95"/>
              <w:right w:val="single" w:sz="6" w:color="557A95"/>
            </w:tcBorders>
          </w:tcPr>
          <w:p>
            <w:r>
              <w:rPr>
                <w:b/>
              </w:rPr>
              <w:t>Active outputs</w:t>
            </w:r>
          </w:p>
        </w:tc>
        <w:tc>
          <w:tcPr>
            <w:tcW w:type="dxa" w:w="1814"/>
            <w:shd w:fill="D9EAF7"/>
            <w:vAlign w:val="center"/>
            <w:tcBorders>
              <w:top w:val="single" w:sz="6" w:color="557A95"/>
              <w:left w:val="single" w:sz="6" w:color="557A95"/>
              <w:bottom w:val="single" w:sz="6" w:color="557A95"/>
              <w:right w:val="single" w:sz="6" w:color="557A95"/>
            </w:tcBorders>
          </w:tcPr>
          <w:p>
            <w:r>
              <w:rPr>
                <w:b/>
              </w:rPr>
              <w:t>Interpretation</w:t>
            </w:r>
          </w:p>
        </w:tc>
      </w:tr>
      <w:tr>
        <w:tc>
          <w:tcPr>
            <w:tcW w:type="dxa" w:w="1814"/>
            <w:vAlign w:val="center"/>
            <w:tcBorders>
              <w:top w:val="single" w:sz="4" w:color="AAB7C4"/>
              <w:left w:val="single" w:sz="4" w:color="AAB7C4"/>
              <w:bottom w:val="single" w:sz="4" w:color="AAB7C4"/>
              <w:right w:val="single" w:sz="4" w:color="AAB7C4"/>
            </w:tcBorders>
          </w:tcPr>
          <w:p>
            <w:r>
              <w:t>0 s</w:t>
            </w:r>
          </w:p>
        </w:tc>
        <w:tc>
          <w:tcPr>
            <w:tcW w:type="dxa" w:w="1814"/>
            <w:vAlign w:val="center"/>
            <w:tcBorders>
              <w:top w:val="single" w:sz="4" w:color="AAB7C4"/>
              <w:left w:val="single" w:sz="4" w:color="AAB7C4"/>
              <w:bottom w:val="single" w:sz="4" w:color="AAB7C4"/>
              <w:right w:val="single" w:sz="4" w:color="AAB7C4"/>
            </w:tcBorders>
          </w:tcPr>
          <w:p>
            <w:r>
              <w:t>DOSING</w:t>
            </w:r>
          </w:p>
        </w:tc>
        <w:tc>
          <w:tcPr>
            <w:tcW w:type="dxa" w:w="1814"/>
            <w:vAlign w:val="center"/>
            <w:tcBorders>
              <w:top w:val="single" w:sz="4" w:color="AAB7C4"/>
              <w:left w:val="single" w:sz="4" w:color="AAB7C4"/>
              <w:bottom w:val="single" w:sz="4" w:color="AAB7C4"/>
              <w:right w:val="single" w:sz="4" w:color="AAB7C4"/>
            </w:tcBorders>
          </w:tcPr>
          <w:p>
            <w:r>
              <w:t>0.000 / 0.000 / 0.000</w:t>
            </w:r>
          </w:p>
        </w:tc>
        <w:tc>
          <w:tcPr>
            <w:tcW w:type="dxa" w:w="1814"/>
            <w:vAlign w:val="center"/>
            <w:tcBorders>
              <w:top w:val="single" w:sz="4" w:color="AAB7C4"/>
              <w:left w:val="single" w:sz="4" w:color="AAB7C4"/>
              <w:bottom w:val="single" w:sz="4" w:color="AAB7C4"/>
              <w:right w:val="single" w:sz="4" w:color="AAB7C4"/>
            </w:tcBorders>
          </w:tcPr>
          <w:p>
            <w:r>
              <w:t>N, P, K</w:t>
            </w:r>
          </w:p>
        </w:tc>
        <w:tc>
          <w:tcPr>
            <w:tcW w:type="dxa" w:w="1814"/>
            <w:vAlign w:val="center"/>
            <w:tcBorders>
              <w:top w:val="single" w:sz="4" w:color="AAB7C4"/>
              <w:left w:val="single" w:sz="4" w:color="AAB7C4"/>
              <w:bottom w:val="single" w:sz="4" w:color="AAB7C4"/>
              <w:right w:val="single" w:sz="4" w:color="AAB7C4"/>
            </w:tcBorders>
          </w:tcPr>
          <w:p>
            <w:r>
              <w:t>All requested fertilizer channels start</w:t>
            </w:r>
          </w:p>
        </w:tc>
      </w:tr>
      <w:tr>
        <w:tc>
          <w:tcPr>
            <w:tcW w:type="dxa" w:w="1814"/>
            <w:vAlign w:val="center"/>
            <w:tcBorders>
              <w:top w:val="single" w:sz="4" w:color="AAB7C4"/>
              <w:left w:val="single" w:sz="4" w:color="AAB7C4"/>
              <w:bottom w:val="single" w:sz="4" w:color="AAB7C4"/>
              <w:right w:val="single" w:sz="4" w:color="AAB7C4"/>
            </w:tcBorders>
          </w:tcPr>
          <w:p>
            <w:r>
              <w:t>2 s</w:t>
            </w:r>
          </w:p>
        </w:tc>
        <w:tc>
          <w:tcPr>
            <w:tcW w:type="dxa" w:w="1814"/>
            <w:vAlign w:val="center"/>
            <w:tcBorders>
              <w:top w:val="single" w:sz="4" w:color="AAB7C4"/>
              <w:left w:val="single" w:sz="4" w:color="AAB7C4"/>
              <w:bottom w:val="single" w:sz="4" w:color="AAB7C4"/>
              <w:right w:val="single" w:sz="4" w:color="AAB7C4"/>
            </w:tcBorders>
          </w:tcPr>
          <w:p>
            <w:r>
              <w:t>OUTLET_TRANSFER</w:t>
            </w:r>
          </w:p>
        </w:tc>
        <w:tc>
          <w:tcPr>
            <w:tcW w:type="dxa" w:w="1814"/>
            <w:vAlign w:val="center"/>
            <w:tcBorders>
              <w:top w:val="single" w:sz="4" w:color="AAB7C4"/>
              <w:left w:val="single" w:sz="4" w:color="AAB7C4"/>
              <w:bottom w:val="single" w:sz="4" w:color="AAB7C4"/>
              <w:right w:val="single" w:sz="4" w:color="AAB7C4"/>
            </w:tcBorders>
          </w:tcPr>
          <w:p>
            <w:r>
              <w:t>0.400 / 0.200 / 0.400</w:t>
            </w:r>
          </w:p>
        </w:tc>
        <w:tc>
          <w:tcPr>
            <w:tcW w:type="dxa" w:w="1814"/>
            <w:vAlign w:val="center"/>
            <w:tcBorders>
              <w:top w:val="single" w:sz="4" w:color="AAB7C4"/>
              <w:left w:val="single" w:sz="4" w:color="AAB7C4"/>
              <w:bottom w:val="single" w:sz="4" w:color="AAB7C4"/>
              <w:right w:val="single" w:sz="4" w:color="AAB7C4"/>
            </w:tcBorders>
          </w:tcPr>
          <w:p>
            <w:r>
              <w:t>Outlet</w:t>
            </w:r>
          </w:p>
        </w:tc>
        <w:tc>
          <w:tcPr>
            <w:tcW w:type="dxa" w:w="1814"/>
            <w:vAlign w:val="center"/>
            <w:tcBorders>
              <w:top w:val="single" w:sz="4" w:color="AAB7C4"/>
              <w:left w:val="single" w:sz="4" w:color="AAB7C4"/>
              <w:bottom w:val="single" w:sz="4" w:color="AAB7C4"/>
              <w:right w:val="single" w:sz="4" w:color="AAB7C4"/>
            </w:tcBorders>
          </w:tcPr>
          <w:p>
            <w:r>
              <w:t>Each fertilizer target reached; outlet interlock released</w:t>
            </w:r>
          </w:p>
        </w:tc>
      </w:tr>
      <w:tr>
        <w:tc>
          <w:tcPr>
            <w:tcW w:type="dxa" w:w="1814"/>
            <w:vAlign w:val="center"/>
            <w:tcBorders>
              <w:top w:val="single" w:sz="4" w:color="AAB7C4"/>
              <w:left w:val="single" w:sz="4" w:color="AAB7C4"/>
              <w:bottom w:val="single" w:sz="4" w:color="AAB7C4"/>
              <w:right w:val="single" w:sz="4" w:color="AAB7C4"/>
            </w:tcBorders>
          </w:tcPr>
          <w:p>
            <w:r>
              <w:t>252 s</w:t>
            </w:r>
          </w:p>
        </w:tc>
        <w:tc>
          <w:tcPr>
            <w:tcW w:type="dxa" w:w="1814"/>
            <w:vAlign w:val="center"/>
            <w:tcBorders>
              <w:top w:val="single" w:sz="4" w:color="AAB7C4"/>
              <w:left w:val="single" w:sz="4" w:color="AAB7C4"/>
              <w:bottom w:val="single" w:sz="4" w:color="AAB7C4"/>
              <w:right w:val="single" w:sz="4" w:color="AAB7C4"/>
            </w:tcBorders>
          </w:tcPr>
          <w:p>
            <w:r>
              <w:t>COMPLETE</w:t>
            </w:r>
          </w:p>
        </w:tc>
        <w:tc>
          <w:tcPr>
            <w:tcW w:type="dxa" w:w="1814"/>
            <w:vAlign w:val="center"/>
            <w:tcBorders>
              <w:top w:val="single" w:sz="4" w:color="AAB7C4"/>
              <w:left w:val="single" w:sz="4" w:color="AAB7C4"/>
              <w:bottom w:val="single" w:sz="4" w:color="AAB7C4"/>
              <w:right w:val="single" w:sz="4" w:color="AAB7C4"/>
            </w:tcBorders>
          </w:tcPr>
          <w:p>
            <w:r>
              <w:t>0.400 / 0.200 / 0.400</w:t>
            </w:r>
          </w:p>
        </w:tc>
        <w:tc>
          <w:tcPr>
            <w:tcW w:type="dxa" w:w="1814"/>
            <w:vAlign w:val="center"/>
            <w:tcBorders>
              <w:top w:val="single" w:sz="4" w:color="AAB7C4"/>
              <w:left w:val="single" w:sz="4" w:color="AAB7C4"/>
              <w:bottom w:val="single" w:sz="4" w:color="AAB7C4"/>
              <w:right w:val="single" w:sz="4" w:color="AAB7C4"/>
            </w:tcBorders>
          </w:tcPr>
          <w:p>
            <w:r>
              <w:t>None</w:t>
            </w:r>
          </w:p>
        </w:tc>
        <w:tc>
          <w:tcPr>
            <w:tcW w:type="dxa" w:w="1814"/>
            <w:vAlign w:val="center"/>
            <w:tcBorders>
              <w:top w:val="single" w:sz="4" w:color="AAB7C4"/>
              <w:left w:val="single" w:sz="4" w:color="AAB7C4"/>
              <w:bottom w:val="single" w:sz="4" w:color="AAB7C4"/>
              <w:right w:val="single" w:sz="4" w:color="AAB7C4"/>
            </w:tcBorders>
          </w:tcPr>
          <w:p>
            <w:r>
              <w:t>Outlet duration elapsed; all relays OFF</w:t>
            </w:r>
          </w:p>
        </w:tc>
      </w:tr>
    </w:tbl>
    <w:p/>
    <w:p>
      <w:pPr>
        <w:pStyle w:val="CaptionText"/>
      </w:pPr>
      <w:r>
        <w:t>Table 8. Bootstrap 95% confidence intervals from 1,000 resamples of the 7,200-row independent test set.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D9EAF7"/>
            <w:vAlign w:val="center"/>
            <w:tcBorders>
              <w:top w:val="single" w:sz="6" w:color="557A95"/>
              <w:left w:val="single" w:sz="6" w:color="557A95"/>
              <w:bottom w:val="single" w:sz="6" w:color="557A95"/>
              <w:right w:val="single" w:sz="6" w:color="557A95"/>
            </w:tcBorders>
          </w:tcPr>
          <w:p>
            <w:r>
              <w:rPr>
                <w:b/>
              </w:rPr>
              <w:t>Target</w:t>
            </w:r>
          </w:p>
        </w:tc>
        <w:tc>
          <w:tcPr>
            <w:tcW w:type="dxa" w:w="2268"/>
            <w:shd w:fill="D9EAF7"/>
            <w:vAlign w:val="center"/>
            <w:tcBorders>
              <w:top w:val="single" w:sz="6" w:color="557A95"/>
              <w:left w:val="single" w:sz="6" w:color="557A95"/>
              <w:bottom w:val="single" w:sz="6" w:color="557A95"/>
              <w:right w:val="single" w:sz="6" w:color="557A95"/>
            </w:tcBorders>
          </w:tcPr>
          <w:p>
            <w:r>
              <w:rPr>
                <w:b/>
              </w:rPr>
              <w:t>MAE 95% CI</w:t>
            </w:r>
          </w:p>
        </w:tc>
        <w:tc>
          <w:tcPr>
            <w:tcW w:type="dxa" w:w="2268"/>
            <w:shd w:fill="D9EAF7"/>
            <w:vAlign w:val="center"/>
            <w:tcBorders>
              <w:top w:val="single" w:sz="6" w:color="557A95"/>
              <w:left w:val="single" w:sz="6" w:color="557A95"/>
              <w:bottom w:val="single" w:sz="6" w:color="557A95"/>
              <w:right w:val="single" w:sz="6" w:color="557A95"/>
            </w:tcBorders>
          </w:tcPr>
          <w:p>
            <w:r>
              <w:rPr>
                <w:b/>
              </w:rPr>
              <w:t>RMSE 95% CI</w:t>
            </w:r>
          </w:p>
        </w:tc>
        <w:tc>
          <w:tcPr>
            <w:tcW w:type="dxa" w:w="2268"/>
            <w:shd w:fill="D9EAF7"/>
            <w:vAlign w:val="center"/>
            <w:tcBorders>
              <w:top w:val="single" w:sz="6" w:color="557A95"/>
              <w:left w:val="single" w:sz="6" w:color="557A95"/>
              <w:bottom w:val="single" w:sz="6" w:color="557A95"/>
              <w:right w:val="single" w:sz="6" w:color="557A95"/>
            </w:tcBorders>
          </w:tcPr>
          <w:p>
            <w:r>
              <w:rPr>
                <w:b/>
              </w:rPr>
              <w:t>R2 95% CI</w:t>
            </w:r>
          </w:p>
        </w:tc>
      </w:tr>
      <w:tr>
        <w:tc>
          <w:tcPr>
            <w:tcW w:type="dxa" w:w="2268"/>
            <w:vAlign w:val="center"/>
            <w:tcBorders>
              <w:top w:val="single" w:sz="4" w:color="AAB7C4"/>
              <w:left w:val="single" w:sz="4" w:color="AAB7C4"/>
              <w:bottom w:val="single" w:sz="4" w:color="AAB7C4"/>
              <w:right w:val="single" w:sz="4" w:color="AAB7C4"/>
            </w:tcBorders>
          </w:tcPr>
          <w:p>
            <w:r>
              <w:t>Water</w:t>
            </w:r>
          </w:p>
        </w:tc>
        <w:tc>
          <w:tcPr>
            <w:tcW w:type="dxa" w:w="2268"/>
            <w:vAlign w:val="center"/>
            <w:tcBorders>
              <w:top w:val="single" w:sz="4" w:color="AAB7C4"/>
              <w:left w:val="single" w:sz="4" w:color="AAB7C4"/>
              <w:bottom w:val="single" w:sz="4" w:color="AAB7C4"/>
              <w:right w:val="single" w:sz="4" w:color="AAB7C4"/>
            </w:tcBorders>
          </w:tcPr>
          <w:p>
            <w:r>
              <w:t>0.4262-0.4979</w:t>
            </w:r>
          </w:p>
        </w:tc>
        <w:tc>
          <w:tcPr>
            <w:tcW w:type="dxa" w:w="2268"/>
            <w:vAlign w:val="center"/>
            <w:tcBorders>
              <w:top w:val="single" w:sz="4" w:color="AAB7C4"/>
              <w:left w:val="single" w:sz="4" w:color="AAB7C4"/>
              <w:bottom w:val="single" w:sz="4" w:color="AAB7C4"/>
              <w:right w:val="single" w:sz="4" w:color="AAB7C4"/>
            </w:tcBorders>
          </w:tcPr>
          <w:p>
            <w:r>
              <w:t>1.4636-1.6990</w:t>
            </w:r>
          </w:p>
        </w:tc>
        <w:tc>
          <w:tcPr>
            <w:tcW w:type="dxa" w:w="2268"/>
            <w:vAlign w:val="center"/>
            <w:tcBorders>
              <w:top w:val="single" w:sz="4" w:color="AAB7C4"/>
              <w:left w:val="single" w:sz="4" w:color="AAB7C4"/>
              <w:bottom w:val="single" w:sz="4" w:color="AAB7C4"/>
              <w:right w:val="single" w:sz="4" w:color="AAB7C4"/>
            </w:tcBorders>
          </w:tcPr>
          <w:p>
            <w:r>
              <w:t>0.9774-0.9832</w:t>
            </w:r>
          </w:p>
        </w:tc>
      </w:tr>
      <w:tr>
        <w:tc>
          <w:tcPr>
            <w:tcW w:type="dxa" w:w="2268"/>
            <w:vAlign w:val="center"/>
            <w:tcBorders>
              <w:top w:val="single" w:sz="4" w:color="AAB7C4"/>
              <w:left w:val="single" w:sz="4" w:color="AAB7C4"/>
              <w:bottom w:val="single" w:sz="4" w:color="AAB7C4"/>
              <w:right w:val="single" w:sz="4" w:color="AAB7C4"/>
            </w:tcBorders>
          </w:tcPr>
          <w:p>
            <w:r>
              <w:t>N</w:t>
            </w:r>
          </w:p>
        </w:tc>
        <w:tc>
          <w:tcPr>
            <w:tcW w:type="dxa" w:w="2268"/>
            <w:vAlign w:val="center"/>
            <w:tcBorders>
              <w:top w:val="single" w:sz="4" w:color="AAB7C4"/>
              <w:left w:val="single" w:sz="4" w:color="AAB7C4"/>
              <w:bottom w:val="single" w:sz="4" w:color="AAB7C4"/>
              <w:right w:val="single" w:sz="4" w:color="AAB7C4"/>
            </w:tcBorders>
          </w:tcPr>
          <w:p>
            <w:r>
              <w:t>0.0220-0.0278</w:t>
            </w:r>
          </w:p>
        </w:tc>
        <w:tc>
          <w:tcPr>
            <w:tcW w:type="dxa" w:w="2268"/>
            <w:vAlign w:val="center"/>
            <w:tcBorders>
              <w:top w:val="single" w:sz="4" w:color="AAB7C4"/>
              <w:left w:val="single" w:sz="4" w:color="AAB7C4"/>
              <w:bottom w:val="single" w:sz="4" w:color="AAB7C4"/>
              <w:right w:val="single" w:sz="4" w:color="AAB7C4"/>
            </w:tcBorders>
          </w:tcPr>
          <w:p>
            <w:r>
              <w:t>0.1132-0.1439</w:t>
            </w:r>
          </w:p>
        </w:tc>
        <w:tc>
          <w:tcPr>
            <w:tcW w:type="dxa" w:w="2268"/>
            <w:vAlign w:val="center"/>
            <w:tcBorders>
              <w:top w:val="single" w:sz="4" w:color="AAB7C4"/>
              <w:left w:val="single" w:sz="4" w:color="AAB7C4"/>
              <w:bottom w:val="single" w:sz="4" w:color="AAB7C4"/>
              <w:right w:val="single" w:sz="4" w:color="AAB7C4"/>
            </w:tcBorders>
          </w:tcPr>
          <w:p>
            <w:r>
              <w:t>0.9065-0.9394</w:t>
            </w:r>
          </w:p>
        </w:tc>
      </w:tr>
      <w:tr>
        <w:tc>
          <w:tcPr>
            <w:tcW w:type="dxa" w:w="2268"/>
            <w:vAlign w:val="center"/>
            <w:tcBorders>
              <w:top w:val="single" w:sz="4" w:color="AAB7C4"/>
              <w:left w:val="single" w:sz="4" w:color="AAB7C4"/>
              <w:bottom w:val="single" w:sz="4" w:color="AAB7C4"/>
              <w:right w:val="single" w:sz="4" w:color="AAB7C4"/>
            </w:tcBorders>
          </w:tcPr>
          <w:p>
            <w:r>
              <w:t>P2O5</w:t>
            </w:r>
          </w:p>
        </w:tc>
        <w:tc>
          <w:tcPr>
            <w:tcW w:type="dxa" w:w="2268"/>
            <w:vAlign w:val="center"/>
            <w:tcBorders>
              <w:top w:val="single" w:sz="4" w:color="AAB7C4"/>
              <w:left w:val="single" w:sz="4" w:color="AAB7C4"/>
              <w:bottom w:val="single" w:sz="4" w:color="AAB7C4"/>
              <w:right w:val="single" w:sz="4" w:color="AAB7C4"/>
            </w:tcBorders>
          </w:tcPr>
          <w:p>
            <w:r>
              <w:t>0.0131-0.0166</w:t>
            </w:r>
          </w:p>
        </w:tc>
        <w:tc>
          <w:tcPr>
            <w:tcW w:type="dxa" w:w="2268"/>
            <w:vAlign w:val="center"/>
            <w:tcBorders>
              <w:top w:val="single" w:sz="4" w:color="AAB7C4"/>
              <w:left w:val="single" w:sz="4" w:color="AAB7C4"/>
              <w:bottom w:val="single" w:sz="4" w:color="AAB7C4"/>
              <w:right w:val="single" w:sz="4" w:color="AAB7C4"/>
            </w:tcBorders>
          </w:tcPr>
          <w:p>
            <w:r>
              <w:t>0.0663-0.0853</w:t>
            </w:r>
          </w:p>
        </w:tc>
        <w:tc>
          <w:tcPr>
            <w:tcW w:type="dxa" w:w="2268"/>
            <w:vAlign w:val="center"/>
            <w:tcBorders>
              <w:top w:val="single" w:sz="4" w:color="AAB7C4"/>
              <w:left w:val="single" w:sz="4" w:color="AAB7C4"/>
              <w:bottom w:val="single" w:sz="4" w:color="AAB7C4"/>
              <w:right w:val="single" w:sz="4" w:color="AAB7C4"/>
            </w:tcBorders>
          </w:tcPr>
          <w:p>
            <w:r>
              <w:t>0.9081-0.9420</w:t>
            </w:r>
          </w:p>
        </w:tc>
      </w:tr>
      <w:tr>
        <w:tc>
          <w:tcPr>
            <w:tcW w:type="dxa" w:w="2268"/>
            <w:vAlign w:val="center"/>
            <w:tcBorders>
              <w:top w:val="single" w:sz="4" w:color="AAB7C4"/>
              <w:left w:val="single" w:sz="4" w:color="AAB7C4"/>
              <w:bottom w:val="single" w:sz="4" w:color="AAB7C4"/>
              <w:right w:val="single" w:sz="4" w:color="AAB7C4"/>
            </w:tcBorders>
          </w:tcPr>
          <w:p>
            <w:r>
              <w:t>K2O</w:t>
            </w:r>
          </w:p>
        </w:tc>
        <w:tc>
          <w:tcPr>
            <w:tcW w:type="dxa" w:w="2268"/>
            <w:vAlign w:val="center"/>
            <w:tcBorders>
              <w:top w:val="single" w:sz="4" w:color="AAB7C4"/>
              <w:left w:val="single" w:sz="4" w:color="AAB7C4"/>
              <w:bottom w:val="single" w:sz="4" w:color="AAB7C4"/>
              <w:right w:val="single" w:sz="4" w:color="AAB7C4"/>
            </w:tcBorders>
          </w:tcPr>
          <w:p>
            <w:r>
              <w:t>0.0109-0.0138</w:t>
            </w:r>
          </w:p>
        </w:tc>
        <w:tc>
          <w:tcPr>
            <w:tcW w:type="dxa" w:w="2268"/>
            <w:vAlign w:val="center"/>
            <w:tcBorders>
              <w:top w:val="single" w:sz="4" w:color="AAB7C4"/>
              <w:left w:val="single" w:sz="4" w:color="AAB7C4"/>
              <w:bottom w:val="single" w:sz="4" w:color="AAB7C4"/>
              <w:right w:val="single" w:sz="4" w:color="AAB7C4"/>
            </w:tcBorders>
          </w:tcPr>
          <w:p>
            <w:r>
              <w:t>0.0511-0.0836</w:t>
            </w:r>
          </w:p>
        </w:tc>
        <w:tc>
          <w:tcPr>
            <w:tcW w:type="dxa" w:w="2268"/>
            <w:vAlign w:val="center"/>
            <w:tcBorders>
              <w:top w:val="single" w:sz="4" w:color="AAB7C4"/>
              <w:left w:val="single" w:sz="4" w:color="AAB7C4"/>
              <w:bottom w:val="single" w:sz="4" w:color="AAB7C4"/>
              <w:right w:val="single" w:sz="4" w:color="AAB7C4"/>
            </w:tcBorders>
          </w:tcPr>
          <w:p>
            <w:r>
              <w:t>0.9362-0.9751</w:t>
            </w:r>
          </w:p>
        </w:tc>
      </w:tr>
    </w:tbl>
    <w:p/>
    <w:p>
      <w:pPr>
        <w:pStyle w:val="CaptionText"/>
      </w:pPr>
      <w:r>
        <w:t>Table 9. Positive-event classification metrics on the independent test set.</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D9EAF7"/>
            <w:vAlign w:val="center"/>
            <w:tcBorders>
              <w:top w:val="single" w:sz="6" w:color="557A95"/>
              <w:left w:val="single" w:sz="6" w:color="557A95"/>
              <w:bottom w:val="single" w:sz="6" w:color="557A95"/>
              <w:right w:val="single" w:sz="6" w:color="557A95"/>
            </w:tcBorders>
          </w:tcPr>
          <w:p>
            <w:r>
              <w:rPr>
                <w:b/>
              </w:rPr>
              <w:t>Event</w:t>
            </w:r>
          </w:p>
        </w:tc>
        <w:tc>
          <w:tcPr>
            <w:tcW w:type="dxa" w:w="1512"/>
            <w:shd w:fill="D9EAF7"/>
            <w:vAlign w:val="center"/>
            <w:tcBorders>
              <w:top w:val="single" w:sz="6" w:color="557A95"/>
              <w:left w:val="single" w:sz="6" w:color="557A95"/>
              <w:bottom w:val="single" w:sz="6" w:color="557A95"/>
              <w:right w:val="single" w:sz="6" w:color="557A95"/>
            </w:tcBorders>
          </w:tcPr>
          <w:p>
            <w:r>
              <w:rPr>
                <w:b/>
              </w:rPr>
              <w:t>Positive n</w:t>
            </w:r>
          </w:p>
        </w:tc>
        <w:tc>
          <w:tcPr>
            <w:tcW w:type="dxa" w:w="1512"/>
            <w:shd w:fill="D9EAF7"/>
            <w:vAlign w:val="center"/>
            <w:tcBorders>
              <w:top w:val="single" w:sz="6" w:color="557A95"/>
              <w:left w:val="single" w:sz="6" w:color="557A95"/>
              <w:bottom w:val="single" w:sz="6" w:color="557A95"/>
              <w:right w:val="single" w:sz="6" w:color="557A95"/>
            </w:tcBorders>
          </w:tcPr>
          <w:p>
            <w:r>
              <w:rPr>
                <w:b/>
              </w:rPr>
              <w:t>Precision</w:t>
            </w:r>
          </w:p>
        </w:tc>
        <w:tc>
          <w:tcPr>
            <w:tcW w:type="dxa" w:w="1512"/>
            <w:shd w:fill="D9EAF7"/>
            <w:vAlign w:val="center"/>
            <w:tcBorders>
              <w:top w:val="single" w:sz="6" w:color="557A95"/>
              <w:left w:val="single" w:sz="6" w:color="557A95"/>
              <w:bottom w:val="single" w:sz="6" w:color="557A95"/>
              <w:right w:val="single" w:sz="6" w:color="557A95"/>
            </w:tcBorders>
          </w:tcPr>
          <w:p>
            <w:r>
              <w:rPr>
                <w:b/>
              </w:rPr>
              <w:t>Recall</w:t>
            </w:r>
          </w:p>
        </w:tc>
        <w:tc>
          <w:tcPr>
            <w:tcW w:type="dxa" w:w="1512"/>
            <w:shd w:fill="D9EAF7"/>
            <w:vAlign w:val="center"/>
            <w:tcBorders>
              <w:top w:val="single" w:sz="6" w:color="557A95"/>
              <w:left w:val="single" w:sz="6" w:color="557A95"/>
              <w:bottom w:val="single" w:sz="6" w:color="557A95"/>
              <w:right w:val="single" w:sz="6" w:color="557A95"/>
            </w:tcBorders>
          </w:tcPr>
          <w:p>
            <w:r>
              <w:rPr>
                <w:b/>
              </w:rPr>
              <w:t>F1</w:t>
            </w:r>
          </w:p>
        </w:tc>
        <w:tc>
          <w:tcPr>
            <w:tcW w:type="dxa" w:w="1512"/>
            <w:shd w:fill="D9EAF7"/>
            <w:vAlign w:val="center"/>
            <w:tcBorders>
              <w:top w:val="single" w:sz="6" w:color="557A95"/>
              <w:left w:val="single" w:sz="6" w:color="557A95"/>
              <w:bottom w:val="single" w:sz="6" w:color="557A95"/>
              <w:right w:val="single" w:sz="6" w:color="557A95"/>
            </w:tcBorders>
          </w:tcPr>
          <w:p>
            <w:r>
              <w:rPr>
                <w:b/>
              </w:rPr>
              <w:t>Balanced accuracy</w:t>
            </w:r>
          </w:p>
        </w:tc>
      </w:tr>
      <w:tr>
        <w:tc>
          <w:tcPr>
            <w:tcW w:type="dxa" w:w="1512"/>
            <w:vAlign w:val="center"/>
            <w:tcBorders>
              <w:top w:val="single" w:sz="4" w:color="AAB7C4"/>
              <w:left w:val="single" w:sz="4" w:color="AAB7C4"/>
              <w:bottom w:val="single" w:sz="4" w:color="AAB7C4"/>
              <w:right w:val="single" w:sz="4" w:color="AAB7C4"/>
            </w:tcBorders>
          </w:tcPr>
          <w:p>
            <w:r>
              <w:t>Water &gt; 0.5 m3 mu-1</w:t>
            </w:r>
          </w:p>
        </w:tc>
        <w:tc>
          <w:tcPr>
            <w:tcW w:type="dxa" w:w="1512"/>
            <w:vAlign w:val="center"/>
            <w:tcBorders>
              <w:top w:val="single" w:sz="4" w:color="AAB7C4"/>
              <w:left w:val="single" w:sz="4" w:color="AAB7C4"/>
              <w:bottom w:val="single" w:sz="4" w:color="AAB7C4"/>
              <w:right w:val="single" w:sz="4" w:color="AAB7C4"/>
            </w:tcBorders>
          </w:tcPr>
          <w:p>
            <w:r>
              <w:t>2,194</w:t>
            </w:r>
          </w:p>
        </w:tc>
        <w:tc>
          <w:tcPr>
            <w:tcW w:type="dxa" w:w="1512"/>
            <w:vAlign w:val="center"/>
            <w:tcBorders>
              <w:top w:val="single" w:sz="4" w:color="AAB7C4"/>
              <w:left w:val="single" w:sz="4" w:color="AAB7C4"/>
              <w:bottom w:val="single" w:sz="4" w:color="AAB7C4"/>
              <w:right w:val="single" w:sz="4" w:color="AAB7C4"/>
            </w:tcBorders>
          </w:tcPr>
          <w:p>
            <w:r>
              <w:t>0.8226</w:t>
            </w:r>
          </w:p>
        </w:tc>
        <w:tc>
          <w:tcPr>
            <w:tcW w:type="dxa" w:w="1512"/>
            <w:vAlign w:val="center"/>
            <w:tcBorders>
              <w:top w:val="single" w:sz="4" w:color="AAB7C4"/>
              <w:left w:val="single" w:sz="4" w:color="AAB7C4"/>
              <w:bottom w:val="single" w:sz="4" w:color="AAB7C4"/>
              <w:right w:val="single" w:sz="4" w:color="AAB7C4"/>
            </w:tcBorders>
          </w:tcPr>
          <w:p>
            <w:r>
              <w:t>1.0000</w:t>
            </w:r>
          </w:p>
        </w:tc>
        <w:tc>
          <w:tcPr>
            <w:tcW w:type="dxa" w:w="1512"/>
            <w:vAlign w:val="center"/>
            <w:tcBorders>
              <w:top w:val="single" w:sz="4" w:color="AAB7C4"/>
              <w:left w:val="single" w:sz="4" w:color="AAB7C4"/>
              <w:bottom w:val="single" w:sz="4" w:color="AAB7C4"/>
              <w:right w:val="single" w:sz="4" w:color="AAB7C4"/>
            </w:tcBorders>
          </w:tcPr>
          <w:p>
            <w:r>
              <w:t>0.9027</w:t>
            </w:r>
          </w:p>
        </w:tc>
        <w:tc>
          <w:tcPr>
            <w:tcW w:type="dxa" w:w="1512"/>
            <w:vAlign w:val="center"/>
            <w:tcBorders>
              <w:top w:val="single" w:sz="4" w:color="AAB7C4"/>
              <w:left w:val="single" w:sz="4" w:color="AAB7C4"/>
              <w:bottom w:val="single" w:sz="4" w:color="AAB7C4"/>
              <w:right w:val="single" w:sz="4" w:color="AAB7C4"/>
            </w:tcBorders>
          </w:tcPr>
          <w:p>
            <w:r>
              <w:t>0.9528</w:t>
            </w:r>
          </w:p>
        </w:tc>
      </w:tr>
      <w:tr>
        <w:tc>
          <w:tcPr>
            <w:tcW w:type="dxa" w:w="1512"/>
            <w:vAlign w:val="center"/>
            <w:tcBorders>
              <w:top w:val="single" w:sz="4" w:color="AAB7C4"/>
              <w:left w:val="single" w:sz="4" w:color="AAB7C4"/>
              <w:bottom w:val="single" w:sz="4" w:color="AAB7C4"/>
              <w:right w:val="single" w:sz="4" w:color="AAB7C4"/>
            </w:tcBorders>
          </w:tcPr>
          <w:p>
            <w:r>
              <w:t>N &gt; 0.01 kg mu-1</w:t>
            </w:r>
          </w:p>
        </w:tc>
        <w:tc>
          <w:tcPr>
            <w:tcW w:type="dxa" w:w="1512"/>
            <w:vAlign w:val="center"/>
            <w:tcBorders>
              <w:top w:val="single" w:sz="4" w:color="AAB7C4"/>
              <w:left w:val="single" w:sz="4" w:color="AAB7C4"/>
              <w:bottom w:val="single" w:sz="4" w:color="AAB7C4"/>
              <w:right w:val="single" w:sz="4" w:color="AAB7C4"/>
            </w:tcBorders>
          </w:tcPr>
          <w:p>
            <w:r>
              <w:t>609</w:t>
            </w:r>
          </w:p>
        </w:tc>
        <w:tc>
          <w:tcPr>
            <w:tcW w:type="dxa" w:w="1512"/>
            <w:vAlign w:val="center"/>
            <w:tcBorders>
              <w:top w:val="single" w:sz="4" w:color="AAB7C4"/>
              <w:left w:val="single" w:sz="4" w:color="AAB7C4"/>
              <w:bottom w:val="single" w:sz="4" w:color="AAB7C4"/>
              <w:right w:val="single" w:sz="4" w:color="AAB7C4"/>
            </w:tcBorders>
          </w:tcPr>
          <w:p>
            <w:r>
              <w:t>0.3551</w:t>
            </w:r>
          </w:p>
        </w:tc>
        <w:tc>
          <w:tcPr>
            <w:tcW w:type="dxa" w:w="1512"/>
            <w:vAlign w:val="center"/>
            <w:tcBorders>
              <w:top w:val="single" w:sz="4" w:color="AAB7C4"/>
              <w:left w:val="single" w:sz="4" w:color="AAB7C4"/>
              <w:bottom w:val="single" w:sz="4" w:color="AAB7C4"/>
              <w:right w:val="single" w:sz="4" w:color="AAB7C4"/>
            </w:tcBorders>
          </w:tcPr>
          <w:p>
            <w:r>
              <w:t>1.0000</w:t>
            </w:r>
          </w:p>
        </w:tc>
        <w:tc>
          <w:tcPr>
            <w:tcW w:type="dxa" w:w="1512"/>
            <w:vAlign w:val="center"/>
            <w:tcBorders>
              <w:top w:val="single" w:sz="4" w:color="AAB7C4"/>
              <w:left w:val="single" w:sz="4" w:color="AAB7C4"/>
              <w:bottom w:val="single" w:sz="4" w:color="AAB7C4"/>
              <w:right w:val="single" w:sz="4" w:color="AAB7C4"/>
            </w:tcBorders>
          </w:tcPr>
          <w:p>
            <w:r>
              <w:t>0.5241</w:t>
            </w:r>
          </w:p>
        </w:tc>
        <w:tc>
          <w:tcPr>
            <w:tcW w:type="dxa" w:w="1512"/>
            <w:vAlign w:val="center"/>
            <w:tcBorders>
              <w:top w:val="single" w:sz="4" w:color="AAB7C4"/>
              <w:left w:val="single" w:sz="4" w:color="AAB7C4"/>
              <w:bottom w:val="single" w:sz="4" w:color="AAB7C4"/>
              <w:right w:val="single" w:sz="4" w:color="AAB7C4"/>
            </w:tcBorders>
          </w:tcPr>
          <w:p>
            <w:r>
              <w:t>0.9161</w:t>
            </w:r>
          </w:p>
        </w:tc>
      </w:tr>
      <w:tr>
        <w:tc>
          <w:tcPr>
            <w:tcW w:type="dxa" w:w="1512"/>
            <w:vAlign w:val="center"/>
            <w:tcBorders>
              <w:top w:val="single" w:sz="4" w:color="AAB7C4"/>
              <w:left w:val="single" w:sz="4" w:color="AAB7C4"/>
              <w:bottom w:val="single" w:sz="4" w:color="AAB7C4"/>
              <w:right w:val="single" w:sz="4" w:color="AAB7C4"/>
            </w:tcBorders>
          </w:tcPr>
          <w:p>
            <w:r>
              <w:t>P2O5 &gt; 0.01 kg mu-1</w:t>
            </w:r>
          </w:p>
        </w:tc>
        <w:tc>
          <w:tcPr>
            <w:tcW w:type="dxa" w:w="1512"/>
            <w:vAlign w:val="center"/>
            <w:tcBorders>
              <w:top w:val="single" w:sz="4" w:color="AAB7C4"/>
              <w:left w:val="single" w:sz="4" w:color="AAB7C4"/>
              <w:bottom w:val="single" w:sz="4" w:color="AAB7C4"/>
              <w:right w:val="single" w:sz="4" w:color="AAB7C4"/>
            </w:tcBorders>
          </w:tcPr>
          <w:p>
            <w:r>
              <w:t>489</w:t>
            </w:r>
          </w:p>
        </w:tc>
        <w:tc>
          <w:tcPr>
            <w:tcW w:type="dxa" w:w="1512"/>
            <w:vAlign w:val="center"/>
            <w:tcBorders>
              <w:top w:val="single" w:sz="4" w:color="AAB7C4"/>
              <w:left w:val="single" w:sz="4" w:color="AAB7C4"/>
              <w:bottom w:val="single" w:sz="4" w:color="AAB7C4"/>
              <w:right w:val="single" w:sz="4" w:color="AAB7C4"/>
            </w:tcBorders>
          </w:tcPr>
          <w:p>
            <w:r>
              <w:t>0.3590</w:t>
            </w:r>
          </w:p>
        </w:tc>
        <w:tc>
          <w:tcPr>
            <w:tcW w:type="dxa" w:w="1512"/>
            <w:vAlign w:val="center"/>
            <w:tcBorders>
              <w:top w:val="single" w:sz="4" w:color="AAB7C4"/>
              <w:left w:val="single" w:sz="4" w:color="AAB7C4"/>
              <w:bottom w:val="single" w:sz="4" w:color="AAB7C4"/>
              <w:right w:val="single" w:sz="4" w:color="AAB7C4"/>
            </w:tcBorders>
          </w:tcPr>
          <w:p>
            <w:r>
              <w:t>1.0000</w:t>
            </w:r>
          </w:p>
        </w:tc>
        <w:tc>
          <w:tcPr>
            <w:tcW w:type="dxa" w:w="1512"/>
            <w:vAlign w:val="center"/>
            <w:tcBorders>
              <w:top w:val="single" w:sz="4" w:color="AAB7C4"/>
              <w:left w:val="single" w:sz="4" w:color="AAB7C4"/>
              <w:bottom w:val="single" w:sz="4" w:color="AAB7C4"/>
              <w:right w:val="single" w:sz="4" w:color="AAB7C4"/>
            </w:tcBorders>
          </w:tcPr>
          <w:p>
            <w:r>
              <w:t>0.5284</w:t>
            </w:r>
          </w:p>
        </w:tc>
        <w:tc>
          <w:tcPr>
            <w:tcW w:type="dxa" w:w="1512"/>
            <w:vAlign w:val="center"/>
            <w:tcBorders>
              <w:top w:val="single" w:sz="4" w:color="AAB7C4"/>
              <w:left w:val="single" w:sz="4" w:color="AAB7C4"/>
              <w:bottom w:val="single" w:sz="4" w:color="AAB7C4"/>
              <w:right w:val="single" w:sz="4" w:color="AAB7C4"/>
            </w:tcBorders>
          </w:tcPr>
          <w:p>
            <w:r>
              <w:t>0.9350</w:t>
            </w:r>
          </w:p>
        </w:tc>
      </w:tr>
      <w:tr>
        <w:tc>
          <w:tcPr>
            <w:tcW w:type="dxa" w:w="1512"/>
            <w:vAlign w:val="center"/>
            <w:tcBorders>
              <w:top w:val="single" w:sz="4" w:color="AAB7C4"/>
              <w:left w:val="single" w:sz="4" w:color="AAB7C4"/>
              <w:bottom w:val="single" w:sz="4" w:color="AAB7C4"/>
              <w:right w:val="single" w:sz="4" w:color="AAB7C4"/>
            </w:tcBorders>
          </w:tcPr>
          <w:p>
            <w:r>
              <w:t>K2O &gt; 0.01 kg mu-1</w:t>
            </w:r>
          </w:p>
        </w:tc>
        <w:tc>
          <w:tcPr>
            <w:tcW w:type="dxa" w:w="1512"/>
            <w:vAlign w:val="center"/>
            <w:tcBorders>
              <w:top w:val="single" w:sz="4" w:color="AAB7C4"/>
              <w:left w:val="single" w:sz="4" w:color="AAB7C4"/>
              <w:bottom w:val="single" w:sz="4" w:color="AAB7C4"/>
              <w:right w:val="single" w:sz="4" w:color="AAB7C4"/>
            </w:tcBorders>
          </w:tcPr>
          <w:p>
            <w:r>
              <w:t>344</w:t>
            </w:r>
          </w:p>
        </w:tc>
        <w:tc>
          <w:tcPr>
            <w:tcW w:type="dxa" w:w="1512"/>
            <w:vAlign w:val="center"/>
            <w:tcBorders>
              <w:top w:val="single" w:sz="4" w:color="AAB7C4"/>
              <w:left w:val="single" w:sz="4" w:color="AAB7C4"/>
              <w:bottom w:val="single" w:sz="4" w:color="AAB7C4"/>
              <w:right w:val="single" w:sz="4" w:color="AAB7C4"/>
            </w:tcBorders>
          </w:tcPr>
          <w:p>
            <w:r>
              <w:t>0.2550</w:t>
            </w:r>
          </w:p>
        </w:tc>
        <w:tc>
          <w:tcPr>
            <w:tcW w:type="dxa" w:w="1512"/>
            <w:vAlign w:val="center"/>
            <w:tcBorders>
              <w:top w:val="single" w:sz="4" w:color="AAB7C4"/>
              <w:left w:val="single" w:sz="4" w:color="AAB7C4"/>
              <w:bottom w:val="single" w:sz="4" w:color="AAB7C4"/>
              <w:right w:val="single" w:sz="4" w:color="AAB7C4"/>
            </w:tcBorders>
          </w:tcPr>
          <w:p>
            <w:r>
              <w:t>1.0000</w:t>
            </w:r>
          </w:p>
        </w:tc>
        <w:tc>
          <w:tcPr>
            <w:tcW w:type="dxa" w:w="1512"/>
            <w:vAlign w:val="center"/>
            <w:tcBorders>
              <w:top w:val="single" w:sz="4" w:color="AAB7C4"/>
              <w:left w:val="single" w:sz="4" w:color="AAB7C4"/>
              <w:bottom w:val="single" w:sz="4" w:color="AAB7C4"/>
              <w:right w:val="single" w:sz="4" w:color="AAB7C4"/>
            </w:tcBorders>
          </w:tcPr>
          <w:p>
            <w:r>
              <w:t>0.4064</w:t>
            </w:r>
          </w:p>
        </w:tc>
        <w:tc>
          <w:tcPr>
            <w:tcW w:type="dxa" w:w="1512"/>
            <w:vAlign w:val="center"/>
            <w:tcBorders>
              <w:top w:val="single" w:sz="4" w:color="AAB7C4"/>
              <w:left w:val="single" w:sz="4" w:color="AAB7C4"/>
              <w:bottom w:val="single" w:sz="4" w:color="AAB7C4"/>
              <w:right w:val="single" w:sz="4" w:color="AAB7C4"/>
            </w:tcBorders>
          </w:tcPr>
          <w:p>
            <w:r>
              <w:t>0.9267</w:t>
            </w:r>
          </w:p>
        </w:tc>
      </w:tr>
    </w:tbl>
    <w:p/>
    <w:p>
      <w:pPr>
        <w:pStyle w:val="CaptionText"/>
      </w:pPr>
      <w:r>
        <w:t>Table 10. Optional-weather masking stress test on the independent test set.</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D9EAF7"/>
            <w:vAlign w:val="center"/>
            <w:tcBorders>
              <w:top w:val="single" w:sz="6" w:color="557A95"/>
              <w:left w:val="single" w:sz="6" w:color="557A95"/>
              <w:bottom w:val="single" w:sz="6" w:color="557A95"/>
              <w:right w:val="single" w:sz="6" w:color="557A95"/>
            </w:tcBorders>
          </w:tcPr>
          <w:p>
            <w:r>
              <w:rPr>
                <w:b/>
              </w:rPr>
              <w:t>Stress test</w:t>
            </w:r>
          </w:p>
        </w:tc>
        <w:tc>
          <w:tcPr>
            <w:tcW w:type="dxa" w:w="1814"/>
            <w:shd w:fill="D9EAF7"/>
            <w:vAlign w:val="center"/>
            <w:tcBorders>
              <w:top w:val="single" w:sz="6" w:color="557A95"/>
              <w:left w:val="single" w:sz="6" w:color="557A95"/>
              <w:bottom w:val="single" w:sz="6" w:color="557A95"/>
              <w:right w:val="single" w:sz="6" w:color="557A95"/>
            </w:tcBorders>
          </w:tcPr>
          <w:p>
            <w:r>
              <w:rPr>
                <w:b/>
              </w:rPr>
              <w:t>Fields replaced</w:t>
            </w:r>
          </w:p>
        </w:tc>
        <w:tc>
          <w:tcPr>
            <w:tcW w:type="dxa" w:w="1814"/>
            <w:shd w:fill="D9EAF7"/>
            <w:vAlign w:val="center"/>
            <w:tcBorders>
              <w:top w:val="single" w:sz="6" w:color="557A95"/>
              <w:left w:val="single" w:sz="6" w:color="557A95"/>
              <w:bottom w:val="single" w:sz="6" w:color="557A95"/>
              <w:right w:val="single" w:sz="6" w:color="557A95"/>
            </w:tcBorders>
          </w:tcPr>
          <w:p>
            <w:r>
              <w:rPr>
                <w:b/>
              </w:rPr>
              <w:t>Decision agreement</w:t>
            </w:r>
          </w:p>
        </w:tc>
        <w:tc>
          <w:tcPr>
            <w:tcW w:type="dxa" w:w="1814"/>
            <w:shd w:fill="D9EAF7"/>
            <w:vAlign w:val="center"/>
            <w:tcBorders>
              <w:top w:val="single" w:sz="6" w:color="557A95"/>
              <w:left w:val="single" w:sz="6" w:color="557A95"/>
              <w:bottom w:val="single" w:sz="6" w:color="557A95"/>
              <w:right w:val="single" w:sz="6" w:color="557A95"/>
            </w:tcBorders>
          </w:tcPr>
          <w:p>
            <w:r>
              <w:rPr>
                <w:b/>
              </w:rPr>
              <w:t>Changed decisions</w:t>
            </w:r>
          </w:p>
        </w:tc>
        <w:tc>
          <w:tcPr>
            <w:tcW w:type="dxa" w:w="1814"/>
            <w:shd w:fill="D9EAF7"/>
            <w:vAlign w:val="center"/>
            <w:tcBorders>
              <w:top w:val="single" w:sz="6" w:color="557A95"/>
              <w:left w:val="single" w:sz="6" w:color="557A95"/>
              <w:bottom w:val="single" w:sz="6" w:color="557A95"/>
              <w:right w:val="single" w:sz="6" w:color="557A95"/>
            </w:tcBorders>
          </w:tcPr>
          <w:p>
            <w:r>
              <w:rPr>
                <w:b/>
              </w:rPr>
              <w:t>Agreement with teacher</w:t>
            </w:r>
          </w:p>
        </w:tc>
      </w:tr>
      <w:tr>
        <w:tc>
          <w:tcPr>
            <w:tcW w:type="dxa" w:w="1814"/>
            <w:vAlign w:val="center"/>
            <w:tcBorders>
              <w:top w:val="single" w:sz="4" w:color="AAB7C4"/>
              <w:left w:val="single" w:sz="4" w:color="AAB7C4"/>
              <w:bottom w:val="single" w:sz="4" w:color="AAB7C4"/>
              <w:right w:val="single" w:sz="4" w:color="AAB7C4"/>
            </w:tcBorders>
          </w:tcPr>
          <w:p>
            <w:r>
              <w:t>Optional-weather masking</w:t>
            </w:r>
          </w:p>
        </w:tc>
        <w:tc>
          <w:tcPr>
            <w:tcW w:type="dxa" w:w="1814"/>
            <w:vAlign w:val="center"/>
            <w:tcBorders>
              <w:top w:val="single" w:sz="4" w:color="AAB7C4"/>
              <w:left w:val="single" w:sz="4" w:color="AAB7C4"/>
              <w:bottom w:val="single" w:sz="4" w:color="AAB7C4"/>
              <w:right w:val="single" w:sz="4" w:color="AAB7C4"/>
            </w:tcBorders>
          </w:tcPr>
          <w:p>
            <w:r>
              <w:t>wind, rain_today, rain_next_2d</w:t>
            </w:r>
          </w:p>
        </w:tc>
        <w:tc>
          <w:tcPr>
            <w:tcW w:type="dxa" w:w="1814"/>
            <w:vAlign w:val="center"/>
            <w:tcBorders>
              <w:top w:val="single" w:sz="4" w:color="AAB7C4"/>
              <w:left w:val="single" w:sz="4" w:color="AAB7C4"/>
              <w:bottom w:val="single" w:sz="4" w:color="AAB7C4"/>
              <w:right w:val="single" w:sz="4" w:color="AAB7C4"/>
            </w:tcBorders>
          </w:tcPr>
          <w:p>
            <w:r>
              <w:t>0.8526</w:t>
            </w:r>
          </w:p>
        </w:tc>
        <w:tc>
          <w:tcPr>
            <w:tcW w:type="dxa" w:w="1814"/>
            <w:vAlign w:val="center"/>
            <w:tcBorders>
              <w:top w:val="single" w:sz="4" w:color="AAB7C4"/>
              <w:left w:val="single" w:sz="4" w:color="AAB7C4"/>
              <w:bottom w:val="single" w:sz="4" w:color="AAB7C4"/>
              <w:right w:val="single" w:sz="4" w:color="AAB7C4"/>
            </w:tcBorders>
          </w:tcPr>
          <w:p>
            <w:r>
              <w:t>1,061 / 7,200</w:t>
            </w:r>
          </w:p>
        </w:tc>
        <w:tc>
          <w:tcPr>
            <w:tcW w:type="dxa" w:w="1814"/>
            <w:vAlign w:val="center"/>
            <w:tcBorders>
              <w:top w:val="single" w:sz="4" w:color="AAB7C4"/>
              <w:left w:val="single" w:sz="4" w:color="AAB7C4"/>
              <w:bottom w:val="single" w:sz="4" w:color="AAB7C4"/>
              <w:right w:val="single" w:sz="4" w:color="AAB7C4"/>
            </w:tcBorders>
          </w:tcPr>
          <w:p>
            <w:r>
              <w:t>0.7975</w:t>
            </w:r>
          </w:p>
        </w:tc>
      </w:tr>
    </w:tbl>
    <w:p/>
    <w:p>
      <w:pPr>
        <w:pStyle w:val="CaptionText"/>
      </w:pPr>
      <w:r>
        <w:t>Table 11. Large-sample controller safety simulation using the production state machine.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D9EAF7"/>
            <w:vAlign w:val="center"/>
            <w:tcBorders>
              <w:top w:val="single" w:sz="6" w:color="557A95"/>
              <w:left w:val="single" w:sz="6" w:color="557A95"/>
              <w:bottom w:val="single" w:sz="6" w:color="557A95"/>
              <w:right w:val="single" w:sz="6" w:color="557A95"/>
            </w:tcBorders>
          </w:tcPr>
          <w:p>
            <w:r>
              <w:rPr>
                <w:b/>
              </w:rPr>
              <w:t>Scenario group</w:t>
            </w:r>
          </w:p>
        </w:tc>
        <w:tc>
          <w:tcPr>
            <w:tcW w:type="dxa" w:w="2268"/>
            <w:shd w:fill="D9EAF7"/>
            <w:vAlign w:val="center"/>
            <w:tcBorders>
              <w:top w:val="single" w:sz="6" w:color="557A95"/>
              <w:left w:val="single" w:sz="6" w:color="557A95"/>
              <w:bottom w:val="single" w:sz="6" w:color="557A95"/>
              <w:right w:val="single" w:sz="6" w:color="557A95"/>
            </w:tcBorders>
          </w:tcPr>
          <w:p>
            <w:r>
              <w:rPr>
                <w:b/>
              </w:rPr>
              <w:t>n</w:t>
            </w:r>
          </w:p>
        </w:tc>
        <w:tc>
          <w:tcPr>
            <w:tcW w:type="dxa" w:w="2268"/>
            <w:shd w:fill="D9EAF7"/>
            <w:vAlign w:val="center"/>
            <w:tcBorders>
              <w:top w:val="single" w:sz="6" w:color="557A95"/>
              <w:left w:val="single" w:sz="6" w:color="557A95"/>
              <w:bottom w:val="single" w:sz="6" w:color="557A95"/>
              <w:right w:val="single" w:sz="6" w:color="557A95"/>
            </w:tcBorders>
          </w:tcPr>
          <w:p>
            <w:r>
              <w:rPr>
                <w:b/>
              </w:rPr>
              <w:t>Primary outcome</w:t>
            </w:r>
          </w:p>
        </w:tc>
        <w:tc>
          <w:tcPr>
            <w:tcW w:type="dxa" w:w="2268"/>
            <w:shd w:fill="D9EAF7"/>
            <w:vAlign w:val="center"/>
            <w:tcBorders>
              <w:top w:val="single" w:sz="6" w:color="557A95"/>
              <w:left w:val="single" w:sz="6" w:color="557A95"/>
              <w:bottom w:val="single" w:sz="6" w:color="557A95"/>
              <w:right w:val="single" w:sz="6" w:color="557A95"/>
            </w:tcBorders>
          </w:tcPr>
          <w:p>
            <w:r>
              <w:rPr>
                <w:b/>
              </w:rPr>
              <w:t>Observed result</w:t>
            </w:r>
          </w:p>
        </w:tc>
      </w:tr>
      <w:tr>
        <w:tc>
          <w:tcPr>
            <w:tcW w:type="dxa" w:w="2268"/>
            <w:vAlign w:val="center"/>
            <w:tcBorders>
              <w:top w:val="single" w:sz="4" w:color="AAB7C4"/>
              <w:left w:val="single" w:sz="4" w:color="AAB7C4"/>
              <w:bottom w:val="single" w:sz="4" w:color="AAB7C4"/>
              <w:right w:val="single" w:sz="4" w:color="AAB7C4"/>
            </w:tcBorders>
          </w:tcPr>
          <w:p>
            <w:r>
              <w:t>Random normal work orders</w:t>
            </w:r>
          </w:p>
        </w:tc>
        <w:tc>
          <w:tcPr>
            <w:tcW w:type="dxa" w:w="2268"/>
            <w:vAlign w:val="center"/>
            <w:tcBorders>
              <w:top w:val="single" w:sz="4" w:color="AAB7C4"/>
              <w:left w:val="single" w:sz="4" w:color="AAB7C4"/>
              <w:bottom w:val="single" w:sz="4" w:color="AAB7C4"/>
              <w:right w:val="single" w:sz="4" w:color="AAB7C4"/>
            </w:tcBorders>
          </w:tcPr>
          <w:p>
            <w:r>
              <w:t>10,000</w:t>
            </w:r>
          </w:p>
        </w:tc>
        <w:tc>
          <w:tcPr>
            <w:tcW w:type="dxa" w:w="2268"/>
            <w:vAlign w:val="center"/>
            <w:tcBorders>
              <w:top w:val="single" w:sz="4" w:color="AAB7C4"/>
              <w:left w:val="single" w:sz="4" w:color="AAB7C4"/>
              <w:bottom w:val="single" w:sz="4" w:color="AAB7C4"/>
              <w:right w:val="single" w:sz="4" w:color="AAB7C4"/>
            </w:tcBorders>
          </w:tcPr>
          <w:p>
            <w:r>
              <w:t>Completed without safety timeout</w:t>
            </w:r>
          </w:p>
        </w:tc>
        <w:tc>
          <w:tcPr>
            <w:tcW w:type="dxa" w:w="2268"/>
            <w:vAlign w:val="center"/>
            <w:tcBorders>
              <w:top w:val="single" w:sz="4" w:color="AAB7C4"/>
              <w:left w:val="single" w:sz="4" w:color="AAB7C4"/>
              <w:bottom w:val="single" w:sz="4" w:color="AAB7C4"/>
              <w:right w:val="single" w:sz="4" w:color="AAB7C4"/>
            </w:tcBorders>
          </w:tcPr>
          <w:p>
            <w:r>
              <w:t>9,920 (99.2%)</w:t>
            </w:r>
          </w:p>
        </w:tc>
      </w:tr>
      <w:tr>
        <w:tc>
          <w:tcPr>
            <w:tcW w:type="dxa" w:w="2268"/>
            <w:vAlign w:val="center"/>
            <w:tcBorders>
              <w:top w:val="single" w:sz="4" w:color="AAB7C4"/>
              <w:left w:val="single" w:sz="4" w:color="AAB7C4"/>
              <w:bottom w:val="single" w:sz="4" w:color="AAB7C4"/>
              <w:right w:val="single" w:sz="4" w:color="AAB7C4"/>
            </w:tcBorders>
          </w:tcPr>
          <w:p>
            <w:r>
              <w:t>Random normal work orders</w:t>
            </w:r>
          </w:p>
        </w:tc>
        <w:tc>
          <w:tcPr>
            <w:tcW w:type="dxa" w:w="2268"/>
            <w:vAlign w:val="center"/>
            <w:tcBorders>
              <w:top w:val="single" w:sz="4" w:color="AAB7C4"/>
              <w:left w:val="single" w:sz="4" w:color="AAB7C4"/>
              <w:bottom w:val="single" w:sz="4" w:color="AAB7C4"/>
              <w:right w:val="single" w:sz="4" w:color="AAB7C4"/>
            </w:tcBorders>
          </w:tcPr>
          <w:p>
            <w:r>
              <w:t>10,000</w:t>
            </w:r>
          </w:p>
        </w:tc>
        <w:tc>
          <w:tcPr>
            <w:tcW w:type="dxa" w:w="2268"/>
            <w:vAlign w:val="center"/>
            <w:tcBorders>
              <w:top w:val="single" w:sz="4" w:color="AAB7C4"/>
              <w:left w:val="single" w:sz="4" w:color="AAB7C4"/>
              <w:bottom w:val="single" w:sz="4" w:color="AAB7C4"/>
              <w:right w:val="single" w:sz="4" w:color="AAB7C4"/>
            </w:tcBorders>
          </w:tcPr>
          <w:p>
            <w:r>
              <w:t>Outlet-fertilizer overlap</w:t>
            </w:r>
          </w:p>
        </w:tc>
        <w:tc>
          <w:tcPr>
            <w:tcW w:type="dxa" w:w="2268"/>
            <w:vAlign w:val="center"/>
            <w:tcBorders>
              <w:top w:val="single" w:sz="4" w:color="AAB7C4"/>
              <w:left w:val="single" w:sz="4" w:color="AAB7C4"/>
              <w:bottom w:val="single" w:sz="4" w:color="AAB7C4"/>
              <w:right w:val="single" w:sz="4" w:color="AAB7C4"/>
            </w:tcBorders>
          </w:tcPr>
          <w:p>
            <w:r>
              <w:t>0 (0.0%)</w:t>
            </w:r>
          </w:p>
        </w:tc>
      </w:tr>
      <w:tr>
        <w:tc>
          <w:tcPr>
            <w:tcW w:type="dxa" w:w="2268"/>
            <w:vAlign w:val="center"/>
            <w:tcBorders>
              <w:top w:val="single" w:sz="4" w:color="AAB7C4"/>
              <w:left w:val="single" w:sz="4" w:color="AAB7C4"/>
              <w:bottom w:val="single" w:sz="4" w:color="AAB7C4"/>
              <w:right w:val="single" w:sz="4" w:color="AAB7C4"/>
            </w:tcBorders>
          </w:tcPr>
          <w:p>
            <w:r>
              <w:t>Random normal work orders</w:t>
            </w:r>
          </w:p>
        </w:tc>
        <w:tc>
          <w:tcPr>
            <w:tcW w:type="dxa" w:w="2268"/>
            <w:vAlign w:val="center"/>
            <w:tcBorders>
              <w:top w:val="single" w:sz="4" w:color="AAB7C4"/>
              <w:left w:val="single" w:sz="4" w:color="AAB7C4"/>
              <w:bottom w:val="single" w:sz="4" w:color="AAB7C4"/>
              <w:right w:val="single" w:sz="4" w:color="AAB7C4"/>
            </w:tcBorders>
          </w:tcPr>
          <w:p>
            <w:r>
              <w:t>10,000</w:t>
            </w:r>
          </w:p>
        </w:tc>
        <w:tc>
          <w:tcPr>
            <w:tcW w:type="dxa" w:w="2268"/>
            <w:vAlign w:val="center"/>
            <w:tcBorders>
              <w:top w:val="single" w:sz="4" w:color="AAB7C4"/>
              <w:left w:val="single" w:sz="4" w:color="AAB7C4"/>
              <w:bottom w:val="single" w:sz="4" w:color="AAB7C4"/>
              <w:right w:val="single" w:sz="4" w:color="AAB7C4"/>
            </w:tcBorders>
          </w:tcPr>
          <w:p>
            <w:r>
              <w:t>Premature nutrient stop</w:t>
            </w:r>
          </w:p>
        </w:tc>
        <w:tc>
          <w:tcPr>
            <w:tcW w:type="dxa" w:w="2268"/>
            <w:vAlign w:val="center"/>
            <w:tcBorders>
              <w:top w:val="single" w:sz="4" w:color="AAB7C4"/>
              <w:left w:val="single" w:sz="4" w:color="AAB7C4"/>
              <w:bottom w:val="single" w:sz="4" w:color="AAB7C4"/>
              <w:right w:val="single" w:sz="4" w:color="AAB7C4"/>
            </w:tcBorders>
          </w:tcPr>
          <w:p>
            <w:r>
              <w:t>0 (0.0%)</w:t>
            </w:r>
          </w:p>
        </w:tc>
      </w:tr>
      <w:tr>
        <w:tc>
          <w:tcPr>
            <w:tcW w:type="dxa" w:w="2268"/>
            <w:vAlign w:val="center"/>
            <w:tcBorders>
              <w:top w:val="single" w:sz="4" w:color="AAB7C4"/>
              <w:left w:val="single" w:sz="4" w:color="AAB7C4"/>
              <w:bottom w:val="single" w:sz="4" w:color="AAB7C4"/>
              <w:right w:val="single" w:sz="4" w:color="AAB7C4"/>
            </w:tcBorders>
          </w:tcPr>
          <w:p>
            <w:r>
              <w:t>Random normal work orders</w:t>
            </w:r>
          </w:p>
        </w:tc>
        <w:tc>
          <w:tcPr>
            <w:tcW w:type="dxa" w:w="2268"/>
            <w:vAlign w:val="center"/>
            <w:tcBorders>
              <w:top w:val="single" w:sz="4" w:color="AAB7C4"/>
              <w:left w:val="single" w:sz="4" w:color="AAB7C4"/>
              <w:bottom w:val="single" w:sz="4" w:color="AAB7C4"/>
              <w:right w:val="single" w:sz="4" w:color="AAB7C4"/>
            </w:tcBorders>
          </w:tcPr>
          <w:p>
            <w:r>
              <w:t>10,000</w:t>
            </w:r>
          </w:p>
        </w:tc>
        <w:tc>
          <w:tcPr>
            <w:tcW w:type="dxa" w:w="2268"/>
            <w:vAlign w:val="center"/>
            <w:tcBorders>
              <w:top w:val="single" w:sz="4" w:color="AAB7C4"/>
              <w:left w:val="single" w:sz="4" w:color="AAB7C4"/>
              <w:bottom w:val="single" w:sz="4" w:color="AAB7C4"/>
              <w:right w:val="single" w:sz="4" w:color="AAB7C4"/>
            </w:tcBorders>
          </w:tcPr>
          <w:p>
            <w:r>
              <w:t>All outputs OFF at terminal state</w:t>
            </w:r>
          </w:p>
        </w:tc>
        <w:tc>
          <w:tcPr>
            <w:tcW w:type="dxa" w:w="2268"/>
            <w:vAlign w:val="center"/>
            <w:tcBorders>
              <w:top w:val="single" w:sz="4" w:color="AAB7C4"/>
              <w:left w:val="single" w:sz="4" w:color="AAB7C4"/>
              <w:bottom w:val="single" w:sz="4" w:color="AAB7C4"/>
              <w:right w:val="single" w:sz="4" w:color="AAB7C4"/>
            </w:tcBorders>
          </w:tcPr>
          <w:p>
            <w:r>
              <w:t>10,000 (100%)</w:t>
            </w:r>
          </w:p>
        </w:tc>
      </w:tr>
      <w:tr>
        <w:tc>
          <w:tcPr>
            <w:tcW w:type="dxa" w:w="2268"/>
            <w:vAlign w:val="center"/>
            <w:tcBorders>
              <w:top w:val="single" w:sz="4" w:color="AAB7C4"/>
              <w:left w:val="single" w:sz="4" w:color="AAB7C4"/>
              <w:bottom w:val="single" w:sz="4" w:color="AAB7C4"/>
              <w:right w:val="single" w:sz="4" w:color="AAB7C4"/>
            </w:tcBorders>
          </w:tcPr>
          <w:p>
            <w:r>
              <w:t>Single-channel no-flow fault</w:t>
            </w:r>
          </w:p>
        </w:tc>
        <w:tc>
          <w:tcPr>
            <w:tcW w:type="dxa" w:w="2268"/>
            <w:vAlign w:val="center"/>
            <w:tcBorders>
              <w:top w:val="single" w:sz="4" w:color="AAB7C4"/>
              <w:left w:val="single" w:sz="4" w:color="AAB7C4"/>
              <w:bottom w:val="single" w:sz="4" w:color="AAB7C4"/>
              <w:right w:val="single" w:sz="4" w:color="AAB7C4"/>
            </w:tcBorders>
          </w:tcPr>
          <w:p>
            <w:r>
              <w:t>2,000</w:t>
            </w:r>
          </w:p>
        </w:tc>
        <w:tc>
          <w:tcPr>
            <w:tcW w:type="dxa" w:w="2268"/>
            <w:vAlign w:val="center"/>
            <w:tcBorders>
              <w:top w:val="single" w:sz="4" w:color="AAB7C4"/>
              <w:left w:val="single" w:sz="4" w:color="AAB7C4"/>
              <w:bottom w:val="single" w:sz="4" w:color="AAB7C4"/>
              <w:right w:val="single" w:sz="4" w:color="AAB7C4"/>
            </w:tcBorders>
          </w:tcPr>
          <w:p>
            <w:r>
              <w:t>Fault detected and all outputs OFF</w:t>
            </w:r>
          </w:p>
        </w:tc>
        <w:tc>
          <w:tcPr>
            <w:tcW w:type="dxa" w:w="2268"/>
            <w:vAlign w:val="center"/>
            <w:tcBorders>
              <w:top w:val="single" w:sz="4" w:color="AAB7C4"/>
              <w:left w:val="single" w:sz="4" w:color="AAB7C4"/>
              <w:bottom w:val="single" w:sz="4" w:color="AAB7C4"/>
              <w:right w:val="single" w:sz="4" w:color="AAB7C4"/>
            </w:tcBorders>
          </w:tcPr>
          <w:p>
            <w:r>
              <w:t>2,000 (100%)</w:t>
            </w:r>
          </w:p>
        </w:tc>
      </w:tr>
      <w:tr>
        <w:tc>
          <w:tcPr>
            <w:tcW w:type="dxa" w:w="2268"/>
            <w:vAlign w:val="center"/>
            <w:tcBorders>
              <w:top w:val="single" w:sz="4" w:color="AAB7C4"/>
              <w:left w:val="single" w:sz="4" w:color="AAB7C4"/>
              <w:bottom w:val="single" w:sz="4" w:color="AAB7C4"/>
              <w:right w:val="single" w:sz="4" w:color="AAB7C4"/>
            </w:tcBorders>
          </w:tcPr>
          <w:p>
            <w:r>
              <w:t>Emergency stop during dosing</w:t>
            </w:r>
          </w:p>
        </w:tc>
        <w:tc>
          <w:tcPr>
            <w:tcW w:type="dxa" w:w="2268"/>
            <w:vAlign w:val="center"/>
            <w:tcBorders>
              <w:top w:val="single" w:sz="4" w:color="AAB7C4"/>
              <w:left w:val="single" w:sz="4" w:color="AAB7C4"/>
              <w:bottom w:val="single" w:sz="4" w:color="AAB7C4"/>
              <w:right w:val="single" w:sz="4" w:color="AAB7C4"/>
            </w:tcBorders>
          </w:tcPr>
          <w:p>
            <w:r>
              <w:t>2,000</w:t>
            </w:r>
          </w:p>
        </w:tc>
        <w:tc>
          <w:tcPr>
            <w:tcW w:type="dxa" w:w="2268"/>
            <w:vAlign w:val="center"/>
            <w:tcBorders>
              <w:top w:val="single" w:sz="4" w:color="AAB7C4"/>
              <w:left w:val="single" w:sz="4" w:color="AAB7C4"/>
              <w:bottom w:val="single" w:sz="4" w:color="AAB7C4"/>
              <w:right w:val="single" w:sz="4" w:color="AAB7C4"/>
            </w:tcBorders>
          </w:tcPr>
          <w:p>
            <w:r>
              <w:t>Fault detected and all outputs OFF</w:t>
            </w:r>
          </w:p>
        </w:tc>
        <w:tc>
          <w:tcPr>
            <w:tcW w:type="dxa" w:w="2268"/>
            <w:vAlign w:val="center"/>
            <w:tcBorders>
              <w:top w:val="single" w:sz="4" w:color="AAB7C4"/>
              <w:left w:val="single" w:sz="4" w:color="AAB7C4"/>
              <w:bottom w:val="single" w:sz="4" w:color="AAB7C4"/>
              <w:right w:val="single" w:sz="4" w:color="AAB7C4"/>
            </w:tcBorders>
          </w:tcPr>
          <w:p>
            <w:r>
              <w:t>2,000 (100%)</w:t>
            </w:r>
          </w:p>
        </w:tc>
      </w:tr>
    </w:tbl>
    <w:p/>
    <w:p>
      <w:pPr>
        <w:pStyle w:val="CaptionText"/>
      </w:pPr>
      <w:r>
        <w:t>Table 12. Feature ablation and transparent soil-moisture reference on the independent test set (n = 7,200).</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D9EAF7"/>
            <w:vAlign w:val="center"/>
            <w:tcBorders>
              <w:top w:val="single" w:sz="6" w:color="557A95"/>
              <w:left w:val="single" w:sz="6" w:color="557A95"/>
              <w:bottom w:val="single" w:sz="6" w:color="557A95"/>
              <w:right w:val="single" w:sz="6" w:color="557A95"/>
            </w:tcBorders>
          </w:tcPr>
          <w:p>
            <w:r>
              <w:rPr>
                <w:b/>
              </w:rPr>
              <w:t>Method</w:t>
            </w:r>
          </w:p>
        </w:tc>
        <w:tc>
          <w:tcPr>
            <w:tcW w:type="dxa" w:w="1134"/>
            <w:shd w:fill="D9EAF7"/>
            <w:vAlign w:val="center"/>
            <w:tcBorders>
              <w:top w:val="single" w:sz="6" w:color="557A95"/>
              <w:left w:val="single" w:sz="6" w:color="557A95"/>
              <w:bottom w:val="single" w:sz="6" w:color="557A95"/>
              <w:right w:val="single" w:sz="6" w:color="557A95"/>
            </w:tcBorders>
          </w:tcPr>
          <w:p>
            <w:r>
              <w:rPr>
                <w:b/>
              </w:rPr>
              <w:t>Removed or rule</w:t>
            </w:r>
          </w:p>
        </w:tc>
        <w:tc>
          <w:tcPr>
            <w:tcW w:type="dxa" w:w="1134"/>
            <w:shd w:fill="D9EAF7"/>
            <w:vAlign w:val="center"/>
            <w:tcBorders>
              <w:top w:val="single" w:sz="6" w:color="557A95"/>
              <w:left w:val="single" w:sz="6" w:color="557A95"/>
              <w:bottom w:val="single" w:sz="6" w:color="557A95"/>
              <w:right w:val="single" w:sz="6" w:color="557A95"/>
            </w:tcBorders>
          </w:tcPr>
          <w:p>
            <w:r>
              <w:rPr>
                <w:b/>
              </w:rPr>
              <w:t>Water MAE</w:t>
            </w:r>
          </w:p>
        </w:tc>
        <w:tc>
          <w:tcPr>
            <w:tcW w:type="dxa" w:w="1134"/>
            <w:shd w:fill="D9EAF7"/>
            <w:vAlign w:val="center"/>
            <w:tcBorders>
              <w:top w:val="single" w:sz="6" w:color="557A95"/>
              <w:left w:val="single" w:sz="6" w:color="557A95"/>
              <w:bottom w:val="single" w:sz="6" w:color="557A95"/>
              <w:right w:val="single" w:sz="6" w:color="557A95"/>
            </w:tcBorders>
          </w:tcPr>
          <w:p>
            <w:r>
              <w:rPr>
                <w:b/>
              </w:rPr>
              <w:t>Water R2</w:t>
            </w:r>
          </w:p>
        </w:tc>
        <w:tc>
          <w:tcPr>
            <w:tcW w:type="dxa" w:w="1134"/>
            <w:shd w:fill="D9EAF7"/>
            <w:vAlign w:val="center"/>
            <w:tcBorders>
              <w:top w:val="single" w:sz="6" w:color="557A95"/>
              <w:left w:val="single" w:sz="6" w:color="557A95"/>
              <w:bottom w:val="single" w:sz="6" w:color="557A95"/>
              <w:right w:val="single" w:sz="6" w:color="557A95"/>
            </w:tcBorders>
          </w:tcPr>
          <w:p>
            <w:r>
              <w:rPr>
                <w:b/>
              </w:rPr>
              <w:t>N R2</w:t>
            </w:r>
          </w:p>
        </w:tc>
        <w:tc>
          <w:tcPr>
            <w:tcW w:type="dxa" w:w="1134"/>
            <w:shd w:fill="D9EAF7"/>
            <w:vAlign w:val="center"/>
            <w:tcBorders>
              <w:top w:val="single" w:sz="6" w:color="557A95"/>
              <w:left w:val="single" w:sz="6" w:color="557A95"/>
              <w:bottom w:val="single" w:sz="6" w:color="557A95"/>
              <w:right w:val="single" w:sz="6" w:color="557A95"/>
            </w:tcBorders>
          </w:tcPr>
          <w:p>
            <w:r>
              <w:rPr>
                <w:b/>
              </w:rPr>
              <w:t>P2O5 R2</w:t>
            </w:r>
          </w:p>
        </w:tc>
        <w:tc>
          <w:tcPr>
            <w:tcW w:type="dxa" w:w="1134"/>
            <w:shd w:fill="D9EAF7"/>
            <w:vAlign w:val="center"/>
            <w:tcBorders>
              <w:top w:val="single" w:sz="6" w:color="557A95"/>
              <w:left w:val="single" w:sz="6" w:color="557A95"/>
              <w:bottom w:val="single" w:sz="6" w:color="557A95"/>
              <w:right w:val="single" w:sz="6" w:color="557A95"/>
            </w:tcBorders>
          </w:tcPr>
          <w:p>
            <w:r>
              <w:rPr>
                <w:b/>
              </w:rPr>
              <w:t>K2O R2</w:t>
            </w:r>
          </w:p>
        </w:tc>
        <w:tc>
          <w:tcPr>
            <w:tcW w:type="dxa" w:w="1134"/>
            <w:shd w:fill="D9EAF7"/>
            <w:vAlign w:val="center"/>
            <w:tcBorders>
              <w:top w:val="single" w:sz="6" w:color="557A95"/>
              <w:left w:val="single" w:sz="6" w:color="557A95"/>
              <w:bottom w:val="single" w:sz="6" w:color="557A95"/>
              <w:right w:val="single" w:sz="6" w:color="557A95"/>
            </w:tcBorders>
          </w:tcPr>
          <w:p>
            <w:r>
              <w:rPr>
                <w:b/>
              </w:rPr>
              <w:t>Decision accuracy</w:t>
            </w:r>
          </w:p>
        </w:tc>
      </w:tr>
      <w:tr>
        <w:tc>
          <w:tcPr>
            <w:tcW w:type="dxa" w:w="1134"/>
            <w:vAlign w:val="center"/>
            <w:tcBorders>
              <w:top w:val="single" w:sz="4" w:color="AAB7C4"/>
              <w:left w:val="single" w:sz="4" w:color="AAB7C4"/>
              <w:bottom w:val="single" w:sz="4" w:color="AAB7C4"/>
              <w:right w:val="single" w:sz="4" w:color="AAB7C4"/>
            </w:tcBorders>
          </w:tcPr>
          <w:p>
            <w:r>
              <w:t>Full ExtraTrees policy</w:t>
            </w:r>
          </w:p>
        </w:tc>
        <w:tc>
          <w:tcPr>
            <w:tcW w:type="dxa" w:w="1134"/>
            <w:vAlign w:val="center"/>
            <w:tcBorders>
              <w:top w:val="single" w:sz="4" w:color="AAB7C4"/>
              <w:left w:val="single" w:sz="4" w:color="AAB7C4"/>
              <w:bottom w:val="single" w:sz="4" w:color="AAB7C4"/>
              <w:right w:val="single" w:sz="4" w:color="AAB7C4"/>
            </w:tcBorders>
          </w:tcPr>
          <w:p>
            <w:r>
              <w:t>None</w:t>
            </w:r>
          </w:p>
        </w:tc>
        <w:tc>
          <w:tcPr>
            <w:tcW w:type="dxa" w:w="1134"/>
            <w:vAlign w:val="center"/>
            <w:tcBorders>
              <w:top w:val="single" w:sz="4" w:color="AAB7C4"/>
              <w:left w:val="single" w:sz="4" w:color="AAB7C4"/>
              <w:bottom w:val="single" w:sz="4" w:color="AAB7C4"/>
              <w:right w:val="single" w:sz="4" w:color="AAB7C4"/>
            </w:tcBorders>
          </w:tcPr>
          <w:p>
            <w:r>
              <w:t>0.4599</w:t>
            </w:r>
          </w:p>
        </w:tc>
        <w:tc>
          <w:tcPr>
            <w:tcW w:type="dxa" w:w="1134"/>
            <w:vAlign w:val="center"/>
            <w:tcBorders>
              <w:top w:val="single" w:sz="4" w:color="AAB7C4"/>
              <w:left w:val="single" w:sz="4" w:color="AAB7C4"/>
              <w:bottom w:val="single" w:sz="4" w:color="AAB7C4"/>
              <w:right w:val="single" w:sz="4" w:color="AAB7C4"/>
            </w:tcBorders>
          </w:tcPr>
          <w:p>
            <w:r>
              <w:t>0.9805</w:t>
            </w:r>
          </w:p>
        </w:tc>
        <w:tc>
          <w:tcPr>
            <w:tcW w:type="dxa" w:w="1134"/>
            <w:vAlign w:val="center"/>
            <w:tcBorders>
              <w:top w:val="single" w:sz="4" w:color="AAB7C4"/>
              <w:left w:val="single" w:sz="4" w:color="AAB7C4"/>
              <w:bottom w:val="single" w:sz="4" w:color="AAB7C4"/>
              <w:right w:val="single" w:sz="4" w:color="AAB7C4"/>
            </w:tcBorders>
          </w:tcPr>
          <w:p>
            <w:r>
              <w:t>0.9230</w:t>
            </w:r>
          </w:p>
        </w:tc>
        <w:tc>
          <w:tcPr>
            <w:tcW w:type="dxa" w:w="1134"/>
            <w:vAlign w:val="center"/>
            <w:tcBorders>
              <w:top w:val="single" w:sz="4" w:color="AAB7C4"/>
              <w:left w:val="single" w:sz="4" w:color="AAB7C4"/>
              <w:bottom w:val="single" w:sz="4" w:color="AAB7C4"/>
              <w:right w:val="single" w:sz="4" w:color="AAB7C4"/>
            </w:tcBorders>
          </w:tcPr>
          <w:p>
            <w:r>
              <w:t>0.9254</w:t>
            </w:r>
          </w:p>
        </w:tc>
        <w:tc>
          <w:tcPr>
            <w:tcW w:type="dxa" w:w="1134"/>
            <w:vAlign w:val="center"/>
            <w:tcBorders>
              <w:top w:val="single" w:sz="4" w:color="AAB7C4"/>
              <w:left w:val="single" w:sz="4" w:color="AAB7C4"/>
              <w:bottom w:val="single" w:sz="4" w:color="AAB7C4"/>
              <w:right w:val="single" w:sz="4" w:color="AAB7C4"/>
            </w:tcBorders>
          </w:tcPr>
          <w:p>
            <w:r>
              <w:t>0.9576</w:t>
            </w:r>
          </w:p>
        </w:tc>
        <w:tc>
          <w:tcPr>
            <w:tcW w:type="dxa" w:w="1134"/>
            <w:vAlign w:val="center"/>
            <w:tcBorders>
              <w:top w:val="single" w:sz="4" w:color="AAB7C4"/>
              <w:left w:val="single" w:sz="4" w:color="AAB7C4"/>
              <w:bottom w:val="single" w:sz="4" w:color="AAB7C4"/>
              <w:right w:val="single" w:sz="4" w:color="AAB7C4"/>
            </w:tcBorders>
          </w:tcPr>
          <w:p>
            <w:r>
              <w:t>0.9317</w:t>
            </w:r>
          </w:p>
        </w:tc>
      </w:tr>
      <w:tr>
        <w:tc>
          <w:tcPr>
            <w:tcW w:type="dxa" w:w="1134"/>
            <w:vAlign w:val="center"/>
            <w:tcBorders>
              <w:top w:val="single" w:sz="4" w:color="AAB7C4"/>
              <w:left w:val="single" w:sz="4" w:color="AAB7C4"/>
              <w:bottom w:val="single" w:sz="4" w:color="AAB7C4"/>
              <w:right w:val="single" w:sz="4" w:color="AAB7C4"/>
            </w:tcBorders>
          </w:tcPr>
          <w:p>
            <w:r>
              <w:t>No weather features</w:t>
            </w:r>
          </w:p>
        </w:tc>
        <w:tc>
          <w:tcPr>
            <w:tcW w:type="dxa" w:w="1134"/>
            <w:vAlign w:val="center"/>
            <w:tcBorders>
              <w:top w:val="single" w:sz="4" w:color="AAB7C4"/>
              <w:left w:val="single" w:sz="4" w:color="AAB7C4"/>
              <w:bottom w:val="single" w:sz="4" w:color="AAB7C4"/>
              <w:right w:val="single" w:sz="4" w:color="AAB7C4"/>
            </w:tcBorders>
          </w:tcPr>
          <w:p>
            <w:r>
              <w:t>15 weather variables</w:t>
            </w:r>
          </w:p>
        </w:tc>
        <w:tc>
          <w:tcPr>
            <w:tcW w:type="dxa" w:w="1134"/>
            <w:vAlign w:val="center"/>
            <w:tcBorders>
              <w:top w:val="single" w:sz="4" w:color="AAB7C4"/>
              <w:left w:val="single" w:sz="4" w:color="AAB7C4"/>
              <w:bottom w:val="single" w:sz="4" w:color="AAB7C4"/>
              <w:right w:val="single" w:sz="4" w:color="AAB7C4"/>
            </w:tcBorders>
          </w:tcPr>
          <w:p>
            <w:r>
              <w:t>4.8725</w:t>
            </w:r>
          </w:p>
        </w:tc>
        <w:tc>
          <w:tcPr>
            <w:tcW w:type="dxa" w:w="1134"/>
            <w:vAlign w:val="center"/>
            <w:tcBorders>
              <w:top w:val="single" w:sz="4" w:color="AAB7C4"/>
              <w:left w:val="single" w:sz="4" w:color="AAB7C4"/>
              <w:bottom w:val="single" w:sz="4" w:color="AAB7C4"/>
              <w:right w:val="single" w:sz="4" w:color="AAB7C4"/>
            </w:tcBorders>
          </w:tcPr>
          <w:p>
            <w:r>
              <w:t>0.4138</w:t>
            </w:r>
          </w:p>
        </w:tc>
        <w:tc>
          <w:tcPr>
            <w:tcW w:type="dxa" w:w="1134"/>
            <w:vAlign w:val="center"/>
            <w:tcBorders>
              <w:top w:val="single" w:sz="4" w:color="AAB7C4"/>
              <w:left w:val="single" w:sz="4" w:color="AAB7C4"/>
              <w:bottom w:val="single" w:sz="4" w:color="AAB7C4"/>
              <w:right w:val="single" w:sz="4" w:color="AAB7C4"/>
            </w:tcBorders>
          </w:tcPr>
          <w:p>
            <w:r>
              <w:t>0.6070</w:t>
            </w:r>
          </w:p>
        </w:tc>
        <w:tc>
          <w:tcPr>
            <w:tcW w:type="dxa" w:w="1134"/>
            <w:vAlign w:val="center"/>
            <w:tcBorders>
              <w:top w:val="single" w:sz="4" w:color="AAB7C4"/>
              <w:left w:val="single" w:sz="4" w:color="AAB7C4"/>
              <w:bottom w:val="single" w:sz="4" w:color="AAB7C4"/>
              <w:right w:val="single" w:sz="4" w:color="AAB7C4"/>
            </w:tcBorders>
          </w:tcPr>
          <w:p>
            <w:r>
              <w:t>0.6457</w:t>
            </w:r>
          </w:p>
        </w:tc>
        <w:tc>
          <w:tcPr>
            <w:tcW w:type="dxa" w:w="1134"/>
            <w:vAlign w:val="center"/>
            <w:tcBorders>
              <w:top w:val="single" w:sz="4" w:color="AAB7C4"/>
              <w:left w:val="single" w:sz="4" w:color="AAB7C4"/>
              <w:bottom w:val="single" w:sz="4" w:color="AAB7C4"/>
              <w:right w:val="single" w:sz="4" w:color="AAB7C4"/>
            </w:tcBorders>
          </w:tcPr>
          <w:p>
            <w:r>
              <w:t>0.5731</w:t>
            </w:r>
          </w:p>
        </w:tc>
        <w:tc>
          <w:tcPr>
            <w:tcW w:type="dxa" w:w="1134"/>
            <w:vAlign w:val="center"/>
            <w:tcBorders>
              <w:top w:val="single" w:sz="4" w:color="AAB7C4"/>
              <w:left w:val="single" w:sz="4" w:color="AAB7C4"/>
              <w:bottom w:val="single" w:sz="4" w:color="AAB7C4"/>
              <w:right w:val="single" w:sz="4" w:color="AAB7C4"/>
            </w:tcBorders>
          </w:tcPr>
          <w:p>
            <w:r>
              <w:t>0.8003</w:t>
            </w:r>
          </w:p>
        </w:tc>
      </w:tr>
      <w:tr>
        <w:tc>
          <w:tcPr>
            <w:tcW w:type="dxa" w:w="1134"/>
            <w:vAlign w:val="center"/>
            <w:tcBorders>
              <w:top w:val="single" w:sz="4" w:color="AAB7C4"/>
              <w:left w:val="single" w:sz="4" w:color="AAB7C4"/>
              <w:bottom w:val="single" w:sz="4" w:color="AAB7C4"/>
              <w:right w:val="single" w:sz="4" w:color="AAB7C4"/>
            </w:tcBorders>
          </w:tcPr>
          <w:p>
            <w:r>
              <w:t>No soil features</w:t>
            </w:r>
          </w:p>
        </w:tc>
        <w:tc>
          <w:tcPr>
            <w:tcW w:type="dxa" w:w="1134"/>
            <w:vAlign w:val="center"/>
            <w:tcBorders>
              <w:top w:val="single" w:sz="4" w:color="AAB7C4"/>
              <w:left w:val="single" w:sz="4" w:color="AAB7C4"/>
              <w:bottom w:val="single" w:sz="4" w:color="AAB7C4"/>
              <w:right w:val="single" w:sz="4" w:color="AAB7C4"/>
            </w:tcBorders>
          </w:tcPr>
          <w:p>
            <w:r>
              <w:t>9 soil variables</w:t>
            </w:r>
          </w:p>
        </w:tc>
        <w:tc>
          <w:tcPr>
            <w:tcW w:type="dxa" w:w="1134"/>
            <w:vAlign w:val="center"/>
            <w:tcBorders>
              <w:top w:val="single" w:sz="4" w:color="AAB7C4"/>
              <w:left w:val="single" w:sz="4" w:color="AAB7C4"/>
              <w:bottom w:val="single" w:sz="4" w:color="AAB7C4"/>
              <w:right w:val="single" w:sz="4" w:color="AAB7C4"/>
            </w:tcBorders>
          </w:tcPr>
          <w:p>
            <w:r>
              <w:t>2.9602</w:t>
            </w:r>
          </w:p>
        </w:tc>
        <w:tc>
          <w:tcPr>
            <w:tcW w:type="dxa" w:w="1134"/>
            <w:vAlign w:val="center"/>
            <w:tcBorders>
              <w:top w:val="single" w:sz="4" w:color="AAB7C4"/>
              <w:left w:val="single" w:sz="4" w:color="AAB7C4"/>
              <w:bottom w:val="single" w:sz="4" w:color="AAB7C4"/>
              <w:right w:val="single" w:sz="4" w:color="AAB7C4"/>
            </w:tcBorders>
          </w:tcPr>
          <w:p>
            <w:r>
              <w:t>0.8352</w:t>
            </w:r>
          </w:p>
        </w:tc>
        <w:tc>
          <w:tcPr>
            <w:tcW w:type="dxa" w:w="1134"/>
            <w:vAlign w:val="center"/>
            <w:tcBorders>
              <w:top w:val="single" w:sz="4" w:color="AAB7C4"/>
              <w:left w:val="single" w:sz="4" w:color="AAB7C4"/>
              <w:bottom w:val="single" w:sz="4" w:color="AAB7C4"/>
              <w:right w:val="single" w:sz="4" w:color="AAB7C4"/>
            </w:tcBorders>
          </w:tcPr>
          <w:p>
            <w:r>
              <w:t>0.8517</w:t>
            </w:r>
          </w:p>
        </w:tc>
        <w:tc>
          <w:tcPr>
            <w:tcW w:type="dxa" w:w="1134"/>
            <w:vAlign w:val="center"/>
            <w:tcBorders>
              <w:top w:val="single" w:sz="4" w:color="AAB7C4"/>
              <w:left w:val="single" w:sz="4" w:color="AAB7C4"/>
              <w:bottom w:val="single" w:sz="4" w:color="AAB7C4"/>
              <w:right w:val="single" w:sz="4" w:color="AAB7C4"/>
            </w:tcBorders>
          </w:tcPr>
          <w:p>
            <w:r>
              <w:t>0.8704</w:t>
            </w:r>
          </w:p>
        </w:tc>
        <w:tc>
          <w:tcPr>
            <w:tcW w:type="dxa" w:w="1134"/>
            <w:vAlign w:val="center"/>
            <w:tcBorders>
              <w:top w:val="single" w:sz="4" w:color="AAB7C4"/>
              <w:left w:val="single" w:sz="4" w:color="AAB7C4"/>
              <w:bottom w:val="single" w:sz="4" w:color="AAB7C4"/>
              <w:right w:val="single" w:sz="4" w:color="AAB7C4"/>
            </w:tcBorders>
          </w:tcPr>
          <w:p>
            <w:r>
              <w:t>0.9001</w:t>
            </w:r>
          </w:p>
        </w:tc>
        <w:tc>
          <w:tcPr>
            <w:tcW w:type="dxa" w:w="1134"/>
            <w:vAlign w:val="center"/>
            <w:tcBorders>
              <w:top w:val="single" w:sz="4" w:color="AAB7C4"/>
              <w:left w:val="single" w:sz="4" w:color="AAB7C4"/>
              <w:bottom w:val="single" w:sz="4" w:color="AAB7C4"/>
              <w:right w:val="single" w:sz="4" w:color="AAB7C4"/>
            </w:tcBorders>
          </w:tcPr>
          <w:p>
            <w:r>
              <w:t>0.5932</w:t>
            </w:r>
          </w:p>
        </w:tc>
      </w:tr>
      <w:tr>
        <w:tc>
          <w:tcPr>
            <w:tcW w:type="dxa" w:w="1134"/>
            <w:vAlign w:val="center"/>
            <w:tcBorders>
              <w:top w:val="single" w:sz="4" w:color="AAB7C4"/>
              <w:left w:val="single" w:sz="4" w:color="AAB7C4"/>
              <w:bottom w:val="single" w:sz="4" w:color="AAB7C4"/>
              <w:right w:val="single" w:sz="4" w:color="AAB7C4"/>
            </w:tcBorders>
          </w:tcPr>
          <w:p>
            <w:r>
              <w:t>No crop-stage features</w:t>
            </w:r>
          </w:p>
        </w:tc>
        <w:tc>
          <w:tcPr>
            <w:tcW w:type="dxa" w:w="1134"/>
            <w:vAlign w:val="center"/>
            <w:tcBorders>
              <w:top w:val="single" w:sz="4" w:color="AAB7C4"/>
              <w:left w:val="single" w:sz="4" w:color="AAB7C4"/>
              <w:bottom w:val="single" w:sz="4" w:color="AAB7C4"/>
              <w:right w:val="single" w:sz="4" w:color="AAB7C4"/>
            </w:tcBorders>
          </w:tcPr>
          <w:p>
            <w:r>
              <w:t>11 crop/stage/budget variables</w:t>
            </w:r>
          </w:p>
        </w:tc>
        <w:tc>
          <w:tcPr>
            <w:tcW w:type="dxa" w:w="1134"/>
            <w:vAlign w:val="center"/>
            <w:tcBorders>
              <w:top w:val="single" w:sz="4" w:color="AAB7C4"/>
              <w:left w:val="single" w:sz="4" w:color="AAB7C4"/>
              <w:bottom w:val="single" w:sz="4" w:color="AAB7C4"/>
              <w:right w:val="single" w:sz="4" w:color="AAB7C4"/>
            </w:tcBorders>
          </w:tcPr>
          <w:p>
            <w:r>
              <w:t>0.4620</w:t>
            </w:r>
          </w:p>
        </w:tc>
        <w:tc>
          <w:tcPr>
            <w:tcW w:type="dxa" w:w="1134"/>
            <w:vAlign w:val="center"/>
            <w:tcBorders>
              <w:top w:val="single" w:sz="4" w:color="AAB7C4"/>
              <w:left w:val="single" w:sz="4" w:color="AAB7C4"/>
              <w:bottom w:val="single" w:sz="4" w:color="AAB7C4"/>
              <w:right w:val="single" w:sz="4" w:color="AAB7C4"/>
            </w:tcBorders>
          </w:tcPr>
          <w:p>
            <w:r>
              <w:t>0.9807</w:t>
            </w:r>
          </w:p>
        </w:tc>
        <w:tc>
          <w:tcPr>
            <w:tcW w:type="dxa" w:w="1134"/>
            <w:vAlign w:val="center"/>
            <w:tcBorders>
              <w:top w:val="single" w:sz="4" w:color="AAB7C4"/>
              <w:left w:val="single" w:sz="4" w:color="AAB7C4"/>
              <w:bottom w:val="single" w:sz="4" w:color="AAB7C4"/>
              <w:right w:val="single" w:sz="4" w:color="AAB7C4"/>
            </w:tcBorders>
          </w:tcPr>
          <w:p>
            <w:r>
              <w:t>0.8806</w:t>
            </w:r>
          </w:p>
        </w:tc>
        <w:tc>
          <w:tcPr>
            <w:tcW w:type="dxa" w:w="1134"/>
            <w:vAlign w:val="center"/>
            <w:tcBorders>
              <w:top w:val="single" w:sz="4" w:color="AAB7C4"/>
              <w:left w:val="single" w:sz="4" w:color="AAB7C4"/>
              <w:bottom w:val="single" w:sz="4" w:color="AAB7C4"/>
              <w:right w:val="single" w:sz="4" w:color="AAB7C4"/>
            </w:tcBorders>
          </w:tcPr>
          <w:p>
            <w:r>
              <w:t>0.8914</w:t>
            </w:r>
          </w:p>
        </w:tc>
        <w:tc>
          <w:tcPr>
            <w:tcW w:type="dxa" w:w="1134"/>
            <w:vAlign w:val="center"/>
            <w:tcBorders>
              <w:top w:val="single" w:sz="4" w:color="AAB7C4"/>
              <w:left w:val="single" w:sz="4" w:color="AAB7C4"/>
              <w:bottom w:val="single" w:sz="4" w:color="AAB7C4"/>
              <w:right w:val="single" w:sz="4" w:color="AAB7C4"/>
            </w:tcBorders>
          </w:tcPr>
          <w:p>
            <w:r>
              <w:t>0.8850</w:t>
            </w:r>
          </w:p>
        </w:tc>
        <w:tc>
          <w:tcPr>
            <w:tcW w:type="dxa" w:w="1134"/>
            <w:vAlign w:val="center"/>
            <w:tcBorders>
              <w:top w:val="single" w:sz="4" w:color="AAB7C4"/>
              <w:left w:val="single" w:sz="4" w:color="AAB7C4"/>
              <w:bottom w:val="single" w:sz="4" w:color="AAB7C4"/>
              <w:right w:val="single" w:sz="4" w:color="AAB7C4"/>
            </w:tcBorders>
          </w:tcPr>
          <w:p>
            <w:r>
              <w:t>0.9250</w:t>
            </w:r>
          </w:p>
        </w:tc>
      </w:tr>
      <w:tr>
        <w:tc>
          <w:tcPr>
            <w:tcW w:type="dxa" w:w="1134"/>
            <w:vAlign w:val="center"/>
            <w:tcBorders>
              <w:top w:val="single" w:sz="4" w:color="AAB7C4"/>
              <w:left w:val="single" w:sz="4" w:color="AAB7C4"/>
              <w:bottom w:val="single" w:sz="4" w:color="AAB7C4"/>
              <w:right w:val="single" w:sz="4" w:color="AAB7C4"/>
            </w:tcBorders>
          </w:tcPr>
          <w:p>
            <w:r>
              <w:t>Soil-moisture threshold + mean dose</w:t>
            </w:r>
          </w:p>
        </w:tc>
        <w:tc>
          <w:tcPr>
            <w:tcW w:type="dxa" w:w="1134"/>
            <w:vAlign w:val="center"/>
            <w:tcBorders>
              <w:top w:val="single" w:sz="4" w:color="AAB7C4"/>
              <w:left w:val="single" w:sz="4" w:color="AAB7C4"/>
              <w:bottom w:val="single" w:sz="4" w:color="AAB7C4"/>
              <w:right w:val="single" w:sz="4" w:color="AAB7C4"/>
            </w:tcBorders>
          </w:tcPr>
          <w:p>
            <w:r>
              <w:t>Measured trigger only; no fertilizer</w:t>
            </w:r>
          </w:p>
        </w:tc>
        <w:tc>
          <w:tcPr>
            <w:tcW w:type="dxa" w:w="1134"/>
            <w:vAlign w:val="center"/>
            <w:tcBorders>
              <w:top w:val="single" w:sz="4" w:color="AAB7C4"/>
              <w:left w:val="single" w:sz="4" w:color="AAB7C4"/>
              <w:bottom w:val="single" w:sz="4" w:color="AAB7C4"/>
              <w:right w:val="single" w:sz="4" w:color="AAB7C4"/>
            </w:tcBorders>
          </w:tcPr>
          <w:p>
            <w:r>
              <w:t>4.7158</w:t>
            </w:r>
          </w:p>
        </w:tc>
        <w:tc>
          <w:tcPr>
            <w:tcW w:type="dxa" w:w="1134"/>
            <w:vAlign w:val="center"/>
            <w:tcBorders>
              <w:top w:val="single" w:sz="4" w:color="AAB7C4"/>
              <w:left w:val="single" w:sz="4" w:color="AAB7C4"/>
              <w:bottom w:val="single" w:sz="4" w:color="AAB7C4"/>
              <w:right w:val="single" w:sz="4" w:color="AAB7C4"/>
            </w:tcBorders>
          </w:tcPr>
          <w:p>
            <w:r>
              <w:t>0.1417</w:t>
            </w:r>
          </w:p>
        </w:tc>
        <w:tc>
          <w:tcPr>
            <w:tcW w:type="dxa" w:w="1134"/>
            <w:vAlign w:val="center"/>
            <w:tcBorders>
              <w:top w:val="single" w:sz="4" w:color="AAB7C4"/>
              <w:left w:val="single" w:sz="4" w:color="AAB7C4"/>
              <w:bottom w:val="single" w:sz="4" w:color="AAB7C4"/>
              <w:right w:val="single" w:sz="4" w:color="AAB7C4"/>
            </w:tcBorders>
          </w:tcPr>
          <w:p>
            <w:r>
              <w:t>-0.0695</w:t>
            </w:r>
          </w:p>
        </w:tc>
        <w:tc>
          <w:tcPr>
            <w:tcW w:type="dxa" w:w="1134"/>
            <w:vAlign w:val="center"/>
            <w:tcBorders>
              <w:top w:val="single" w:sz="4" w:color="AAB7C4"/>
              <w:left w:val="single" w:sz="4" w:color="AAB7C4"/>
              <w:bottom w:val="single" w:sz="4" w:color="AAB7C4"/>
              <w:right w:val="single" w:sz="4" w:color="AAB7C4"/>
            </w:tcBorders>
          </w:tcPr>
          <w:p>
            <w:r>
              <w:t>-0.0570</w:t>
            </w:r>
          </w:p>
        </w:tc>
        <w:tc>
          <w:tcPr>
            <w:tcW w:type="dxa" w:w="1134"/>
            <w:vAlign w:val="center"/>
            <w:tcBorders>
              <w:top w:val="single" w:sz="4" w:color="AAB7C4"/>
              <w:left w:val="single" w:sz="4" w:color="AAB7C4"/>
              <w:bottom w:val="single" w:sz="4" w:color="AAB7C4"/>
              <w:right w:val="single" w:sz="4" w:color="AAB7C4"/>
            </w:tcBorders>
          </w:tcPr>
          <w:p>
            <w:r>
              <w:t>-0.0320</w:t>
            </w:r>
          </w:p>
        </w:tc>
        <w:tc>
          <w:tcPr>
            <w:tcW w:type="dxa" w:w="1134"/>
            <w:vAlign w:val="center"/>
            <w:tcBorders>
              <w:top w:val="single" w:sz="4" w:color="AAB7C4"/>
              <w:left w:val="single" w:sz="4" w:color="AAB7C4"/>
              <w:bottom w:val="single" w:sz="4" w:color="AAB7C4"/>
              <w:right w:val="single" w:sz="4" w:color="AAB7C4"/>
            </w:tcBorders>
          </w:tcPr>
          <w:p>
            <w:r>
              <w:t>0.8194</w:t>
            </w:r>
          </w:p>
        </w:tc>
      </w:tr>
    </w:tbl>
    <w:p/>
    <w:p>
      <w:pPr>
        <w:pStyle w:val="CaptionText"/>
      </w:pPr>
      <w:r>
        <w:t>Table 13. Sensitivity of irrigation-event classification to the model-output threshold (teacher event fixed at 0.5 m3 mu-1; n = 7,200).</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D9EAF7"/>
            <w:vAlign w:val="center"/>
            <w:tcBorders>
              <w:top w:val="single" w:sz="6" w:color="557A95"/>
              <w:left w:val="single" w:sz="6" w:color="557A95"/>
              <w:bottom w:val="single" w:sz="6" w:color="557A95"/>
              <w:right w:val="single" w:sz="6" w:color="557A95"/>
            </w:tcBorders>
          </w:tcPr>
          <w:p>
            <w:r>
              <w:rPr>
                <w:b/>
              </w:rPr>
              <w:t>Model threshold (m3 mu-1)</w:t>
            </w:r>
          </w:p>
        </w:tc>
        <w:tc>
          <w:tcPr>
            <w:tcW w:type="dxa" w:w="1008"/>
            <w:shd w:fill="D9EAF7"/>
            <w:vAlign w:val="center"/>
            <w:tcBorders>
              <w:top w:val="single" w:sz="6" w:color="557A95"/>
              <w:left w:val="single" w:sz="6" w:color="557A95"/>
              <w:bottom w:val="single" w:sz="6" w:color="557A95"/>
              <w:right w:val="single" w:sz="6" w:color="557A95"/>
            </w:tcBorders>
          </w:tcPr>
          <w:p>
            <w:r>
              <w:rPr>
                <w:b/>
              </w:rPr>
              <w:t>TN</w:t>
            </w:r>
          </w:p>
        </w:tc>
        <w:tc>
          <w:tcPr>
            <w:tcW w:type="dxa" w:w="1008"/>
            <w:shd w:fill="D9EAF7"/>
            <w:vAlign w:val="center"/>
            <w:tcBorders>
              <w:top w:val="single" w:sz="6" w:color="557A95"/>
              <w:left w:val="single" w:sz="6" w:color="557A95"/>
              <w:bottom w:val="single" w:sz="6" w:color="557A95"/>
              <w:right w:val="single" w:sz="6" w:color="557A95"/>
            </w:tcBorders>
          </w:tcPr>
          <w:p>
            <w:r>
              <w:rPr>
                <w:b/>
              </w:rPr>
              <w:t>FP</w:t>
            </w:r>
          </w:p>
        </w:tc>
        <w:tc>
          <w:tcPr>
            <w:tcW w:type="dxa" w:w="1008"/>
            <w:shd w:fill="D9EAF7"/>
            <w:vAlign w:val="center"/>
            <w:tcBorders>
              <w:top w:val="single" w:sz="6" w:color="557A95"/>
              <w:left w:val="single" w:sz="6" w:color="557A95"/>
              <w:bottom w:val="single" w:sz="6" w:color="557A95"/>
              <w:right w:val="single" w:sz="6" w:color="557A95"/>
            </w:tcBorders>
          </w:tcPr>
          <w:p>
            <w:r>
              <w:rPr>
                <w:b/>
              </w:rPr>
              <w:t>FN</w:t>
            </w:r>
          </w:p>
        </w:tc>
        <w:tc>
          <w:tcPr>
            <w:tcW w:type="dxa" w:w="1008"/>
            <w:shd w:fill="D9EAF7"/>
            <w:vAlign w:val="center"/>
            <w:tcBorders>
              <w:top w:val="single" w:sz="6" w:color="557A95"/>
              <w:left w:val="single" w:sz="6" w:color="557A95"/>
              <w:bottom w:val="single" w:sz="6" w:color="557A95"/>
              <w:right w:val="single" w:sz="6" w:color="557A95"/>
            </w:tcBorders>
          </w:tcPr>
          <w:p>
            <w:r>
              <w:rPr>
                <w:b/>
              </w:rPr>
              <w:t>TP</w:t>
            </w:r>
          </w:p>
        </w:tc>
        <w:tc>
          <w:tcPr>
            <w:tcW w:type="dxa" w:w="1008"/>
            <w:shd w:fill="D9EAF7"/>
            <w:vAlign w:val="center"/>
            <w:tcBorders>
              <w:top w:val="single" w:sz="6" w:color="557A95"/>
              <w:left w:val="single" w:sz="6" w:color="557A95"/>
              <w:bottom w:val="single" w:sz="6" w:color="557A95"/>
              <w:right w:val="single" w:sz="6" w:color="557A95"/>
            </w:tcBorders>
          </w:tcPr>
          <w:p>
            <w:r>
              <w:rPr>
                <w:b/>
              </w:rPr>
              <w:t>Precision</w:t>
            </w:r>
          </w:p>
        </w:tc>
        <w:tc>
          <w:tcPr>
            <w:tcW w:type="dxa" w:w="1008"/>
            <w:shd w:fill="D9EAF7"/>
            <w:vAlign w:val="center"/>
            <w:tcBorders>
              <w:top w:val="single" w:sz="6" w:color="557A95"/>
              <w:left w:val="single" w:sz="6" w:color="557A95"/>
              <w:bottom w:val="single" w:sz="6" w:color="557A95"/>
              <w:right w:val="single" w:sz="6" w:color="557A95"/>
            </w:tcBorders>
          </w:tcPr>
          <w:p>
            <w:r>
              <w:rPr>
                <w:b/>
              </w:rPr>
              <w:t>Recall</w:t>
            </w:r>
          </w:p>
        </w:tc>
        <w:tc>
          <w:tcPr>
            <w:tcW w:type="dxa" w:w="1008"/>
            <w:shd w:fill="D9EAF7"/>
            <w:vAlign w:val="center"/>
            <w:tcBorders>
              <w:top w:val="single" w:sz="6" w:color="557A95"/>
              <w:left w:val="single" w:sz="6" w:color="557A95"/>
              <w:bottom w:val="single" w:sz="6" w:color="557A95"/>
              <w:right w:val="single" w:sz="6" w:color="557A95"/>
            </w:tcBorders>
          </w:tcPr>
          <w:p>
            <w:r>
              <w:rPr>
                <w:b/>
              </w:rPr>
              <w:t>F1</w:t>
            </w:r>
          </w:p>
        </w:tc>
        <w:tc>
          <w:tcPr>
            <w:tcW w:type="dxa" w:w="1008"/>
            <w:shd w:fill="D9EAF7"/>
            <w:vAlign w:val="center"/>
            <w:tcBorders>
              <w:top w:val="single" w:sz="6" w:color="557A95"/>
              <w:left w:val="single" w:sz="6" w:color="557A95"/>
              <w:bottom w:val="single" w:sz="6" w:color="557A95"/>
              <w:right w:val="single" w:sz="6" w:color="557A95"/>
            </w:tcBorders>
          </w:tcPr>
          <w:p>
            <w:r>
              <w:rPr>
                <w:b/>
              </w:rPr>
              <w:t>Specificity</w:t>
            </w:r>
          </w:p>
        </w:tc>
      </w:tr>
      <w:tr>
        <w:tc>
          <w:tcPr>
            <w:tcW w:type="dxa" w:w="1008"/>
            <w:vAlign w:val="center"/>
            <w:tcBorders>
              <w:top w:val="single" w:sz="4" w:color="AAB7C4"/>
              <w:left w:val="single" w:sz="4" w:color="AAB7C4"/>
              <w:bottom w:val="single" w:sz="4" w:color="AAB7C4"/>
              <w:right w:val="single" w:sz="4" w:color="AAB7C4"/>
            </w:tcBorders>
          </w:tcPr>
          <w:p>
            <w:r>
              <w:t>0.1</w:t>
            </w:r>
          </w:p>
        </w:tc>
        <w:tc>
          <w:tcPr>
            <w:tcW w:type="dxa" w:w="1008"/>
            <w:vAlign w:val="center"/>
            <w:tcBorders>
              <w:top w:val="single" w:sz="4" w:color="AAB7C4"/>
              <w:left w:val="single" w:sz="4" w:color="AAB7C4"/>
              <w:bottom w:val="single" w:sz="4" w:color="AAB7C4"/>
              <w:right w:val="single" w:sz="4" w:color="AAB7C4"/>
            </w:tcBorders>
          </w:tcPr>
          <w:p>
            <w:r>
              <w:t>3,645</w:t>
            </w:r>
          </w:p>
        </w:tc>
        <w:tc>
          <w:tcPr>
            <w:tcW w:type="dxa" w:w="1008"/>
            <w:vAlign w:val="center"/>
            <w:tcBorders>
              <w:top w:val="single" w:sz="4" w:color="AAB7C4"/>
              <w:left w:val="single" w:sz="4" w:color="AAB7C4"/>
              <w:bottom w:val="single" w:sz="4" w:color="AAB7C4"/>
              <w:right w:val="single" w:sz="4" w:color="AAB7C4"/>
            </w:tcBorders>
          </w:tcPr>
          <w:p>
            <w:r>
              <w:t>1,361</w:t>
            </w:r>
          </w:p>
        </w:tc>
        <w:tc>
          <w:tcPr>
            <w:tcW w:type="dxa" w:w="1008"/>
            <w:vAlign w:val="center"/>
            <w:tcBorders>
              <w:top w:val="single" w:sz="4" w:color="AAB7C4"/>
              <w:left w:val="single" w:sz="4" w:color="AAB7C4"/>
              <w:bottom w:val="single" w:sz="4" w:color="AAB7C4"/>
              <w:right w:val="single" w:sz="4" w:color="AAB7C4"/>
            </w:tcBorders>
          </w:tcPr>
          <w:p>
            <w:r>
              <w:t>0</w:t>
            </w:r>
          </w:p>
        </w:tc>
        <w:tc>
          <w:tcPr>
            <w:tcW w:type="dxa" w:w="1008"/>
            <w:vAlign w:val="center"/>
            <w:tcBorders>
              <w:top w:val="single" w:sz="4" w:color="AAB7C4"/>
              <w:left w:val="single" w:sz="4" w:color="AAB7C4"/>
              <w:bottom w:val="single" w:sz="4" w:color="AAB7C4"/>
              <w:right w:val="single" w:sz="4" w:color="AAB7C4"/>
            </w:tcBorders>
          </w:tcPr>
          <w:p>
            <w:r>
              <w:t>2,194</w:t>
            </w:r>
          </w:p>
        </w:tc>
        <w:tc>
          <w:tcPr>
            <w:tcW w:type="dxa" w:w="1008"/>
            <w:vAlign w:val="center"/>
            <w:tcBorders>
              <w:top w:val="single" w:sz="4" w:color="AAB7C4"/>
              <w:left w:val="single" w:sz="4" w:color="AAB7C4"/>
              <w:bottom w:val="single" w:sz="4" w:color="AAB7C4"/>
              <w:right w:val="single" w:sz="4" w:color="AAB7C4"/>
            </w:tcBorders>
          </w:tcPr>
          <w:p>
            <w:r>
              <w:t>0.6172</w:t>
            </w:r>
          </w:p>
        </w:tc>
        <w:tc>
          <w:tcPr>
            <w:tcW w:type="dxa" w:w="1008"/>
            <w:vAlign w:val="center"/>
            <w:tcBorders>
              <w:top w:val="single" w:sz="4" w:color="AAB7C4"/>
              <w:left w:val="single" w:sz="4" w:color="AAB7C4"/>
              <w:bottom w:val="single" w:sz="4" w:color="AAB7C4"/>
              <w:right w:val="single" w:sz="4" w:color="AAB7C4"/>
            </w:tcBorders>
          </w:tcPr>
          <w:p>
            <w:r>
              <w:t>1.0000</w:t>
            </w:r>
          </w:p>
        </w:tc>
        <w:tc>
          <w:tcPr>
            <w:tcW w:type="dxa" w:w="1008"/>
            <w:vAlign w:val="center"/>
            <w:tcBorders>
              <w:top w:val="single" w:sz="4" w:color="AAB7C4"/>
              <w:left w:val="single" w:sz="4" w:color="AAB7C4"/>
              <w:bottom w:val="single" w:sz="4" w:color="AAB7C4"/>
              <w:right w:val="single" w:sz="4" w:color="AAB7C4"/>
            </w:tcBorders>
          </w:tcPr>
          <w:p>
            <w:r>
              <w:t>0.7633</w:t>
            </w:r>
          </w:p>
        </w:tc>
        <w:tc>
          <w:tcPr>
            <w:tcW w:type="dxa" w:w="1008"/>
            <w:vAlign w:val="center"/>
            <w:tcBorders>
              <w:top w:val="single" w:sz="4" w:color="AAB7C4"/>
              <w:left w:val="single" w:sz="4" w:color="AAB7C4"/>
              <w:bottom w:val="single" w:sz="4" w:color="AAB7C4"/>
              <w:right w:val="single" w:sz="4" w:color="AAB7C4"/>
            </w:tcBorders>
          </w:tcPr>
          <w:p>
            <w:r>
              <w:t>0.7281</w:t>
            </w:r>
          </w:p>
        </w:tc>
      </w:tr>
      <w:tr>
        <w:tc>
          <w:tcPr>
            <w:tcW w:type="dxa" w:w="1008"/>
            <w:vAlign w:val="center"/>
            <w:tcBorders>
              <w:top w:val="single" w:sz="4" w:color="AAB7C4"/>
              <w:left w:val="single" w:sz="4" w:color="AAB7C4"/>
              <w:bottom w:val="single" w:sz="4" w:color="AAB7C4"/>
              <w:right w:val="single" w:sz="4" w:color="AAB7C4"/>
            </w:tcBorders>
          </w:tcPr>
          <w:p>
            <w:r>
              <w:t>0.5</w:t>
            </w:r>
          </w:p>
        </w:tc>
        <w:tc>
          <w:tcPr>
            <w:tcW w:type="dxa" w:w="1008"/>
            <w:vAlign w:val="center"/>
            <w:tcBorders>
              <w:top w:val="single" w:sz="4" w:color="AAB7C4"/>
              <w:left w:val="single" w:sz="4" w:color="AAB7C4"/>
              <w:bottom w:val="single" w:sz="4" w:color="AAB7C4"/>
              <w:right w:val="single" w:sz="4" w:color="AAB7C4"/>
            </w:tcBorders>
          </w:tcPr>
          <w:p>
            <w:r>
              <w:t>4,514</w:t>
            </w:r>
          </w:p>
        </w:tc>
        <w:tc>
          <w:tcPr>
            <w:tcW w:type="dxa" w:w="1008"/>
            <w:vAlign w:val="center"/>
            <w:tcBorders>
              <w:top w:val="single" w:sz="4" w:color="AAB7C4"/>
              <w:left w:val="single" w:sz="4" w:color="AAB7C4"/>
              <w:bottom w:val="single" w:sz="4" w:color="AAB7C4"/>
              <w:right w:val="single" w:sz="4" w:color="AAB7C4"/>
            </w:tcBorders>
          </w:tcPr>
          <w:p>
            <w:r>
              <w:t>492</w:t>
            </w:r>
          </w:p>
        </w:tc>
        <w:tc>
          <w:tcPr>
            <w:tcW w:type="dxa" w:w="1008"/>
            <w:vAlign w:val="center"/>
            <w:tcBorders>
              <w:top w:val="single" w:sz="4" w:color="AAB7C4"/>
              <w:left w:val="single" w:sz="4" w:color="AAB7C4"/>
              <w:bottom w:val="single" w:sz="4" w:color="AAB7C4"/>
              <w:right w:val="single" w:sz="4" w:color="AAB7C4"/>
            </w:tcBorders>
          </w:tcPr>
          <w:p>
            <w:r>
              <w:t>0</w:t>
            </w:r>
          </w:p>
        </w:tc>
        <w:tc>
          <w:tcPr>
            <w:tcW w:type="dxa" w:w="1008"/>
            <w:vAlign w:val="center"/>
            <w:tcBorders>
              <w:top w:val="single" w:sz="4" w:color="AAB7C4"/>
              <w:left w:val="single" w:sz="4" w:color="AAB7C4"/>
              <w:bottom w:val="single" w:sz="4" w:color="AAB7C4"/>
              <w:right w:val="single" w:sz="4" w:color="AAB7C4"/>
            </w:tcBorders>
          </w:tcPr>
          <w:p>
            <w:r>
              <w:t>2,194</w:t>
            </w:r>
          </w:p>
        </w:tc>
        <w:tc>
          <w:tcPr>
            <w:tcW w:type="dxa" w:w="1008"/>
            <w:vAlign w:val="center"/>
            <w:tcBorders>
              <w:top w:val="single" w:sz="4" w:color="AAB7C4"/>
              <w:left w:val="single" w:sz="4" w:color="AAB7C4"/>
              <w:bottom w:val="single" w:sz="4" w:color="AAB7C4"/>
              <w:right w:val="single" w:sz="4" w:color="AAB7C4"/>
            </w:tcBorders>
          </w:tcPr>
          <w:p>
            <w:r>
              <w:t>0.8168</w:t>
            </w:r>
          </w:p>
        </w:tc>
        <w:tc>
          <w:tcPr>
            <w:tcW w:type="dxa" w:w="1008"/>
            <w:vAlign w:val="center"/>
            <w:tcBorders>
              <w:top w:val="single" w:sz="4" w:color="AAB7C4"/>
              <w:left w:val="single" w:sz="4" w:color="AAB7C4"/>
              <w:bottom w:val="single" w:sz="4" w:color="AAB7C4"/>
              <w:right w:val="single" w:sz="4" w:color="AAB7C4"/>
            </w:tcBorders>
          </w:tcPr>
          <w:p>
            <w:r>
              <w:t>1.0000</w:t>
            </w:r>
          </w:p>
        </w:tc>
        <w:tc>
          <w:tcPr>
            <w:tcW w:type="dxa" w:w="1008"/>
            <w:vAlign w:val="center"/>
            <w:tcBorders>
              <w:top w:val="single" w:sz="4" w:color="AAB7C4"/>
              <w:left w:val="single" w:sz="4" w:color="AAB7C4"/>
              <w:bottom w:val="single" w:sz="4" w:color="AAB7C4"/>
              <w:right w:val="single" w:sz="4" w:color="AAB7C4"/>
            </w:tcBorders>
          </w:tcPr>
          <w:p>
            <w:r>
              <w:t>0.8992</w:t>
            </w:r>
          </w:p>
        </w:tc>
        <w:tc>
          <w:tcPr>
            <w:tcW w:type="dxa" w:w="1008"/>
            <w:vAlign w:val="center"/>
            <w:tcBorders>
              <w:top w:val="single" w:sz="4" w:color="AAB7C4"/>
              <w:left w:val="single" w:sz="4" w:color="AAB7C4"/>
              <w:bottom w:val="single" w:sz="4" w:color="AAB7C4"/>
              <w:right w:val="single" w:sz="4" w:color="AAB7C4"/>
            </w:tcBorders>
          </w:tcPr>
          <w:p>
            <w:r>
              <w:t>0.9017</w:t>
            </w:r>
          </w:p>
        </w:tc>
      </w:tr>
      <w:tr>
        <w:tc>
          <w:tcPr>
            <w:tcW w:type="dxa" w:w="1008"/>
            <w:vAlign w:val="center"/>
            <w:tcBorders>
              <w:top w:val="single" w:sz="4" w:color="AAB7C4"/>
              <w:left w:val="single" w:sz="4" w:color="AAB7C4"/>
              <w:bottom w:val="single" w:sz="4" w:color="AAB7C4"/>
              <w:right w:val="single" w:sz="4" w:color="AAB7C4"/>
            </w:tcBorders>
          </w:tcPr>
          <w:p>
            <w:r>
              <w:t>1.0</w:t>
            </w:r>
          </w:p>
        </w:tc>
        <w:tc>
          <w:tcPr>
            <w:tcW w:type="dxa" w:w="1008"/>
            <w:vAlign w:val="center"/>
            <w:tcBorders>
              <w:top w:val="single" w:sz="4" w:color="AAB7C4"/>
              <w:left w:val="single" w:sz="4" w:color="AAB7C4"/>
              <w:bottom w:val="single" w:sz="4" w:color="AAB7C4"/>
              <w:right w:val="single" w:sz="4" w:color="AAB7C4"/>
            </w:tcBorders>
          </w:tcPr>
          <w:p>
            <w:r>
              <w:t>4,749</w:t>
            </w:r>
          </w:p>
        </w:tc>
        <w:tc>
          <w:tcPr>
            <w:tcW w:type="dxa" w:w="1008"/>
            <w:vAlign w:val="center"/>
            <w:tcBorders>
              <w:top w:val="single" w:sz="4" w:color="AAB7C4"/>
              <w:left w:val="single" w:sz="4" w:color="AAB7C4"/>
              <w:bottom w:val="single" w:sz="4" w:color="AAB7C4"/>
              <w:right w:val="single" w:sz="4" w:color="AAB7C4"/>
            </w:tcBorders>
          </w:tcPr>
          <w:p>
            <w:r>
              <w:t>257</w:t>
            </w:r>
          </w:p>
        </w:tc>
        <w:tc>
          <w:tcPr>
            <w:tcW w:type="dxa" w:w="1008"/>
            <w:vAlign w:val="center"/>
            <w:tcBorders>
              <w:top w:val="single" w:sz="4" w:color="AAB7C4"/>
              <w:left w:val="single" w:sz="4" w:color="AAB7C4"/>
              <w:bottom w:val="single" w:sz="4" w:color="AAB7C4"/>
              <w:right w:val="single" w:sz="4" w:color="AAB7C4"/>
            </w:tcBorders>
          </w:tcPr>
          <w:p>
            <w:r>
              <w:t>0</w:t>
            </w:r>
          </w:p>
        </w:tc>
        <w:tc>
          <w:tcPr>
            <w:tcW w:type="dxa" w:w="1008"/>
            <w:vAlign w:val="center"/>
            <w:tcBorders>
              <w:top w:val="single" w:sz="4" w:color="AAB7C4"/>
              <w:left w:val="single" w:sz="4" w:color="AAB7C4"/>
              <w:bottom w:val="single" w:sz="4" w:color="AAB7C4"/>
              <w:right w:val="single" w:sz="4" w:color="AAB7C4"/>
            </w:tcBorders>
          </w:tcPr>
          <w:p>
            <w:r>
              <w:t>2,194</w:t>
            </w:r>
          </w:p>
        </w:tc>
        <w:tc>
          <w:tcPr>
            <w:tcW w:type="dxa" w:w="1008"/>
            <w:vAlign w:val="center"/>
            <w:tcBorders>
              <w:top w:val="single" w:sz="4" w:color="AAB7C4"/>
              <w:left w:val="single" w:sz="4" w:color="AAB7C4"/>
              <w:bottom w:val="single" w:sz="4" w:color="AAB7C4"/>
              <w:right w:val="single" w:sz="4" w:color="AAB7C4"/>
            </w:tcBorders>
          </w:tcPr>
          <w:p>
            <w:r>
              <w:t>0.8951</w:t>
            </w:r>
          </w:p>
        </w:tc>
        <w:tc>
          <w:tcPr>
            <w:tcW w:type="dxa" w:w="1008"/>
            <w:vAlign w:val="center"/>
            <w:tcBorders>
              <w:top w:val="single" w:sz="4" w:color="AAB7C4"/>
              <w:left w:val="single" w:sz="4" w:color="AAB7C4"/>
              <w:bottom w:val="single" w:sz="4" w:color="AAB7C4"/>
              <w:right w:val="single" w:sz="4" w:color="AAB7C4"/>
            </w:tcBorders>
          </w:tcPr>
          <w:p>
            <w:r>
              <w:t>1.0000</w:t>
            </w:r>
          </w:p>
        </w:tc>
        <w:tc>
          <w:tcPr>
            <w:tcW w:type="dxa" w:w="1008"/>
            <w:vAlign w:val="center"/>
            <w:tcBorders>
              <w:top w:val="single" w:sz="4" w:color="AAB7C4"/>
              <w:left w:val="single" w:sz="4" w:color="AAB7C4"/>
              <w:bottom w:val="single" w:sz="4" w:color="AAB7C4"/>
              <w:right w:val="single" w:sz="4" w:color="AAB7C4"/>
            </w:tcBorders>
          </w:tcPr>
          <w:p>
            <w:r>
              <w:t>0.9447</w:t>
            </w:r>
          </w:p>
        </w:tc>
        <w:tc>
          <w:tcPr>
            <w:tcW w:type="dxa" w:w="1008"/>
            <w:vAlign w:val="center"/>
            <w:tcBorders>
              <w:top w:val="single" w:sz="4" w:color="AAB7C4"/>
              <w:left w:val="single" w:sz="4" w:color="AAB7C4"/>
              <w:bottom w:val="single" w:sz="4" w:color="AAB7C4"/>
              <w:right w:val="single" w:sz="4" w:color="AAB7C4"/>
            </w:tcBorders>
          </w:tcPr>
          <w:p>
            <w:r>
              <w:t>0.9487</w:t>
            </w:r>
          </w:p>
        </w:tc>
      </w:tr>
      <w:tr>
        <w:tc>
          <w:tcPr>
            <w:tcW w:type="dxa" w:w="1008"/>
            <w:vAlign w:val="center"/>
            <w:tcBorders>
              <w:top w:val="single" w:sz="4" w:color="AAB7C4"/>
              <w:left w:val="single" w:sz="4" w:color="AAB7C4"/>
              <w:bottom w:val="single" w:sz="4" w:color="AAB7C4"/>
              <w:right w:val="single" w:sz="4" w:color="AAB7C4"/>
            </w:tcBorders>
          </w:tcPr>
          <w:p>
            <w:r>
              <w:t>2.0</w:t>
            </w:r>
          </w:p>
        </w:tc>
        <w:tc>
          <w:tcPr>
            <w:tcW w:type="dxa" w:w="1008"/>
            <w:vAlign w:val="center"/>
            <w:tcBorders>
              <w:top w:val="single" w:sz="4" w:color="AAB7C4"/>
              <w:left w:val="single" w:sz="4" w:color="AAB7C4"/>
              <w:bottom w:val="single" w:sz="4" w:color="AAB7C4"/>
              <w:right w:val="single" w:sz="4" w:color="AAB7C4"/>
            </w:tcBorders>
          </w:tcPr>
          <w:p>
            <w:r>
              <w:t>4,884</w:t>
            </w:r>
          </w:p>
        </w:tc>
        <w:tc>
          <w:tcPr>
            <w:tcW w:type="dxa" w:w="1008"/>
            <w:vAlign w:val="center"/>
            <w:tcBorders>
              <w:top w:val="single" w:sz="4" w:color="AAB7C4"/>
              <w:left w:val="single" w:sz="4" w:color="AAB7C4"/>
              <w:bottom w:val="single" w:sz="4" w:color="AAB7C4"/>
              <w:right w:val="single" w:sz="4" w:color="AAB7C4"/>
            </w:tcBorders>
          </w:tcPr>
          <w:p>
            <w:r>
              <w:t>122</w:t>
            </w:r>
          </w:p>
        </w:tc>
        <w:tc>
          <w:tcPr>
            <w:tcW w:type="dxa" w:w="1008"/>
            <w:vAlign w:val="center"/>
            <w:tcBorders>
              <w:top w:val="single" w:sz="4" w:color="AAB7C4"/>
              <w:left w:val="single" w:sz="4" w:color="AAB7C4"/>
              <w:bottom w:val="single" w:sz="4" w:color="AAB7C4"/>
              <w:right w:val="single" w:sz="4" w:color="AAB7C4"/>
            </w:tcBorders>
          </w:tcPr>
          <w:p>
            <w:r>
              <w:t>0</w:t>
            </w:r>
          </w:p>
        </w:tc>
        <w:tc>
          <w:tcPr>
            <w:tcW w:type="dxa" w:w="1008"/>
            <w:vAlign w:val="center"/>
            <w:tcBorders>
              <w:top w:val="single" w:sz="4" w:color="AAB7C4"/>
              <w:left w:val="single" w:sz="4" w:color="AAB7C4"/>
              <w:bottom w:val="single" w:sz="4" w:color="AAB7C4"/>
              <w:right w:val="single" w:sz="4" w:color="AAB7C4"/>
            </w:tcBorders>
          </w:tcPr>
          <w:p>
            <w:r>
              <w:t>2,194</w:t>
            </w:r>
          </w:p>
        </w:tc>
        <w:tc>
          <w:tcPr>
            <w:tcW w:type="dxa" w:w="1008"/>
            <w:vAlign w:val="center"/>
            <w:tcBorders>
              <w:top w:val="single" w:sz="4" w:color="AAB7C4"/>
              <w:left w:val="single" w:sz="4" w:color="AAB7C4"/>
              <w:bottom w:val="single" w:sz="4" w:color="AAB7C4"/>
              <w:right w:val="single" w:sz="4" w:color="AAB7C4"/>
            </w:tcBorders>
          </w:tcPr>
          <w:p>
            <w:r>
              <w:t>0.9473</w:t>
            </w:r>
          </w:p>
        </w:tc>
        <w:tc>
          <w:tcPr>
            <w:tcW w:type="dxa" w:w="1008"/>
            <w:vAlign w:val="center"/>
            <w:tcBorders>
              <w:top w:val="single" w:sz="4" w:color="AAB7C4"/>
              <w:left w:val="single" w:sz="4" w:color="AAB7C4"/>
              <w:bottom w:val="single" w:sz="4" w:color="AAB7C4"/>
              <w:right w:val="single" w:sz="4" w:color="AAB7C4"/>
            </w:tcBorders>
          </w:tcPr>
          <w:p>
            <w:r>
              <w:t>1.0000</w:t>
            </w:r>
          </w:p>
        </w:tc>
        <w:tc>
          <w:tcPr>
            <w:tcW w:type="dxa" w:w="1008"/>
            <w:vAlign w:val="center"/>
            <w:tcBorders>
              <w:top w:val="single" w:sz="4" w:color="AAB7C4"/>
              <w:left w:val="single" w:sz="4" w:color="AAB7C4"/>
              <w:bottom w:val="single" w:sz="4" w:color="AAB7C4"/>
              <w:right w:val="single" w:sz="4" w:color="AAB7C4"/>
            </w:tcBorders>
          </w:tcPr>
          <w:p>
            <w:r>
              <w:t>0.9729</w:t>
            </w:r>
          </w:p>
        </w:tc>
        <w:tc>
          <w:tcPr>
            <w:tcW w:type="dxa" w:w="1008"/>
            <w:vAlign w:val="center"/>
            <w:tcBorders>
              <w:top w:val="single" w:sz="4" w:color="AAB7C4"/>
              <w:left w:val="single" w:sz="4" w:color="AAB7C4"/>
              <w:bottom w:val="single" w:sz="4" w:color="AAB7C4"/>
              <w:right w:val="single" w:sz="4" w:color="AAB7C4"/>
            </w:tcBorders>
          </w:tcPr>
          <w:p>
            <w:r>
              <w:t>0.9756</w:t>
            </w:r>
          </w:p>
        </w:tc>
      </w:tr>
    </w:tbl>
    <w:p/>
    <w:p>
      <w:pPr>
        <w:pStyle w:val="Heading1"/>
      </w:pPr>
      <w:r>
        <w:t>Figures</w:t>
      </w:r>
    </w:p>
    <w:p>
      <w:pPr>
        <w:pStyle w:val="CaptionText"/>
      </w:pPr>
      <w:r>
        <w:t>Figure 1. ZhiRun edge-cloud fertigation architecture. Boxes identify the field sensing, edge acquisition, server inference and ESP32-S3 actuation layers; arrows show the implemented communication paths.</w:t>
      </w:r>
    </w:p>
    <w:p>
      <w:r>
        <w:drawing>
          <wp:inline xmlns:a="http://schemas.openxmlformats.org/drawingml/2006/main" xmlns:pic="http://schemas.openxmlformats.org/drawingml/2006/picture">
            <wp:extent cx="5669280" cy="2968662"/>
            <wp:docPr id="1" name="Picture 1"/>
            <wp:cNvGraphicFramePr>
              <a:graphicFrameLocks noChangeAspect="1"/>
            </wp:cNvGraphicFramePr>
            <a:graphic>
              <a:graphicData uri="http://schemas.openxmlformats.org/drawingml/2006/picture">
                <pic:pic>
                  <pic:nvPicPr>
                    <pic:cNvPr id="0" name="fig4_architecture.png"/>
                    <pic:cNvPicPr/>
                  </pic:nvPicPr>
                  <pic:blipFill>
                    <a:blip r:embed="rId10"/>
                    <a:stretch>
                      <a:fillRect/>
                    </a:stretch>
                  </pic:blipFill>
                  <pic:spPr>
                    <a:xfrm>
                      <a:off x="0" y="0"/>
                      <a:ext cx="5669280" cy="2968662"/>
                    </a:xfrm>
                    <a:prstGeom prst="rect"/>
                  </pic:spPr>
                </pic:pic>
              </a:graphicData>
            </a:graphic>
          </wp:inline>
        </w:drawing>
      </w:r>
    </w:p>
    <w:p>
      <w:pPr>
        <w:pStyle w:val="CaptionText"/>
      </w:pPr>
      <w:r>
        <w:t>Figure 2. Dataset composition and target sparsity. Panels show crop representation, positive target rates, the chronological split, and non-zero target magnitudes; n = 39,600.</w:t>
      </w:r>
    </w:p>
    <w:p>
      <w:r>
        <w:drawing>
          <wp:inline xmlns:a="http://schemas.openxmlformats.org/drawingml/2006/main" xmlns:pic="http://schemas.openxmlformats.org/drawingml/2006/picture">
            <wp:extent cx="5669280" cy="4041736"/>
            <wp:docPr id="2" name="Picture 2"/>
            <wp:cNvGraphicFramePr>
              <a:graphicFrameLocks noChangeAspect="1"/>
            </wp:cNvGraphicFramePr>
            <a:graphic>
              <a:graphicData uri="http://schemas.openxmlformats.org/drawingml/2006/picture">
                <pic:pic>
                  <pic:nvPicPr>
                    <pic:cNvPr id="0" name="fig1_dataset_overview.png"/>
                    <pic:cNvPicPr/>
                  </pic:nvPicPr>
                  <pic:blipFill>
                    <a:blip r:embed="rId11"/>
                    <a:stretch>
                      <a:fillRect/>
                    </a:stretch>
                  </pic:blipFill>
                  <pic:spPr>
                    <a:xfrm>
                      <a:off x="0" y="0"/>
                      <a:ext cx="5669280" cy="4041736"/>
                    </a:xfrm>
                    <a:prstGeom prst="rect"/>
                  </pic:spPr>
                </pic:pic>
              </a:graphicData>
            </a:graphic>
          </wp:inline>
        </w:drawing>
      </w:r>
    </w:p>
    <w:p>
      <w:pPr>
        <w:pStyle w:val="CaptionText"/>
      </w:pPr>
      <w:r>
        <w:t>Figure 3. Independent test parity plots for water, N, P2O5 and K2O targets. Hexbin density is shown for n = 7,200 held-out rows; dashed lines are 1:1 references.</w:t>
      </w:r>
    </w:p>
    <w:p>
      <w:r>
        <w:drawing>
          <wp:inline xmlns:a="http://schemas.openxmlformats.org/drawingml/2006/main" xmlns:pic="http://schemas.openxmlformats.org/drawingml/2006/picture">
            <wp:extent cx="5669280" cy="4971761"/>
            <wp:docPr id="3" name="Picture 3"/>
            <wp:cNvGraphicFramePr>
              <a:graphicFrameLocks noChangeAspect="1"/>
            </wp:cNvGraphicFramePr>
            <a:graphic>
              <a:graphicData uri="http://schemas.openxmlformats.org/drawingml/2006/picture">
                <pic:pic>
                  <pic:nvPicPr>
                    <pic:cNvPr id="0" name="fig2_test_parity.png"/>
                    <pic:cNvPicPr/>
                  </pic:nvPicPr>
                  <pic:blipFill>
                    <a:blip r:embed="rId12"/>
                    <a:stretch>
                      <a:fillRect/>
                    </a:stretch>
                  </pic:blipFill>
                  <pic:spPr>
                    <a:xfrm>
                      <a:off x="0" y="0"/>
                      <a:ext cx="5669280" cy="4971761"/>
                    </a:xfrm>
                    <a:prstGeom prst="rect"/>
                  </pic:spPr>
                </pic:pic>
              </a:graphicData>
            </a:graphic>
          </wp:inline>
        </w:drawing>
      </w:r>
    </w:p>
    <w:p>
      <w:pPr>
        <w:pStyle w:val="CaptionText"/>
      </w:pPr>
      <w:r>
        <w:t>Figure 4. Temporal, crop-level and positive-event robustness. Results are computed from the stored model and held-out rows; no field-yield labels are used.</w:t>
      </w:r>
    </w:p>
    <w:p>
      <w:r>
        <w:drawing>
          <wp:inline xmlns:a="http://schemas.openxmlformats.org/drawingml/2006/main" xmlns:pic="http://schemas.openxmlformats.org/drawingml/2006/picture">
            <wp:extent cx="5669280" cy="4429246"/>
            <wp:docPr id="4" name="Picture 4"/>
            <wp:cNvGraphicFramePr>
              <a:graphicFrameLocks noChangeAspect="1"/>
            </wp:cNvGraphicFramePr>
            <a:graphic>
              <a:graphicData uri="http://schemas.openxmlformats.org/drawingml/2006/picture">
                <pic:pic>
                  <pic:nvPicPr>
                    <pic:cNvPr id="0" name="fig3_generalization.png"/>
                    <pic:cNvPicPr/>
                  </pic:nvPicPr>
                  <pic:blipFill>
                    <a:blip r:embed="rId13"/>
                    <a:stretch>
                      <a:fillRect/>
                    </a:stretch>
                  </pic:blipFill>
                  <pic:spPr>
                    <a:xfrm>
                      <a:off x="0" y="0"/>
                      <a:ext cx="5669280" cy="4429246"/>
                    </a:xfrm>
                    <a:prstGeom prst="rect"/>
                  </pic:spPr>
                </pic:pic>
              </a:graphicData>
            </a:graphic>
          </wp:inline>
        </w:drawing>
      </w:r>
    </w:p>
    <w:p>
      <w:pPr>
        <w:pStyle w:val="CaptionText"/>
      </w:pPr>
      <w:r>
        <w:t>Figure 5. Deterministic controller timing trace. Fertilizer channels close on their own flow-meter targets before the outlet pump is released.</w:t>
      </w:r>
    </w:p>
    <w:p>
      <w:r>
        <w:drawing>
          <wp:inline xmlns:a="http://schemas.openxmlformats.org/drawingml/2006/main" xmlns:pic="http://schemas.openxmlformats.org/drawingml/2006/picture">
            <wp:extent cx="5669280" cy="3650822"/>
            <wp:docPr id="5" name="Picture 5"/>
            <wp:cNvGraphicFramePr>
              <a:graphicFrameLocks noChangeAspect="1"/>
            </wp:cNvGraphicFramePr>
            <a:graphic>
              <a:graphicData uri="http://schemas.openxmlformats.org/drawingml/2006/picture">
                <pic:pic>
                  <pic:nvPicPr>
                    <pic:cNvPr id="0" name="fig5_controller_trace.png"/>
                    <pic:cNvPicPr/>
                  </pic:nvPicPr>
                  <pic:blipFill>
                    <a:blip r:embed="rId14"/>
                    <a:stretch>
                      <a:fillRect/>
                    </a:stretch>
                  </pic:blipFill>
                  <pic:spPr>
                    <a:xfrm>
                      <a:off x="0" y="0"/>
                      <a:ext cx="5669280" cy="3650822"/>
                    </a:xfrm>
                    <a:prstGeom prst="rect"/>
                  </pic:spPr>
                </pic:pic>
              </a:graphicData>
            </a:graphic>
          </wp:inline>
        </w:drawing>
      </w:r>
    </w:p>
    <w:p>
      <w:pPr>
        <w:pStyle w:val="CaptionText"/>
      </w:pPr>
      <w:r>
        <w:t>Figure 6. Bootstrap sampling uncertainty for independent-test MAE. Points are bootstrap means and bars are 95% percentile intervals from 1,000 resamples.</w:t>
      </w:r>
    </w:p>
    <w:p>
      <w:r>
        <w:drawing>
          <wp:inline xmlns:a="http://schemas.openxmlformats.org/drawingml/2006/main" xmlns:pic="http://schemas.openxmlformats.org/drawingml/2006/picture">
            <wp:extent cx="5669280" cy="2960831"/>
            <wp:docPr id="6" name="Picture 6"/>
            <wp:cNvGraphicFramePr>
              <a:graphicFrameLocks noChangeAspect="1"/>
            </wp:cNvGraphicFramePr>
            <a:graphic>
              <a:graphicData uri="http://schemas.openxmlformats.org/drawingml/2006/picture">
                <pic:pic>
                  <pic:nvPicPr>
                    <pic:cNvPr id="0" name="fig6_bootstrap_uncertainty.png"/>
                    <pic:cNvPicPr/>
                  </pic:nvPicPr>
                  <pic:blipFill>
                    <a:blip r:embed="rId15"/>
                    <a:stretch>
                      <a:fillRect/>
                    </a:stretch>
                  </pic:blipFill>
                  <pic:spPr>
                    <a:xfrm>
                      <a:off x="0" y="0"/>
                      <a:ext cx="5669280" cy="2960831"/>
                    </a:xfrm>
                    <a:prstGeom prst="rect"/>
                  </pic:spPr>
                </pic:pic>
              </a:graphicData>
            </a:graphic>
          </wp:inline>
        </w:drawing>
      </w:r>
    </w:p>
    <w:p>
      <w:pPr>
        <w:pStyle w:val="CaptionText"/>
      </w:pPr>
      <w:r>
        <w:t>Figure 7. Controller Monte Carlo safety evaluation across 14,000 reproducible scenarios. Normal completion excludes the 80 deliberately bounded safety timeouts; every terminal state turned all outputs off.</w:t>
      </w:r>
    </w:p>
    <w:p>
      <w:r>
        <w:drawing>
          <wp:inline xmlns:a="http://schemas.openxmlformats.org/drawingml/2006/main" xmlns:pic="http://schemas.openxmlformats.org/drawingml/2006/picture">
            <wp:extent cx="5669280" cy="3076262"/>
            <wp:docPr id="7" name="Picture 7"/>
            <wp:cNvGraphicFramePr>
              <a:graphicFrameLocks noChangeAspect="1"/>
            </wp:cNvGraphicFramePr>
            <a:graphic>
              <a:graphicData uri="http://schemas.openxmlformats.org/drawingml/2006/picture">
                <pic:pic>
                  <pic:nvPicPr>
                    <pic:cNvPr id="0" name="fig7_controller_monte_carlo.png"/>
                    <pic:cNvPicPr/>
                  </pic:nvPicPr>
                  <pic:blipFill>
                    <a:blip r:embed="rId16"/>
                    <a:stretch>
                      <a:fillRect/>
                    </a:stretch>
                  </pic:blipFill>
                  <pic:spPr>
                    <a:xfrm>
                      <a:off x="0" y="0"/>
                      <a:ext cx="5669280" cy="3076262"/>
                    </a:xfrm>
                    <a:prstGeom prst="rect"/>
                  </pic:spPr>
                </pic:pic>
              </a:graphicData>
            </a:graphic>
          </wp:inline>
        </w:drawing>
      </w:r>
    </w:p>
    <w:p>
      <w:pPr>
        <w:pStyle w:val="CaptionText"/>
      </w:pPr>
      <w:r>
        <w:t>Figure 8. Feature ablation and transparent-reference comparison. Bars show irrigation decision accuracy on the independent test years; labels are generated teacher-policy outcomes, not field treatment outcomes.</w:t>
      </w:r>
    </w:p>
    <w:p>
      <w:r>
        <w:drawing>
          <wp:inline xmlns:a="http://schemas.openxmlformats.org/drawingml/2006/main" xmlns:pic="http://schemas.openxmlformats.org/drawingml/2006/picture">
            <wp:extent cx="5669280" cy="3034208"/>
            <wp:docPr id="8" name="Picture 8"/>
            <wp:cNvGraphicFramePr>
              <a:graphicFrameLocks noChangeAspect="1"/>
            </wp:cNvGraphicFramePr>
            <a:graphic>
              <a:graphicData uri="http://schemas.openxmlformats.org/drawingml/2006/picture">
                <pic:pic>
                  <pic:nvPicPr>
                    <pic:cNvPr id="0" name="fig8_ablation_comparison.png"/>
                    <pic:cNvPicPr/>
                  </pic:nvPicPr>
                  <pic:blipFill>
                    <a:blip r:embed="rId17"/>
                    <a:stretch>
                      <a:fillRect/>
                    </a:stretch>
                  </pic:blipFill>
                  <pic:spPr>
                    <a:xfrm>
                      <a:off x="0" y="0"/>
                      <a:ext cx="5669280" cy="3034208"/>
                    </a:xfrm>
                    <a:prstGeom prst="rect"/>
                  </pic:spPr>
                </pic:pic>
              </a:graphicData>
            </a:graphic>
          </wp:inline>
        </w:drawing>
      </w:r>
    </w:p>
    <w:sectPr w:rsidR="00FC693F" w:rsidRPr="0006063C" w:rsidSect="00034616">
      <w:footerReference w:type="default" r:id="rId9"/>
      <w:pgSz w:w="11906" w:h="16838"/>
      <w:pgMar w:top="1417" w:right="1417" w:bottom="1417" w:left="1417" w:header="720" w:footer="720" w:gutter="0"/>
      <w:cols w:space="720"/>
      <w:docGrid w:linePitch="360"/>
      <w:lnNumType w:countBy="1" w:restart="newPa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0" w:line="480" w:lineRule="auto"/>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0" w:line="480"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0" w:line="480" w:lineRule="auto"/>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12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ext">
    <w:name w:val="CaptionText"/>
    <w:pPr>
      <w:spacing w:line="480" w:lineRule="auto"/>
      <w:jc w:val="center"/>
    </w:pPr>
    <w:rPr>
      <w:rFonts w:ascii="Times New Roman" w:hAnsi="Times New Roman"/>
      <w:b/>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ZhiRun safety-gated edge-cloud fertigation system</dc:title>
  <dc:subject>Original research article draft for Journal of Agricultural Engineering</dc:subject>
  <dc:creator>Li Tianhao; Liu Jiangping</dc:creator>
  <cp:keywords>fertigation; edge computing; ExtraTrees; flow-meter feedback; safety gate</cp:keywords>
  <dc:description>generated by python-docx</dc:description>
  <cp:lastModifiedBy/>
  <cp:revision>1</cp:revision>
  <dcterms:created xsi:type="dcterms:W3CDTF">2013-12-23T23:15:00Z</dcterms:created>
  <dcterms:modified xsi:type="dcterms:W3CDTF">2013-12-23T23:15:00Z</dcterms:modified>
  <cp:category/>
</cp:coreProperties>
</file>