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66"/>
      </w:tblGrid>
      <w:tr>
        <w:tc>
          <w:tcPr>
            <w:tcW w:type="dxa" w:w="9751"/>
            <w:shd w:fill="0F172A"/>
            <w:tcMar>
              <w:top w:w="520" w:type="dxa"/>
              <w:start w:w="380" w:type="dxa"/>
              <w:bottom w:w="520" w:type="dxa"/>
              <w:end w:w="380" w:type="dxa"/>
            </w:tcMar>
          </w:tcPr>
          <w:p>
            <w:r>
              <w:rPr>
                <w:b/>
                <w:color w:val="0EA5E9"/>
                <w:sz w:val="18"/>
              </w:rPr>
              <w:t>DRIVEFLOW  /  ARCHITECTURE BASELINE</w:t>
            </w:r>
          </w:p>
          <w:p>
            <w:pPr>
              <w:spacing w:before="360" w:after="160"/>
            </w:pPr>
            <w:r>
              <w:rPr>
                <w:rFonts w:ascii="Aptos Display" w:hAnsi="Aptos Display"/>
                <w:b/>
                <w:color w:val="FFFFFF"/>
                <w:sz w:val="58"/>
              </w:rPr>
              <w:t>Monolith</w:t>
              <w:br/>
              <w:t>End-to-End &amp;</w:t>
              <w:br/>
              <w:t>Performance Baseline</w:t>
            </w:r>
          </w:p>
          <w:p>
            <w:pPr>
              <w:spacing w:before="140" w:after="0"/>
            </w:pPr>
            <w:r>
              <w:rPr>
                <w:color w:val="CBD5E1"/>
                <w:sz w:val="22"/>
              </w:rPr>
              <w:t>A reproducible evidence package for the bachelor’s thesis and the future microservices comparison</w:t>
            </w:r>
          </w:p>
        </w:tc>
      </w:tr>
    </w:tbl>
    <w:p>
      <w:pPr>
        <w:spacing w:after="120"/>
      </w:pP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268"/>
            <w:shd w:fill="0F172A"/>
            <w:vAlign w:val="center"/>
            <w:tcMar>
              <w:top w:w="90" w:type="dxa"/>
              <w:start w:w="85" w:type="dxa"/>
              <w:bottom w:w="90" w:type="dxa"/>
              <w:end w:w="85" w:type="dxa"/>
            </w:tcMar>
          </w:tcPr>
          <w:p>
            <w:pPr>
              <w:spacing w:after="0"/>
            </w:pPr>
            <w:r>
              <w:rPr>
                <w:b/>
                <w:color w:val="FFFFFF"/>
                <w:sz w:val="17"/>
              </w:rPr>
              <w:t>Report status</w:t>
            </w:r>
          </w:p>
        </w:tc>
        <w:tc>
          <w:tcPr>
            <w:tcW w:type="dxa" w:w="1928"/>
            <w:shd w:fill="0F172A"/>
            <w:vAlign w:val="center"/>
            <w:tcMar>
              <w:top w:w="90" w:type="dxa"/>
              <w:start w:w="85" w:type="dxa"/>
              <w:bottom w:w="90" w:type="dxa"/>
              <w:end w:w="85" w:type="dxa"/>
            </w:tcMar>
          </w:tcPr>
          <w:p>
            <w:pPr>
              <w:spacing w:after="0"/>
            </w:pPr>
            <w:r>
              <w:rPr>
                <w:b/>
                <w:color w:val="FFFFFF"/>
                <w:sz w:val="17"/>
              </w:rPr>
              <w:t>Measurement date</w:t>
            </w:r>
          </w:p>
        </w:tc>
        <w:tc>
          <w:tcPr>
            <w:tcW w:type="dxa" w:w="3005"/>
            <w:shd w:fill="0F172A"/>
            <w:vAlign w:val="center"/>
            <w:tcMar>
              <w:top w:w="90" w:type="dxa"/>
              <w:start w:w="85" w:type="dxa"/>
              <w:bottom w:w="90" w:type="dxa"/>
              <w:end w:w="85" w:type="dxa"/>
            </w:tcMar>
          </w:tcPr>
          <w:p>
            <w:pPr>
              <w:spacing w:after="0"/>
            </w:pPr>
            <w:r>
              <w:rPr>
                <w:b/>
                <w:color w:val="FFFFFF"/>
                <w:sz w:val="17"/>
              </w:rPr>
              <w:t>System under test</w:t>
            </w:r>
          </w:p>
        </w:tc>
        <w:tc>
          <w:tcPr>
            <w:tcW w:type="dxa" w:w="2324"/>
            <w:shd w:fill="0F172A"/>
            <w:vAlign w:val="center"/>
            <w:tcMar>
              <w:top w:w="90" w:type="dxa"/>
              <w:start w:w="85" w:type="dxa"/>
              <w:bottom w:w="90" w:type="dxa"/>
              <w:end w:w="85" w:type="dxa"/>
            </w:tcMar>
          </w:tcPr>
          <w:p>
            <w:pPr>
              <w:spacing w:after="0"/>
            </w:pPr>
            <w:r>
              <w:rPr>
                <w:b/>
                <w:color w:val="FFFFFF"/>
                <w:sz w:val="17"/>
              </w:rPr>
              <w:t>Dataset ceiling</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Working baseline · v1.0</w:t>
            </w:r>
          </w:p>
        </w:tc>
        <w:tc>
          <w:tcPr>
            <w:tcW w:type="dxa" w:w="192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19 August 2026</w:t>
            </w:r>
          </w:p>
        </w:tc>
        <w:tc>
          <w:tcPr>
            <w:tcW w:type="dxa" w:w="300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Node.js/Express + MySQL monolith</w:t>
            </w:r>
          </w:p>
        </w:tc>
        <w:tc>
          <w:tcPr>
            <w:tcW w:type="dxa" w:w="232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50k customers · 75k leads</w:t>
            </w:r>
          </w:p>
        </w:tc>
      </w:tr>
    </w:tbl>
    <w:p>
      <w:pPr>
        <w:spacing w:after="0"/>
      </w:pPr>
    </w:p>
    <w:p>
      <w:pPr>
        <w:spacing w:after="40"/>
      </w:pPr>
    </w:p>
    <w:tbl>
      <w:tblPr>
        <w:tblW w:type="auto" w:w="0"/>
        <w:jc w:val="center"/>
        <w:tblLayout w:type="fixed"/>
        <w:tblLook w:firstColumn="1" w:firstRow="1" w:lastColumn="0" w:lastRow="0" w:noHBand="0" w:noVBand="1" w:val="04A0"/>
      </w:tblPr>
      <w:tblGrid>
        <w:gridCol w:w="9866"/>
      </w:tblGrid>
      <w:tr>
        <w:tc>
          <w:tcPr>
            <w:tcW w:type="dxa" w:w="9524"/>
            <w:shd w:fill="EFF6FF"/>
            <w:tcMar>
              <w:top w:w="120" w:type="dxa"/>
              <w:start w:w="180" w:type="dxa"/>
              <w:bottom w:w="120" w:type="dxa"/>
              <w:end w:w="130" w:type="dxa"/>
            </w:tcMar>
            <w:tcBorders>
              <w:top w:val="nil"/>
              <w:left w:val="single" w:sz="32" w:color="2563EB"/>
              <w:bottom w:val="nil"/>
              <w:right w:val="nil"/>
            </w:tcBorders>
          </w:tcPr>
          <w:p>
            <w:pPr>
              <w:spacing w:after="40"/>
            </w:pPr>
            <w:r>
              <w:rPr>
                <w:b/>
                <w:color w:val="2563EB"/>
              </w:rPr>
              <w:t>Purpose of this document</w:t>
            </w:r>
          </w:p>
          <w:p>
            <w:pPr>
              <w:spacing w:after="0"/>
            </w:pPr>
            <w:r>
              <w:t>Record the monolith’s observed correctness, capacity, failure modes, and resource behavior before architectural migration. The same automated suite is preserved as the comparison instrument for the microservices implementation.</w:t>
            </w:r>
          </w:p>
        </w:tc>
      </w:tr>
    </w:tbl>
    <w:p>
      <w:pPr>
        <w:spacing w:after="0"/>
      </w:pPr>
    </w:p>
    <w:p>
      <w:pPr>
        <w:spacing w:before="1600"/>
        <w:jc w:val="right"/>
      </w:pPr>
      <w:r>
        <w:rPr>
          <w:color w:val="64748B"/>
          <w:sz w:val="16"/>
        </w:rPr>
        <w:t>Prepared from automated test artifacts</w:t>
        <w:br/>
        <w:t>E:\thesis-project\testing\results</w:t>
      </w:r>
    </w:p>
    <w:p>
      <w:r>
        <w:br w:type="page"/>
      </w:r>
    </w:p>
    <w:p>
      <w:pPr>
        <w:spacing w:after="40"/>
      </w:pPr>
      <w:r>
        <w:rPr>
          <w:b/>
          <w:color w:val="0EA5E9"/>
          <w:sz w:val="16"/>
        </w:rPr>
        <w:t>SECTION 01</w:t>
      </w:r>
    </w:p>
    <w:p>
      <w:pPr>
        <w:pStyle w:val="Heading1"/>
      </w:pPr>
      <w:r>
        <w:t>Executive summary</w:t>
      </w:r>
    </w:p>
    <w:p>
      <w:pPr>
        <w:spacing w:after="180"/>
      </w:pPr>
      <w:r>
        <w:rPr>
          <w:color w:val="64748B"/>
          <w:sz w:val="20"/>
        </w:rPr>
        <w:t>The monolith is functionally complete under the tested flows, but its practical capacity is constrained by queued database work and CPU-heavy authentication.</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fill="ECFDF5"/>
            <w:tcMar>
              <w:top w:w="130" w:type="dxa"/>
              <w:start w:w="90" w:type="dxa"/>
              <w:bottom w:w="120" w:type="dxa"/>
              <w:end w:w="90" w:type="dxa"/>
            </w:tcMar>
          </w:tcPr>
          <w:p>
            <w:pPr>
              <w:spacing w:after="40"/>
              <w:jc w:val="center"/>
            </w:pPr>
            <w:r>
              <w:rPr>
                <w:b/>
                <w:color w:val="059669"/>
                <w:sz w:val="32"/>
              </w:rPr>
              <w:t>6 / 6</w:t>
            </w:r>
          </w:p>
          <w:p>
            <w:pPr>
              <w:spacing w:after="0"/>
              <w:jc w:val="center"/>
            </w:pPr>
            <w:r>
              <w:rPr>
                <w:color w:val="334155"/>
                <w:sz w:val="15"/>
              </w:rPr>
              <w:t>E2E workflows passed</w:t>
            </w:r>
          </w:p>
        </w:tc>
        <w:tc>
          <w:tcPr>
            <w:tcW w:type="dxa" w:w="2466"/>
            <w:shd w:fill="ECFDF5"/>
            <w:tcMar>
              <w:top w:w="130" w:type="dxa"/>
              <w:start w:w="90" w:type="dxa"/>
              <w:bottom w:w="120" w:type="dxa"/>
              <w:end w:w="90" w:type="dxa"/>
            </w:tcMar>
          </w:tcPr>
          <w:p>
            <w:pPr>
              <w:spacing w:after="40"/>
              <w:jc w:val="center"/>
            </w:pPr>
            <w:r>
              <w:rPr>
                <w:b/>
                <w:color w:val="059669"/>
                <w:sz w:val="32"/>
              </w:rPr>
              <w:t>49 rps</w:t>
            </w:r>
          </w:p>
          <w:p>
            <w:pPr>
              <w:spacing w:after="0"/>
              <w:jc w:val="center"/>
            </w:pPr>
            <w:r>
              <w:rPr>
                <w:color w:val="334155"/>
                <w:sz w:val="15"/>
              </w:rPr>
              <w:t>20-VU steady state</w:t>
            </w:r>
          </w:p>
        </w:tc>
        <w:tc>
          <w:tcPr>
            <w:tcW w:type="dxa" w:w="2466"/>
            <w:shd w:fill="ECFDF5"/>
            <w:tcMar>
              <w:top w:w="130" w:type="dxa"/>
              <w:start w:w="90" w:type="dxa"/>
              <w:bottom w:w="120" w:type="dxa"/>
              <w:end w:w="90" w:type="dxa"/>
            </w:tcMar>
          </w:tcPr>
          <w:p>
            <w:pPr>
              <w:spacing w:after="40"/>
              <w:jc w:val="center"/>
            </w:pPr>
            <w:r>
              <w:rPr>
                <w:b/>
                <w:color w:val="059669"/>
                <w:sz w:val="32"/>
              </w:rPr>
              <w:t>0%</w:t>
            </w:r>
          </w:p>
          <w:p>
            <w:pPr>
              <w:spacing w:after="0"/>
              <w:jc w:val="center"/>
            </w:pPr>
            <w:r>
              <w:rPr>
                <w:color w:val="334155"/>
                <w:sz w:val="15"/>
              </w:rPr>
              <w:t>read-workload failures</w:t>
            </w:r>
          </w:p>
        </w:tc>
        <w:tc>
          <w:tcPr>
            <w:tcW w:type="dxa" w:w="2466"/>
            <w:shd w:fill="FEF2F2"/>
            <w:tcMar>
              <w:top w:w="130" w:type="dxa"/>
              <w:start w:w="90" w:type="dxa"/>
              <w:bottom w:w="120" w:type="dxa"/>
              <w:end w:w="90" w:type="dxa"/>
            </w:tcMar>
          </w:tcPr>
          <w:p>
            <w:pPr>
              <w:spacing w:after="40"/>
              <w:jc w:val="center"/>
            </w:pPr>
            <w:r>
              <w:rPr>
                <w:b/>
                <w:color w:val="DC2626"/>
                <w:sz w:val="32"/>
              </w:rPr>
              <w:t>1.30 s</w:t>
            </w:r>
          </w:p>
          <w:p>
            <w:pPr>
              <w:spacing w:after="0"/>
              <w:jc w:val="center"/>
            </w:pPr>
            <w:r>
              <w:rPr>
                <w:color w:val="334155"/>
                <w:sz w:val="15"/>
              </w:rPr>
              <w:t>stress p95</w:t>
            </w:r>
          </w:p>
        </w:tc>
      </w:tr>
    </w:tbl>
    <w:p>
      <w:pPr>
        <w:spacing w:after="0"/>
      </w:pPr>
    </w:p>
    <w:p>
      <w:pPr>
        <w:pStyle w:val="Heading2"/>
      </w:pPr>
      <w:r>
        <w:t>Decision-grade findings</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57"/>
            <w:shd w:fill="0F172A"/>
            <w:vAlign w:val="center"/>
            <w:tcMar>
              <w:top w:w="90" w:type="dxa"/>
              <w:start w:w="85" w:type="dxa"/>
              <w:bottom w:w="90" w:type="dxa"/>
              <w:end w:w="85" w:type="dxa"/>
            </w:tcMar>
          </w:tcPr>
          <w:p>
            <w:pPr>
              <w:spacing w:after="0"/>
            </w:pPr>
            <w:r>
              <w:rPr>
                <w:b/>
                <w:color w:val="FFFFFF"/>
                <w:sz w:val="15"/>
              </w:rPr>
              <w:t>Area</w:t>
            </w:r>
          </w:p>
        </w:tc>
        <w:tc>
          <w:tcPr>
            <w:tcW w:type="dxa" w:w="1020"/>
            <w:shd w:fill="0F172A"/>
            <w:vAlign w:val="center"/>
            <w:tcMar>
              <w:top w:w="90" w:type="dxa"/>
              <w:start w:w="85" w:type="dxa"/>
              <w:bottom w:w="90" w:type="dxa"/>
              <w:end w:w="85" w:type="dxa"/>
            </w:tcMar>
          </w:tcPr>
          <w:p>
            <w:pPr>
              <w:spacing w:after="0"/>
            </w:pPr>
            <w:r>
              <w:rPr>
                <w:b/>
                <w:color w:val="FFFFFF"/>
                <w:sz w:val="15"/>
              </w:rPr>
              <w:t>Status</w:t>
            </w:r>
          </w:p>
        </w:tc>
        <w:tc>
          <w:tcPr>
            <w:tcW w:type="dxa" w:w="6746"/>
            <w:shd w:fill="0F172A"/>
            <w:vAlign w:val="center"/>
            <w:tcMar>
              <w:top w:w="90" w:type="dxa"/>
              <w:start w:w="85" w:type="dxa"/>
              <w:bottom w:w="90" w:type="dxa"/>
              <w:end w:w="85" w:type="dxa"/>
            </w:tcMar>
          </w:tcPr>
          <w:p>
            <w:pPr>
              <w:spacing w:after="0"/>
            </w:pPr>
            <w:r>
              <w:rPr>
                <w:b/>
                <w:color w:val="FFFFFF"/>
                <w:sz w:val="15"/>
              </w:rPr>
              <w:t>Evidence</w:t>
            </w:r>
          </w:p>
        </w:tc>
      </w:tr>
      <w:tr>
        <w:trPr>
          <w:cantSplit/>
        </w:trPr>
        <w:tc>
          <w:tcPr>
            <w:tcW w:type="dxa" w:w="17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Functional readiness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PASS</w:t>
            </w:r>
          </w:p>
        </w:tc>
        <w:tc>
          <w:tcPr>
            <w:tcW w:type="dxa" w:w="6746"/>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Authentication, authorization, navigation, API contracts, and the complete dealership transaction flow passed in the production build.</w:t>
            </w:r>
          </w:p>
        </w:tc>
      </w:tr>
      <w:tr>
        <w:trPr>
          <w:cantSplit/>
        </w:trPr>
        <w:tc>
          <w:tcPr>
            <w:tcW w:type="dxa" w:w="17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Steady-state behavior</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PASS</w:t>
            </w:r>
          </w:p>
        </w:tc>
        <w:tc>
          <w:tcPr>
            <w:tcW w:type="dxa" w:w="6746"/>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At 20 virtual users, the mixed read profile sustained 48.6 requests/s with 235.8 ms p95 latency and no request failures. The 30-minute soak reproduced this level without meaningful heap growth.</w:t>
            </w:r>
          </w:p>
        </w:tc>
      </w:tr>
      <w:tr>
        <w:trPr>
          <w:cantSplit/>
        </w:trPr>
        <w:tc>
          <w:tcPr>
            <w:tcW w:type="dxa" w:w="17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Capacity ceiling</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FAIL</w:t>
            </w:r>
          </w:p>
        </w:tc>
        <w:tc>
          <w:tcPr>
            <w:tcW w:type="dxa" w:w="6746"/>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Throughput remained approximately 49–51 requests/s while concurrency grew from 20 to 200 users. p95 latency increased from 236 ms to 3.48 s, indicating queueing rather than added capacity.</w:t>
            </w:r>
          </w:p>
        </w:tc>
      </w:tr>
      <w:tr>
        <w:trPr>
          <w:cantSplit/>
        </w:trPr>
        <w:tc>
          <w:tcPr>
            <w:tcW w:type="dxa" w:w="17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Authentication</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FAIL</w:t>
            </w:r>
          </w:p>
        </w:tc>
        <w:tc>
          <w:tcPr>
            <w:tcW w:type="dxa" w:w="6746"/>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The staged login test completed only 661 of 1,890 scheduled iterations, dropped 1,229, reached 40.43 s p95, and hit the 100-VU executor cap.</w:t>
            </w:r>
          </w:p>
        </w:tc>
      </w:tr>
      <w:tr>
        <w:trPr>
          <w:cantSplit/>
        </w:trPr>
        <w:tc>
          <w:tcPr>
            <w:tcW w:type="dxa" w:w="17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Large-data search</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FAIL</w:t>
            </w:r>
          </w:p>
        </w:tc>
        <w:tc>
          <w:tcPr>
            <w:tcW w:type="dxa" w:w="6746"/>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Search/deep-page p95 grew from 18.8 ms at 1k customers to 1.23 s at 50k customers. EXPLAIN ANALYZE shows tenant-wide scans caused by CONCAT_WS(... ) LIKE '%term%'.</w:t>
            </w:r>
          </w:p>
        </w:tc>
      </w:tr>
      <w:tr>
        <w:trPr>
          <w:cantSplit/>
        </w:trPr>
        <w:tc>
          <w:tcPr>
            <w:tcW w:type="dxa" w:w="17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Transactional correctness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MIXED</w:t>
            </w:r>
          </w:p>
        </w:tc>
        <w:tc>
          <w:tcPr>
            <w:tcW w:type="dxa" w:w="6746"/>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Concurrent sale completion behaved correctly (1 success, 19 conflicts). Concurrent vehicle reservation preserved uniqueness, but 9 of 20 requests surfaced database deadlocks as HTTP 500 responses.</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524"/>
            <w:shd w:fill="FFFBEB"/>
            <w:tcMar>
              <w:top w:w="120" w:type="dxa"/>
              <w:start w:w="180" w:type="dxa"/>
              <w:bottom w:w="120" w:type="dxa"/>
              <w:end w:w="130" w:type="dxa"/>
            </w:tcMar>
            <w:tcBorders>
              <w:top w:val="nil"/>
              <w:left w:val="single" w:sz="32" w:color="D97706"/>
              <w:bottom w:val="nil"/>
              <w:right w:val="nil"/>
            </w:tcBorders>
          </w:tcPr>
          <w:p>
            <w:pPr>
              <w:spacing w:after="40"/>
            </w:pPr>
            <w:r>
              <w:rPr>
                <w:b/>
                <w:color w:val="D97706"/>
              </w:rPr>
              <w:t>Bottom line</w:t>
            </w:r>
          </w:p>
          <w:p>
            <w:pPr>
              <w:spacing w:after="0"/>
            </w:pPr>
            <w:r>
              <w:t>The monolith is suitable as a functional baseline. Before attributing improvements to microservices, the comparison must preserve data volume, request mix, environment, thresholds, and run order. Architecture alone should not be credited for changes caused by indexing, pool tuning, caching, or hardware.</w:t>
            </w:r>
          </w:p>
        </w:tc>
      </w:tr>
    </w:tbl>
    <w:p>
      <w:pPr>
        <w:spacing w:after="0"/>
      </w:pPr>
    </w:p>
    <w:p>
      <w:r>
        <w:br w:type="page"/>
      </w:r>
    </w:p>
    <w:p>
      <w:pPr>
        <w:spacing w:after="40"/>
      </w:pPr>
      <w:r>
        <w:rPr>
          <w:b/>
          <w:color w:val="0EA5E9"/>
          <w:sz w:val="16"/>
        </w:rPr>
        <w:t>SECTION 02</w:t>
      </w:r>
    </w:p>
    <w:p>
      <w:pPr>
        <w:pStyle w:val="Heading1"/>
      </w:pPr>
      <w:r>
        <w:t>Study design and scope</w:t>
      </w:r>
    </w:p>
    <w:p>
      <w:pPr>
        <w:spacing w:after="180"/>
      </w:pPr>
      <w:r>
        <w:rPr>
          <w:color w:val="64748B"/>
          <w:sz w:val="20"/>
        </w:rPr>
        <w:t>A controlled, repeatable protocol designed for a monolith-to-microservices comparison.</w:t>
      </w:r>
    </w:p>
    <w:p>
      <w:pPr>
        <w:pStyle w:val="Heading2"/>
      </w:pPr>
      <w:r>
        <w:t>Research framing</w:t>
      </w:r>
    </w:p>
    <w:p>
      <w:r>
        <w:rPr>
          <w:b/>
          <w:color w:val="0F172A"/>
        </w:rPr>
        <w:t>Independent variable:</w:t>
      </w:r>
      <w:r>
        <w:t xml:space="preserve"> deployment architecture — the current monolith versus the future microservices implementation.</w:t>
      </w:r>
    </w:p>
    <w:p>
      <w:r>
        <w:rPr>
          <w:b/>
          <w:color w:val="0F172A"/>
        </w:rPr>
        <w:t>Dependent variables:</w:t>
      </w:r>
      <w:r>
        <w:t xml:space="preserve"> correctness, throughput, p50/p95/p99 latency, error rate, dropped work, resource consumption, database behavior, and frontend quality.</w:t>
      </w:r>
    </w:p>
    <w:p>
      <w:r>
        <w:rPr>
          <w:b/>
          <w:color w:val="0F172A"/>
        </w:rPr>
        <w:t>Controlled variables:</w:t>
      </w:r>
      <w:r>
        <w:t xml:space="preserve"> workload scripts, dataset seeds, endpoint semantics, test host, database version and configuration, runtime version, thresholds, warm-up, and measurement duration.</w:t>
      </w:r>
    </w:p>
    <w:p>
      <w:pPr>
        <w:pStyle w:val="Heading2"/>
      </w:pPr>
      <w:r>
        <w:t>Test portfolio</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474"/>
            <w:shd w:fill="0F172A"/>
            <w:vAlign w:val="center"/>
            <w:tcMar>
              <w:top w:w="90" w:type="dxa"/>
              <w:start w:w="85" w:type="dxa"/>
              <w:bottom w:w="90" w:type="dxa"/>
              <w:end w:w="85" w:type="dxa"/>
            </w:tcMar>
          </w:tcPr>
          <w:p>
            <w:pPr>
              <w:spacing w:after="0"/>
            </w:pPr>
            <w:r>
              <w:rPr>
                <w:b/>
                <w:color w:val="FFFFFF"/>
                <w:sz w:val="15"/>
              </w:rPr>
              <w:t>Layer</w:t>
            </w:r>
          </w:p>
        </w:tc>
        <w:tc>
          <w:tcPr>
            <w:tcW w:type="dxa" w:w="1814"/>
            <w:shd w:fill="0F172A"/>
            <w:vAlign w:val="center"/>
            <w:tcMar>
              <w:top w:w="90" w:type="dxa"/>
              <w:start w:w="85" w:type="dxa"/>
              <w:bottom w:w="90" w:type="dxa"/>
              <w:end w:w="85" w:type="dxa"/>
            </w:tcMar>
          </w:tcPr>
          <w:p>
            <w:pPr>
              <w:spacing w:after="0"/>
            </w:pPr>
            <w:r>
              <w:rPr>
                <w:b/>
                <w:color w:val="FFFFFF"/>
                <w:sz w:val="15"/>
              </w:rPr>
              <w:t>Instrument</w:t>
            </w:r>
          </w:p>
        </w:tc>
        <w:tc>
          <w:tcPr>
            <w:tcW w:type="dxa" w:w="3969"/>
            <w:shd w:fill="0F172A"/>
            <w:vAlign w:val="center"/>
            <w:tcMar>
              <w:top w:w="90" w:type="dxa"/>
              <w:start w:w="85" w:type="dxa"/>
              <w:bottom w:w="90" w:type="dxa"/>
              <w:end w:w="85" w:type="dxa"/>
            </w:tcMar>
          </w:tcPr>
          <w:p>
            <w:pPr>
              <w:spacing w:after="0"/>
            </w:pPr>
            <w:r>
              <w:rPr>
                <w:b/>
                <w:color w:val="FFFFFF"/>
                <w:sz w:val="15"/>
              </w:rPr>
              <w:t>Coverage</w:t>
            </w:r>
          </w:p>
        </w:tc>
        <w:tc>
          <w:tcPr>
            <w:tcW w:type="dxa" w:w="2268"/>
            <w:shd w:fill="0F172A"/>
            <w:vAlign w:val="center"/>
            <w:tcMar>
              <w:top w:w="90" w:type="dxa"/>
              <w:start w:w="85" w:type="dxa"/>
              <w:bottom w:w="90" w:type="dxa"/>
              <w:end w:w="85" w:type="dxa"/>
            </w:tcMar>
          </w:tcPr>
          <w:p>
            <w:pPr>
              <w:spacing w:after="0"/>
            </w:pPr>
            <w:r>
              <w:rPr>
                <w:b/>
                <w:color w:val="FFFFFF"/>
                <w:sz w:val="15"/>
              </w:rPr>
              <w:t>Primary evidence</w:t>
            </w:r>
          </w:p>
        </w:tc>
      </w:tr>
      <w:tr>
        <w:trPr>
          <w:cantSplit/>
        </w:trPr>
        <w:tc>
          <w:tcPr>
            <w:tcW w:type="dxa" w:w="147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Functional UI/API</w:t>
            </w:r>
          </w:p>
        </w:tc>
        <w:tc>
          <w:tcPr>
            <w:tcW w:type="dxa" w:w="181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Playwright</w:t>
            </w:r>
          </w:p>
        </w:tc>
        <w:tc>
          <w:tcPr>
            <w:tcW w:type="dxa" w:w="3969"/>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Auth, refresh, logout, RBAC, routing, API errors, full sale workflow</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6 browser/API scenarios</w:t>
            </w:r>
          </w:p>
        </w:tc>
      </w:tr>
      <w:tr>
        <w:trPr>
          <w:cantSplit/>
        </w:trPr>
        <w:tc>
          <w:tcPr>
            <w:tcW w:type="dxa" w:w="147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Performance</w:t>
            </w:r>
          </w:p>
        </w:tc>
        <w:tc>
          <w:tcPr>
            <w:tcW w:type="dxa" w:w="181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Grafana k6 2.2.0</w:t>
            </w:r>
          </w:p>
        </w:tc>
        <w:tc>
          <w:tcPr>
            <w:tcW w:type="dxa" w:w="3969"/>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Smoke, baseline, average, stress, spike, soak, breakpoint</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Latency, throughput, failures</w:t>
            </w:r>
          </w:p>
        </w:tc>
      </w:tr>
      <w:tr>
        <w:trPr>
          <w:cantSplit/>
        </w:trPr>
        <w:tc>
          <w:tcPr>
            <w:tcW w:type="dxa" w:w="147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Scalability</w:t>
            </w:r>
          </w:p>
        </w:tc>
        <w:tc>
          <w:tcPr>
            <w:tcW w:type="dxa" w:w="181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k6 + seeded datasets</w:t>
            </w:r>
          </w:p>
        </w:tc>
        <w:tc>
          <w:tcPr>
            <w:tcW w:type="dxa" w:w="3969"/>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Search and deep pagination at 1k, 10k, and 50k customers</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Scale curve and EXPLAIN ANALYZE</w:t>
            </w:r>
          </w:p>
        </w:tc>
      </w:tr>
      <w:tr>
        <w:trPr>
          <w:cantSplit/>
        </w:trPr>
        <w:tc>
          <w:tcPr>
            <w:tcW w:type="dxa" w:w="147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Correctness under race</w:t>
            </w:r>
          </w:p>
        </w:tc>
        <w:tc>
          <w:tcPr>
            <w:tcW w:type="dxa" w:w="181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k6</w:t>
            </w:r>
          </w:p>
        </w:tc>
        <w:tc>
          <w:tcPr>
            <w:tcW w:type="dxa" w:w="3969"/>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20-way reservation and 20-way sale completion</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Success/conflict/error distribution</w:t>
            </w:r>
          </w:p>
        </w:tc>
      </w:tr>
      <w:tr>
        <w:trPr>
          <w:cantSplit/>
        </w:trPr>
        <w:tc>
          <w:tcPr>
            <w:tcW w:type="dxa" w:w="147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Runtime</w:t>
            </w:r>
          </w:p>
        </w:tc>
        <w:tc>
          <w:tcPr>
            <w:tcW w:type="dxa" w:w="181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Node inspector + CSV monitor</w:t>
            </w:r>
          </w:p>
        </w:tc>
        <w:tc>
          <w:tcPr>
            <w:tcW w:type="dxa" w:w="3969"/>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CPU, heap allocations, RSS, event loop</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CPU/heap profiles and 1 s telemetry</w:t>
            </w:r>
          </w:p>
        </w:tc>
      </w:tr>
      <w:tr>
        <w:trPr>
          <w:cantSplit/>
        </w:trPr>
        <w:tc>
          <w:tcPr>
            <w:tcW w:type="dxa" w:w="147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Frontend quality</w:t>
            </w:r>
          </w:p>
        </w:tc>
        <w:tc>
          <w:tcPr>
            <w:tcW w:type="dxa" w:w="181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Lighthouse 12.8.2</w:t>
            </w:r>
          </w:p>
        </w:tc>
        <w:tc>
          <w:tcPr>
            <w:tcW w:type="dxa" w:w="3969"/>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Public login and authenticated dashboard</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Four category scores</w:t>
            </w:r>
          </w:p>
        </w:tc>
      </w:tr>
    </w:tbl>
    <w:p>
      <w:pPr>
        <w:spacing w:after="0"/>
      </w:pPr>
    </w:p>
    <w:p>
      <w:pPr>
        <w:pStyle w:val="Heading2"/>
      </w:pPr>
      <w:r>
        <w:t>Acceptance thresholds used</w:t>
      </w:r>
    </w:p>
    <w:p>
      <w:pPr>
        <w:pStyle w:val="ListBullet"/>
        <w:spacing w:after="50"/>
      </w:pPr>
      <w:r>
        <w:t>Functional scenarios: 100% pass; authorization failures must return stable 401/403 responses.</w:t>
      </w:r>
    </w:p>
    <w:p>
      <w:pPr>
        <w:pStyle w:val="ListBullet"/>
        <w:spacing w:after="50"/>
      </w:pPr>
      <w:r>
        <w:t>Normal mixed reads: p95 &lt; 500 ms and HTTP failure rate &lt; 1%.</w:t>
      </w:r>
    </w:p>
    <w:p>
      <w:pPr>
        <w:pStyle w:val="ListBullet"/>
        <w:spacing w:after="50"/>
      </w:pPr>
      <w:r>
        <w:t>Large-data search guard: p95 &lt; 750 ms.</w:t>
      </w:r>
    </w:p>
    <w:p>
      <w:pPr>
        <w:pStyle w:val="ListBullet"/>
        <w:spacing w:after="50"/>
      </w:pPr>
      <w:r>
        <w:t>Race tests: exactly one successful state transition; all losing attempts must return controlled conflicts, never HTTP 500.</w:t>
      </w:r>
    </w:p>
    <w:p>
      <w:pPr>
        <w:pStyle w:val="ListBullet"/>
        <w:spacing w:after="50"/>
      </w:pPr>
      <w:r>
        <w:t>Soak: stable request quality and no sustained RSS/heap growth trend over 30 minutes.</w:t>
      </w:r>
    </w:p>
    <w:tbl>
      <w:tblPr>
        <w:tblW w:type="auto" w:w="0"/>
        <w:jc w:val="center"/>
        <w:tblLayout w:type="fixed"/>
        <w:tblLook w:firstColumn="1" w:firstRow="1" w:lastColumn="0" w:lastRow="0" w:noHBand="0" w:noVBand="1" w:val="04A0"/>
      </w:tblPr>
      <w:tblGrid>
        <w:gridCol w:w="9866"/>
      </w:tblGrid>
      <w:tr>
        <w:tc>
          <w:tcPr>
            <w:tcW w:type="dxa" w:w="9524"/>
            <w:shd w:fill="FFFBEB"/>
            <w:tcMar>
              <w:top w:w="120" w:type="dxa"/>
              <w:start w:w="180" w:type="dxa"/>
              <w:bottom w:w="120" w:type="dxa"/>
              <w:end w:w="130" w:type="dxa"/>
            </w:tcMar>
            <w:tcBorders>
              <w:top w:val="nil"/>
              <w:left w:val="single" w:sz="32" w:color="D97706"/>
              <w:bottom w:val="nil"/>
              <w:right w:val="nil"/>
            </w:tcBorders>
          </w:tcPr>
          <w:p>
            <w:pPr>
              <w:spacing w:after="40"/>
            </w:pPr>
            <w:r>
              <w:rPr>
                <w:b/>
                <w:color w:val="D97706"/>
              </w:rPr>
              <w:t>Validity boundary</w:t>
            </w:r>
          </w:p>
          <w:p>
            <w:pPr>
              <w:spacing w:after="0"/>
            </w:pPr>
            <w:r>
              <w:t>Each performance profile was executed once on a local, shared test host with synthetic data. These measurements establish an engineering baseline, not population-level statistical confidence. For the final thesis, execute 3–5 repetitions per architecture and report median values plus dispersion or confidence intervals.</w:t>
            </w:r>
          </w:p>
        </w:tc>
      </w:tr>
    </w:tbl>
    <w:p>
      <w:pPr>
        <w:spacing w:after="0"/>
      </w:pPr>
    </w:p>
    <w:p>
      <w:r>
        <w:br w:type="page"/>
      </w:r>
    </w:p>
    <w:p>
      <w:pPr>
        <w:spacing w:after="40"/>
      </w:pPr>
      <w:r>
        <w:rPr>
          <w:b/>
          <w:color w:val="0EA5E9"/>
          <w:sz w:val="16"/>
        </w:rPr>
        <w:t>SECTION 03</w:t>
      </w:r>
    </w:p>
    <w:p>
      <w:pPr>
        <w:pStyle w:val="Heading1"/>
      </w:pPr>
      <w:r>
        <w:t>System under test</w:t>
      </w:r>
    </w:p>
    <w:p>
      <w:pPr>
        <w:spacing w:after="180"/>
      </w:pPr>
      <w:r>
        <w:rPr>
          <w:color w:val="64748B"/>
          <w:sz w:val="20"/>
        </w:rPr>
        <w:t>Production frontend and backend builds, isolated performance database, and three deterministic dataset sizes.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0F172A"/>
            <w:vAlign w:val="center"/>
            <w:tcMar>
              <w:top w:w="90" w:type="dxa"/>
              <w:start w:w="85" w:type="dxa"/>
              <w:bottom w:w="90" w:type="dxa"/>
              <w:end w:w="85" w:type="dxa"/>
            </w:tcMar>
          </w:tcPr>
          <w:p>
            <w:pPr>
              <w:spacing w:after="0"/>
            </w:pPr>
            <w:r>
              <w:rPr>
                <w:b/>
                <w:color w:val="FFFFFF"/>
                <w:sz w:val="16"/>
              </w:rPr>
              <w:t>Component</w:t>
            </w:r>
          </w:p>
        </w:tc>
        <w:tc>
          <w:tcPr>
            <w:tcW w:type="dxa" w:w="7257"/>
            <w:shd w:fill="0F172A"/>
            <w:vAlign w:val="center"/>
            <w:tcMar>
              <w:top w:w="90" w:type="dxa"/>
              <w:start w:w="85" w:type="dxa"/>
              <w:bottom w:w="90" w:type="dxa"/>
              <w:end w:w="85" w:type="dxa"/>
            </w:tcMar>
          </w:tcPr>
          <w:p>
            <w:pPr>
              <w:spacing w:after="0"/>
            </w:pPr>
            <w:r>
              <w:rPr>
                <w:b/>
                <w:color w:val="FFFFFF"/>
                <w:sz w:val="16"/>
              </w:rPr>
              <w:t>Measured configuration</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Application</w:t>
            </w:r>
          </w:p>
        </w:tc>
        <w:tc>
          <w:tcPr>
            <w:tcW w:type="dxa" w:w="72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Node.js v22.14.0 (x64), Express/TypeScript production build</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Database</w:t>
            </w:r>
          </w:p>
        </w:tc>
        <w:tc>
          <w:tcPr>
            <w:tcW w:type="dxa" w:w="72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MySQL 8.0.44; 128 MB InnoDB buffer pool; max_connections=151; Performance Schema ON</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Application DB pool</w:t>
            </w:r>
          </w:p>
        </w:tc>
        <w:tc>
          <w:tcPr>
            <w:tcW w:type="dxa" w:w="72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connectionLimit=10; waitForConnections=true; queueLimit=0 (unbounded queue)</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Host</w:t>
            </w:r>
          </w:p>
        </w:tc>
        <w:tc>
          <w:tcPr>
            <w:tcW w:type="dxa" w:w="72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Windows 10.0.26200; 11th Gen Intel(R) Core(TM) i5-11400H @ 2.70GHz; 12 logical CPUs; 7.73 GB RAM</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Load topology</w:t>
            </w:r>
          </w:p>
        </w:tc>
        <w:tc>
          <w:tcPr>
            <w:tcW w:type="dxa" w:w="72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Application, MySQL, browser, and load generator on the same host</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Transport</w:t>
            </w:r>
          </w:p>
        </w:tc>
        <w:tc>
          <w:tcPr>
            <w:tcW w:type="dxa" w:w="72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Local HTTP; no TLS, WAN latency, reverse proxy, container scheduler, or autoscaling</w:t>
            </w:r>
          </w:p>
        </w:tc>
      </w:tr>
    </w:tbl>
    <w:p>
      <w:pPr>
        <w:spacing w:after="0"/>
      </w:pPr>
    </w:p>
    <w:p>
      <w:pPr>
        <w:pStyle w:val="Heading2"/>
      </w:pPr>
      <w:r>
        <w:t>Seeded dataset sizes</w:t>
      </w:r>
    </w:p>
    <w:tbl>
      <w:tblPr>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cantSplit/>
        </w:trPr>
        <w:tc>
          <w:tcPr>
            <w:tcW w:type="dxa" w:w="1247"/>
            <w:shd w:fill="0F172A"/>
            <w:vAlign w:val="center"/>
            <w:tcMar>
              <w:top w:w="90" w:type="dxa"/>
              <w:start w:w="85" w:type="dxa"/>
              <w:bottom w:w="90" w:type="dxa"/>
              <w:end w:w="85" w:type="dxa"/>
            </w:tcMar>
          </w:tcPr>
          <w:p>
            <w:pPr>
              <w:spacing w:after="0"/>
            </w:pPr>
            <w:r>
              <w:rPr>
                <w:b/>
                <w:color w:val="FFFFFF"/>
                <w:sz w:val="15"/>
              </w:rPr>
              <w:t>Dataset</w:t>
            </w:r>
          </w:p>
        </w:tc>
        <w:tc>
          <w:tcPr>
            <w:tcW w:type="dxa" w:w="1134"/>
            <w:shd w:fill="0F172A"/>
            <w:vAlign w:val="center"/>
            <w:tcMar>
              <w:top w:w="90" w:type="dxa"/>
              <w:start w:w="85" w:type="dxa"/>
              <w:bottom w:w="90" w:type="dxa"/>
              <w:end w:w="85" w:type="dxa"/>
            </w:tcMar>
          </w:tcPr>
          <w:p>
            <w:pPr>
              <w:spacing w:after="0"/>
            </w:pPr>
            <w:r>
              <w:rPr>
                <w:b/>
                <w:color w:val="FFFFFF"/>
                <w:sz w:val="15"/>
              </w:rPr>
              <w:t>Vehicles</w:t>
            </w:r>
          </w:p>
        </w:tc>
        <w:tc>
          <w:tcPr>
            <w:tcW w:type="dxa" w:w="1247"/>
            <w:shd w:fill="0F172A"/>
            <w:vAlign w:val="center"/>
            <w:tcMar>
              <w:top w:w="90" w:type="dxa"/>
              <w:start w:w="85" w:type="dxa"/>
              <w:bottom w:w="90" w:type="dxa"/>
              <w:end w:w="85" w:type="dxa"/>
            </w:tcMar>
          </w:tcPr>
          <w:p>
            <w:pPr>
              <w:spacing w:after="0"/>
            </w:pPr>
            <w:r>
              <w:rPr>
                <w:b/>
                <w:color w:val="FFFFFF"/>
                <w:sz w:val="15"/>
              </w:rPr>
              <w:t>Customers</w:t>
            </w:r>
          </w:p>
        </w:tc>
        <w:tc>
          <w:tcPr>
            <w:tcW w:type="dxa" w:w="1191"/>
            <w:shd w:fill="0F172A"/>
            <w:vAlign w:val="center"/>
            <w:tcMar>
              <w:top w:w="90" w:type="dxa"/>
              <w:start w:w="85" w:type="dxa"/>
              <w:bottom w:w="90" w:type="dxa"/>
              <w:end w:w="85" w:type="dxa"/>
            </w:tcMar>
          </w:tcPr>
          <w:p>
            <w:pPr>
              <w:spacing w:after="0"/>
            </w:pPr>
            <w:r>
              <w:rPr>
                <w:b/>
                <w:color w:val="FFFFFF"/>
                <w:sz w:val="15"/>
              </w:rPr>
              <w:t>Leads</w:t>
            </w:r>
          </w:p>
        </w:tc>
        <w:tc>
          <w:tcPr>
            <w:tcW w:type="dxa" w:w="1304"/>
            <w:shd w:fill="0F172A"/>
            <w:vAlign w:val="center"/>
            <w:tcMar>
              <w:top w:w="90" w:type="dxa"/>
              <w:start w:w="85" w:type="dxa"/>
              <w:bottom w:w="90" w:type="dxa"/>
              <w:end w:w="85" w:type="dxa"/>
            </w:tcMar>
          </w:tcPr>
          <w:p>
            <w:pPr>
              <w:spacing w:after="0"/>
            </w:pPr>
            <w:r>
              <w:rPr>
                <w:b/>
                <w:color w:val="FFFFFF"/>
                <w:sz w:val="15"/>
              </w:rPr>
              <w:t>Activities</w:t>
            </w:r>
          </w:p>
        </w:tc>
        <w:tc>
          <w:tcPr>
            <w:tcW w:type="dxa" w:w="1134"/>
            <w:shd w:fill="0F172A"/>
            <w:vAlign w:val="center"/>
            <w:tcMar>
              <w:top w:w="90" w:type="dxa"/>
              <w:start w:w="85" w:type="dxa"/>
              <w:bottom w:w="90" w:type="dxa"/>
              <w:end w:w="85" w:type="dxa"/>
            </w:tcMar>
          </w:tcPr>
          <w:p>
            <w:pPr>
              <w:spacing w:after="0"/>
            </w:pPr>
            <w:r>
              <w:rPr>
                <w:b/>
                <w:color w:val="FFFFFF"/>
                <w:sz w:val="15"/>
              </w:rPr>
              <w:t>Offers</w:t>
            </w:r>
          </w:p>
        </w:tc>
        <w:tc>
          <w:tcPr>
            <w:tcW w:type="dxa" w:w="1247"/>
            <w:shd w:fill="0F172A"/>
            <w:vAlign w:val="center"/>
            <w:tcMar>
              <w:top w:w="90" w:type="dxa"/>
              <w:start w:w="85" w:type="dxa"/>
              <w:bottom w:w="90" w:type="dxa"/>
              <w:end w:w="85" w:type="dxa"/>
            </w:tcMar>
          </w:tcPr>
          <w:p>
            <w:pPr>
              <w:spacing w:after="0"/>
            </w:pPr>
            <w:r>
              <w:rPr>
                <w:b/>
                <w:color w:val="FFFFFF"/>
                <w:sz w:val="15"/>
              </w:rPr>
              <w:t>Reservations</w:t>
            </w:r>
          </w:p>
        </w:tc>
        <w:tc>
          <w:tcPr>
            <w:tcW w:type="dxa" w:w="1020"/>
            <w:shd w:fill="0F172A"/>
            <w:vAlign w:val="center"/>
            <w:tcMar>
              <w:top w:w="90" w:type="dxa"/>
              <w:start w:w="85" w:type="dxa"/>
              <w:bottom w:w="90" w:type="dxa"/>
              <w:end w:w="85" w:type="dxa"/>
            </w:tcMar>
          </w:tcPr>
          <w:p>
            <w:pPr>
              <w:spacing w:after="0"/>
            </w:pPr>
            <w:r>
              <w:rPr>
                <w:b/>
                <w:color w:val="FFFFFF"/>
                <w:sz w:val="15"/>
              </w:rPr>
              <w:t>Sales</w:t>
            </w:r>
          </w:p>
        </w:tc>
      </w:tr>
      <w:tr>
        <w:trPr>
          <w:cantSplit/>
        </w:trPr>
        <w:tc>
          <w:tcPr>
            <w:tcW w:type="dxa" w:w="124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Small</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500</w:t>
            </w:r>
          </w:p>
        </w:tc>
        <w:tc>
          <w:tcPr>
            <w:tcW w:type="dxa" w:w="124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1,000</w:t>
            </w:r>
          </w:p>
        </w:tc>
        <w:tc>
          <w:tcPr>
            <w:tcW w:type="dxa" w:w="11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1,500</w:t>
            </w:r>
          </w:p>
        </w:tc>
        <w:tc>
          <w:tcPr>
            <w:tcW w:type="dxa" w:w="130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3,000</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500</w:t>
            </w:r>
          </w:p>
        </w:tc>
        <w:tc>
          <w:tcPr>
            <w:tcW w:type="dxa" w:w="124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150</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200</w:t>
            </w:r>
          </w:p>
        </w:tc>
      </w:tr>
      <w:tr>
        <w:trPr>
          <w:cantSplit/>
        </w:trPr>
        <w:tc>
          <w:tcPr>
            <w:tcW w:type="dxa" w:w="124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Medium</w:t>
            </w:r>
          </w:p>
        </w:tc>
        <w:tc>
          <w:tcPr>
            <w:tcW w:type="dxa" w:w="113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5,000</w:t>
            </w:r>
          </w:p>
        </w:tc>
        <w:tc>
          <w:tcPr>
            <w:tcW w:type="dxa" w:w="124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10,000</w:t>
            </w:r>
          </w:p>
        </w:tc>
        <w:tc>
          <w:tcPr>
            <w:tcW w:type="dxa" w:w="119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15,000</w:t>
            </w:r>
          </w:p>
        </w:tc>
        <w:tc>
          <w:tcPr>
            <w:tcW w:type="dxa" w:w="130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30,000</w:t>
            </w:r>
          </w:p>
        </w:tc>
        <w:tc>
          <w:tcPr>
            <w:tcW w:type="dxa" w:w="113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5,000</w:t>
            </w:r>
          </w:p>
        </w:tc>
        <w:tc>
          <w:tcPr>
            <w:tcW w:type="dxa" w:w="124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1,500</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2,000</w:t>
            </w:r>
          </w:p>
        </w:tc>
      </w:tr>
      <w:tr>
        <w:trPr>
          <w:cantSplit/>
        </w:trPr>
        <w:tc>
          <w:tcPr>
            <w:tcW w:type="dxa" w:w="124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Large</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25,000</w:t>
            </w:r>
          </w:p>
        </w:tc>
        <w:tc>
          <w:tcPr>
            <w:tcW w:type="dxa" w:w="124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50,000</w:t>
            </w:r>
          </w:p>
        </w:tc>
        <w:tc>
          <w:tcPr>
            <w:tcW w:type="dxa" w:w="11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75,000</w:t>
            </w:r>
          </w:p>
        </w:tc>
        <w:tc>
          <w:tcPr>
            <w:tcW w:type="dxa" w:w="130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150,000</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25,000</w:t>
            </w:r>
          </w:p>
        </w:tc>
        <w:tc>
          <w:tcPr>
            <w:tcW w:type="dxa" w:w="124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7,500</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10,000</w:t>
            </w:r>
          </w:p>
        </w:tc>
      </w:tr>
    </w:tbl>
    <w:p>
      <w:pPr>
        <w:spacing w:after="0"/>
      </w:pPr>
    </w:p>
    <w:p>
      <w:r>
        <w:t>The seed utility refuses to operate outside the dedicated performance database. Synthetic records preserve tenant scoping and realistic entity relationships while remaining reproducible.</w:t>
      </w:r>
    </w:p>
    <w:p>
      <w:pPr>
        <w:pStyle w:val="Heading2"/>
      </w:pPr>
      <w:r>
        <w:t>Measurement caveats</w:t>
      </w:r>
    </w:p>
    <w:p>
      <w:pPr>
        <w:pStyle w:val="ListBullet"/>
        <w:spacing w:after="50"/>
      </w:pPr>
      <w:r>
        <w:t>Same-host resource contention can reduce absolute capacity and should be preserved or eliminated identically in both architecture runs.</w:t>
      </w:r>
    </w:p>
    <w:p>
      <w:pPr>
        <w:pStyle w:val="ListBullet"/>
        <w:spacing w:after="50"/>
      </w:pPr>
      <w:r>
        <w:t>The test uses generated data and a mostly warm local database cache; production distributions may differ.</w:t>
      </w:r>
    </w:p>
    <w:p>
      <w:pPr>
        <w:pStyle w:val="ListBullet"/>
        <w:spacing w:after="50"/>
      </w:pPr>
      <w:r>
        <w:t>Absolute throughput should be interpreted as host-specific. Relative behavior across load, scale, and architecture is the primary thesis value.</w:t>
      </w:r>
    </w:p>
    <w:p>
      <w:r>
        <w:br w:type="page"/>
      </w:r>
    </w:p>
    <w:p>
      <w:pPr>
        <w:spacing w:after="40"/>
      </w:pPr>
      <w:r>
        <w:rPr>
          <w:b/>
          <w:color w:val="0EA5E9"/>
          <w:sz w:val="16"/>
        </w:rPr>
        <w:t>SECTION 04</w:t>
      </w:r>
    </w:p>
    <w:p>
      <w:pPr>
        <w:pStyle w:val="Heading1"/>
      </w:pPr>
      <w:r>
        <w:t>End-to-end correctness</w:t>
      </w:r>
    </w:p>
    <w:p>
      <w:pPr>
        <w:spacing w:after="180"/>
      </w:pPr>
      <w:r>
        <w:rPr>
          <w:color w:val="64748B"/>
          <w:sz w:val="20"/>
        </w:rPr>
        <w:t>All six consolidated production-build scenarios passed in 14.9 seconds.</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fill="ECFDF5"/>
            <w:tcMar>
              <w:top w:w="130" w:type="dxa"/>
              <w:start w:w="90" w:type="dxa"/>
              <w:bottom w:w="120" w:type="dxa"/>
              <w:end w:w="90" w:type="dxa"/>
            </w:tcMar>
          </w:tcPr>
          <w:p>
            <w:pPr>
              <w:spacing w:after="40"/>
              <w:jc w:val="center"/>
            </w:pPr>
            <w:r>
              <w:rPr>
                <w:b/>
                <w:color w:val="059669"/>
                <w:sz w:val="32"/>
              </w:rPr>
              <w:t>6</w:t>
            </w:r>
          </w:p>
          <w:p>
            <w:pPr>
              <w:spacing w:after="0"/>
              <w:jc w:val="center"/>
            </w:pPr>
            <w:r>
              <w:rPr>
                <w:color w:val="334155"/>
                <w:sz w:val="15"/>
              </w:rPr>
              <w:t>passed</w:t>
            </w:r>
          </w:p>
        </w:tc>
        <w:tc>
          <w:tcPr>
            <w:tcW w:type="dxa" w:w="2466"/>
            <w:shd w:fill="ECFDF5"/>
            <w:tcMar>
              <w:top w:w="130" w:type="dxa"/>
              <w:start w:w="90" w:type="dxa"/>
              <w:bottom w:w="120" w:type="dxa"/>
              <w:end w:w="90" w:type="dxa"/>
            </w:tcMar>
          </w:tcPr>
          <w:p>
            <w:pPr>
              <w:spacing w:after="40"/>
              <w:jc w:val="center"/>
            </w:pPr>
            <w:r>
              <w:rPr>
                <w:b/>
                <w:color w:val="059669"/>
                <w:sz w:val="32"/>
              </w:rPr>
              <w:t>0</w:t>
            </w:r>
          </w:p>
          <w:p>
            <w:pPr>
              <w:spacing w:after="0"/>
              <w:jc w:val="center"/>
            </w:pPr>
            <w:r>
              <w:rPr>
                <w:color w:val="334155"/>
                <w:sz w:val="15"/>
              </w:rPr>
              <w:t>failed</w:t>
            </w:r>
          </w:p>
        </w:tc>
        <w:tc>
          <w:tcPr>
            <w:tcW w:type="dxa" w:w="2466"/>
            <w:shd w:fill="EFF6FF"/>
            <w:tcMar>
              <w:top w:w="130" w:type="dxa"/>
              <w:start w:w="90" w:type="dxa"/>
              <w:bottom w:w="120" w:type="dxa"/>
              <w:end w:w="90" w:type="dxa"/>
            </w:tcMar>
          </w:tcPr>
          <w:p>
            <w:pPr>
              <w:spacing w:after="40"/>
              <w:jc w:val="center"/>
            </w:pPr>
            <w:r>
              <w:rPr>
                <w:b/>
                <w:color w:val="2563EB"/>
                <w:sz w:val="32"/>
              </w:rPr>
              <w:t>14.9 s</w:t>
            </w:r>
          </w:p>
          <w:p>
            <w:pPr>
              <w:spacing w:after="0"/>
              <w:jc w:val="center"/>
            </w:pPr>
            <w:r>
              <w:rPr>
                <w:color w:val="334155"/>
                <w:sz w:val="15"/>
              </w:rPr>
              <w:t>elapsed</w:t>
            </w:r>
          </w:p>
        </w:tc>
        <w:tc>
          <w:tcPr>
            <w:tcW w:type="dxa" w:w="2466"/>
            <w:shd w:fill="EFF6FF"/>
            <w:tcMar>
              <w:top w:w="130" w:type="dxa"/>
              <w:start w:w="90" w:type="dxa"/>
              <w:bottom w:w="120" w:type="dxa"/>
              <w:end w:w="90" w:type="dxa"/>
            </w:tcMar>
          </w:tcPr>
          <w:p>
            <w:pPr>
              <w:spacing w:after="40"/>
              <w:jc w:val="center"/>
            </w:pPr>
            <w:r>
              <w:rPr>
                <w:b/>
                <w:color w:val="2563EB"/>
                <w:sz w:val="32"/>
              </w:rPr>
              <w:t>1</w:t>
            </w:r>
          </w:p>
          <w:p>
            <w:pPr>
              <w:spacing w:after="0"/>
              <w:jc w:val="center"/>
            </w:pPr>
            <w:r>
              <w:rPr>
                <w:color w:val="334155"/>
                <w:sz w:val="15"/>
              </w:rPr>
              <w:t>browser worker</w:t>
            </w:r>
          </w:p>
        </w:tc>
      </w:tr>
    </w:tbl>
    <w:p>
      <w:pPr>
        <w:spacing w:after="0"/>
      </w:pP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0F172A"/>
            <w:vAlign w:val="center"/>
            <w:tcMar>
              <w:top w:w="90" w:type="dxa"/>
              <w:start w:w="85" w:type="dxa"/>
              <w:bottom w:w="90" w:type="dxa"/>
              <w:end w:w="85" w:type="dxa"/>
            </w:tcMar>
          </w:tcPr>
          <w:p>
            <w:pPr>
              <w:spacing w:after="0"/>
            </w:pPr>
            <w:r>
              <w:rPr>
                <w:b/>
                <w:color w:val="FFFFFF"/>
                <w:sz w:val="16"/>
              </w:rPr>
              <w:t>Scenario</w:t>
            </w:r>
          </w:p>
        </w:tc>
        <w:tc>
          <w:tcPr>
            <w:tcW w:type="dxa" w:w="6350"/>
            <w:shd w:fill="0F172A"/>
            <w:vAlign w:val="center"/>
            <w:tcMar>
              <w:top w:w="90" w:type="dxa"/>
              <w:start w:w="85" w:type="dxa"/>
              <w:bottom w:w="90" w:type="dxa"/>
              <w:end w:w="85" w:type="dxa"/>
            </w:tcMar>
          </w:tcPr>
          <w:p>
            <w:pPr>
              <w:spacing w:after="0"/>
            </w:pPr>
            <w:r>
              <w:rPr>
                <w:b/>
                <w:color w:val="FFFFFF"/>
                <w:sz w:val="16"/>
              </w:rPr>
              <w:t>What it verified</w:t>
            </w:r>
          </w:p>
        </w:tc>
        <w:tc>
          <w:tcPr>
            <w:tcW w:type="dxa" w:w="1077"/>
            <w:shd w:fill="0F172A"/>
            <w:vAlign w:val="center"/>
            <w:tcMar>
              <w:top w:w="90" w:type="dxa"/>
              <w:start w:w="85" w:type="dxa"/>
              <w:bottom w:w="90" w:type="dxa"/>
              <w:end w:w="85" w:type="dxa"/>
            </w:tcMar>
          </w:tcPr>
          <w:p>
            <w:pPr>
              <w:spacing w:after="0"/>
            </w:pPr>
            <w:r>
              <w:rPr>
                <w:b/>
                <w:color w:val="FFFFFF"/>
                <w:sz w:val="16"/>
              </w:rPr>
              <w:t>Result</w:t>
            </w:r>
          </w:p>
        </w:tc>
      </w:tr>
      <w:tr>
        <w:trPr>
          <w:cantSplit/>
        </w:trPr>
        <w:tc>
          <w:tcPr>
            <w:tcW w:type="dxa" w:w="209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API error contract</w:t>
            </w:r>
          </w:p>
        </w:tc>
        <w:tc>
          <w:tcPr>
            <w:tcW w:type="dxa" w:w="635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401 unauthenticated, 400 invalid input, and 404 missing resource</w:t>
            </w:r>
          </w:p>
        </w:tc>
        <w:tc>
          <w:tcPr>
            <w:tcW w:type="dxa" w:w="107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PASS</w:t>
            </w:r>
          </w:p>
        </w:tc>
      </w:tr>
      <w:tr>
        <w:trPr>
          <w:cantSplit/>
        </w:trPr>
        <w:tc>
          <w:tcPr>
            <w:tcW w:type="dxa" w:w="209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Role enforcement</w:t>
            </w:r>
          </w:p>
        </w:tc>
        <w:tc>
          <w:tcPr>
            <w:tcW w:type="dxa" w:w="635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Valid lower-privilege role receives 403 for a protected user endpoint</w:t>
            </w:r>
          </w:p>
        </w:tc>
        <w:tc>
          <w:tcPr>
            <w:tcW w:type="dxa" w:w="107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PASS</w:t>
            </w:r>
          </w:p>
        </w:tc>
      </w:tr>
      <w:tr>
        <w:trPr>
          <w:cantSplit/>
        </w:trPr>
        <w:tc>
          <w:tcPr>
            <w:tcW w:type="dxa" w:w="209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Invalid login</w:t>
            </w:r>
          </w:p>
        </w:tc>
        <w:tc>
          <w:tcPr>
            <w:tcW w:type="dxa" w:w="635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Incorrect credentials are rejected without creating an authenticated session</w:t>
            </w:r>
          </w:p>
        </w:tc>
        <w:tc>
          <w:tcPr>
            <w:tcW w:type="dxa" w:w="107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PASS</w:t>
            </w:r>
          </w:p>
        </w:tc>
      </w:tr>
      <w:tr>
        <w:trPr>
          <w:cantSplit/>
        </w:trPr>
        <w:tc>
          <w:tcPr>
            <w:tcW w:type="dxa" w:w="209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Session lifecycle</w:t>
            </w:r>
          </w:p>
        </w:tc>
        <w:tc>
          <w:tcPr>
            <w:tcW w:type="dxa" w:w="635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Login, protected dashboard, refresh/reload, and logout</w:t>
            </w:r>
          </w:p>
        </w:tc>
        <w:tc>
          <w:tcPr>
            <w:tcW w:type="dxa" w:w="107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PASS</w:t>
            </w:r>
          </w:p>
        </w:tc>
      </w:tr>
      <w:tr>
        <w:trPr>
          <w:cantSplit/>
        </w:trPr>
        <w:tc>
          <w:tcPr>
            <w:tcW w:type="dxa" w:w="209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Route protection</w:t>
            </w:r>
          </w:p>
        </w:tc>
        <w:tc>
          <w:tcPr>
            <w:tcW w:type="dxa" w:w="635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Sidebar navigation, direct-route access, and role-based route denial</w:t>
            </w:r>
          </w:p>
        </w:tc>
        <w:tc>
          <w:tcPr>
            <w:tcW w:type="dxa" w:w="107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PASS</w:t>
            </w:r>
          </w:p>
        </w:tc>
      </w:tr>
      <w:tr>
        <w:trPr>
          <w:cantSplit/>
        </w:trPr>
        <w:tc>
          <w:tcPr>
            <w:tcW w:type="dxa" w:w="209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Dealership transaction</w:t>
            </w:r>
          </w:p>
        </w:tc>
        <w:tc>
          <w:tcPr>
            <w:tcW w:type="dxa" w:w="635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Customer → vehicle → lead → activity → interest → test drive → offer → reservation → pending sale → completed sale</w:t>
            </w:r>
          </w:p>
        </w:tc>
        <w:tc>
          <w:tcPr>
            <w:tcW w:type="dxa" w:w="107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PASS</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524"/>
            <w:shd w:fill="ECFDF5"/>
            <w:tcMar>
              <w:top w:w="120" w:type="dxa"/>
              <w:start w:w="180" w:type="dxa"/>
              <w:bottom w:w="120" w:type="dxa"/>
              <w:end w:w="130" w:type="dxa"/>
            </w:tcMar>
            <w:tcBorders>
              <w:top w:val="nil"/>
              <w:left w:val="single" w:sz="32" w:color="059669"/>
              <w:bottom w:val="nil"/>
              <w:right w:val="nil"/>
            </w:tcBorders>
          </w:tcPr>
          <w:p>
            <w:pPr>
              <w:spacing w:after="40"/>
            </w:pPr>
            <w:r>
              <w:rPr>
                <w:b/>
                <w:color w:val="059669"/>
              </w:rPr>
              <w:t>Interpretation</w:t>
            </w:r>
          </w:p>
          <w:p>
            <w:pPr>
              <w:spacing w:after="0"/>
            </w:pPr>
            <w:r>
              <w:t>The tested vertical slice is viable from UI to database and includes both happy paths and negative authorization/API behavior. This makes the suite suitable as a migration regression gate.</w:t>
            </w:r>
          </w:p>
        </w:tc>
      </w:tr>
    </w:tbl>
    <w:p>
      <w:pPr>
        <w:spacing w:after="0"/>
      </w:pPr>
    </w:p>
    <w:p>
      <w:pPr>
        <w:pStyle w:val="Heading2"/>
      </w:pPr>
      <w:r>
        <w:t>Coverage boundary</w:t>
      </w:r>
    </w:p>
    <w:p>
      <w:r>
        <w:t>The suite is intentionally consolidated around the system’s most important workflow. It does not yet prove exhaustive field validation, cross-browser compatibility, accessibility interaction behavior, backup/restore, disaster recovery, or security penetration resistance.</w:t>
      </w:r>
    </w:p>
    <w:p>
      <w:r>
        <w:br w:type="page"/>
      </w:r>
    </w:p>
    <w:p>
      <w:pPr>
        <w:spacing w:after="40"/>
      </w:pPr>
      <w:r>
        <w:rPr>
          <w:b/>
          <w:color w:val="0EA5E9"/>
          <w:sz w:val="16"/>
        </w:rPr>
        <w:t>SECTION 05</w:t>
      </w:r>
    </w:p>
    <w:p>
      <w:pPr>
        <w:pStyle w:val="Heading1"/>
      </w:pPr>
      <w:r>
        <w:t>Load, stress, spike, soak, and capacity</w:t>
      </w:r>
    </w:p>
    <w:p>
      <w:pPr>
        <w:spacing w:after="180"/>
      </w:pPr>
      <w:r>
        <w:rPr>
          <w:color w:val="64748B"/>
          <w:sz w:val="20"/>
        </w:rPr>
        <w:t>Read-heavy workloads remained correct under pressure, but latency rose sharply after the 20-VU operating point.</w:t>
      </w:r>
    </w:p>
    <w:tbl>
      <w:tblPr>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cantSplit/>
        </w:trPr>
        <w:tc>
          <w:tcPr>
            <w:tcW w:type="dxa" w:w="2268"/>
            <w:shd w:fill="0F172A"/>
            <w:vAlign w:val="center"/>
            <w:tcMar>
              <w:top w:w="90" w:type="dxa"/>
              <w:start w:w="85" w:type="dxa"/>
              <w:bottom w:w="90" w:type="dxa"/>
              <w:end w:w="85" w:type="dxa"/>
            </w:tcMar>
          </w:tcPr>
          <w:p>
            <w:pPr>
              <w:spacing w:after="0"/>
            </w:pPr>
            <w:r>
              <w:rPr>
                <w:b/>
                <w:color w:val="FFFFFF"/>
                <w:sz w:val="14"/>
              </w:rPr>
              <w:t>Profile</w:t>
            </w:r>
          </w:p>
        </w:tc>
        <w:tc>
          <w:tcPr>
            <w:tcW w:type="dxa" w:w="1020"/>
            <w:shd w:fill="0F172A"/>
            <w:vAlign w:val="center"/>
            <w:tcMar>
              <w:top w:w="90" w:type="dxa"/>
              <w:start w:w="85" w:type="dxa"/>
              <w:bottom w:w="90" w:type="dxa"/>
              <w:end w:w="85" w:type="dxa"/>
            </w:tcMar>
          </w:tcPr>
          <w:p>
            <w:pPr>
              <w:spacing w:after="0"/>
            </w:pPr>
            <w:r>
              <w:rPr>
                <w:b/>
                <w:color w:val="FFFFFF"/>
                <w:sz w:val="14"/>
              </w:rPr>
              <w:t>Requests</w:t>
            </w:r>
          </w:p>
        </w:tc>
        <w:tc>
          <w:tcPr>
            <w:tcW w:type="dxa" w:w="794"/>
            <w:shd w:fill="0F172A"/>
            <w:vAlign w:val="center"/>
            <w:tcMar>
              <w:top w:w="90" w:type="dxa"/>
              <w:start w:w="85" w:type="dxa"/>
              <w:bottom w:w="90" w:type="dxa"/>
              <w:end w:w="85" w:type="dxa"/>
            </w:tcMar>
          </w:tcPr>
          <w:p>
            <w:pPr>
              <w:spacing w:after="0"/>
            </w:pPr>
            <w:r>
              <w:rPr>
                <w:b/>
                <w:color w:val="FFFFFF"/>
                <w:sz w:val="14"/>
              </w:rPr>
              <w:t>Req/s</w:t>
            </w:r>
          </w:p>
        </w:tc>
        <w:tc>
          <w:tcPr>
            <w:tcW w:type="dxa" w:w="1020"/>
            <w:shd w:fill="0F172A"/>
            <w:vAlign w:val="center"/>
            <w:tcMar>
              <w:top w:w="90" w:type="dxa"/>
              <w:start w:w="85" w:type="dxa"/>
              <w:bottom w:w="90" w:type="dxa"/>
              <w:end w:w="85" w:type="dxa"/>
            </w:tcMar>
          </w:tcPr>
          <w:p>
            <w:pPr>
              <w:spacing w:after="0"/>
            </w:pPr>
            <w:r>
              <w:rPr>
                <w:b/>
                <w:color w:val="FFFFFF"/>
                <w:sz w:val="14"/>
              </w:rPr>
              <w:t>Average</w:t>
            </w:r>
          </w:p>
        </w:tc>
        <w:tc>
          <w:tcPr>
            <w:tcW w:type="dxa" w:w="1020"/>
            <w:shd w:fill="0F172A"/>
            <w:vAlign w:val="center"/>
            <w:tcMar>
              <w:top w:w="90" w:type="dxa"/>
              <w:start w:w="85" w:type="dxa"/>
              <w:bottom w:w="90" w:type="dxa"/>
              <w:end w:w="85" w:type="dxa"/>
            </w:tcMar>
          </w:tcPr>
          <w:p>
            <w:pPr>
              <w:spacing w:after="0"/>
            </w:pPr>
            <w:r>
              <w:rPr>
                <w:b/>
                <w:color w:val="FFFFFF"/>
                <w:sz w:val="14"/>
              </w:rPr>
              <w:t>p95</w:t>
            </w:r>
          </w:p>
        </w:tc>
        <w:tc>
          <w:tcPr>
            <w:tcW w:type="dxa" w:w="1020"/>
            <w:shd w:fill="0F172A"/>
            <w:vAlign w:val="center"/>
            <w:tcMar>
              <w:top w:w="90" w:type="dxa"/>
              <w:start w:w="85" w:type="dxa"/>
              <w:bottom w:w="90" w:type="dxa"/>
              <w:end w:w="85" w:type="dxa"/>
            </w:tcMar>
          </w:tcPr>
          <w:p>
            <w:pPr>
              <w:spacing w:after="0"/>
            </w:pPr>
            <w:r>
              <w:rPr>
                <w:b/>
                <w:color w:val="FFFFFF"/>
                <w:sz w:val="14"/>
              </w:rPr>
              <w:t>p99</w:t>
            </w:r>
          </w:p>
        </w:tc>
        <w:tc>
          <w:tcPr>
            <w:tcW w:type="dxa" w:w="794"/>
            <w:shd w:fill="0F172A"/>
            <w:vAlign w:val="center"/>
            <w:tcMar>
              <w:top w:w="90" w:type="dxa"/>
              <w:start w:w="85" w:type="dxa"/>
              <w:bottom w:w="90" w:type="dxa"/>
              <w:end w:w="85" w:type="dxa"/>
            </w:tcMar>
          </w:tcPr>
          <w:p>
            <w:pPr>
              <w:spacing w:after="0"/>
            </w:pPr>
            <w:r>
              <w:rPr>
                <w:b/>
                <w:color w:val="FFFFFF"/>
                <w:sz w:val="14"/>
              </w:rPr>
              <w:t>Failures</w:t>
            </w:r>
          </w:p>
        </w:tc>
        <w:tc>
          <w:tcPr>
            <w:tcW w:type="dxa" w:w="1587"/>
            <w:shd w:fill="0F172A"/>
            <w:vAlign w:val="center"/>
            <w:tcMar>
              <w:top w:w="90" w:type="dxa"/>
              <w:start w:w="85" w:type="dxa"/>
              <w:bottom w:w="90" w:type="dxa"/>
              <w:end w:w="85" w:type="dxa"/>
            </w:tcMar>
          </w:tcPr>
          <w:p>
            <w:pPr>
              <w:spacing w:after="0"/>
            </w:pPr>
            <w:r>
              <w:rPr>
                <w:b/>
                <w:color w:val="FFFFFF"/>
                <w:sz w:val="14"/>
              </w:rPr>
              <w:t>Threshold</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Baseline · 1→10 VUs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2,725</w:t>
            </w:r>
          </w:p>
        </w:tc>
        <w:tc>
          <w:tcPr>
            <w:tcW w:type="dxa" w:w="79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8.3</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62 ms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202 ms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315 ms</w:t>
            </w:r>
          </w:p>
        </w:tc>
        <w:tc>
          <w:tcPr>
            <w:tcW w:type="dxa" w:w="79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0%</w:t>
            </w:r>
          </w:p>
        </w:tc>
        <w:tc>
          <w:tcPr>
            <w:tcW w:type="dxa" w:w="158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PASS</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Average · 20 VUs / 10 min</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29,180</w:t>
            </w:r>
          </w:p>
        </w:tc>
        <w:tc>
          <w:tcPr>
            <w:tcW w:type="dxa" w:w="79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48.6</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85 ms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236 ms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320 ms</w:t>
            </w:r>
          </w:p>
        </w:tc>
        <w:tc>
          <w:tcPr>
            <w:tcW w:type="dxa" w:w="79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0%</w:t>
            </w:r>
          </w:p>
        </w:tc>
        <w:tc>
          <w:tcPr>
            <w:tcW w:type="dxa" w:w="158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PASS</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Stress · ramp to 100 VUs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23,450</w:t>
            </w:r>
          </w:p>
        </w:tc>
        <w:tc>
          <w:tcPr>
            <w:tcW w:type="dxa" w:w="79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48.8</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480 ms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1.30 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1.67 s</w:t>
            </w:r>
          </w:p>
        </w:tc>
        <w:tc>
          <w:tcPr>
            <w:tcW w:type="dxa" w:w="79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0%</w:t>
            </w:r>
          </w:p>
        </w:tc>
        <w:tc>
          <w:tcPr>
            <w:tcW w:type="dxa" w:w="158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FAIL latency</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Spike · 5→100 VUs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6,414</w:t>
            </w:r>
          </w:p>
        </w:tc>
        <w:tc>
          <w:tcPr>
            <w:tcW w:type="dxa" w:w="79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30.5</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1.06 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1.59 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22.39 s</w:t>
            </w:r>
          </w:p>
        </w:tc>
        <w:tc>
          <w:tcPr>
            <w:tcW w:type="dxa" w:w="79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0%</w:t>
            </w:r>
          </w:p>
        </w:tc>
        <w:tc>
          <w:tcPr>
            <w:tcW w:type="dxa" w:w="158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FAIL latency</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Breakpoint · ramp to 200 VUs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16,956</w:t>
            </w:r>
          </w:p>
        </w:tc>
        <w:tc>
          <w:tcPr>
            <w:tcW w:type="dxa" w:w="79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51.4</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1.38 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3.48 s</w:t>
            </w:r>
          </w:p>
        </w:tc>
        <w:tc>
          <w:tcPr>
            <w:tcW w:type="dxa" w:w="102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4.27 s</w:t>
            </w:r>
          </w:p>
        </w:tc>
        <w:tc>
          <w:tcPr>
            <w:tcW w:type="dxa" w:w="79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0%</w:t>
            </w:r>
          </w:p>
        </w:tc>
        <w:tc>
          <w:tcPr>
            <w:tcW w:type="dxa" w:w="158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Observed limit</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Soak · 20 VUs / 30 min</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88,195</w:t>
            </w:r>
          </w:p>
        </w:tc>
        <w:tc>
          <w:tcPr>
            <w:tcW w:type="dxa" w:w="79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49.0</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82 ms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229 ms</w:t>
            </w:r>
          </w:p>
        </w:tc>
        <w:tc>
          <w:tcPr>
            <w:tcW w:type="dxa" w:w="102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335 ms</w:t>
            </w:r>
          </w:p>
        </w:tc>
        <w:tc>
          <w:tcPr>
            <w:tcW w:type="dxa" w:w="79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0%</w:t>
            </w:r>
          </w:p>
        </w:tc>
        <w:tc>
          <w:tcPr>
            <w:tcW w:type="dxa" w:w="158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4"/>
              </w:rPr>
              <w:t>PASS</w:t>
            </w:r>
          </w:p>
        </w:tc>
      </w:tr>
    </w:tbl>
    <w:p>
      <w:pPr>
        <w:spacing w:after="0"/>
      </w:pPr>
    </w:p>
    <w:p>
      <w:pPr>
        <w:keepNext/>
        <w:jc w:val="center"/>
      </w:pPr>
      <w:r>
        <w:drawing>
          <wp:inline xmlns:a="http://schemas.openxmlformats.org/drawingml/2006/main" xmlns:pic="http://schemas.openxmlformats.org/drawingml/2006/picture">
            <wp:extent cx="6172200" cy="2931795"/>
            <wp:docPr id="1" name="Picture 1"/>
            <wp:cNvGraphicFramePr>
              <a:graphicFrameLocks noChangeAspect="1"/>
            </wp:cNvGraphicFramePr>
            <a:graphic>
              <a:graphicData uri="http://schemas.openxmlformats.org/drawingml/2006/picture">
                <pic:pic>
                  <pic:nvPicPr>
                    <pic:cNvPr id="0" name="load-profile-latency.png"/>
                    <pic:cNvPicPr/>
                  </pic:nvPicPr>
                  <pic:blipFill>
                    <a:blip r:embed="rId11"/>
                    <a:stretch>
                      <a:fillRect/>
                    </a:stretch>
                  </pic:blipFill>
                  <pic:spPr>
                    <a:xfrm>
                      <a:off x="0" y="0"/>
                      <a:ext cx="6172200" cy="2931795"/>
                    </a:xfrm>
                    <a:prstGeom prst="rect"/>
                  </pic:spPr>
                </pic:pic>
              </a:graphicData>
            </a:graphic>
          </wp:inline>
        </w:drawing>
      </w:r>
    </w:p>
    <w:p>
      <w:pPr>
        <w:pStyle w:val="Caption"/>
        <w:jc w:val="center"/>
      </w:pPr>
      <w:r>
        <w:t>Figure 1. Tail latency crosses the 500 ms target under stress, spike, and breakpoint load. The logarithmic axis preserves both normal and overload values.</w:t>
      </w:r>
    </w:p>
    <w:p>
      <w:r>
        <w:t>The spike profile’s 22.39 s p99 and 31.20 s maximum show a pronounced long tail. Zero read-workload HTTP failures should not be read as healthy service: the system continued accepting and queueing work while response time became operationally unusable.</w:t>
      </w:r>
    </w:p>
    <w:p>
      <w:r>
        <w:br w:type="page"/>
      </w:r>
    </w:p>
    <w:p>
      <w:pPr>
        <w:pStyle w:val="Heading1"/>
      </w:pPr>
      <w:r>
        <w:t>Capacity interpretation</w:t>
      </w:r>
    </w:p>
    <w:p>
      <w:pPr>
        <w:keepNext/>
        <w:jc w:val="center"/>
      </w:pPr>
      <w:r>
        <w:drawing>
          <wp:inline xmlns:a="http://schemas.openxmlformats.org/drawingml/2006/main" xmlns:pic="http://schemas.openxmlformats.org/drawingml/2006/picture">
            <wp:extent cx="6172200" cy="2931795"/>
            <wp:docPr id="2" name="Picture 2"/>
            <wp:cNvGraphicFramePr>
              <a:graphicFrameLocks noChangeAspect="1"/>
            </wp:cNvGraphicFramePr>
            <a:graphic>
              <a:graphicData uri="http://schemas.openxmlformats.org/drawingml/2006/picture">
                <pic:pic>
                  <pic:nvPicPr>
                    <pic:cNvPr id="0" name="load-profile-throughput.png"/>
                    <pic:cNvPicPr/>
                  </pic:nvPicPr>
                  <pic:blipFill>
                    <a:blip r:embed="rId12"/>
                    <a:stretch>
                      <a:fillRect/>
                    </a:stretch>
                  </pic:blipFill>
                  <pic:spPr>
                    <a:xfrm>
                      <a:off x="0" y="0"/>
                      <a:ext cx="6172200" cy="2931795"/>
                    </a:xfrm>
                    <a:prstGeom prst="rect"/>
                  </pic:spPr>
                </pic:pic>
              </a:graphicData>
            </a:graphic>
          </wp:inline>
        </w:drawing>
      </w:r>
    </w:p>
    <w:p>
      <w:pPr>
        <w:pStyle w:val="Caption"/>
        <w:jc w:val="center"/>
      </w:pPr>
      <w:r>
        <w:t>Figure 2. Achieved throughput plateaus around 49–51 requests/s even as virtual users increase five- to ten-fold.</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fill="ECFDF5"/>
            <w:tcMar>
              <w:top w:w="130" w:type="dxa"/>
              <w:start w:w="90" w:type="dxa"/>
              <w:bottom w:w="120" w:type="dxa"/>
              <w:end w:w="90" w:type="dxa"/>
            </w:tcMar>
          </w:tcPr>
          <w:p>
            <w:pPr>
              <w:spacing w:after="40"/>
              <w:jc w:val="center"/>
            </w:pPr>
            <w:r>
              <w:rPr>
                <w:b/>
                <w:color w:val="059669"/>
                <w:sz w:val="32"/>
              </w:rPr>
              <w:t>48.6</w:t>
            </w:r>
          </w:p>
          <w:p>
            <w:pPr>
              <w:spacing w:after="0"/>
              <w:jc w:val="center"/>
            </w:pPr>
            <w:r>
              <w:rPr>
                <w:color w:val="334155"/>
                <w:sz w:val="15"/>
              </w:rPr>
              <w:t>req/s at 20 VUs</w:t>
            </w:r>
          </w:p>
        </w:tc>
        <w:tc>
          <w:tcPr>
            <w:tcW w:type="dxa" w:w="2466"/>
            <w:shd w:fill="FEF2F2"/>
            <w:tcMar>
              <w:top w:w="130" w:type="dxa"/>
              <w:start w:w="90" w:type="dxa"/>
              <w:bottom w:w="120" w:type="dxa"/>
              <w:end w:w="90" w:type="dxa"/>
            </w:tcMar>
          </w:tcPr>
          <w:p>
            <w:pPr>
              <w:spacing w:after="40"/>
              <w:jc w:val="center"/>
            </w:pPr>
            <w:r>
              <w:rPr>
                <w:b/>
                <w:color w:val="DC2626"/>
                <w:sz w:val="32"/>
              </w:rPr>
              <w:t>48.8</w:t>
            </w:r>
          </w:p>
          <w:p>
            <w:pPr>
              <w:spacing w:after="0"/>
              <w:jc w:val="center"/>
            </w:pPr>
            <w:r>
              <w:rPr>
                <w:color w:val="334155"/>
                <w:sz w:val="15"/>
              </w:rPr>
              <w:t>req/s at 100 VUs</w:t>
            </w:r>
          </w:p>
        </w:tc>
        <w:tc>
          <w:tcPr>
            <w:tcW w:type="dxa" w:w="2466"/>
            <w:shd w:fill="FEF2F2"/>
            <w:tcMar>
              <w:top w:w="130" w:type="dxa"/>
              <w:start w:w="90" w:type="dxa"/>
              <w:bottom w:w="120" w:type="dxa"/>
              <w:end w:w="90" w:type="dxa"/>
            </w:tcMar>
          </w:tcPr>
          <w:p>
            <w:pPr>
              <w:spacing w:after="40"/>
              <w:jc w:val="center"/>
            </w:pPr>
            <w:r>
              <w:rPr>
                <w:b/>
                <w:color w:val="DC2626"/>
                <w:sz w:val="32"/>
              </w:rPr>
              <w:t>51.4</w:t>
            </w:r>
          </w:p>
          <w:p>
            <w:pPr>
              <w:spacing w:after="0"/>
              <w:jc w:val="center"/>
            </w:pPr>
            <w:r>
              <w:rPr>
                <w:color w:val="334155"/>
                <w:sz w:val="15"/>
              </w:rPr>
              <w:t>req/s at 200 VUs</w:t>
            </w:r>
          </w:p>
        </w:tc>
        <w:tc>
          <w:tcPr>
            <w:tcW w:type="dxa" w:w="2466"/>
            <w:shd w:fill="FEF2F2"/>
            <w:tcMar>
              <w:top w:w="130" w:type="dxa"/>
              <w:start w:w="90" w:type="dxa"/>
              <w:bottom w:w="120" w:type="dxa"/>
              <w:end w:w="90" w:type="dxa"/>
            </w:tcMar>
          </w:tcPr>
          <w:p>
            <w:pPr>
              <w:spacing w:after="40"/>
              <w:jc w:val="center"/>
            </w:pPr>
            <w:r>
              <w:rPr>
                <w:b/>
                <w:color w:val="DC2626"/>
                <w:sz w:val="32"/>
              </w:rPr>
              <w:t>3.48 s</w:t>
            </w:r>
          </w:p>
          <w:p>
            <w:pPr>
              <w:spacing w:after="0"/>
              <w:jc w:val="center"/>
            </w:pPr>
            <w:r>
              <w:rPr>
                <w:color w:val="334155"/>
                <w:sz w:val="15"/>
              </w:rPr>
              <w:t>p95 at 200 VUs</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524"/>
            <w:shd w:fill="FEF2F2"/>
            <w:tcMar>
              <w:top w:w="120" w:type="dxa"/>
              <w:start w:w="180" w:type="dxa"/>
              <w:bottom w:w="120" w:type="dxa"/>
              <w:end w:w="130" w:type="dxa"/>
            </w:tcMar>
            <w:tcBorders>
              <w:top w:val="nil"/>
              <w:left w:val="single" w:sz="32" w:color="DC2626"/>
              <w:bottom w:val="nil"/>
              <w:right w:val="nil"/>
            </w:tcBorders>
          </w:tcPr>
          <w:p>
            <w:pPr>
              <w:spacing w:after="40"/>
            </w:pPr>
            <w:r>
              <w:rPr>
                <w:b/>
                <w:color w:val="DC2626"/>
              </w:rPr>
              <w:t>Primary saturation signal</w:t>
            </w:r>
          </w:p>
          <w:p>
            <w:pPr>
              <w:spacing w:after="0"/>
            </w:pPr>
            <w:r>
              <w:t>Concurrency increased from 20 to 200 users, but throughput improved only 5.7% while p95 latency increased 14.8×. The dominant response is queue growth, consistent with the application’s 10-connection database pool and multi-query endpoints.</w:t>
            </w:r>
          </w:p>
        </w:tc>
      </w:tr>
    </w:tbl>
    <w:p>
      <w:pPr>
        <w:spacing w:after="0"/>
      </w:pPr>
    </w:p>
    <w:p>
      <w:pPr>
        <w:pStyle w:val="Heading2"/>
      </w:pPr>
      <w:r>
        <w:t>Working operating envelope</w:t>
      </w:r>
    </w:p>
    <w:p>
      <w:r>
        <w:t>On this host and dataset, 20 concurrent read users is a defensible steady-state reference point: ~49 requests/s, 236 ms p95, and 0% failures. The baseline ramp is faster at lower concurrency but is not a sustained maximum. Capacity should be defined by the latency SLO, not by the absence of errors.</w:t>
      </w:r>
    </w:p>
    <w:p>
      <w:r>
        <w:br w:type="page"/>
      </w:r>
    </w:p>
    <w:p>
      <w:pPr>
        <w:spacing w:after="40"/>
      </w:pPr>
      <w:r>
        <w:rPr>
          <w:b/>
          <w:color w:val="0EA5E9"/>
          <w:sz w:val="16"/>
        </w:rPr>
        <w:t>SECTION 06</w:t>
      </w:r>
    </w:p>
    <w:p>
      <w:pPr>
        <w:pStyle w:val="Heading1"/>
      </w:pPr>
      <w:r>
        <w:t>Data scalability and database evidence</w:t>
      </w:r>
    </w:p>
    <w:p>
      <w:pPr>
        <w:spacing w:after="180"/>
      </w:pPr>
      <w:r>
        <w:rPr>
          <w:color w:val="64748B"/>
          <w:sz w:val="20"/>
        </w:rPr>
        <w:t>Common search and deep offset pagination deteriorate as tenant data grows.</w:t>
      </w:r>
    </w:p>
    <w:p>
      <w:pPr>
        <w:keepNext/>
        <w:jc w:val="center"/>
      </w:pPr>
      <w:r>
        <w:drawing>
          <wp:inline xmlns:a="http://schemas.openxmlformats.org/drawingml/2006/main" xmlns:pic="http://schemas.openxmlformats.org/drawingml/2006/picture">
            <wp:extent cx="6172200" cy="2931795"/>
            <wp:docPr id="3" name="Picture 3"/>
            <wp:cNvGraphicFramePr>
              <a:graphicFrameLocks noChangeAspect="1"/>
            </wp:cNvGraphicFramePr>
            <a:graphic>
              <a:graphicData uri="http://schemas.openxmlformats.org/drawingml/2006/picture">
                <pic:pic>
                  <pic:nvPicPr>
                    <pic:cNvPr id="0" name="dataset-scale.png"/>
                    <pic:cNvPicPr/>
                  </pic:nvPicPr>
                  <pic:blipFill>
                    <a:blip r:embed="rId13"/>
                    <a:stretch>
                      <a:fillRect/>
                    </a:stretch>
                  </pic:blipFill>
                  <pic:spPr>
                    <a:xfrm>
                      <a:off x="0" y="0"/>
                      <a:ext cx="6172200" cy="2931795"/>
                    </a:xfrm>
                    <a:prstGeom prst="rect"/>
                  </pic:spPr>
                </pic:pic>
              </a:graphicData>
            </a:graphic>
          </wp:inline>
        </w:drawing>
      </w:r>
    </w:p>
    <w:p>
      <w:pPr>
        <w:pStyle w:val="Caption"/>
        <w:jc w:val="center"/>
      </w:pPr>
      <w:r>
        <w:t>Figure 3. Search/deep-page p95 increases from 18.8 ms to 1.23 s as the customer dataset grows from 1k to 50k rows.</w:t>
      </w:r>
    </w:p>
    <w:tbl>
      <w:tblPr>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cantSplit/>
        </w:trPr>
        <w:tc>
          <w:tcPr>
            <w:tcW w:type="dxa" w:w="1134"/>
            <w:shd w:fill="0F172A"/>
            <w:vAlign w:val="center"/>
            <w:tcMar>
              <w:top w:w="90" w:type="dxa"/>
              <w:start w:w="85" w:type="dxa"/>
              <w:bottom w:w="90" w:type="dxa"/>
              <w:end w:w="85" w:type="dxa"/>
            </w:tcMar>
          </w:tcPr>
          <w:p>
            <w:pPr>
              <w:spacing w:after="0"/>
            </w:pPr>
            <w:r>
              <w:rPr>
                <w:b/>
                <w:color w:val="FFFFFF"/>
                <w:sz w:val="15"/>
              </w:rPr>
              <w:t>Dataset</w:t>
            </w:r>
          </w:p>
        </w:tc>
        <w:tc>
          <w:tcPr>
            <w:tcW w:type="dxa" w:w="1191"/>
            <w:shd w:fill="0F172A"/>
            <w:vAlign w:val="center"/>
            <w:tcMar>
              <w:top w:w="90" w:type="dxa"/>
              <w:start w:w="85" w:type="dxa"/>
              <w:bottom w:w="90" w:type="dxa"/>
              <w:end w:w="85" w:type="dxa"/>
            </w:tcMar>
          </w:tcPr>
          <w:p>
            <w:pPr>
              <w:spacing w:after="0"/>
            </w:pPr>
            <w:r>
              <w:rPr>
                <w:b/>
                <w:color w:val="FFFFFF"/>
                <w:sz w:val="15"/>
              </w:rPr>
              <w:t>Customers</w:t>
            </w:r>
          </w:p>
        </w:tc>
        <w:tc>
          <w:tcPr>
            <w:tcW w:type="dxa" w:w="1191"/>
            <w:shd w:fill="0F172A"/>
            <w:vAlign w:val="center"/>
            <w:tcMar>
              <w:top w:w="90" w:type="dxa"/>
              <w:start w:w="85" w:type="dxa"/>
              <w:bottom w:w="90" w:type="dxa"/>
              <w:end w:w="85" w:type="dxa"/>
            </w:tcMar>
          </w:tcPr>
          <w:p>
            <w:pPr>
              <w:spacing w:after="0"/>
            </w:pPr>
            <w:r>
              <w:rPr>
                <w:b/>
                <w:color w:val="FFFFFF"/>
                <w:sz w:val="15"/>
              </w:rPr>
              <w:t>Requests</w:t>
            </w:r>
          </w:p>
        </w:tc>
        <w:tc>
          <w:tcPr>
            <w:tcW w:type="dxa" w:w="907"/>
            <w:shd w:fill="0F172A"/>
            <w:vAlign w:val="center"/>
            <w:tcMar>
              <w:top w:w="90" w:type="dxa"/>
              <w:start w:w="85" w:type="dxa"/>
              <w:bottom w:w="90" w:type="dxa"/>
              <w:end w:w="85" w:type="dxa"/>
            </w:tcMar>
          </w:tcPr>
          <w:p>
            <w:pPr>
              <w:spacing w:after="0"/>
            </w:pPr>
            <w:r>
              <w:rPr>
                <w:b/>
                <w:color w:val="FFFFFF"/>
                <w:sz w:val="15"/>
              </w:rPr>
              <w:t>Req/s</w:t>
            </w:r>
          </w:p>
        </w:tc>
        <w:tc>
          <w:tcPr>
            <w:tcW w:type="dxa" w:w="1134"/>
            <w:shd w:fill="0F172A"/>
            <w:vAlign w:val="center"/>
            <w:tcMar>
              <w:top w:w="90" w:type="dxa"/>
              <w:start w:w="85" w:type="dxa"/>
              <w:bottom w:w="90" w:type="dxa"/>
              <w:end w:w="85" w:type="dxa"/>
            </w:tcMar>
          </w:tcPr>
          <w:p>
            <w:pPr>
              <w:spacing w:after="0"/>
            </w:pPr>
            <w:r>
              <w:rPr>
                <w:b/>
                <w:color w:val="FFFFFF"/>
                <w:sz w:val="15"/>
              </w:rPr>
              <w:t>Average</w:t>
            </w:r>
          </w:p>
        </w:tc>
        <w:tc>
          <w:tcPr>
            <w:tcW w:type="dxa" w:w="1134"/>
            <w:shd w:fill="0F172A"/>
            <w:vAlign w:val="center"/>
            <w:tcMar>
              <w:top w:w="90" w:type="dxa"/>
              <w:start w:w="85" w:type="dxa"/>
              <w:bottom w:w="90" w:type="dxa"/>
              <w:end w:w="85" w:type="dxa"/>
            </w:tcMar>
          </w:tcPr>
          <w:p>
            <w:pPr>
              <w:spacing w:after="0"/>
            </w:pPr>
            <w:r>
              <w:rPr>
                <w:b/>
                <w:color w:val="FFFFFF"/>
                <w:sz w:val="15"/>
              </w:rPr>
              <w:t>p95</w:t>
            </w:r>
          </w:p>
        </w:tc>
        <w:tc>
          <w:tcPr>
            <w:tcW w:type="dxa" w:w="1134"/>
            <w:shd w:fill="0F172A"/>
            <w:vAlign w:val="center"/>
            <w:tcMar>
              <w:top w:w="90" w:type="dxa"/>
              <w:start w:w="85" w:type="dxa"/>
              <w:bottom w:w="90" w:type="dxa"/>
              <w:end w:w="85" w:type="dxa"/>
            </w:tcMar>
          </w:tcPr>
          <w:p>
            <w:pPr>
              <w:spacing w:after="0"/>
            </w:pPr>
            <w:r>
              <w:rPr>
                <w:b/>
                <w:color w:val="FFFFFF"/>
                <w:sz w:val="15"/>
              </w:rPr>
              <w:t>p99</w:t>
            </w:r>
          </w:p>
        </w:tc>
        <w:tc>
          <w:tcPr>
            <w:tcW w:type="dxa" w:w="1361"/>
            <w:shd w:fill="0F172A"/>
            <w:vAlign w:val="center"/>
            <w:tcMar>
              <w:top w:w="90" w:type="dxa"/>
              <w:start w:w="85" w:type="dxa"/>
              <w:bottom w:w="90" w:type="dxa"/>
              <w:end w:w="85" w:type="dxa"/>
            </w:tcMar>
          </w:tcPr>
          <w:p>
            <w:pPr>
              <w:spacing w:after="0"/>
            </w:pPr>
            <w:r>
              <w:rPr>
                <w:b/>
                <w:color w:val="FFFFFF"/>
                <w:sz w:val="15"/>
              </w:rPr>
              <w:t>Threshold</w:t>
            </w:r>
          </w:p>
        </w:tc>
      </w:tr>
      <w:tr>
        <w:trPr>
          <w:cantSplit/>
        </w:trPr>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Small</w:t>
            </w:r>
          </w:p>
        </w:tc>
        <w:tc>
          <w:tcPr>
            <w:tcW w:type="dxa" w:w="11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1,000</w:t>
            </w:r>
          </w:p>
        </w:tc>
        <w:tc>
          <w:tcPr>
            <w:tcW w:type="dxa" w:w="11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11,184</w:t>
            </w:r>
          </w:p>
        </w:tc>
        <w:tc>
          <w:tcPr>
            <w:tcW w:type="dxa" w:w="90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62.1</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10.6 ms</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18.8 ms</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27.2 ms</w:t>
            </w:r>
          </w:p>
        </w:tc>
        <w:tc>
          <w:tcPr>
            <w:tcW w:type="dxa" w:w="136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PASS</w:t>
            </w:r>
          </w:p>
        </w:tc>
      </w:tr>
      <w:tr>
        <w:trPr>
          <w:cantSplit/>
        </w:trPr>
        <w:tc>
          <w:tcPr>
            <w:tcW w:type="dxa" w:w="113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Medium</w:t>
            </w:r>
          </w:p>
        </w:tc>
        <w:tc>
          <w:tcPr>
            <w:tcW w:type="dxa" w:w="119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10,000</w:t>
            </w:r>
          </w:p>
        </w:tc>
        <w:tc>
          <w:tcPr>
            <w:tcW w:type="dxa" w:w="119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7,831</w:t>
            </w:r>
          </w:p>
        </w:tc>
        <w:tc>
          <w:tcPr>
            <w:tcW w:type="dxa" w:w="90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43.4</w:t>
            </w:r>
          </w:p>
        </w:tc>
        <w:tc>
          <w:tcPr>
            <w:tcW w:type="dxa" w:w="113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78.8 ms</w:t>
            </w:r>
          </w:p>
        </w:tc>
        <w:tc>
          <w:tcPr>
            <w:tcW w:type="dxa" w:w="113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210.2 ms</w:t>
            </w:r>
          </w:p>
        </w:tc>
        <w:tc>
          <w:tcPr>
            <w:tcW w:type="dxa" w:w="113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291.0 ms</w:t>
            </w:r>
          </w:p>
        </w:tc>
        <w:tc>
          <w:tcPr>
            <w:tcW w:type="dxa" w:w="136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PASS</w:t>
            </w:r>
          </w:p>
        </w:tc>
      </w:tr>
      <w:tr>
        <w:trPr>
          <w:cantSplit/>
        </w:trPr>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Large</w:t>
            </w:r>
          </w:p>
        </w:tc>
        <w:tc>
          <w:tcPr>
            <w:tcW w:type="dxa" w:w="11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50,000</w:t>
            </w:r>
          </w:p>
        </w:tc>
        <w:tc>
          <w:tcPr>
            <w:tcW w:type="dxa" w:w="11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2,789</w:t>
            </w:r>
          </w:p>
        </w:tc>
        <w:tc>
          <w:tcPr>
            <w:tcW w:type="dxa" w:w="90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15.4</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495.6 ms</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1.23 s</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1.42 s</w:t>
            </w:r>
          </w:p>
        </w:tc>
        <w:tc>
          <w:tcPr>
            <w:tcW w:type="dxa" w:w="136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FAIL</w:t>
            </w:r>
          </w:p>
        </w:tc>
      </w:tr>
    </w:tbl>
    <w:p>
      <w:pPr>
        <w:spacing w:after="0"/>
      </w:pPr>
    </w:p>
    <w:p>
      <w:pPr>
        <w:pStyle w:val="Heading2"/>
      </w:pPr>
      <w:r>
        <w:t>EXPLAIN ANALYZE evidence</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0F172A"/>
            <w:vAlign w:val="center"/>
            <w:tcMar>
              <w:top w:w="90" w:type="dxa"/>
              <w:start w:w="85" w:type="dxa"/>
              <w:bottom w:w="90" w:type="dxa"/>
              <w:end w:w="85" w:type="dxa"/>
            </w:tcMar>
          </w:tcPr>
          <w:p>
            <w:pPr>
              <w:spacing w:after="0"/>
            </w:pPr>
            <w:r>
              <w:rPr>
                <w:b/>
                <w:color w:val="FFFFFF"/>
                <w:sz w:val="16"/>
              </w:rPr>
              <w:t>Query</w:t>
            </w:r>
          </w:p>
        </w:tc>
        <w:tc>
          <w:tcPr>
            <w:tcW w:type="dxa" w:w="6009"/>
            <w:shd w:fill="0F172A"/>
            <w:vAlign w:val="center"/>
            <w:tcMar>
              <w:top w:w="90" w:type="dxa"/>
              <w:start w:w="85" w:type="dxa"/>
              <w:bottom w:w="90" w:type="dxa"/>
              <w:end w:w="85" w:type="dxa"/>
            </w:tcMar>
          </w:tcPr>
          <w:p>
            <w:pPr>
              <w:spacing w:after="0"/>
            </w:pPr>
            <w:r>
              <w:rPr>
                <w:b/>
                <w:color w:val="FFFFFF"/>
                <w:sz w:val="16"/>
              </w:rPr>
              <w:t>Observed work at large scale</w:t>
            </w:r>
          </w:p>
        </w:tc>
        <w:tc>
          <w:tcPr>
            <w:tcW w:type="dxa" w:w="1587"/>
            <w:shd w:fill="0F172A"/>
            <w:vAlign w:val="center"/>
            <w:tcMar>
              <w:top w:w="90" w:type="dxa"/>
              <w:start w:w="85" w:type="dxa"/>
              <w:bottom w:w="90" w:type="dxa"/>
              <w:end w:w="85" w:type="dxa"/>
            </w:tcMar>
          </w:tcPr>
          <w:p>
            <w:pPr>
              <w:spacing w:after="0"/>
            </w:pPr>
            <w:r>
              <w:rPr>
                <w:b/>
                <w:color w:val="FFFFFF"/>
                <w:sz w:val="16"/>
              </w:rPr>
              <w:t>Measured plan time</w:t>
            </w:r>
          </w:p>
        </w:tc>
      </w:tr>
      <w:tr>
        <w:trPr>
          <w:cantSplit/>
        </w:trPr>
        <w:tc>
          <w:tcPr>
            <w:tcW w:type="dxa" w:w="192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Vehicle common search</w:t>
            </w:r>
          </w:p>
        </w:tc>
        <w:tc>
          <w:tcPr>
            <w:tcW w:type="dxa" w:w="6009"/>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Tenant index returns 25,000 vehicles; application expression and sort are evaluated before returning 20</w:t>
            </w:r>
          </w:p>
        </w:tc>
        <w:tc>
          <w:tcPr>
            <w:tcW w:type="dxa" w:w="158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~61 ms</w:t>
            </w:r>
          </w:p>
        </w:tc>
      </w:tr>
      <w:tr>
        <w:trPr>
          <w:cantSplit/>
        </w:trPr>
        <w:tc>
          <w:tcPr>
            <w:tcW w:type="dxa" w:w="192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Customer common search</w:t>
            </w:r>
          </w:p>
        </w:tc>
        <w:tc>
          <w:tcPr>
            <w:tcW w:type="dxa" w:w="6009"/>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Tenant/phone index returns 50,000 customers; CONCAT_WS LIKE matches 5,000 and sorts to 20</w:t>
            </w:r>
          </w:p>
        </w:tc>
        <w:tc>
          <w:tcPr>
            <w:tcW w:type="dxa" w:w="158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~145 ms</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524"/>
            <w:shd w:fill="FEF2F2"/>
            <w:tcMar>
              <w:top w:w="120" w:type="dxa"/>
              <w:start w:w="180" w:type="dxa"/>
              <w:bottom w:w="120" w:type="dxa"/>
              <w:end w:w="130" w:type="dxa"/>
            </w:tcMar>
            <w:tcBorders>
              <w:top w:val="nil"/>
              <w:left w:val="single" w:sz="32" w:color="DC2626"/>
              <w:bottom w:val="nil"/>
              <w:right w:val="nil"/>
            </w:tcBorders>
          </w:tcPr>
          <w:p>
            <w:pPr>
              <w:spacing w:after="40"/>
            </w:pPr>
            <w:r>
              <w:rPr>
                <w:b/>
                <w:color w:val="DC2626"/>
              </w:rPr>
              <w:t>Root cause</w:t>
            </w:r>
          </w:p>
          <w:p>
            <w:pPr>
              <w:spacing w:after="0"/>
            </w:pPr>
            <w:r>
              <w:t>The leading-wildcard CONCAT_WS search expression is not sargable, so existing tenant indexes cannot satisfy the search predicate. Concurrent data and COUNT queries, deep OFFSET pages, and dashboard fan-out amplify pressure on a 10-connection pool.</w:t>
            </w:r>
          </w:p>
        </w:tc>
      </w:tr>
    </w:tbl>
    <w:p>
      <w:pPr>
        <w:spacing w:after="0"/>
      </w:pPr>
    </w:p>
    <w:p>
      <w:pPr>
        <w:pStyle w:val="Heading2"/>
      </w:pPr>
      <w:r>
        <w:t>Recommended query changes</w:t>
      </w:r>
    </w:p>
    <w:p>
      <w:pPr>
        <w:pStyle w:val="ListBullet"/>
        <w:spacing w:after="50"/>
      </w:pPr>
      <w:r>
        <w:t>Replace common multi-column %term% scans with MySQL FULLTEXT or a purpose-built normalized search column and matching index.</w:t>
      </w:r>
    </w:p>
    <w:p>
      <w:pPr>
        <w:pStyle w:val="ListBullet"/>
        <w:spacing w:after="50"/>
      </w:pPr>
      <w:r>
        <w:t>Move list endpoints from deep OFFSET pagination to keyset/seek pagination using a stable (created_at, id) cursor.</w:t>
      </w:r>
    </w:p>
    <w:p>
      <w:pPr>
        <w:pStyle w:val="ListBullet"/>
        <w:spacing w:after="50"/>
      </w:pPr>
      <w:r>
        <w:t>Measure COUNT needs; return estimated totals or calculate counts separately where exact totals are not interaction-critical.</w:t>
      </w:r>
    </w:p>
    <w:p>
      <w:pPr>
        <w:pStyle w:val="ListBullet"/>
        <w:spacing w:after="50"/>
      </w:pPr>
      <w:r>
        <w:t>Consolidate dashboard aggregates or cache short-lived tenant summaries to reduce query fan-out.</w:t>
      </w:r>
    </w:p>
    <w:p>
      <w:r>
        <w:br w:type="page"/>
      </w:r>
    </w:p>
    <w:p>
      <w:pPr>
        <w:spacing w:after="40"/>
      </w:pPr>
      <w:r>
        <w:rPr>
          <w:b/>
          <w:color w:val="0EA5E9"/>
          <w:sz w:val="16"/>
        </w:rPr>
        <w:t>SECTION 07</w:t>
      </w:r>
    </w:p>
    <w:p>
      <w:pPr>
        <w:pStyle w:val="Heading1"/>
      </w:pPr>
      <w:r>
        <w:t>Transactional contention</w:t>
      </w:r>
    </w:p>
    <w:p>
      <w:pPr>
        <w:spacing w:after="180"/>
      </w:pPr>
      <w:r>
        <w:rPr>
          <w:color w:val="64748B"/>
          <w:sz w:val="20"/>
        </w:rPr>
        <w:t>Uniqueness was preserved in both races; only the sale path translated losing attempts into controlled conflicts.</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cantSplit/>
        </w:trPr>
        <w:tc>
          <w:tcPr>
            <w:tcW w:type="dxa" w:w="2268"/>
            <w:shd w:fill="0F172A"/>
            <w:vAlign w:val="center"/>
            <w:tcMar>
              <w:top w:w="90" w:type="dxa"/>
              <w:start w:w="85" w:type="dxa"/>
              <w:bottom w:w="90" w:type="dxa"/>
              <w:end w:w="85" w:type="dxa"/>
            </w:tcMar>
          </w:tcPr>
          <w:p>
            <w:pPr>
              <w:spacing w:after="0"/>
            </w:pPr>
            <w:r>
              <w:rPr>
                <w:b/>
                <w:color w:val="FFFFFF"/>
                <w:sz w:val="16"/>
              </w:rPr>
              <w:t>Race</w:t>
            </w:r>
          </w:p>
        </w:tc>
        <w:tc>
          <w:tcPr>
            <w:tcW w:type="dxa" w:w="1134"/>
            <w:shd w:fill="0F172A"/>
            <w:vAlign w:val="center"/>
            <w:tcMar>
              <w:top w:w="90" w:type="dxa"/>
              <w:start w:w="85" w:type="dxa"/>
              <w:bottom w:w="90" w:type="dxa"/>
              <w:end w:w="85" w:type="dxa"/>
            </w:tcMar>
          </w:tcPr>
          <w:p>
            <w:pPr>
              <w:spacing w:after="0"/>
            </w:pPr>
            <w:r>
              <w:rPr>
                <w:b/>
                <w:color w:val="FFFFFF"/>
                <w:sz w:val="16"/>
              </w:rPr>
              <w:t>Concurrency</w:t>
            </w:r>
          </w:p>
        </w:tc>
        <w:tc>
          <w:tcPr>
            <w:tcW w:type="dxa" w:w="1587"/>
            <w:shd w:fill="0F172A"/>
            <w:vAlign w:val="center"/>
            <w:tcMar>
              <w:top w:w="90" w:type="dxa"/>
              <w:start w:w="85" w:type="dxa"/>
              <w:bottom w:w="90" w:type="dxa"/>
              <w:end w:w="85" w:type="dxa"/>
            </w:tcMar>
          </w:tcPr>
          <w:p>
            <w:pPr>
              <w:spacing w:after="0"/>
            </w:pPr>
            <w:r>
              <w:rPr>
                <w:b/>
                <w:color w:val="FFFFFF"/>
                <w:sz w:val="16"/>
              </w:rPr>
              <w:t>Successful transition</w:t>
            </w:r>
          </w:p>
        </w:tc>
        <w:tc>
          <w:tcPr>
            <w:tcW w:type="dxa" w:w="1871"/>
            <w:shd w:fill="0F172A"/>
            <w:vAlign w:val="center"/>
            <w:tcMar>
              <w:top w:w="90" w:type="dxa"/>
              <w:start w:w="85" w:type="dxa"/>
              <w:bottom w:w="90" w:type="dxa"/>
              <w:end w:w="85" w:type="dxa"/>
            </w:tcMar>
          </w:tcPr>
          <w:p>
            <w:pPr>
              <w:spacing w:after="0"/>
            </w:pPr>
            <w:r>
              <w:rPr>
                <w:b/>
                <w:color w:val="FFFFFF"/>
                <w:sz w:val="16"/>
              </w:rPr>
              <w:t>Controlled conflict</w:t>
            </w:r>
          </w:p>
        </w:tc>
        <w:tc>
          <w:tcPr>
            <w:tcW w:type="dxa" w:w="1814"/>
            <w:shd w:fill="0F172A"/>
            <w:vAlign w:val="center"/>
            <w:tcMar>
              <w:top w:w="90" w:type="dxa"/>
              <w:start w:w="85" w:type="dxa"/>
              <w:bottom w:w="90" w:type="dxa"/>
              <w:end w:w="85" w:type="dxa"/>
            </w:tcMar>
          </w:tcPr>
          <w:p>
            <w:pPr>
              <w:spacing w:after="0"/>
            </w:pPr>
            <w:r>
              <w:rPr>
                <w:b/>
                <w:color w:val="FFFFFF"/>
                <w:sz w:val="16"/>
              </w:rPr>
              <w:t>Unexpected error</w:t>
            </w:r>
          </w:p>
        </w:tc>
        <w:tc>
          <w:tcPr>
            <w:tcW w:type="dxa" w:w="964"/>
            <w:shd w:fill="0F172A"/>
            <w:vAlign w:val="center"/>
            <w:tcMar>
              <w:top w:w="90" w:type="dxa"/>
              <w:start w:w="85" w:type="dxa"/>
              <w:bottom w:w="90" w:type="dxa"/>
              <w:end w:w="85" w:type="dxa"/>
            </w:tcMar>
          </w:tcPr>
          <w:p>
            <w:pPr>
              <w:spacing w:after="0"/>
            </w:pPr>
            <w:r>
              <w:rPr>
                <w:b/>
                <w:color w:val="FFFFFF"/>
                <w:sz w:val="16"/>
              </w:rPr>
              <w:t>Result</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Reserve one vehicle</w:t>
            </w:r>
          </w:p>
        </w:tc>
        <w:tc>
          <w:tcPr>
            <w:tcW w:type="dxa" w:w="113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20</w:t>
            </w:r>
          </w:p>
        </w:tc>
        <w:tc>
          <w:tcPr>
            <w:tcW w:type="dxa" w:w="158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1</w:t>
            </w:r>
          </w:p>
        </w:tc>
        <w:tc>
          <w:tcPr>
            <w:tcW w:type="dxa" w:w="187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10 × HTTP 409</w:t>
            </w:r>
          </w:p>
        </w:tc>
        <w:tc>
          <w:tcPr>
            <w:tcW w:type="dxa" w:w="181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9 × HTTP 500 deadlock</w:t>
            </w:r>
          </w:p>
        </w:tc>
        <w:tc>
          <w:tcPr>
            <w:tcW w:type="dxa" w:w="96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FAIL</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Complete one sale</w:t>
            </w:r>
          </w:p>
        </w:tc>
        <w:tc>
          <w:tcPr>
            <w:tcW w:type="dxa" w:w="113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20</w:t>
            </w:r>
          </w:p>
        </w:tc>
        <w:tc>
          <w:tcPr>
            <w:tcW w:type="dxa" w:w="158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1</w:t>
            </w:r>
          </w:p>
        </w:tc>
        <w:tc>
          <w:tcPr>
            <w:tcW w:type="dxa" w:w="187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19 × HTTP 409</w:t>
            </w:r>
          </w:p>
        </w:tc>
        <w:tc>
          <w:tcPr>
            <w:tcW w:type="dxa" w:w="181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0</w:t>
            </w:r>
          </w:p>
        </w:tc>
        <w:tc>
          <w:tcPr>
            <w:tcW w:type="dxa" w:w="96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PASS</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524"/>
            <w:shd w:fill="FEF2F2"/>
            <w:tcMar>
              <w:top w:w="120" w:type="dxa"/>
              <w:start w:w="180" w:type="dxa"/>
              <w:bottom w:w="120" w:type="dxa"/>
              <w:end w:w="130" w:type="dxa"/>
            </w:tcMar>
            <w:tcBorders>
              <w:top w:val="nil"/>
              <w:left w:val="single" w:sz="32" w:color="DC2626"/>
              <w:bottom w:val="nil"/>
              <w:right w:val="nil"/>
            </w:tcBorders>
          </w:tcPr>
          <w:p>
            <w:pPr>
              <w:spacing w:after="40"/>
            </w:pPr>
            <w:r>
              <w:rPr>
                <w:b/>
                <w:color w:val="DC2626"/>
              </w:rPr>
              <w:t>Critical correctness finding</w:t>
            </w:r>
          </w:p>
          <w:p>
            <w:pPr>
              <w:spacing w:after="0"/>
            </w:pPr>
            <w:r>
              <w:t>The reservation race did not double-reserve the vehicle, but MySQL ER_LOCK_DEADLOCK escaped as HTTP 500 for 9 callers. This is a resilience defect: expected transactional contention must be retried or translated into a stable conflict/unavailable response.</w:t>
            </w:r>
          </w:p>
        </w:tc>
      </w:tr>
    </w:tbl>
    <w:p>
      <w:pPr>
        <w:spacing w:after="0"/>
      </w:pPr>
    </w:p>
    <w:p>
      <w:pPr>
        <w:pStyle w:val="Heading2"/>
      </w:pPr>
      <w:r>
        <w:t>Remediation design</w:t>
      </w:r>
    </w:p>
    <w:p>
      <w:pPr>
        <w:spacing w:after="60"/>
        <w:ind w:left="369" w:hanging="369"/>
      </w:pPr>
      <w:r>
        <w:rPr>
          <w:b/>
          <w:color w:val="64748B"/>
        </w:rPr>
        <w:t xml:space="preserve">1.  </w:t>
      </w:r>
      <w:r>
        <w:t>Acquire locks in a single, documented order across vehicle, reservation, offer, and related records.</w:t>
      </w:r>
    </w:p>
    <w:p>
      <w:pPr>
        <w:spacing w:after="60"/>
        <w:ind w:left="369" w:hanging="369"/>
      </w:pPr>
      <w:r>
        <w:rPr>
          <w:b/>
          <w:color w:val="64748B"/>
        </w:rPr>
        <w:t xml:space="preserve">2.  </w:t>
      </w:r>
      <w:r>
        <w:t>Retry MySQL deadlock/serialization errors (1213 / SQLSTATE 40001) with a small bounded exponential backoff and jitter.</w:t>
      </w:r>
    </w:p>
    <w:p>
      <w:pPr>
        <w:spacing w:after="60"/>
        <w:ind w:left="369" w:hanging="369"/>
      </w:pPr>
      <w:r>
        <w:rPr>
          <w:b/>
          <w:color w:val="64748B"/>
        </w:rPr>
        <w:t xml:space="preserve">3.  </w:t>
      </w:r>
      <w:r>
        <w:t>After the retry budget, return a controlled 409 conflict or 503 retryable response; never expose the database failure as a generic 500.</w:t>
      </w:r>
    </w:p>
    <w:p>
      <w:pPr>
        <w:spacing w:after="60"/>
        <w:ind w:left="369" w:hanging="369"/>
      </w:pPr>
      <w:r>
        <w:rPr>
          <w:b/>
          <w:color w:val="64748B"/>
        </w:rPr>
        <w:t xml:space="preserve">4.  </w:t>
      </w:r>
      <w:r>
        <w:t>Keep the existing uniqueness/state preconditions and add this 20-way test to the mandatory release gate.</w:t>
      </w:r>
    </w:p>
    <w:p>
      <w:r>
        <w:br w:type="page"/>
      </w:r>
    </w:p>
    <w:p>
      <w:pPr>
        <w:spacing w:after="40"/>
      </w:pPr>
      <w:r>
        <w:rPr>
          <w:b/>
          <w:color w:val="0EA5E9"/>
          <w:sz w:val="16"/>
        </w:rPr>
        <w:t>SECTION 08</w:t>
      </w:r>
    </w:p>
    <w:p>
      <w:pPr>
        <w:pStyle w:val="Heading1"/>
      </w:pPr>
      <w:r>
        <w:t>Soak stability and runtime profiles</w:t>
      </w:r>
    </w:p>
    <w:p>
      <w:pPr>
        <w:spacing w:after="180"/>
      </w:pPr>
      <w:r>
        <w:rPr>
          <w:color w:val="64748B"/>
          <w:sz w:val="20"/>
        </w:rPr>
        <w:t>Memory remained bounded during sustained average load; CPU samples and profiles point to query concurrency and password hashing as the main pressure sources.</w:t>
      </w:r>
    </w:p>
    <w:p>
      <w:pPr>
        <w:keepNext/>
        <w:jc w:val="center"/>
      </w:pPr>
      <w:r>
        <w:drawing>
          <wp:inline xmlns:a="http://schemas.openxmlformats.org/drawingml/2006/main" xmlns:pic="http://schemas.openxmlformats.org/drawingml/2006/picture">
            <wp:extent cx="6172200" cy="2931795"/>
            <wp:docPr id="4" name="Picture 4"/>
            <wp:cNvGraphicFramePr>
              <a:graphicFrameLocks noChangeAspect="1"/>
            </wp:cNvGraphicFramePr>
            <a:graphic>
              <a:graphicData uri="http://schemas.openxmlformats.org/drawingml/2006/picture">
                <pic:pic>
                  <pic:nvPicPr>
                    <pic:cNvPr id="0" name="soak-memory.png"/>
                    <pic:cNvPicPr/>
                  </pic:nvPicPr>
                  <pic:blipFill>
                    <a:blip r:embed="rId14"/>
                    <a:stretch>
                      <a:fillRect/>
                    </a:stretch>
                  </pic:blipFill>
                  <pic:spPr>
                    <a:xfrm>
                      <a:off x="0" y="0"/>
                      <a:ext cx="6172200" cy="2931795"/>
                    </a:xfrm>
                    <a:prstGeom prst="rect"/>
                  </pic:spPr>
                </pic:pic>
              </a:graphicData>
            </a:graphic>
          </wp:inline>
        </w:drawing>
      </w:r>
    </w:p>
    <w:p>
      <w:pPr>
        <w:pStyle w:val="Caption"/>
        <w:jc w:val="center"/>
      </w:pPr>
      <w:r>
        <w:t>Figure 4. RSS and heap remain bounded across the 30-minute soak. Short heap oscillations are consistent with garbage collection.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61"/>
            <w:shd w:fill="0F172A"/>
            <w:vAlign w:val="center"/>
            <w:tcMar>
              <w:top w:w="90" w:type="dxa"/>
              <w:start w:w="85" w:type="dxa"/>
              <w:bottom w:w="90" w:type="dxa"/>
              <w:end w:w="85" w:type="dxa"/>
            </w:tcMar>
          </w:tcPr>
          <w:p>
            <w:pPr>
              <w:spacing w:after="0"/>
            </w:pPr>
            <w:r>
              <w:rPr>
                <w:b/>
                <w:color w:val="FFFFFF"/>
                <w:sz w:val="15"/>
              </w:rPr>
              <w:t>Signal</w:t>
            </w:r>
          </w:p>
        </w:tc>
        <w:tc>
          <w:tcPr>
            <w:tcW w:type="dxa" w:w="1417"/>
            <w:shd w:fill="0F172A"/>
            <w:vAlign w:val="center"/>
            <w:tcMar>
              <w:top w:w="90" w:type="dxa"/>
              <w:start w:w="85" w:type="dxa"/>
              <w:bottom w:w="90" w:type="dxa"/>
              <w:end w:w="85" w:type="dxa"/>
            </w:tcMar>
          </w:tcPr>
          <w:p>
            <w:pPr>
              <w:spacing w:after="0"/>
            </w:pPr>
            <w:r>
              <w:rPr>
                <w:b/>
                <w:color w:val="FFFFFF"/>
                <w:sz w:val="15"/>
              </w:rPr>
              <w:t>First 5 min</w:t>
            </w:r>
          </w:p>
        </w:tc>
        <w:tc>
          <w:tcPr>
            <w:tcW w:type="dxa" w:w="1417"/>
            <w:shd w:fill="0F172A"/>
            <w:vAlign w:val="center"/>
            <w:tcMar>
              <w:top w:w="90" w:type="dxa"/>
              <w:start w:w="85" w:type="dxa"/>
              <w:bottom w:w="90" w:type="dxa"/>
              <w:end w:w="85" w:type="dxa"/>
            </w:tcMar>
          </w:tcPr>
          <w:p>
            <w:pPr>
              <w:spacing w:after="0"/>
            </w:pPr>
            <w:r>
              <w:rPr>
                <w:b/>
                <w:color w:val="FFFFFF"/>
                <w:sz w:val="15"/>
              </w:rPr>
              <w:t>Last 5 min</w:t>
            </w:r>
          </w:p>
        </w:tc>
        <w:tc>
          <w:tcPr>
            <w:tcW w:type="dxa" w:w="2778"/>
            <w:shd w:fill="0F172A"/>
            <w:vAlign w:val="center"/>
            <w:tcMar>
              <w:top w:w="90" w:type="dxa"/>
              <w:start w:w="85" w:type="dxa"/>
              <w:bottom w:w="90" w:type="dxa"/>
              <w:end w:w="85" w:type="dxa"/>
            </w:tcMar>
          </w:tcPr>
          <w:p>
            <w:pPr>
              <w:spacing w:after="0"/>
            </w:pPr>
            <w:r>
              <w:rPr>
                <w:b/>
                <w:color w:val="FFFFFF"/>
                <w:sz w:val="15"/>
              </w:rPr>
              <w:t>Maximum / average</w:t>
            </w:r>
          </w:p>
        </w:tc>
        <w:tc>
          <w:tcPr>
            <w:tcW w:type="dxa" w:w="2551"/>
            <w:shd w:fill="0F172A"/>
            <w:vAlign w:val="center"/>
            <w:tcMar>
              <w:top w:w="90" w:type="dxa"/>
              <w:start w:w="85" w:type="dxa"/>
              <w:bottom w:w="90" w:type="dxa"/>
              <w:end w:w="85" w:type="dxa"/>
            </w:tcMar>
          </w:tcPr>
          <w:p>
            <w:pPr>
              <w:spacing w:after="0"/>
            </w:pPr>
            <w:r>
              <w:rPr>
                <w:b/>
                <w:color w:val="FFFFFF"/>
                <w:sz w:val="15"/>
              </w:rPr>
              <w:t>Interpretation</w:t>
            </w:r>
          </w:p>
        </w:tc>
      </w:tr>
      <w:tr>
        <w:trPr>
          <w:cantSplit/>
        </w:trPr>
        <w:tc>
          <w:tcPr>
            <w:tcW w:type="dxa" w:w="136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RSS</w:t>
            </w:r>
          </w:p>
        </w:tc>
        <w:tc>
          <w:tcPr>
            <w:tcW w:type="dxa" w:w="141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107.99 MB</w:t>
            </w:r>
          </w:p>
        </w:tc>
        <w:tc>
          <w:tcPr>
            <w:tcW w:type="dxa" w:w="141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108.43 MB</w:t>
            </w:r>
          </w:p>
        </w:tc>
        <w:tc>
          <w:tcPr>
            <w:tcW w:type="dxa" w:w="277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110.46 MB max</w:t>
            </w:r>
          </w:p>
        </w:tc>
        <w:tc>
          <w:tcPr>
            <w:tcW w:type="dxa" w:w="255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+0.44 MB; bounded</w:t>
            </w:r>
          </w:p>
        </w:tc>
      </w:tr>
      <w:tr>
        <w:trPr>
          <w:cantSplit/>
        </w:trPr>
        <w:tc>
          <w:tcPr>
            <w:tcW w:type="dxa" w:w="136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Heap used</w:t>
            </w:r>
          </w:p>
        </w:tc>
        <w:tc>
          <w:tcPr>
            <w:tcW w:type="dxa" w:w="141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31.78 MB</w:t>
            </w:r>
          </w:p>
        </w:tc>
        <w:tc>
          <w:tcPr>
            <w:tcW w:type="dxa" w:w="141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31.79 MB</w:t>
            </w:r>
          </w:p>
        </w:tc>
        <w:tc>
          <w:tcPr>
            <w:tcW w:type="dxa" w:w="277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42.23 MB max</w:t>
            </w:r>
          </w:p>
        </w:tc>
        <w:tc>
          <w:tcPr>
            <w:tcW w:type="dxa" w:w="255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+0.01 MB; bounded</w:t>
            </w:r>
          </w:p>
        </w:tc>
      </w:tr>
      <w:tr>
        <w:trPr>
          <w:cantSplit/>
        </w:trPr>
        <w:tc>
          <w:tcPr>
            <w:tcW w:type="dxa" w:w="136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Process CPU</w:t>
            </w:r>
          </w:p>
        </w:tc>
        <w:tc>
          <w:tcPr>
            <w:tcW w:type="dxa" w:w="141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w:t>
            </w:r>
          </w:p>
        </w:tc>
        <w:tc>
          <w:tcPr>
            <w:tcW w:type="dxa" w:w="141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w:t>
            </w:r>
          </w:p>
        </w:tc>
        <w:tc>
          <w:tcPr>
            <w:tcW w:type="dxa" w:w="277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29.9% avg / 100.1% max</w:t>
            </w:r>
          </w:p>
        </w:tc>
        <w:tc>
          <w:tcPr>
            <w:tcW w:type="dxa" w:w="255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Bursty saturation</w:t>
            </w:r>
          </w:p>
        </w:tc>
      </w:tr>
      <w:tr>
        <w:trPr>
          <w:cantSplit/>
        </w:trPr>
        <w:tc>
          <w:tcPr>
            <w:tcW w:type="dxa" w:w="136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Event loop</w:t>
            </w:r>
          </w:p>
        </w:tc>
        <w:tc>
          <w:tcPr>
            <w:tcW w:type="dxa" w:w="141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w:t>
            </w:r>
          </w:p>
        </w:tc>
        <w:tc>
          <w:tcPr>
            <w:tcW w:type="dxa" w:w="141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w:t>
            </w:r>
          </w:p>
        </w:tc>
        <w:tc>
          <w:tcPr>
            <w:tcW w:type="dxa" w:w="277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p95 sample avg 29.8 ms; max 2236 ms</w:t>
            </w:r>
          </w:p>
        </w:tc>
        <w:tc>
          <w:tcPr>
            <w:tcW w:type="dxa" w:w="255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Rare long stall observed</w:t>
            </w:r>
          </w:p>
        </w:tc>
      </w:tr>
    </w:tbl>
    <w:p>
      <w:pPr>
        <w:spacing w:after="0"/>
      </w:pPr>
    </w:p>
    <w:p>
      <w:pPr>
        <w:pStyle w:val="Heading2"/>
      </w:pPr>
      <w:r>
        <w:t>CPU and allocation profile</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438"/>
            <w:shd w:fill="0F172A"/>
            <w:vAlign w:val="center"/>
            <w:tcMar>
              <w:top w:w="90" w:type="dxa"/>
              <w:start w:w="85" w:type="dxa"/>
              <w:bottom w:w="90" w:type="dxa"/>
              <w:end w:w="85" w:type="dxa"/>
            </w:tcMar>
          </w:tcPr>
          <w:p>
            <w:pPr>
              <w:spacing w:after="0"/>
            </w:pPr>
            <w:r>
              <w:rPr>
                <w:b/>
                <w:color w:val="FFFFFF"/>
                <w:sz w:val="16"/>
              </w:rPr>
              <w:t>Hot function</w:t>
            </w:r>
          </w:p>
        </w:tc>
        <w:tc>
          <w:tcPr>
            <w:tcW w:type="dxa" w:w="3515"/>
            <w:shd w:fill="0F172A"/>
            <w:vAlign w:val="center"/>
            <w:tcMar>
              <w:top w:w="90" w:type="dxa"/>
              <w:start w:w="85" w:type="dxa"/>
              <w:bottom w:w="90" w:type="dxa"/>
              <w:end w:w="85" w:type="dxa"/>
            </w:tcMar>
          </w:tcPr>
          <w:p>
            <w:pPr>
              <w:spacing w:after="0"/>
            </w:pPr>
            <w:r>
              <w:rPr>
                <w:b/>
                <w:color w:val="FFFFFF"/>
                <w:sz w:val="16"/>
              </w:rPr>
              <w:t>Module</w:t>
            </w:r>
          </w:p>
        </w:tc>
        <w:tc>
          <w:tcPr>
            <w:tcW w:type="dxa" w:w="1814"/>
            <w:shd w:fill="0F172A"/>
            <w:vAlign w:val="center"/>
            <w:tcMar>
              <w:top w:w="90" w:type="dxa"/>
              <w:start w:w="85" w:type="dxa"/>
              <w:bottom w:w="90" w:type="dxa"/>
              <w:end w:w="85" w:type="dxa"/>
            </w:tcMar>
          </w:tcPr>
          <w:p>
            <w:pPr>
              <w:spacing w:after="0"/>
            </w:pPr>
            <w:r>
              <w:rPr>
                <w:b/>
                <w:color w:val="FFFFFF"/>
                <w:sz w:val="16"/>
              </w:rPr>
              <w:t>Sampled CPU</w:t>
            </w:r>
          </w:p>
        </w:tc>
        <w:tc>
          <w:tcPr>
            <w:tcW w:type="dxa" w:w="1304"/>
            <w:shd w:fill="0F172A"/>
            <w:vAlign w:val="center"/>
            <w:tcMar>
              <w:top w:w="90" w:type="dxa"/>
              <w:start w:w="85" w:type="dxa"/>
              <w:bottom w:w="90" w:type="dxa"/>
              <w:end w:w="85" w:type="dxa"/>
            </w:tcMar>
          </w:tcPr>
          <w:p>
            <w:pPr>
              <w:spacing w:after="0"/>
            </w:pPr>
            <w:r>
              <w:rPr>
                <w:b/>
                <w:color w:val="FFFFFF"/>
                <w:sz w:val="16"/>
              </w:rPr>
              <w:t>Share</w:t>
            </w:r>
          </w:p>
        </w:tc>
      </w:tr>
      <w:tr>
        <w:trPr>
          <w:cantSplit/>
        </w:trPr>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_encipher</w:t>
            </w:r>
          </w:p>
        </w:tc>
        <w:tc>
          <w:tcPr>
            <w:tcW w:type="dxa" w:w="351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index.js</w:t>
            </w:r>
          </w:p>
        </w:tc>
        <w:tc>
          <w:tcPr>
            <w:tcW w:type="dxa" w:w="181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27,496 ms</w:t>
            </w:r>
          </w:p>
        </w:tc>
        <w:tc>
          <w:tcPr>
            <w:tcW w:type="dxa" w:w="130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11.44%</w:t>
            </w:r>
          </w:p>
        </w:tc>
      </w:tr>
      <w:tr>
        <w:trPr>
          <w:cantSplit/>
        </w:trPr>
        <w:tc>
          <w:tcPr>
            <w:tcW w:type="dxa" w:w="243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_encipher</w:t>
            </w:r>
          </w:p>
        </w:tc>
        <w:tc>
          <w:tcPr>
            <w:tcW w:type="dxa" w:w="351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index.js</w:t>
            </w:r>
          </w:p>
        </w:tc>
        <w:tc>
          <w:tcPr>
            <w:tcW w:type="dxa" w:w="181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9,949 ms</w:t>
            </w:r>
          </w:p>
        </w:tc>
        <w:tc>
          <w:tcPr>
            <w:tcW w:type="dxa" w:w="130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4.14%</w:t>
            </w:r>
          </w:p>
        </w:tc>
      </w:tr>
      <w:tr>
        <w:trPr>
          <w:cantSplit/>
        </w:trPr>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next</w:t>
            </w:r>
          </w:p>
        </w:tc>
        <w:tc>
          <w:tcPr>
            <w:tcW w:type="dxa" w:w="351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index.js</w:t>
            </w:r>
          </w:p>
        </w:tc>
        <w:tc>
          <w:tcPr>
            <w:tcW w:type="dxa" w:w="181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1,823 ms</w:t>
            </w:r>
          </w:p>
        </w:tc>
        <w:tc>
          <w:tcPr>
            <w:tcW w:type="dxa" w:w="130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0.76%</w:t>
            </w:r>
          </w:p>
        </w:tc>
      </w:tr>
      <w:tr>
        <w:trPr>
          <w:cantSplit/>
        </w:trPr>
        <w:tc>
          <w:tcPr>
            <w:tcW w:type="dxa" w:w="243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createPublicKey</w:t>
            </w:r>
          </w:p>
        </w:tc>
        <w:tc>
          <w:tcPr>
            <w:tcW w:type="dxa" w:w="351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keys</w:t>
            </w:r>
          </w:p>
        </w:tc>
        <w:tc>
          <w:tcPr>
            <w:tcW w:type="dxa" w:w="181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675 ms</w:t>
            </w:r>
          </w:p>
        </w:tc>
        <w:tc>
          <w:tcPr>
            <w:tcW w:type="dxa" w:w="130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0.28%</w:t>
            </w:r>
          </w:p>
        </w:tc>
      </w:tr>
    </w:tbl>
    <w:p>
      <w:pPr>
        <w:spacing w:after="0"/>
      </w:pPr>
    </w:p>
    <w:p>
      <w:r>
        <w:t>The CPU profile covers 240.4 seconds. Repeated bcryptjs _encipher frames dominate the hottest samples, aligning with the login-load collapse. Heap allocations include loader/LRU/MySQL buffers and a 0.50 MB loginTenantUser allocation; the soak data does not indicate a retained-memory leak.</w:t>
      </w:r>
    </w:p>
    <w:tbl>
      <w:tblPr>
        <w:tblW w:type="auto" w:w="0"/>
        <w:jc w:val="center"/>
        <w:tblLayout w:type="fixed"/>
        <w:tblLook w:firstColumn="1" w:firstRow="1" w:lastColumn="0" w:lastRow="0" w:noHBand="0" w:noVBand="1" w:val="04A0"/>
      </w:tblPr>
      <w:tblGrid>
        <w:gridCol w:w="9866"/>
      </w:tblGrid>
      <w:tr>
        <w:tc>
          <w:tcPr>
            <w:tcW w:type="dxa" w:w="9524"/>
            <w:shd w:fill="FFFBEB"/>
            <w:tcMar>
              <w:top w:w="120" w:type="dxa"/>
              <w:start w:w="180" w:type="dxa"/>
              <w:bottom w:w="120" w:type="dxa"/>
              <w:end w:w="130" w:type="dxa"/>
            </w:tcMar>
            <w:tcBorders>
              <w:top w:val="nil"/>
              <w:left w:val="single" w:sz="32" w:color="D97706"/>
              <w:bottom w:val="nil"/>
              <w:right w:val="nil"/>
            </w:tcBorders>
          </w:tcPr>
          <w:p>
            <w:pPr>
              <w:spacing w:after="40"/>
            </w:pPr>
            <w:r>
              <w:rPr>
                <w:b/>
                <w:color w:val="D97706"/>
              </w:rPr>
              <w:t>Authentication design implication</w:t>
            </w:r>
          </w:p>
          <w:p>
            <w:pPr>
              <w:spacing w:after="0"/>
            </w:pPr>
            <w:r>
              <w:t>Do not increase login concurrency blindly. First add rate limits and queue bounds, then evaluate native/worker-thread password verification or isolate authentication capacity. Any microservice result must use the same password cost and request schedule.</w:t>
            </w:r>
          </w:p>
        </w:tc>
      </w:tr>
    </w:tbl>
    <w:p>
      <w:pPr>
        <w:spacing w:after="0"/>
      </w:pPr>
    </w:p>
    <w:p>
      <w:r>
        <w:br w:type="page"/>
      </w:r>
    </w:p>
    <w:p>
      <w:pPr>
        <w:spacing w:after="40"/>
      </w:pPr>
      <w:r>
        <w:rPr>
          <w:b/>
          <w:color w:val="0EA5E9"/>
          <w:sz w:val="16"/>
        </w:rPr>
        <w:t>SECTION 09</w:t>
      </w:r>
    </w:p>
    <w:p>
      <w:pPr>
        <w:pStyle w:val="Heading1"/>
      </w:pPr>
      <w:r>
        <w:t>Frontend quality audit</w:t>
      </w:r>
    </w:p>
    <w:p>
      <w:pPr>
        <w:spacing w:after="180"/>
      </w:pPr>
      <w:r>
        <w:rPr>
          <w:color w:val="64748B"/>
          <w:sz w:val="20"/>
        </w:rPr>
        <w:t>Accessibility and best-practice scores are strong; performance and discoverability remain the main frontend opportunities.</w:t>
      </w:r>
    </w:p>
    <w:p>
      <w:pPr>
        <w:keepNext/>
        <w:jc w:val="center"/>
      </w:pPr>
      <w:r>
        <w:drawing>
          <wp:inline xmlns:a="http://schemas.openxmlformats.org/drawingml/2006/main" xmlns:pic="http://schemas.openxmlformats.org/drawingml/2006/picture">
            <wp:extent cx="6172200" cy="2931795"/>
            <wp:docPr id="5" name="Picture 5"/>
            <wp:cNvGraphicFramePr>
              <a:graphicFrameLocks noChangeAspect="1"/>
            </wp:cNvGraphicFramePr>
            <a:graphic>
              <a:graphicData uri="http://schemas.openxmlformats.org/drawingml/2006/picture">
                <pic:pic>
                  <pic:nvPicPr>
                    <pic:cNvPr id="0" name="lighthouse-scores.png"/>
                    <pic:cNvPicPr/>
                  </pic:nvPicPr>
                  <pic:blipFill>
                    <a:blip r:embed="rId15"/>
                    <a:stretch>
                      <a:fillRect/>
                    </a:stretch>
                  </pic:blipFill>
                  <pic:spPr>
                    <a:xfrm>
                      <a:off x="0" y="0"/>
                      <a:ext cx="6172200" cy="2931795"/>
                    </a:xfrm>
                    <a:prstGeom prst="rect"/>
                  </pic:spPr>
                </pic:pic>
              </a:graphicData>
            </a:graphic>
          </wp:inline>
        </w:drawing>
      </w:r>
    </w:p>
    <w:p>
      <w:pPr>
        <w:pStyle w:val="Caption"/>
        <w:jc w:val="center"/>
      </w:pPr>
      <w:r>
        <w:t>Figure 5. Lighthouse category scores for the public login page and authenticated dashboard.</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2721"/>
            <w:shd w:fill="0F172A"/>
            <w:vAlign w:val="center"/>
            <w:tcMar>
              <w:top w:w="90" w:type="dxa"/>
              <w:start w:w="85" w:type="dxa"/>
              <w:bottom w:w="90" w:type="dxa"/>
              <w:end w:w="85" w:type="dxa"/>
            </w:tcMar>
          </w:tcPr>
          <w:p>
            <w:pPr>
              <w:spacing w:after="0"/>
            </w:pPr>
            <w:r>
              <w:rPr>
                <w:b/>
                <w:color w:val="FFFFFF"/>
                <w:sz w:val="17"/>
              </w:rPr>
              <w:t>Page</w:t>
            </w:r>
          </w:p>
        </w:tc>
        <w:tc>
          <w:tcPr>
            <w:tcW w:type="dxa" w:w="1701"/>
            <w:shd w:fill="0F172A"/>
            <w:vAlign w:val="center"/>
            <w:tcMar>
              <w:top w:w="90" w:type="dxa"/>
              <w:start w:w="85" w:type="dxa"/>
              <w:bottom w:w="90" w:type="dxa"/>
              <w:end w:w="85" w:type="dxa"/>
            </w:tcMar>
          </w:tcPr>
          <w:p>
            <w:pPr>
              <w:spacing w:after="0"/>
            </w:pPr>
            <w:r>
              <w:rPr>
                <w:b/>
                <w:color w:val="FFFFFF"/>
                <w:sz w:val="17"/>
              </w:rPr>
              <w:t>Performance</w:t>
            </w:r>
          </w:p>
        </w:tc>
        <w:tc>
          <w:tcPr>
            <w:tcW w:type="dxa" w:w="1701"/>
            <w:shd w:fill="0F172A"/>
            <w:vAlign w:val="center"/>
            <w:tcMar>
              <w:top w:w="90" w:type="dxa"/>
              <w:start w:w="85" w:type="dxa"/>
              <w:bottom w:w="90" w:type="dxa"/>
              <w:end w:w="85" w:type="dxa"/>
            </w:tcMar>
          </w:tcPr>
          <w:p>
            <w:pPr>
              <w:spacing w:after="0"/>
            </w:pPr>
            <w:r>
              <w:rPr>
                <w:b/>
                <w:color w:val="FFFFFF"/>
                <w:sz w:val="17"/>
              </w:rPr>
              <w:t>Accessibility</w:t>
            </w:r>
          </w:p>
        </w:tc>
        <w:tc>
          <w:tcPr>
            <w:tcW w:type="dxa" w:w="1814"/>
            <w:shd w:fill="0F172A"/>
            <w:vAlign w:val="center"/>
            <w:tcMar>
              <w:top w:w="90" w:type="dxa"/>
              <w:start w:w="85" w:type="dxa"/>
              <w:bottom w:w="90" w:type="dxa"/>
              <w:end w:w="85" w:type="dxa"/>
            </w:tcMar>
          </w:tcPr>
          <w:p>
            <w:pPr>
              <w:spacing w:after="0"/>
            </w:pPr>
            <w:r>
              <w:rPr>
                <w:b/>
                <w:color w:val="FFFFFF"/>
                <w:sz w:val="17"/>
              </w:rPr>
              <w:t>Best practices</w:t>
            </w:r>
          </w:p>
        </w:tc>
        <w:tc>
          <w:tcPr>
            <w:tcW w:type="dxa" w:w="1587"/>
            <w:shd w:fill="0F172A"/>
            <w:vAlign w:val="center"/>
            <w:tcMar>
              <w:top w:w="90" w:type="dxa"/>
              <w:start w:w="85" w:type="dxa"/>
              <w:bottom w:w="90" w:type="dxa"/>
              <w:end w:w="85" w:type="dxa"/>
            </w:tcMar>
          </w:tcPr>
          <w:p>
            <w:pPr>
              <w:spacing w:after="0"/>
            </w:pPr>
            <w:r>
              <w:rPr>
                <w:b/>
                <w:color w:val="FFFFFF"/>
                <w:sz w:val="17"/>
              </w:rPr>
              <w:t>SEO</w:t>
            </w:r>
          </w:p>
        </w:tc>
      </w:tr>
      <w:tr>
        <w:trPr>
          <w:cantSplit/>
        </w:trPr>
        <w:tc>
          <w:tcPr>
            <w:tcW w:type="dxa" w:w="272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Login</w:t>
            </w:r>
          </w:p>
        </w:tc>
        <w:tc>
          <w:tcPr>
            <w:tcW w:type="dxa" w:w="170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60</w:t>
            </w:r>
          </w:p>
        </w:tc>
        <w:tc>
          <w:tcPr>
            <w:tcW w:type="dxa" w:w="170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100</w:t>
            </w:r>
          </w:p>
        </w:tc>
        <w:tc>
          <w:tcPr>
            <w:tcW w:type="dxa" w:w="181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96</w:t>
            </w:r>
          </w:p>
        </w:tc>
        <w:tc>
          <w:tcPr>
            <w:tcW w:type="dxa" w:w="158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82</w:t>
            </w:r>
          </w:p>
        </w:tc>
      </w:tr>
      <w:tr>
        <w:trPr>
          <w:cantSplit/>
        </w:trPr>
        <w:tc>
          <w:tcPr>
            <w:tcW w:type="dxa" w:w="272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Dashboard</w:t>
            </w:r>
          </w:p>
        </w:tc>
        <w:tc>
          <w:tcPr>
            <w:tcW w:type="dxa" w:w="170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70</w:t>
            </w:r>
          </w:p>
        </w:tc>
        <w:tc>
          <w:tcPr>
            <w:tcW w:type="dxa" w:w="170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100</w:t>
            </w:r>
          </w:p>
        </w:tc>
        <w:tc>
          <w:tcPr>
            <w:tcW w:type="dxa" w:w="181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96</w:t>
            </w:r>
          </w:p>
        </w:tc>
        <w:tc>
          <w:tcPr>
            <w:tcW w:type="dxa" w:w="158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7"/>
              </w:rPr>
              <w:t>82</w:t>
            </w:r>
          </w:p>
        </w:tc>
      </w:tr>
    </w:tbl>
    <w:p>
      <w:pPr>
        <w:spacing w:after="0"/>
      </w:pPr>
    </w:p>
    <w:p>
      <w:pPr>
        <w:pStyle w:val="Heading2"/>
      </w:pPr>
      <w:r>
        <w:t>Priority frontend follow-up</w:t>
      </w:r>
    </w:p>
    <w:p>
      <w:pPr>
        <w:pStyle w:val="ListBullet"/>
        <w:spacing w:after="50"/>
      </w:pPr>
      <w:r>
        <w:t>Use the Lighthouse JSON/HTML artifacts to target the largest content and JavaScript opportunities on each page.</w:t>
      </w:r>
    </w:p>
    <w:p>
      <w:pPr>
        <w:pStyle w:val="ListBullet"/>
        <w:spacing w:after="50"/>
      </w:pPr>
      <w:r>
        <w:t>Compress and correctly size large visual assets; preload only truly critical resources.</w:t>
      </w:r>
    </w:p>
    <w:p>
      <w:pPr>
        <w:pStyle w:val="ListBullet"/>
        <w:spacing w:after="50"/>
      </w:pPr>
      <w:r>
        <w:t>Review route-level code splitting and defer non-critical dashboard bundles.</w:t>
      </w:r>
    </w:p>
    <w:p>
      <w:pPr>
        <w:pStyle w:val="ListBullet"/>
        <w:spacing w:after="50"/>
      </w:pPr>
      <w:r>
        <w:t>Add page-specific metadata where public discoverability matters; authenticated screens do not require aggressive SEO work.</w:t>
      </w:r>
    </w:p>
    <w:tbl>
      <w:tblPr>
        <w:tblW w:type="auto" w:w="0"/>
        <w:jc w:val="center"/>
        <w:tblLayout w:type="fixed"/>
        <w:tblLook w:firstColumn="1" w:firstRow="1" w:lastColumn="0" w:lastRow="0" w:noHBand="0" w:noVBand="1" w:val="04A0"/>
      </w:tblPr>
      <w:tblGrid>
        <w:gridCol w:w="9866"/>
      </w:tblGrid>
      <w:tr>
        <w:tc>
          <w:tcPr>
            <w:tcW w:type="dxa" w:w="9524"/>
            <w:shd w:fill="EFF6FF"/>
            <w:tcMar>
              <w:top w:w="120" w:type="dxa"/>
              <w:start w:w="180" w:type="dxa"/>
              <w:bottom w:w="120" w:type="dxa"/>
              <w:end w:w="130" w:type="dxa"/>
            </w:tcMar>
            <w:tcBorders>
              <w:top w:val="nil"/>
              <w:left w:val="single" w:sz="32" w:color="2563EB"/>
              <w:bottom w:val="nil"/>
              <w:right w:val="nil"/>
            </w:tcBorders>
          </w:tcPr>
          <w:p>
            <w:pPr>
              <w:spacing w:after="40"/>
            </w:pPr>
            <w:r>
              <w:rPr>
                <w:b/>
                <w:color w:val="2563EB"/>
              </w:rPr>
              <w:t>Interpretation</w:t>
            </w:r>
          </w:p>
          <w:p>
            <w:pPr>
              <w:spacing w:after="0"/>
            </w:pPr>
            <w:r>
              <w:t>Lighthouse ran locally against the production frontend. It is useful as a repeatable regression comparison, but field performance requires real-user monitoring or controlled remote infrastructure.</w:t>
            </w:r>
          </w:p>
        </w:tc>
      </w:tr>
    </w:tbl>
    <w:p>
      <w:pPr>
        <w:spacing w:after="0"/>
      </w:pPr>
    </w:p>
    <w:p>
      <w:r>
        <w:br w:type="page"/>
      </w:r>
    </w:p>
    <w:p>
      <w:pPr>
        <w:spacing w:after="40"/>
      </w:pPr>
      <w:r>
        <w:rPr>
          <w:b/>
          <w:color w:val="0EA5E9"/>
          <w:sz w:val="16"/>
        </w:rPr>
        <w:t>SECTION 10</w:t>
      </w:r>
    </w:p>
    <w:p>
      <w:pPr>
        <w:pStyle w:val="Heading1"/>
      </w:pPr>
      <w:r>
        <w:t>Prioritized engineering actions</w:t>
      </w:r>
    </w:p>
    <w:p>
      <w:pPr>
        <w:spacing w:after="180"/>
      </w:pPr>
      <w:r>
        <w:rPr>
          <w:color w:val="64748B"/>
          <w:sz w:val="20"/>
        </w:rPr>
        <w:t>Fix correctness and backpressure first; then reduce database work and frontend transfer cost.</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737"/>
            <w:shd w:fill="0F172A"/>
            <w:vAlign w:val="center"/>
            <w:tcMar>
              <w:top w:w="90" w:type="dxa"/>
              <w:start w:w="85" w:type="dxa"/>
              <w:bottom w:w="90" w:type="dxa"/>
              <w:end w:w="85" w:type="dxa"/>
            </w:tcMar>
          </w:tcPr>
          <w:p>
            <w:pPr>
              <w:spacing w:after="0"/>
            </w:pPr>
            <w:r>
              <w:rPr>
                <w:b/>
                <w:color w:val="FFFFFF"/>
                <w:sz w:val="15"/>
              </w:rPr>
              <w:t>Priority</w:t>
            </w:r>
          </w:p>
        </w:tc>
        <w:tc>
          <w:tcPr>
            <w:tcW w:type="dxa" w:w="2948"/>
            <w:shd w:fill="0F172A"/>
            <w:vAlign w:val="center"/>
            <w:tcMar>
              <w:top w:w="90" w:type="dxa"/>
              <w:start w:w="85" w:type="dxa"/>
              <w:bottom w:w="90" w:type="dxa"/>
              <w:end w:w="85" w:type="dxa"/>
            </w:tcMar>
          </w:tcPr>
          <w:p>
            <w:pPr>
              <w:spacing w:after="0"/>
            </w:pPr>
            <w:r>
              <w:rPr>
                <w:b/>
                <w:color w:val="FFFFFF"/>
                <w:sz w:val="15"/>
              </w:rPr>
              <w:t>Action</w:t>
            </w:r>
          </w:p>
        </w:tc>
        <w:tc>
          <w:tcPr>
            <w:tcW w:type="dxa" w:w="2948"/>
            <w:shd w:fill="0F172A"/>
            <w:vAlign w:val="center"/>
            <w:tcMar>
              <w:top w:w="90" w:type="dxa"/>
              <w:start w:w="85" w:type="dxa"/>
              <w:bottom w:w="90" w:type="dxa"/>
              <w:end w:w="85" w:type="dxa"/>
            </w:tcMar>
          </w:tcPr>
          <w:p>
            <w:pPr>
              <w:spacing w:after="0"/>
            </w:pPr>
            <w:r>
              <w:rPr>
                <w:b/>
                <w:color w:val="FFFFFF"/>
                <w:sz w:val="15"/>
              </w:rPr>
              <w:t>Why it matters</w:t>
            </w:r>
          </w:p>
        </w:tc>
        <w:tc>
          <w:tcPr>
            <w:tcW w:type="dxa" w:w="2891"/>
            <w:shd w:fill="0F172A"/>
            <w:vAlign w:val="center"/>
            <w:tcMar>
              <w:top w:w="90" w:type="dxa"/>
              <w:start w:w="85" w:type="dxa"/>
              <w:bottom w:w="90" w:type="dxa"/>
              <w:end w:w="85" w:type="dxa"/>
            </w:tcMar>
          </w:tcPr>
          <w:p>
            <w:pPr>
              <w:spacing w:after="0"/>
            </w:pPr>
            <w:r>
              <w:rPr>
                <w:b/>
                <w:color w:val="FFFFFF"/>
                <w:sz w:val="15"/>
              </w:rPr>
              <w:t>Verification gate</w:t>
            </w:r>
          </w:p>
        </w:tc>
      </w:tr>
      <w:tr>
        <w:trPr>
          <w:cantSplit/>
        </w:trPr>
        <w:tc>
          <w:tcPr>
            <w:tcW w:type="dxa" w:w="73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P0</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Deadlock retry + deterministic lock order + stable response mapping</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Prevents expected contention from becoming HTTP 500</w:t>
            </w:r>
          </w:p>
        </w:tc>
        <w:tc>
          <w:tcPr>
            <w:tcW w:type="dxa" w:w="28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20-way reservation: 1 success, 19 controlled conflicts</w:t>
            </w:r>
          </w:p>
        </w:tc>
      </w:tr>
      <w:tr>
        <w:trPr>
          <w:cantSplit/>
        </w:trPr>
        <w:tc>
          <w:tcPr>
            <w:tcW w:type="dxa" w:w="73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P0</w:t>
            </w:r>
          </w:p>
        </w:tc>
        <w:tc>
          <w:tcPr>
            <w:tcW w:type="dxa" w:w="294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Login rate limit, bounded queue, timeout, and password-hash capacity strategy</w:t>
            </w:r>
          </w:p>
        </w:tc>
        <w:tc>
          <w:tcPr>
            <w:tcW w:type="dxa" w:w="294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Protects the event loop and database during auth bursts</w:t>
            </w:r>
          </w:p>
        </w:tc>
        <w:tc>
          <w:tcPr>
            <w:tcW w:type="dxa" w:w="289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No dropped iterations at agreed login rate; p95 target met</w:t>
            </w:r>
          </w:p>
        </w:tc>
      </w:tr>
      <w:tr>
        <w:trPr>
          <w:cantSplit/>
        </w:trPr>
        <w:tc>
          <w:tcPr>
            <w:tcW w:type="dxa" w:w="73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P1</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Sargable search (FULLTEXT/normalized index)</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Removes tenant-wide expression scans</w:t>
            </w:r>
          </w:p>
        </w:tc>
        <w:tc>
          <w:tcPr>
            <w:tcW w:type="dxa" w:w="28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Large search p95 &lt; 750 ms; plans avoid full tenant scan</w:t>
            </w:r>
          </w:p>
        </w:tc>
      </w:tr>
      <w:tr>
        <w:trPr>
          <w:cantSplit/>
        </w:trPr>
        <w:tc>
          <w:tcPr>
            <w:tcW w:type="dxa" w:w="73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P1</w:t>
            </w:r>
          </w:p>
        </w:tc>
        <w:tc>
          <w:tcPr>
            <w:tcW w:type="dxa" w:w="294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Keyset pagination and COUNT policy</w:t>
            </w:r>
          </w:p>
        </w:tc>
        <w:tc>
          <w:tcPr>
            <w:tcW w:type="dxa" w:w="294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Prevents deep-page work from growing with offset</w:t>
            </w:r>
          </w:p>
        </w:tc>
        <w:tc>
          <w:tcPr>
            <w:tcW w:type="dxa" w:w="289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Flat p95 from early to deep pages</w:t>
            </w:r>
          </w:p>
        </w:tc>
      </w:tr>
      <w:tr>
        <w:trPr>
          <w:cantSplit/>
        </w:trPr>
        <w:tc>
          <w:tcPr>
            <w:tcW w:type="dxa" w:w="73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P1</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Pool/queue tuning with end-to-end timeouts and backpressure</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Makes overload explicit instead of silently queueing</w:t>
            </w:r>
          </w:p>
        </w:tc>
        <w:tc>
          <w:tcPr>
            <w:tcW w:type="dxa" w:w="28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Throughput/latency knee documented; bounded queue</w:t>
            </w:r>
          </w:p>
        </w:tc>
      </w:tr>
      <w:tr>
        <w:trPr>
          <w:cantSplit/>
        </w:trPr>
        <w:tc>
          <w:tcPr>
            <w:tcW w:type="dxa" w:w="73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P1</w:t>
            </w:r>
          </w:p>
        </w:tc>
        <w:tc>
          <w:tcPr>
            <w:tcW w:type="dxa" w:w="294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Dashboard aggregate consolidation or short-lived cache</w:t>
            </w:r>
          </w:p>
        </w:tc>
        <w:tc>
          <w:tcPr>
            <w:tcW w:type="dxa" w:w="294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Reduces per-request DB round trips</w:t>
            </w:r>
          </w:p>
        </w:tc>
        <w:tc>
          <w:tcPr>
            <w:tcW w:type="dxa" w:w="2891"/>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Lower DB time and p95 without stale-data violation</w:t>
            </w:r>
          </w:p>
        </w:tc>
      </w:tr>
      <w:tr>
        <w:trPr>
          <w:cantSplit/>
        </w:trPr>
        <w:tc>
          <w:tcPr>
            <w:tcW w:type="dxa" w:w="73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P2</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Asset optimization, route splitting, and metadata</w:t>
            </w:r>
          </w:p>
        </w:tc>
        <w:tc>
          <w:tcPr>
            <w:tcW w:type="dxa" w:w="294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Raises Lighthouse performance/SEO</w:t>
            </w:r>
          </w:p>
        </w:tc>
        <w:tc>
          <w:tcPr>
            <w:tcW w:type="dxa" w:w="2891"/>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Repeatable score and web-vitals improvement</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524"/>
            <w:shd w:fill="FFFBEB"/>
            <w:tcMar>
              <w:top w:w="120" w:type="dxa"/>
              <w:start w:w="180" w:type="dxa"/>
              <w:bottom w:w="120" w:type="dxa"/>
              <w:end w:w="130" w:type="dxa"/>
            </w:tcMar>
            <w:tcBorders>
              <w:top w:val="nil"/>
              <w:left w:val="single" w:sz="32" w:color="D97706"/>
              <w:bottom w:val="nil"/>
              <w:right w:val="nil"/>
            </w:tcBorders>
          </w:tcPr>
          <w:p>
            <w:pPr>
              <w:spacing w:after="40"/>
            </w:pPr>
            <w:r>
              <w:rPr>
                <w:b/>
                <w:color w:val="D97706"/>
              </w:rPr>
              <w:t>Fair-comparison warning</w:t>
            </w:r>
          </w:p>
          <w:p>
            <w:pPr>
              <w:spacing w:after="0"/>
            </w:pPr>
            <w:r>
              <w:t>If these optimizations are applied only to the microservices version, the study will confound architecture with implementation changes. Either backport them to the monolith or report them explicitly as separate experimental factors.</w:t>
            </w:r>
          </w:p>
        </w:tc>
      </w:tr>
    </w:tbl>
    <w:p>
      <w:pPr>
        <w:spacing w:after="0"/>
      </w:pPr>
    </w:p>
    <w:p>
      <w:r>
        <w:br w:type="page"/>
      </w:r>
    </w:p>
    <w:p>
      <w:pPr>
        <w:spacing w:after="40"/>
      </w:pPr>
      <w:r>
        <w:rPr>
          <w:b/>
          <w:color w:val="0EA5E9"/>
          <w:sz w:val="16"/>
        </w:rPr>
        <w:t>SECTION 11</w:t>
      </w:r>
    </w:p>
    <w:p>
      <w:pPr>
        <w:pStyle w:val="Heading1"/>
      </w:pPr>
      <w:r>
        <w:t>Microservices comparison protocol</w:t>
      </w:r>
    </w:p>
    <w:p>
      <w:pPr>
        <w:spacing w:after="180"/>
      </w:pPr>
      <w:r>
        <w:rPr>
          <w:color w:val="64748B"/>
          <w:sz w:val="20"/>
        </w:rPr>
        <w:t>Freeze the instrument now; change only the architecture treatment unless a change is explicitly documented.</w:t>
      </w:r>
    </w:p>
    <w:p>
      <w:pPr>
        <w:pStyle w:val="Heading2"/>
      </w:pPr>
      <w:r>
        <w:t>Execution sequence</w:t>
      </w:r>
    </w:p>
    <w:p>
      <w:pPr>
        <w:spacing w:after="60"/>
        <w:ind w:left="369" w:hanging="369"/>
      </w:pPr>
      <w:r>
        <w:rPr>
          <w:b/>
          <w:color w:val="64748B"/>
        </w:rPr>
        <w:t xml:space="preserve">1.  </w:t>
      </w:r>
      <w:r>
        <w:t>Provision a clean comparison database and seed the same small, medium, and large datasets.</w:t>
      </w:r>
    </w:p>
    <w:p>
      <w:pPr>
        <w:spacing w:after="60"/>
        <w:ind w:left="369" w:hanging="369"/>
      </w:pPr>
      <w:r>
        <w:rPr>
          <w:b/>
          <w:color w:val="64748B"/>
        </w:rPr>
        <w:t xml:space="preserve">2.  </w:t>
      </w:r>
      <w:r>
        <w:t>Build production artifacts; record commit, runtime, database, service count, CPU/RAM limits, and network topology.</w:t>
      </w:r>
    </w:p>
    <w:p>
      <w:pPr>
        <w:spacing w:after="60"/>
        <w:ind w:left="369" w:hanging="369"/>
      </w:pPr>
      <w:r>
        <w:rPr>
          <w:b/>
          <w:color w:val="64748B"/>
        </w:rPr>
        <w:t xml:space="preserve">3.  </w:t>
      </w:r>
      <w:r>
        <w:t>Warm the system with the smoke profile, then run functional E2E and race tests.</w:t>
      </w:r>
    </w:p>
    <w:p>
      <w:pPr>
        <w:spacing w:after="60"/>
        <w:ind w:left="369" w:hanging="369"/>
      </w:pPr>
      <w:r>
        <w:rPr>
          <w:b/>
          <w:color w:val="64748B"/>
        </w:rPr>
        <w:t xml:space="preserve">4.  </w:t>
      </w:r>
      <w:r>
        <w:t>Run baseline, average, stress, spike, soak, breakpoint, auth, and search profiles in the same order with cooldowns.</w:t>
      </w:r>
    </w:p>
    <w:p>
      <w:pPr>
        <w:spacing w:after="60"/>
        <w:ind w:left="369" w:hanging="369"/>
      </w:pPr>
      <w:r>
        <w:rPr>
          <w:b/>
          <w:color w:val="64748B"/>
        </w:rPr>
        <w:t xml:space="preserve">5.  </w:t>
      </w:r>
      <w:r>
        <w:t>Capture per-service CPU, RSS, heap, event-loop, database, queue, and inter-service latency metrics.</w:t>
      </w:r>
    </w:p>
    <w:p>
      <w:pPr>
        <w:spacing w:after="60"/>
        <w:ind w:left="369" w:hanging="369"/>
      </w:pPr>
      <w:r>
        <w:rPr>
          <w:b/>
          <w:color w:val="64748B"/>
        </w:rPr>
        <w:t xml:space="preserve">6.  </w:t>
      </w:r>
      <w:r>
        <w:t>Repeat each profile 3–5 times; compare medians and dispersion against this monolith baseline.</w:t>
      </w:r>
    </w:p>
    <w:p>
      <w:pPr>
        <w:pStyle w:val="Heading2"/>
      </w:pPr>
      <w:r>
        <w:t>Baseline comparison matrix</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835"/>
            <w:shd w:fill="0F172A"/>
            <w:vAlign w:val="center"/>
            <w:tcMar>
              <w:top w:w="90" w:type="dxa"/>
              <w:start w:w="85" w:type="dxa"/>
              <w:bottom w:w="90" w:type="dxa"/>
              <w:end w:w="85" w:type="dxa"/>
            </w:tcMar>
          </w:tcPr>
          <w:p>
            <w:pPr>
              <w:spacing w:after="0"/>
            </w:pPr>
            <w:r>
              <w:rPr>
                <w:b/>
                <w:color w:val="FFFFFF"/>
                <w:sz w:val="15"/>
              </w:rPr>
              <w:t>Metric</w:t>
            </w:r>
          </w:p>
        </w:tc>
        <w:tc>
          <w:tcPr>
            <w:tcW w:type="dxa" w:w="2268"/>
            <w:shd w:fill="0F172A"/>
            <w:vAlign w:val="center"/>
            <w:tcMar>
              <w:top w:w="90" w:type="dxa"/>
              <w:start w:w="85" w:type="dxa"/>
              <w:bottom w:w="90" w:type="dxa"/>
              <w:end w:w="85" w:type="dxa"/>
            </w:tcMar>
          </w:tcPr>
          <w:p>
            <w:pPr>
              <w:spacing w:after="0"/>
            </w:pPr>
            <w:r>
              <w:rPr>
                <w:b/>
                <w:color w:val="FFFFFF"/>
                <w:sz w:val="15"/>
              </w:rPr>
              <w:t>Monolith baseline</w:t>
            </w:r>
          </w:p>
        </w:tc>
        <w:tc>
          <w:tcPr>
            <w:tcW w:type="dxa" w:w="2438"/>
            <w:shd w:fill="0F172A"/>
            <w:vAlign w:val="center"/>
            <w:tcMar>
              <w:top w:w="90" w:type="dxa"/>
              <w:start w:w="85" w:type="dxa"/>
              <w:bottom w:w="90" w:type="dxa"/>
              <w:end w:w="85" w:type="dxa"/>
            </w:tcMar>
          </w:tcPr>
          <w:p>
            <w:pPr>
              <w:spacing w:after="0"/>
            </w:pPr>
            <w:r>
              <w:rPr>
                <w:b/>
                <w:color w:val="FFFFFF"/>
                <w:sz w:val="15"/>
              </w:rPr>
              <w:t>Microservices result</w:t>
            </w:r>
          </w:p>
        </w:tc>
        <w:tc>
          <w:tcPr>
            <w:tcW w:type="dxa" w:w="1984"/>
            <w:shd w:fill="0F172A"/>
            <w:vAlign w:val="center"/>
            <w:tcMar>
              <w:top w:w="90" w:type="dxa"/>
              <w:start w:w="85" w:type="dxa"/>
              <w:bottom w:w="90" w:type="dxa"/>
              <w:end w:w="85" w:type="dxa"/>
            </w:tcMar>
          </w:tcPr>
          <w:p>
            <w:pPr>
              <w:spacing w:after="0"/>
            </w:pPr>
            <w:r>
              <w:rPr>
                <w:b/>
                <w:color w:val="FFFFFF"/>
                <w:sz w:val="15"/>
              </w:rPr>
              <w:t>Preferred direction</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E2E pass rate</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6/6 (100%)</w:t>
            </w:r>
          </w:p>
        </w:tc>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Equal</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Average-load throughput</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48.6 req/s</w:t>
            </w:r>
          </w:p>
        </w:tc>
        <w:tc>
          <w:tcPr>
            <w:tcW w:type="dxa" w:w="243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Higher</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Average-load p95</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235.8 ms</w:t>
            </w:r>
          </w:p>
        </w:tc>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Lower</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Stress p95 at 100 VUs</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1.30 s</w:t>
            </w:r>
          </w:p>
        </w:tc>
        <w:tc>
          <w:tcPr>
            <w:tcW w:type="dxa" w:w="243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Lower</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Breakpoint throughput at 200 VUs</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51.4 req/s</w:t>
            </w:r>
          </w:p>
        </w:tc>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Higher</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Spike p99</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22.39 s</w:t>
            </w:r>
          </w:p>
        </w:tc>
        <w:tc>
          <w:tcPr>
            <w:tcW w:type="dxa" w:w="243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Lower</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Soak RSS drift</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+0.44 MB</w:t>
            </w:r>
          </w:p>
        </w:tc>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 total + per service]</w:t>
            </w:r>
          </w:p>
        </w:tc>
        <w:tc>
          <w:tcPr>
            <w:tcW w:type="dxa" w:w="198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Bounded</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Large-data search p95</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1.23 s</w:t>
            </w:r>
          </w:p>
        </w:tc>
        <w:tc>
          <w:tcPr>
            <w:tcW w:type="dxa" w:w="243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Lower</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Auth p95 / dropped</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40.43 s / 1,229</w:t>
            </w:r>
          </w:p>
        </w:tc>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Lower / zero</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Reservation race</w:t>
            </w:r>
          </w:p>
        </w:tc>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 success / 10 conflicts / 9 errors</w:t>
            </w:r>
          </w:p>
        </w:tc>
        <w:tc>
          <w:tcPr>
            <w:tcW w:type="dxa" w:w="243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 / 19 / 0</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Sale race</w:t>
            </w:r>
          </w:p>
        </w:tc>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1 success / 19 conflicts / 0 errors</w:t>
            </w:r>
          </w:p>
        </w:tc>
        <w:tc>
          <w:tcPr>
            <w:tcW w:type="dxa" w:w="243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[enter]</w:t>
            </w:r>
          </w:p>
        </w:tc>
        <w:tc>
          <w:tcPr>
            <w:tcW w:type="dxa" w:w="1984"/>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5"/>
              </w:rPr>
              <w:t>Equal</w:t>
            </w:r>
          </w:p>
        </w:tc>
      </w:tr>
    </w:tbl>
    <w:p>
      <w:pPr>
        <w:spacing w:after="0"/>
      </w:pPr>
    </w:p>
    <w:p>
      <w:pPr>
        <w:pStyle w:val="Heading2"/>
      </w:pPr>
      <w:r>
        <w:t>Additional microservices-only evidence</w:t>
      </w:r>
    </w:p>
    <w:p>
      <w:pPr>
        <w:pStyle w:val="ListBullet"/>
        <w:spacing w:after="50"/>
      </w:pPr>
      <w:r>
        <w:t>End-to-end latency broken down by gateway, service, database, message broker, and network hop.</w:t>
      </w:r>
    </w:p>
    <w:p>
      <w:pPr>
        <w:pStyle w:val="ListBullet"/>
        <w:spacing w:after="50"/>
      </w:pPr>
      <w:r>
        <w:t>Per-service scaling, queue depth, retry counts, circuit-breaker state, and distributed trace critical path.</w:t>
      </w:r>
    </w:p>
    <w:p>
      <w:pPr>
        <w:pStyle w:val="ListBullet"/>
        <w:spacing w:after="50"/>
      </w:pPr>
      <w:r>
        <w:t>Partial-failure tests: one dependency slow, unavailable, or returning errors; document recovery time and data consistency.</w:t>
      </w:r>
    </w:p>
    <w:p>
      <w:pPr>
        <w:pStyle w:val="ListBullet"/>
        <w:spacing w:after="50"/>
      </w:pPr>
      <w:r>
        <w:t>Operational cost proxy: total CPU-seconds, peak memory across all services, storage, and deployment complexity for the same workload.</w:t>
      </w:r>
    </w:p>
    <w:p>
      <w:r>
        <w:br w:type="page"/>
      </w:r>
    </w:p>
    <w:p>
      <w:pPr>
        <w:spacing w:after="40"/>
      </w:pPr>
      <w:r>
        <w:rPr>
          <w:b/>
          <w:color w:val="0EA5E9"/>
          <w:sz w:val="16"/>
        </w:rPr>
        <w:t>SECTION A</w:t>
      </w:r>
    </w:p>
    <w:p>
      <w:pPr>
        <w:pStyle w:val="Heading1"/>
      </w:pPr>
      <w:r>
        <w:t>Appendix — endpoint and artifact index</w:t>
      </w:r>
    </w:p>
    <w:p>
      <w:pPr>
        <w:spacing w:after="180"/>
      </w:pPr>
      <w:r>
        <w:rPr>
          <w:color w:val="64748B"/>
          <w:sz w:val="20"/>
        </w:rPr>
        <w:t>All results are retained as machine-readable evidence so tables and claims can be regenerated.</w:t>
      </w:r>
    </w:p>
    <w:p>
      <w:pPr>
        <w:pStyle w:val="Heading2"/>
      </w:pPr>
      <w:r>
        <w:t>Performance endpoint matrix</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0F172A"/>
            <w:vAlign w:val="center"/>
            <w:tcMar>
              <w:top w:w="90" w:type="dxa"/>
              <w:start w:w="85" w:type="dxa"/>
              <w:bottom w:w="90" w:type="dxa"/>
              <w:end w:w="85" w:type="dxa"/>
            </w:tcMar>
          </w:tcPr>
          <w:p>
            <w:pPr>
              <w:spacing w:after="0"/>
            </w:pPr>
            <w:r>
              <w:rPr>
                <w:b/>
                <w:color w:val="FFFFFF"/>
                <w:sz w:val="16"/>
              </w:rPr>
              <w:t>Workload</w:t>
            </w:r>
          </w:p>
        </w:tc>
        <w:tc>
          <w:tcPr>
            <w:tcW w:type="dxa" w:w="7257"/>
            <w:shd w:fill="0F172A"/>
            <w:vAlign w:val="center"/>
            <w:tcMar>
              <w:top w:w="90" w:type="dxa"/>
              <w:start w:w="85" w:type="dxa"/>
              <w:bottom w:w="90" w:type="dxa"/>
              <w:end w:w="85" w:type="dxa"/>
            </w:tcMar>
          </w:tcPr>
          <w:p>
            <w:pPr>
              <w:spacing w:after="0"/>
            </w:pPr>
            <w:r>
              <w:rPr>
                <w:b/>
                <w:color w:val="FFFFFF"/>
                <w:sz w:val="16"/>
              </w:rPr>
              <w:t>Representative endpoints</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Authentication</w:t>
            </w:r>
          </w:p>
        </w:tc>
        <w:tc>
          <w:tcPr>
            <w:tcW w:type="dxa" w:w="72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POST /api/auth/login; GET /api/auth/me; refresh/logout through the browser session</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Mixed reads</w:t>
            </w:r>
          </w:p>
        </w:tc>
        <w:tc>
          <w:tcPr>
            <w:tcW w:type="dxa" w:w="72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GET /api/tenant/dashboard, /vehicles, /customers, /leads, /test-drives, /offers, /reservations, /sales</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Search/scale</w:t>
            </w:r>
          </w:p>
        </w:tc>
        <w:tc>
          <w:tcPr>
            <w:tcW w:type="dxa" w:w="72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GET /vehicles?search=…; /customers?search=…; deep pages for vehicles, customers, leads, and sales</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Reservation race</w:t>
            </w:r>
          </w:p>
        </w:tc>
        <w:tc>
          <w:tcPr>
            <w:tcW w:type="dxa" w:w="72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POST /api/tenant/vehicles/:id/reservation</w:t>
            </w:r>
          </w:p>
        </w:tc>
      </w:tr>
      <w:tr>
        <w:trPr>
          <w:cantSplit/>
        </w:trPr>
        <w:tc>
          <w:tcPr>
            <w:tcW w:type="dxa" w:w="2268"/>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Sale race</w:t>
            </w:r>
          </w:p>
        </w:tc>
        <w:tc>
          <w:tcPr>
            <w:tcW w:type="dxa" w:w="7257"/>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PATCH /api/tenant/sales/:id/status { status: COMPLETED }</w:t>
            </w:r>
          </w:p>
        </w:tc>
      </w:tr>
      <w:tr>
        <w:trPr>
          <w:cantSplit/>
        </w:trPr>
        <w:tc>
          <w:tcPr>
            <w:tcW w:type="dxa" w:w="2268"/>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Functional workflow</w:t>
            </w:r>
          </w:p>
        </w:tc>
        <w:tc>
          <w:tcPr>
            <w:tcW w:type="dxa" w:w="7257"/>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UI and API calls spanning customer, vehicle, lead, activity, interest, test drive, offer, reservation, and sale</w:t>
            </w:r>
          </w:p>
        </w:tc>
      </w:tr>
    </w:tbl>
    <w:p>
      <w:pPr>
        <w:spacing w:after="0"/>
      </w:pPr>
    </w:p>
    <w:p>
      <w:pPr>
        <w:pStyle w:val="Heading2"/>
      </w:pPr>
      <w:r>
        <w:t>Artifact map</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0F172A"/>
            <w:vAlign w:val="center"/>
            <w:tcMar>
              <w:top w:w="90" w:type="dxa"/>
              <w:start w:w="85" w:type="dxa"/>
              <w:bottom w:w="90" w:type="dxa"/>
              <w:end w:w="85" w:type="dxa"/>
            </w:tcMar>
          </w:tcPr>
          <w:p>
            <w:pPr>
              <w:spacing w:after="0"/>
            </w:pPr>
            <w:r>
              <w:rPr>
                <w:b/>
                <w:color w:val="FFFFFF"/>
                <w:sz w:val="16"/>
              </w:rPr>
              <w:t>Evidence</w:t>
            </w:r>
          </w:p>
        </w:tc>
        <w:tc>
          <w:tcPr>
            <w:tcW w:type="dxa" w:w="6690"/>
            <w:shd w:fill="0F172A"/>
            <w:vAlign w:val="center"/>
            <w:tcMar>
              <w:top w:w="90" w:type="dxa"/>
              <w:start w:w="85" w:type="dxa"/>
              <w:bottom w:w="90" w:type="dxa"/>
              <w:end w:w="85" w:type="dxa"/>
            </w:tcMar>
          </w:tcPr>
          <w:p>
            <w:pPr>
              <w:spacing w:after="0"/>
            </w:pPr>
            <w:r>
              <w:rPr>
                <w:b/>
                <w:color w:val="FFFFFF"/>
                <w:sz w:val="16"/>
              </w:rPr>
              <w:t>Path from repository root</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Consolidated analysis</w:t>
            </w:r>
          </w:p>
        </w:tc>
        <w:tc>
          <w:tcPr>
            <w:tcW w:type="dxa" w:w="669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testing/results/summary/monolith-summary.json</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System capture</w:t>
            </w:r>
          </w:p>
        </w:tc>
        <w:tc>
          <w:tcPr>
            <w:tcW w:type="dxa" w:w="669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testing/results/summary/system.json</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CPU/heap analysis</w:t>
            </w:r>
          </w:p>
        </w:tc>
        <w:tc>
          <w:tcPr>
            <w:tcW w:type="dxa" w:w="669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testing/results/summary/profile-summary.json and testing/results/profiles/</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k6 raw summaries</w:t>
            </w:r>
          </w:p>
        </w:tc>
        <w:tc>
          <w:tcPr>
            <w:tcW w:type="dxa" w:w="669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testing/results/k6/*.json</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Playwright</w:t>
            </w:r>
          </w:p>
        </w:tc>
        <w:tc>
          <w:tcPr>
            <w:tcW w:type="dxa" w:w="669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testing/results/e2e/results.json, html/, artifacts/</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Database plans</w:t>
            </w:r>
          </w:p>
        </w:tc>
        <w:tc>
          <w:tcPr>
            <w:tcW w:type="dxa" w:w="669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testing/results/database/performance-audit.json</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Runtime telemetry</w:t>
            </w:r>
          </w:p>
        </w:tc>
        <w:tc>
          <w:tcPr>
            <w:tcW w:type="dxa" w:w="669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testing/results/runtime/monolith-process.csv</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Lighthouse</w:t>
            </w:r>
          </w:p>
        </w:tc>
        <w:tc>
          <w:tcPr>
            <w:tcW w:type="dxa" w:w="669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testing/results/lighthouse/*.json and *.html</w:t>
            </w:r>
          </w:p>
        </w:tc>
      </w:tr>
      <w:tr>
        <w:trPr>
          <w:cantSplit/>
        </w:trPr>
        <w:tc>
          <w:tcPr>
            <w:tcW w:type="dxa" w:w="2835"/>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Charts</w:t>
            </w:r>
          </w:p>
        </w:tc>
        <w:tc>
          <w:tcPr>
            <w:tcW w:type="dxa" w:w="6690"/>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testing/results/report-assets/*.png</w:t>
            </w:r>
          </w:p>
        </w:tc>
      </w:tr>
      <w:tr>
        <w:trPr>
          <w:cantSplit/>
        </w:trPr>
        <w:tc>
          <w:tcPr>
            <w:tcW w:type="dxa" w:w="2835"/>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Reusable workloads</w:t>
            </w:r>
          </w:p>
        </w:tc>
        <w:tc>
          <w:tcPr>
            <w:tcW w:type="dxa" w:w="6690"/>
            <w:shd w:fill="F8FAFC"/>
            <w:vAlign w:val="center"/>
            <w:tcMar>
              <w:top w:w="75" w:type="dxa"/>
              <w:start w:w="85" w:type="dxa"/>
              <w:bottom w:w="75" w:type="dxa"/>
              <w:end w:w="85" w:type="dxa"/>
            </w:tcMar>
            <w:tcBorders>
              <w:left w:val="single" w:sz="2" w:color="E2E8F0"/>
              <w:bottom w:val="single" w:sz="4" w:color="CBD5E1"/>
              <w:right w:val="single" w:sz="2" w:color="E2E8F0"/>
            </w:tcBorders>
          </w:tcPr>
          <w:p>
            <w:pPr>
              <w:spacing w:after="0"/>
            </w:pPr>
            <w:r>
              <w:rPr>
                <w:sz w:val="16"/>
              </w:rPr>
              <w:t>testing/k6/*.js and frontend/tests/e2e/*.spec.ts</w:t>
            </w:r>
          </w:p>
        </w:tc>
      </w:tr>
    </w:tbl>
    <w:p>
      <w:pPr>
        <w:spacing w:after="0"/>
      </w:pPr>
    </w:p>
    <w:p>
      <w:pPr>
        <w:pStyle w:val="Heading2"/>
      </w:pPr>
      <w:r>
        <w:t>Reproduction entry points</w:t>
      </w:r>
    </w:p>
    <w:p>
      <w:r>
        <w:t>Backend: npm run build; npm run perf:seed -- medium|large; npm run perf:audit. Frontend: npm run build; npm run test:e2e; npm run lighthouse. Load: invoke the portable k6 executable with the selected script and environment variables documented in testing/k6/README.md.</w:t>
      </w:r>
    </w:p>
    <w:tbl>
      <w:tblPr>
        <w:tblW w:type="auto" w:w="0"/>
        <w:jc w:val="center"/>
        <w:tblLayout w:type="fixed"/>
        <w:tblLook w:firstColumn="1" w:firstRow="1" w:lastColumn="0" w:lastRow="0" w:noHBand="0" w:noVBand="1" w:val="04A0"/>
      </w:tblPr>
      <w:tblGrid>
        <w:gridCol w:w="9866"/>
      </w:tblGrid>
      <w:tr>
        <w:tc>
          <w:tcPr>
            <w:tcW w:type="dxa" w:w="9524"/>
            <w:shd w:fill="EFF6FF"/>
            <w:tcMar>
              <w:top w:w="120" w:type="dxa"/>
              <w:start w:w="180" w:type="dxa"/>
              <w:bottom w:w="120" w:type="dxa"/>
              <w:end w:w="130" w:type="dxa"/>
            </w:tcMar>
            <w:tcBorders>
              <w:top w:val="nil"/>
              <w:left w:val="single" w:sz="32" w:color="2563EB"/>
              <w:bottom w:val="nil"/>
              <w:right w:val="nil"/>
            </w:tcBorders>
          </w:tcPr>
          <w:p>
            <w:pPr>
              <w:spacing w:after="40"/>
            </w:pPr>
            <w:r>
              <w:rPr>
                <w:b/>
                <w:color w:val="2563EB"/>
              </w:rPr>
              <w:t>Traceability rule</w:t>
            </w:r>
          </w:p>
          <w:p>
            <w:pPr>
              <w:spacing w:after="0"/>
            </w:pPr>
            <w:r>
              <w:t>When this report is edited for the thesis, preserve the raw result filenames and execution metadata next to every derived table or chart. This separates measured evidence from interpretation and makes the microservices comparison auditable.</w:t>
            </w:r>
          </w:p>
        </w:tc>
      </w:tr>
    </w:tbl>
    <w:p>
      <w:pPr>
        <w:spacing w:after="0"/>
      </w:pPr>
    </w:p>
    <w:sectPr w:rsidR="00FC693F" w:rsidRPr="0006063C" w:rsidSect="00034616">
      <w:headerReference w:type="default" r:id="rId9"/>
      <w:footerReference w:type="default" r:id="rId10"/>
      <w:pgSz w:w="11906" w:h="16838"/>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Bachelor’s thesis working report  •  19 August 2026  •  </w:t>
    </w:r>
    <w:r>
      <w:rPr>
        <w:sz w:val="15"/>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5"/>
      </w:rPr>
      <w:t>DRIVEFLOW  /  MONOLITH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0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b/>
      <w:bCs/>
      <w:i/>
      <w:color w:val="64748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DriveFlow Monolith — End-to-End and Performance Baseline</dc:title>
  <dc:subject>Reproducible baseline for monolith-to-microservices comparison</dc:subject>
  <dc:creator>DriveFlow thesis project</dc:creator>
  <cp:keywords>monolith, microservices, k6, Playwright, MySQL, Lighthouse, performance</cp:keywords>
  <dc:description>generated by python-docx</dc:description>
  <cp:lastModifiedBy/>
  <cp:revision>1</cp:revision>
  <dcterms:created xsi:type="dcterms:W3CDTF">2013-12-23T23:15:00Z</dcterms:created>
  <dcterms:modified xsi:type="dcterms:W3CDTF">2013-12-23T23:15:00Z</dcterms:modified>
  <cp:category/>
</cp:coreProperties>
</file>