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TIB BATCH 15 — INSTRUCTOR / QA LAYER</w:t>
      </w:r>
    </w:p>
    <w:p>
      <w:pPr>
        <w:jc w:val="center"/>
      </w:pPr>
      <w:r>
        <w:rPr>
          <w:b/>
        </w:rPr>
        <w:t>Master Instructor Guide, Scoring Standard &amp; Coaching Framework</w:t>
      </w:r>
    </w:p>
    <w:p>
      <w:pPr>
        <w:pStyle w:val="Heading1"/>
      </w:pPr>
      <w:r>
        <w:t>Purpose</w:t>
      </w:r>
    </w:p>
    <w:p>
      <w:r>
        <w:t>This guide standardizes how instructors deliver, score, challenge, coach and quality-assure the enhanced Controls Lead/Manager course. It consolidates Batches 1–14 without creating a new learner-facing module.</w:t>
      </w:r>
    </w:p>
    <w:p>
      <w:pPr>
        <w:pStyle w:val="Heading1"/>
      </w:pPr>
      <w:r>
        <w:t>What the Instructor Is Scoring</w:t>
      </w:r>
    </w:p>
    <w:p>
      <w:r>
        <w:t>The course is not a memory test and is not intended to turn the learner into a SAP GRC configurator. The instructor scores whether the learner can understand the controls problem, ask credible questions, obtain appropriate evidence, make a defensible decision, lead other resources and communicate the position.</w:t>
      </w:r>
    </w:p>
    <w:p>
      <w:pPr>
        <w:jc w:val="center"/>
      </w:pPr>
      <w:r>
        <w:rPr>
          <w:b/>
        </w:rPr>
        <w:t>UNDERSTAND → CHALLENGE → EVIDENCE → JUDGE → LEAD → COMMUNICATE → DEFEND</w:t>
      </w:r>
    </w:p>
    <w:p>
      <w:pPr>
        <w:pStyle w:val="Heading1"/>
      </w:pPr>
      <w:r>
        <w:t>Master Scoring Standard</w:t>
      </w:r>
    </w:p>
    <w:p>
      <w:pPr>
        <w:pStyle w:val="ListBullet"/>
      </w:pPr>
      <w:r>
        <w:t>Technical understanding — 10%</w:t>
      </w:r>
    </w:p>
    <w:p>
      <w:pPr>
        <w:pStyle w:val="ListBullet"/>
      </w:pPr>
      <w:r>
        <w:t>Controls judgment — 15%</w:t>
      </w:r>
    </w:p>
    <w:p>
      <w:pPr>
        <w:pStyle w:val="ListBullet"/>
      </w:pPr>
      <w:r>
        <w:t>Evidence quality — 15%</w:t>
      </w:r>
    </w:p>
    <w:p>
      <w:pPr>
        <w:pStyle w:val="ListBullet"/>
      </w:pPr>
      <w:r>
        <w:t>Risk prioritization — 15%</w:t>
      </w:r>
    </w:p>
    <w:p>
      <w:pPr>
        <w:pStyle w:val="ListBullet"/>
      </w:pPr>
      <w:r>
        <w:t>Leadership / delegation — 10%</w:t>
      </w:r>
    </w:p>
    <w:p>
      <w:pPr>
        <w:pStyle w:val="ListBullet"/>
      </w:pPr>
      <w:r>
        <w:t>Communication — 10%</w:t>
      </w:r>
    </w:p>
    <w:p>
      <w:pPr>
        <w:pStyle w:val="ListBullet"/>
      </w:pPr>
      <w:r>
        <w:t>Escalation judgment — 10%</w:t>
      </w:r>
    </w:p>
    <w:p>
      <w:pPr>
        <w:pStyle w:val="ListBullet"/>
      </w:pPr>
      <w:r>
        <w:t>Audit defensibility — 10%</w:t>
      </w:r>
    </w:p>
    <w:p>
      <w:pPr>
        <w:pStyle w:val="ListBullet"/>
      </w:pPr>
      <w:r>
        <w:t>Intellectual honesty — 5%</w:t>
      </w:r>
    </w:p>
    <w:p>
      <w:r>
        <w:t>For the final OWN IT gate, the recommended readiness threshold remains 80/100 plus the critical gates. A numerical score cannot compensate for a material failure in prioritization, evidence/audit defensibility, delegation, judgment/escalation or intellectual honesty.</w:t>
      </w:r>
    </w:p>
    <w:p>
      <w:pPr>
        <w:pStyle w:val="Heading1"/>
      </w:pPr>
      <w:r>
        <w:t>Answer-Key Rule</w:t>
      </w:r>
    </w:p>
    <w:p>
      <w:r>
        <w:t>Instructor keys contain expected reasoning, not scripts. A learner may reach a different decision and still receive full or substantial credit when the scenario facts, assumptions, risk analysis and management rationale support that decision. The instructor should not reward a memorized answer that cannot be defended.</w:t>
      </w:r>
    </w:p>
    <w:p>
      <w:pPr>
        <w:pStyle w:val="Heading1"/>
      </w:pPr>
      <w:r>
        <w:t>Critical Weak Responses</w:t>
      </w:r>
    </w:p>
    <w:p>
      <w:pPr>
        <w:pStyle w:val="Heading2"/>
      </w:pPr>
      <w:r>
        <w:t>Unsupported conclusion</w:t>
      </w:r>
    </w:p>
    <w:p>
      <w:r>
        <w:t>Typical response: 'The control is effective because the screenshot exists.'</w:t>
      </w:r>
    </w:p>
    <w:p>
      <w:r>
        <w:t>Instructor challenge: Ask: What control attribute does the screenshot prove? What population/period/reviewer/action is evidenced?</w:t>
      </w:r>
    </w:p>
    <w:p>
      <w:pPr>
        <w:pStyle w:val="Heading2"/>
      </w:pPr>
      <w:r>
        <w:t>Human-error root cause</w:t>
      </w:r>
    </w:p>
    <w:p>
      <w:r>
        <w:t>Typical response: 'The user forgot.'</w:t>
      </w:r>
    </w:p>
    <w:p>
      <w:r>
        <w:t>Instructor challenge: Ask why one forgotten action could cause failure without prevention, detection, backup ownership or escalation.</w:t>
      </w:r>
    </w:p>
    <w:p>
      <w:pPr>
        <w:pStyle w:val="Heading2"/>
      </w:pPr>
      <w:r>
        <w:t>Technical deference</w:t>
      </w:r>
    </w:p>
    <w:p>
      <w:r>
        <w:t>Typical response: 'GRC says no conflict, so we are fine.'</w:t>
      </w:r>
    </w:p>
    <w:p>
      <w:r>
        <w:t>Instructor challenge: Require ruleset/scope/connectors/users/Fiori/custom-content evidence and exception governance.</w:t>
      </w:r>
    </w:p>
    <w:p>
      <w:pPr>
        <w:pStyle w:val="Heading2"/>
      </w:pPr>
      <w:r>
        <w:t>Provider deference</w:t>
      </w:r>
    </w:p>
    <w:p>
      <w:r>
        <w:t>Typical response: 'SAP hosts it, so SAP owns the control.'</w:t>
      </w:r>
    </w:p>
    <w:p>
      <w:r>
        <w:t>Instructor challenge: Require shared-responsibility mapping and customer complementary controls.</w:t>
      </w:r>
    </w:p>
    <w:p>
      <w:pPr>
        <w:pStyle w:val="Heading2"/>
      </w:pPr>
      <w:r>
        <w:t>Audit defensiveness</w:t>
      </w:r>
    </w:p>
    <w:p>
      <w:r>
        <w:t>Typical response: 'The auditor is being too picky.'</w:t>
      </w:r>
    </w:p>
    <w:p>
      <w:r>
        <w:t>Instructor challenge: Reframe to the exact assertion/criterion and evidence needed to resolve it.</w:t>
      </w:r>
    </w:p>
    <w:p>
      <w:pPr>
        <w:pStyle w:val="Heading2"/>
      </w:pPr>
      <w:r>
        <w:t>Over-escalation</w:t>
      </w:r>
    </w:p>
    <w:p>
      <w:r>
        <w:t>Typical response: 'Everything is high risk.'</w:t>
      </w:r>
    </w:p>
    <w:p>
      <w:r>
        <w:t>Instructor challenge: Force ranking: what is active exposure, key-control dependency, deadline and consequence?</w:t>
      </w:r>
    </w:p>
    <w:p>
      <w:pPr>
        <w:pStyle w:val="Heading2"/>
      </w:pPr>
      <w:r>
        <w:t>Under-escalation</w:t>
      </w:r>
    </w:p>
    <w:p>
      <w:r>
        <w:t>Typical response: 'No loss occurred, so monitor.'</w:t>
      </w:r>
    </w:p>
    <w:p>
      <w:r>
        <w:t>Instructor challenge: Ask whether privileged/fraud/regulatory/design exposure exists before a loss.</w:t>
      </w:r>
    </w:p>
    <w:p>
      <w:pPr>
        <w:pStyle w:val="Heading2"/>
      </w:pPr>
      <w:r>
        <w:t>Poor delegation</w:t>
      </w:r>
    </w:p>
    <w:p>
      <w:r>
        <w:t>Typical response: 'I will finish the workpapers myself.'</w:t>
      </w:r>
    </w:p>
    <w:p>
      <w:r>
        <w:t>Instructor challenge: Ask what should be delegated, who reviews, and what manager decision is actually required.</w:t>
      </w:r>
    </w:p>
    <w:p>
      <w:pPr>
        <w:pStyle w:val="Heading2"/>
      </w:pPr>
      <w:r>
        <w:t>Evidence dumping</w:t>
      </w:r>
    </w:p>
    <w:p>
      <w:r>
        <w:t>Typical response: 'Send the whole folder to audit.'</w:t>
      </w:r>
    </w:p>
    <w:p>
      <w:r>
        <w:t>Instructor challenge: Require QA, traceability, period/population validation and a clear management position.</w:t>
      </w:r>
    </w:p>
    <w:p>
      <w:pPr>
        <w:pStyle w:val="Heading2"/>
      </w:pPr>
      <w:r>
        <w:t>Vanity dashboard</w:t>
      </w:r>
    </w:p>
    <w:p>
      <w:r>
        <w:t>Typical response: 'Testing is 90% complete.'</w:t>
      </w:r>
    </w:p>
    <w:p>
      <w:r>
        <w:t>Instructor challenge: Ask what remains untested and whether it contains the highest-risk key controls.</w:t>
      </w:r>
    </w:p>
    <w:p>
      <w:pPr>
        <w:pStyle w:val="Heading2"/>
      </w:pPr>
      <w:r>
        <w:t>Action completion = remediation</w:t>
      </w:r>
    </w:p>
    <w:p>
      <w:r>
        <w:t>Typical response: 'The new procedure was issued, so close it.'</w:t>
      </w:r>
    </w:p>
    <w:p>
      <w:r>
        <w:t>Instructor challenge: Require effectiveness validation and evidence that recurrence risk is reduced.</w:t>
      </w:r>
    </w:p>
    <w:p>
      <w:pPr>
        <w:pStyle w:val="Heading2"/>
      </w:pPr>
      <w:r>
        <w:t>Bluffing</w:t>
      </w:r>
    </w:p>
    <w:p>
      <w:r>
        <w:t>Typical response: Candidate invents configuration facts.</w:t>
      </w:r>
    </w:p>
    <w:p>
      <w:r>
        <w:t>Instructor challenge: Stop and score intellectual honesty; require supported 'cannot conclude yet' instead.</w:t>
      </w:r>
    </w:p>
    <w:p>
      <w:pPr>
        <w:pStyle w:val="Heading1"/>
      </w:pPr>
      <w:r>
        <w:t>Technical Challenge Standard</w:t>
      </w:r>
    </w:p>
    <w:p>
      <w:r>
        <w:t>The candidate does not need to configure SPRO, MSMP, BRF+, PFCG, SU24, GRC connectors, Fiori catalogs or BTP services. They do need enough literacy to ask what is in scope, what could go wrong, what the tool/result actually proves, what access path exists, what evidence is required and what conclusion is supportable.</w:t>
      </w:r>
    </w:p>
    <w:p>
      <w:pPr>
        <w:pStyle w:val="Heading1"/>
      </w:pPr>
      <w:r>
        <w:t>Role-Play Delivery</w:t>
      </w:r>
    </w:p>
    <w:p>
      <w:pPr>
        <w:pStyle w:val="ListNumber"/>
      </w:pPr>
      <w:r>
        <w:t>Give the counterparty position before showing any instructor guidance.</w:t>
      </w:r>
    </w:p>
    <w:p>
      <w:pPr>
        <w:pStyle w:val="ListNumber"/>
      </w:pPr>
      <w:r>
        <w:t>Require the learner to respond verbally.</w:t>
      </w:r>
    </w:p>
    <w:p>
      <w:pPr>
        <w:pStyle w:val="ListNumber"/>
      </w:pPr>
      <w:r>
        <w:t>Push back at least once.</w:t>
      </w:r>
    </w:p>
    <w:p>
      <w:pPr>
        <w:pStyle w:val="ListNumber"/>
      </w:pPr>
      <w:r>
        <w:t>Require the learner to state what evidence they need and what decision they will make.</w:t>
      </w:r>
    </w:p>
    <w:p>
      <w:pPr>
        <w:pStyle w:val="ListNumber"/>
      </w:pPr>
      <w:r>
        <w:t>Score composure and leadership as well as technical correctness.</w:t>
      </w:r>
    </w:p>
    <w:p>
      <w:pPr>
        <w:pStyle w:val="ListNumber"/>
      </w:pPr>
      <w:r>
        <w:t>Do not rescue the learner by supplying the next question.</w:t>
      </w:r>
    </w:p>
    <w:p>
      <w:pPr>
        <w:pStyle w:val="Heading1"/>
      </w:pPr>
      <w:r>
        <w:t>Model Executive Communication</w:t>
      </w:r>
    </w:p>
    <w:p>
      <w:pPr>
        <w:pStyle w:val="Heading2"/>
      </w:pPr>
      <w:r>
        <w:t>Overall position</w:t>
      </w:r>
    </w:p>
    <w:p>
      <w:r>
        <w:t>Controls environment is not yet audit-ready because three high-risk access/payment issues remain open and two key evidence dependencies are unresolved; testing progress is improving, but management action is required now.</w:t>
      </w:r>
    </w:p>
    <w:p>
      <w:pPr>
        <w:pStyle w:val="Heading2"/>
      </w:pPr>
      <w:r>
        <w:t>Top-risk format</w:t>
      </w:r>
    </w:p>
    <w:p>
      <w:r>
        <w:t>Issue → Why it matters → Current exposure → Owner → Action/decision → Due date.</w:t>
      </w:r>
    </w:p>
    <w:p>
      <w:pPr>
        <w:pStyle w:val="Heading2"/>
      </w:pPr>
      <w:r>
        <w:t>Uncertainty</w:t>
      </w:r>
    </w:p>
    <w:p>
      <w:r>
        <w:t>I cannot conclude that the control failed solely because evidence is missing; I can conclude that the control is not yet supported, so reliance should be withheld until validation is complete.</w:t>
      </w:r>
    </w:p>
    <w:p>
      <w:pPr>
        <w:pStyle w:val="Heading2"/>
      </w:pPr>
      <w:r>
        <w:t>SoD challenge</w:t>
      </w:r>
    </w:p>
    <w:p>
      <w:r>
        <w:t>The ARA result is useful, but I need to confirm the ruleset version, systems/users included, Fiori/custom access coverage and mitigation status before I accept 'no conflict' as the controls conclusion.</w:t>
      </w:r>
    </w:p>
    <w:p>
      <w:pPr>
        <w:pStyle w:val="Heading2"/>
      </w:pPr>
      <w:r>
        <w:t>RISE challenge</w:t>
      </w:r>
    </w:p>
    <w:p>
      <w:r>
        <w:t>Hosting responsibility may sit with the provider, but we still need to map provider controls, customer responsibilities, complementary controls, assurance evidence and exceptions before concluding coverage.</w:t>
      </w:r>
    </w:p>
    <w:p>
      <w:pPr>
        <w:pStyle w:val="Heading2"/>
      </w:pPr>
      <w:r>
        <w:t>Remediation escalation</w:t>
      </w:r>
    </w:p>
    <w:p>
      <w:r>
        <w:t>The issue remains high risk, the target date has moved repeatedly, and residual exposure is still active. I need management to approve containment, accountable ownership and a date that will not move without formal risk acceptance.</w:t>
      </w:r>
    </w:p>
    <w:p>
      <w:pPr>
        <w:pStyle w:val="Heading2"/>
      </w:pPr>
      <w:r>
        <w:t>Audit response</w:t>
      </w:r>
    </w:p>
    <w:p>
      <w:r>
        <w:t>Here is the population source, parameters, period, record count, reconciliation and selection rationale. Where an attribute is not supported, I have marked the conclusion as pending rather than overstating assurance.</w:t>
      </w:r>
    </w:p>
    <w:p>
      <w:pPr>
        <w:pStyle w:val="Heading2"/>
      </w:pPr>
      <w:r>
        <w:t>Resource crisis</w:t>
      </w:r>
    </w:p>
    <w:p>
      <w:r>
        <w:t>I will not spread the team evenly. High-risk/key-control and audit-critical work gets protected first; lower-risk testing is deferred, and QA capacity is assigned to the work that will support management and audit conclusions.</w:t>
      </w:r>
    </w:p>
    <w:p>
      <w:pPr>
        <w:pStyle w:val="Heading1"/>
      </w:pPr>
      <w:r>
        <w:t>Coaching Framework</w:t>
      </w:r>
    </w:p>
    <w:p>
      <w:r>
        <w:t>When a learner is weak, assign the smallest set of exercises that directly addresses the weakness. Do not restart the entire program.</w:t>
      </w:r>
    </w:p>
    <w:p>
      <w:r>
        <w:rPr>
          <w:b/>
        </w:rPr>
        <w:t xml:space="preserve">Prioritization weak: </w:t>
      </w:r>
      <w:r>
        <w:t>Use Batch 9 cases; require top 5 only and a one-sentence why-now rationale for each.</w:t>
      </w:r>
    </w:p>
    <w:p>
      <w:r>
        <w:rPr>
          <w:b/>
        </w:rPr>
        <w:t xml:space="preserve">Technical challenge weak: </w:t>
      </w:r>
      <w:r>
        <w:t>Use Batch 1/6/12; practice assertion → scope → risk → questions → evidence → decision.</w:t>
      </w:r>
    </w:p>
    <w:p>
      <w:r>
        <w:rPr>
          <w:b/>
        </w:rPr>
        <w:t xml:space="preserve">Audit defense weak: </w:t>
      </w:r>
      <w:r>
        <w:t>Use Batch 4/12; practice population completeness, IPE, management review and conclusion limitations.</w:t>
      </w:r>
    </w:p>
    <w:p>
      <w:r>
        <w:rPr>
          <w:b/>
        </w:rPr>
        <w:t xml:space="preserve">Delegation weak: </w:t>
      </w:r>
      <w:r>
        <w:t>Use Batch 8/13; require RACI-style assignment, reviewer, deliverable, due date and checkpoint.</w:t>
      </w:r>
    </w:p>
    <w:p>
      <w:r>
        <w:rPr>
          <w:b/>
        </w:rPr>
        <w:t xml:space="preserve">Executive communication weak: </w:t>
      </w:r>
      <w:r>
        <w:t>Use Batch 11/14; five-minute status: top risks, exposure, owner, action, decision.</w:t>
      </w:r>
    </w:p>
    <w:p>
      <w:r>
        <w:rPr>
          <w:b/>
        </w:rPr>
        <w:t xml:space="preserve">RCA weak: </w:t>
      </w:r>
      <w:r>
        <w:t>Use Batch 10; reject 'forgot/busy/error' until an actionable underlying condition is supported.</w:t>
      </w:r>
    </w:p>
    <w:p>
      <w:r>
        <w:rPr>
          <w:b/>
        </w:rPr>
        <w:t xml:space="preserve">Evidence judgment weak: </w:t>
      </w:r>
      <w:r>
        <w:t>Use Batch 3/4; distinguish design, operation, evidence sufficiency and report reliability.</w:t>
      </w:r>
    </w:p>
    <w:p>
      <w:r>
        <w:rPr>
          <w:b/>
        </w:rPr>
        <w:t xml:space="preserve">Stakeholder confidence weak: </w:t>
      </w:r>
      <w:r>
        <w:t>Use Batch 8/12; role-play pushback and require calm risk-based response.</w:t>
      </w:r>
    </w:p>
    <w:p>
      <w:pPr>
        <w:pStyle w:val="Heading1"/>
      </w:pPr>
      <w:r>
        <w:t>Readiness Decisions</w:t>
      </w:r>
    </w:p>
    <w:p>
      <w:pPr>
        <w:pStyle w:val="Heading2"/>
      </w:pPr>
      <w:r>
        <w:t>READY</w:t>
      </w:r>
    </w:p>
    <w:p>
      <w:r>
        <w:t>Threshold achieved, critical gates passed, and the learner can defend decisions under realistic challenge.</w:t>
      </w:r>
    </w:p>
    <w:p>
      <w:pPr>
        <w:pStyle w:val="Heading2"/>
      </w:pPr>
      <w:r>
        <w:t>READY WITH COACHING</w:t>
      </w:r>
    </w:p>
    <w:p>
      <w:r>
        <w:t>Core management capability is present, but identifiable non-critical weaknesses require targeted coaching and early-job checkpoints.</w:t>
      </w:r>
    </w:p>
    <w:p>
      <w:pPr>
        <w:pStyle w:val="Heading2"/>
      </w:pPr>
      <w:r>
        <w:t>NOT YET READY</w:t>
      </w:r>
    </w:p>
    <w:p>
      <w:r>
        <w:t>One or more critical competencies remain unsafe or materially unreliable. Targeted remediation and reassessment are required.</w:t>
      </w:r>
    </w:p>
    <w:p>
      <w:pPr>
        <w:pStyle w:val="Heading1"/>
      </w:pPr>
      <w:r>
        <w:t>Instructor QA Before Final Decision</w:t>
      </w:r>
    </w:p>
    <w:p>
      <w:pPr>
        <w:pStyle w:val="ListBullet"/>
      </w:pPr>
      <w:r>
        <w:t>Confirm scenario facts and answer guidance are internally consistent.</w:t>
      </w:r>
    </w:p>
    <w:p>
      <w:pPr>
        <w:pStyle w:val="ListBullet"/>
      </w:pPr>
      <w:r>
        <w:t>Confirm the learner was not required to know configuration trivia outside the manager role.</w:t>
      </w:r>
    </w:p>
    <w:p>
      <w:pPr>
        <w:pStyle w:val="ListBullet"/>
      </w:pPr>
      <w:r>
        <w:t>Confirm alternative defensible judgments were considered.</w:t>
      </w:r>
    </w:p>
    <w:p>
      <w:pPr>
        <w:pStyle w:val="ListBullet"/>
      </w:pPr>
      <w:r>
        <w:t>Confirm critical gates were applied consistently.</w:t>
      </w:r>
    </w:p>
    <w:p>
      <w:pPr>
        <w:pStyle w:val="ListBullet"/>
      </w:pPr>
      <w:r>
        <w:t>Confirm any failure decision cites observed behavior/evidence.</w:t>
      </w:r>
    </w:p>
    <w:p>
      <w:pPr>
        <w:pStyle w:val="ListBullet"/>
      </w:pPr>
      <w:r>
        <w:t>Confirm coaching is tied to the specific failed competency.</w:t>
      </w:r>
    </w:p>
    <w:p>
      <w:pPr>
        <w:pStyle w:val="ListBullet"/>
      </w:pPr>
      <w:r>
        <w:t>Confirm reassessment uses different facts so the learner demonstrates capability rather than recall.</w:t>
      </w:r>
    </w:p>
    <w:p>
      <w:pPr>
        <w:pStyle w:val="Heading1"/>
      </w:pPr>
      <w:r>
        <w:t>Course Integration</w:t>
      </w:r>
    </w:p>
    <w:p>
      <w:r>
        <w:t>This Instructor / QA Layer sits behind the existing 17 learner activities and the Batch 1–14 enhancements. It is an instructor-control layer only. It does not create Activity 18 or any additional learner-facing course module.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