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B08D57"/>
          <w:sz w:val="18"/>
        </w:rPr>
        <w:t>TIB SYSTEMS LLC · SAP SECURITY, GRC &amp; CONTROLS ACADEMY</w:t>
      </w:r>
    </w:p>
    <w:p>
      <w:pPr>
        <w:spacing w:after="40"/>
      </w:pPr>
      <w:r>
        <w:rPr>
          <w:b/>
          <w:i w:val="0"/>
          <w:color w:val="1F3864"/>
          <w:sz w:val="44"/>
        </w:rPr>
        <w:t>Marked Build Briefs — Intermediate</w:t>
      </w:r>
    </w:p>
    <w:p>
      <w:pPr>
        <w:spacing w:after="160"/>
      </w:pPr>
      <w:r>
        <w:rPr>
          <w:b w:val="0"/>
          <w:i/>
          <w:color w:val="5A6472"/>
          <w:sz w:val="24"/>
        </w:rPr>
        <w:t>The three builds you complete and submit for marking at the Intermediate level</w:t>
      </w:r>
    </w:p>
    <w:tbl>
      <w:tblPr>
        <w:tblStyle w:val="TableGrid"/>
        <w:tblW w:type="auto" w:w="0"/>
        <w:tblLook w:firstColumn="1" w:firstRow="1" w:lastColumn="0" w:lastRow="0" w:noHBand="0" w:noVBand="1" w:val="04A0"/>
      </w:tblPr>
      <w:tblGrid>
        <w:gridCol w:w="4873"/>
        <w:gridCol w:w="4873"/>
      </w:tblGrid>
      <w:tr>
        <w:tc>
          <w:tcPr>
            <w:tcW w:type="dxa" w:w="2268"/>
            <w:shd w:val="clear" w:color="auto" w:fill="EEF3FA"/>
          </w:tcPr>
          <w:p>
            <w:r>
              <w:rPr>
                <w:b/>
                <w:sz w:val="19"/>
              </w:rPr>
              <w:t>Document code</w:t>
            </w:r>
          </w:p>
        </w:tc>
        <w:tc>
          <w:tcPr>
            <w:tcW w:type="dxa" w:w="7143"/>
          </w:tcPr>
          <w:p>
            <w:r>
              <w:rPr>
                <w:sz w:val="19"/>
              </w:rPr>
              <w:t>TIB-GRC-ASSESS-001</w:t>
            </w:r>
          </w:p>
        </w:tc>
      </w:tr>
      <w:tr>
        <w:tc>
          <w:tcPr>
            <w:tcW w:type="dxa" w:w="2268"/>
            <w:shd w:val="clear" w:color="auto" w:fill="EEF3FA"/>
          </w:tcPr>
          <w:p>
            <w:r>
              <w:rPr>
                <w:b/>
                <w:sz w:val="19"/>
              </w:rPr>
              <w:t>Course</w:t>
            </w:r>
          </w:p>
        </w:tc>
        <w:tc>
          <w:tcPr>
            <w:tcW w:type="dxa" w:w="7143"/>
          </w:tcPr>
          <w:p>
            <w:r>
              <w:rPr>
                <w:sz w:val="19"/>
              </w:rPr>
              <w:t>Course 2 — SAP GRC Security &amp; Fiori Labs · Intermediate level</w:t>
            </w:r>
          </w:p>
        </w:tc>
      </w:tr>
      <w:tr>
        <w:tc>
          <w:tcPr>
            <w:tcW w:type="dxa" w:w="2268"/>
            <w:shd w:val="clear" w:color="auto" w:fill="EEF3FA"/>
          </w:tcPr>
          <w:p>
            <w:r>
              <w:rPr>
                <w:b/>
                <w:sz w:val="19"/>
              </w:rPr>
              <w:t>Version</w:t>
            </w:r>
          </w:p>
        </w:tc>
        <w:tc>
          <w:tcPr>
            <w:tcW w:type="dxa" w:w="7143"/>
          </w:tcPr>
          <w:p>
            <w:r>
              <w:rPr>
                <w:sz w:val="19"/>
              </w:rPr>
              <w:t>V1 — October 2026 · two-level plan</w:t>
            </w:r>
          </w:p>
        </w:tc>
      </w:tr>
      <w:tr>
        <w:tc>
          <w:tcPr>
            <w:tcW w:type="dxa" w:w="2268"/>
            <w:shd w:val="clear" w:color="auto" w:fill="EEF3FA"/>
          </w:tcPr>
          <w:p>
            <w:r>
              <w:rPr>
                <w:b/>
                <w:sz w:val="19"/>
              </w:rPr>
              <w:t>System</w:t>
            </w:r>
          </w:p>
        </w:tc>
        <w:tc>
          <w:tcPr>
            <w:tcW w:type="dxa" w:w="7143"/>
          </w:tcPr>
          <w:p>
            <w:r>
              <w:rPr>
                <w:sz w:val="19"/>
              </w:rPr>
              <w:t>S/4HANA &amp; GRC training system · your own ZZ_TRAIN_ practice namespace</w:t>
            </w:r>
          </w:p>
        </w:tc>
      </w:tr>
      <w:tr>
        <w:tc>
          <w:tcPr>
            <w:tcW w:type="dxa" w:w="2268"/>
            <w:shd w:val="clear" w:color="auto" w:fill="EEF3FA"/>
          </w:tcPr>
          <w:p>
            <w:r>
              <w:rPr>
                <w:b/>
                <w:sz w:val="19"/>
              </w:rPr>
              <w:t>Audience</w:t>
            </w:r>
          </w:p>
        </w:tc>
        <w:tc>
          <w:tcPr>
            <w:tcW w:type="dxa" w:w="7143"/>
          </w:tcPr>
          <w:p>
            <w:r>
              <w:rPr>
                <w:sz w:val="19"/>
              </w:rPr>
              <w:t>Trainees (live and self-study)</w:t>
            </w:r>
          </w:p>
        </w:tc>
      </w:tr>
    </w:tbl>
    <w:p>
      <w:pPr>
        <w:spacing w:after="0"/>
      </w:pPr>
    </w:p>
    <w:p>
      <w:pPr>
        <w:keepNext/>
        <w:spacing w:after="60" w:before="160"/>
      </w:pPr>
      <w:r>
        <w:rPr>
          <w:b/>
          <w:i w:val="0"/>
          <w:color w:val="1F3864"/>
          <w:sz w:val="28"/>
        </w:rPr>
        <w:t>How marked work works</w:t>
      </w:r>
    </w:p>
    <w:p>
      <w:pPr>
        <w:pStyle w:val="ListBullet"/>
        <w:spacing w:after="20"/>
      </w:pPr>
      <w:r>
        <w:t>There are 3 marked pieces at this level. Each is the full lab, done on your own in your ZZ_TRAIN_ namespace, after it has been taught in class.</w:t>
      </w:r>
    </w:p>
    <w:p>
      <w:pPr>
        <w:pStyle w:val="ListBullet"/>
        <w:spacing w:after="20"/>
      </w:pPr>
      <w:r>
        <w:t>Complete the lab in the Student Console, then copy fields 1–14 and a capture for every part into one Word or PDF file named with the lab code and your name (for example B1_Your-Name.docx). Submit it as your enrolment instructions say, by the deadline below.</w:t>
      </w:r>
    </w:p>
    <w:p>
      <w:pPr>
        <w:pStyle w:val="ListBullet"/>
        <w:spacing w:after="20"/>
      </w:pPr>
      <w:r>
        <w:t>TIB instructors mark every piece against the rubric below — for live and self-study trainees alike.</w:t>
      </w:r>
    </w:p>
    <w:p>
      <w:pPr>
        <w:pStyle w:val="ListBullet"/>
        <w:spacing w:after="20"/>
      </w:pPr>
      <w:r>
        <w:t>A piece passes at a weighted score of 60 or above, with no single rubric line below 40. Below that it comes back marked “resubmit” with one sentence of feedback for each weak line, and you have one week to resubmit.</w:t>
      </w:r>
    </w:p>
    <w:p>
      <w:pPr>
        <w:pStyle w:val="ListBullet"/>
        <w:spacing w:after="20"/>
      </w:pPr>
      <w:r>
        <w:rPr>
          <w:b/>
        </w:rPr>
        <w:t xml:space="preserve">Returned without marking: </w:t>
      </w:r>
      <w:r>
        <w:t>work built outside your ZZ_TRAIN_ namespace, work with no verification evidence, or a write-up copied from the model answer.</w:t>
      </w:r>
    </w:p>
    <w:p>
      <w:pPr>
        <w:pStyle w:val="ListBullet"/>
        <w:spacing w:after="20"/>
      </w:pPr>
      <w:r>
        <w:t>Passing all 3 pieces and the Intermediate stakeholder panel earns the Intermediate certificate.</w:t>
      </w:r>
    </w:p>
    <w:p>
      <w:pPr>
        <w:keepNext/>
        <w:spacing w:after="60" w:before="160"/>
      </w:pPr>
      <w:r>
        <w:rPr>
          <w:b/>
          <w:i w:val="0"/>
          <w:color w:val="1F3864"/>
          <w:sz w:val="24"/>
        </w:rPr>
        <w:t>The rubric</w:t>
      </w:r>
    </w:p>
    <w:tbl>
      <w:tblPr>
        <w:tblStyle w:val="TableGrid"/>
        <w:tblW w:type="auto" w:w="0"/>
        <w:tblLook w:firstColumn="1" w:firstRow="1" w:lastColumn="0" w:lastRow="0" w:noHBand="0" w:noVBand="1" w:val="04A0"/>
      </w:tblPr>
      <w:tblGrid>
        <w:gridCol w:w="2436"/>
        <w:gridCol w:w="2436"/>
        <w:gridCol w:w="2436"/>
        <w:gridCol w:w="2436"/>
      </w:tblGrid>
      <w:tr>
        <w:tc>
          <w:tcPr>
            <w:tcW w:type="dxa" w:w="2041"/>
            <w:shd w:val="clear" w:color="auto" w:fill="1F3864"/>
          </w:tcPr>
          <w:p>
            <w:pPr>
              <w:spacing w:after="0"/>
            </w:pPr>
            <w:r/>
            <w:r>
              <w:rPr>
                <w:b/>
                <w:color w:val="FFFFFF"/>
                <w:sz w:val="19"/>
              </w:rPr>
              <w:t>Rubric line</w:t>
            </w:r>
          </w:p>
        </w:tc>
        <w:tc>
          <w:tcPr>
            <w:tcW w:type="dxa" w:w="794"/>
            <w:shd w:val="clear" w:color="auto" w:fill="1F3864"/>
          </w:tcPr>
          <w:p>
            <w:pPr>
              <w:spacing w:after="0"/>
            </w:pPr>
            <w:r/>
            <w:r>
              <w:rPr>
                <w:b/>
                <w:color w:val="FFFFFF"/>
                <w:sz w:val="19"/>
              </w:rPr>
              <w:t>Weight</w:t>
            </w:r>
          </w:p>
        </w:tc>
        <w:tc>
          <w:tcPr>
            <w:tcW w:type="dxa" w:w="1474"/>
            <w:shd w:val="clear" w:color="auto" w:fill="1F3864"/>
          </w:tcPr>
          <w:p>
            <w:pPr>
              <w:spacing w:after="0"/>
            </w:pPr>
            <w:r/>
            <w:r>
              <w:rPr>
                <w:b/>
                <w:color w:val="FFFFFF"/>
                <w:sz w:val="19"/>
              </w:rPr>
              <w:t>Lab fields</w:t>
            </w:r>
          </w:p>
        </w:tc>
        <w:tc>
          <w:tcPr>
            <w:tcW w:type="dxa" w:w="5102"/>
            <w:shd w:val="clear" w:color="auto" w:fill="1F3864"/>
          </w:tcPr>
          <w:p>
            <w:pPr>
              <w:spacing w:after="0"/>
            </w:pPr>
            <w:r/>
            <w:r>
              <w:rPr>
                <w:b/>
                <w:color w:val="FFFFFF"/>
                <w:sz w:val="19"/>
              </w:rPr>
              <w:t>What the marker is asking</w:t>
            </w:r>
          </w:p>
        </w:tc>
      </w:tr>
      <w:tr>
        <w:tc>
          <w:tcPr>
            <w:tcW w:type="dxa" w:w="2041"/>
          </w:tcPr>
          <w:p>
            <w:pPr>
              <w:spacing w:after="0"/>
            </w:pPr>
            <w:r/>
            <w:r>
              <w:rPr>
                <w:sz w:val="19"/>
              </w:rPr>
              <w:t>Diagnosis &amp; scope</w:t>
            </w:r>
          </w:p>
        </w:tc>
        <w:tc>
          <w:tcPr>
            <w:tcW w:type="dxa" w:w="794"/>
          </w:tcPr>
          <w:p>
            <w:pPr>
              <w:spacing w:after="0"/>
            </w:pPr>
            <w:r/>
            <w:r>
              <w:rPr>
                <w:sz w:val="19"/>
              </w:rPr>
              <w:t>20%</w:t>
            </w:r>
          </w:p>
        </w:tc>
        <w:tc>
          <w:tcPr>
            <w:tcW w:type="dxa" w:w="1474"/>
          </w:tcPr>
          <w:p>
            <w:pPr>
              <w:spacing w:after="0"/>
            </w:pPr>
            <w:r/>
            <w:r>
              <w:rPr>
                <w:sz w:val="19"/>
              </w:rPr>
              <w:t>Fields 1–8</w:t>
            </w:r>
          </w:p>
        </w:tc>
        <w:tc>
          <w:tcPr>
            <w:tcW w:type="dxa" w:w="5102"/>
          </w:tcPr>
          <w:p>
            <w:pPr>
              <w:spacing w:after="0"/>
            </w:pPr>
            <w:r/>
            <w:r>
              <w:rPr>
                <w:sz w:val="19"/>
              </w:rPr>
              <w:t>Do you state what is broken or needed, why it matters, the full affected scope, and how you confirmed it is complete?</w:t>
            </w:r>
          </w:p>
        </w:tc>
      </w:tr>
      <w:tr>
        <w:tc>
          <w:tcPr>
            <w:tcW w:type="dxa" w:w="2041"/>
          </w:tcPr>
          <w:p>
            <w:pPr>
              <w:spacing w:after="0"/>
            </w:pPr>
            <w:r/>
            <w:r>
              <w:rPr>
                <w:sz w:val="19"/>
              </w:rPr>
              <w:t>Design / fix approach</w:t>
            </w:r>
          </w:p>
        </w:tc>
        <w:tc>
          <w:tcPr>
            <w:tcW w:type="dxa" w:w="794"/>
          </w:tcPr>
          <w:p>
            <w:pPr>
              <w:spacing w:after="0"/>
            </w:pPr>
            <w:r/>
            <w:r>
              <w:rPr>
                <w:sz w:val="19"/>
              </w:rPr>
              <w:t>15%</w:t>
            </w:r>
          </w:p>
        </w:tc>
        <w:tc>
          <w:tcPr>
            <w:tcW w:type="dxa" w:w="1474"/>
          </w:tcPr>
          <w:p>
            <w:pPr>
              <w:spacing w:after="0"/>
            </w:pPr>
            <w:r/>
            <w:r>
              <w:rPr>
                <w:sz w:val="19"/>
              </w:rPr>
              <w:t>Fields 5, 9</w:t>
            </w:r>
          </w:p>
        </w:tc>
        <w:tc>
          <w:tcPr>
            <w:tcW w:type="dxa" w:w="5102"/>
          </w:tcPr>
          <w:p>
            <w:pPr>
              <w:spacing w:after="0"/>
            </w:pPr>
            <w:r/>
            <w:r>
              <w:rPr>
                <w:sz w:val="19"/>
              </w:rPr>
              <w:t>Is the target design right, and can you justify the order you did the work in?</w:t>
            </w:r>
          </w:p>
        </w:tc>
      </w:tr>
      <w:tr>
        <w:tc>
          <w:tcPr>
            <w:tcW w:type="dxa" w:w="2041"/>
          </w:tcPr>
          <w:p>
            <w:pPr>
              <w:spacing w:after="0"/>
            </w:pPr>
            <w:r/>
            <w:r>
              <w:rPr>
                <w:sz w:val="19"/>
              </w:rPr>
              <w:t>Build accuracy</w:t>
            </w:r>
          </w:p>
        </w:tc>
        <w:tc>
          <w:tcPr>
            <w:tcW w:type="dxa" w:w="794"/>
          </w:tcPr>
          <w:p>
            <w:pPr>
              <w:spacing w:after="0"/>
            </w:pPr>
            <w:r/>
            <w:r>
              <w:rPr>
                <w:sz w:val="19"/>
              </w:rPr>
              <w:t>20%</w:t>
            </w:r>
          </w:p>
        </w:tc>
        <w:tc>
          <w:tcPr>
            <w:tcW w:type="dxa" w:w="1474"/>
          </w:tcPr>
          <w:p>
            <w:pPr>
              <w:spacing w:after="0"/>
            </w:pPr>
            <w:r/>
            <w:r>
              <w:rPr>
                <w:sz w:val="19"/>
              </w:rPr>
              <w:t>Field 11</w:t>
            </w:r>
          </w:p>
        </w:tc>
        <w:tc>
          <w:tcPr>
            <w:tcW w:type="dxa" w:w="5102"/>
          </w:tcPr>
          <w:p>
            <w:pPr>
              <w:spacing w:after="0"/>
            </w:pPr>
            <w:r/>
            <w:r>
              <w:rPr>
                <w:sz w:val="19"/>
              </w:rPr>
              <w:t>Is every part built correctly, in your own ZZ_TRAIN_ copy?</w:t>
            </w:r>
          </w:p>
        </w:tc>
      </w:tr>
      <w:tr>
        <w:tc>
          <w:tcPr>
            <w:tcW w:type="dxa" w:w="2041"/>
          </w:tcPr>
          <w:p>
            <w:pPr>
              <w:spacing w:after="0"/>
            </w:pPr>
            <w:r/>
            <w:r>
              <w:rPr>
                <w:sz w:val="19"/>
              </w:rPr>
              <w:t>Verification evidence</w:t>
            </w:r>
          </w:p>
        </w:tc>
        <w:tc>
          <w:tcPr>
            <w:tcW w:type="dxa" w:w="794"/>
          </w:tcPr>
          <w:p>
            <w:pPr>
              <w:spacing w:after="0"/>
            </w:pPr>
            <w:r/>
            <w:r>
              <w:rPr>
                <w:sz w:val="19"/>
              </w:rPr>
              <w:t>15%</w:t>
            </w:r>
          </w:p>
        </w:tc>
        <w:tc>
          <w:tcPr>
            <w:tcW w:type="dxa" w:w="1474"/>
          </w:tcPr>
          <w:p>
            <w:pPr>
              <w:spacing w:after="0"/>
            </w:pPr>
            <w:r/>
            <w:r>
              <w:rPr>
                <w:sz w:val="19"/>
              </w:rPr>
              <w:t>Fields 10, 12</w:t>
            </w:r>
          </w:p>
        </w:tc>
        <w:tc>
          <w:tcPr>
            <w:tcW w:type="dxa" w:w="5102"/>
          </w:tcPr>
          <w:p>
            <w:pPr>
              <w:spacing w:after="0"/>
            </w:pPr>
            <w:r/>
            <w:r>
              <w:rPr>
                <w:sz w:val="19"/>
              </w:rPr>
              <w:t>Does a capture for every part prove the build works, including the negative test?</w:t>
            </w:r>
          </w:p>
        </w:tc>
      </w:tr>
      <w:tr>
        <w:tc>
          <w:tcPr>
            <w:tcW w:type="dxa" w:w="2041"/>
          </w:tcPr>
          <w:p>
            <w:pPr>
              <w:spacing w:after="0"/>
            </w:pPr>
            <w:r/>
            <w:r>
              <w:rPr>
                <w:sz w:val="19"/>
              </w:rPr>
              <w:t>Write-up quality</w:t>
            </w:r>
          </w:p>
        </w:tc>
        <w:tc>
          <w:tcPr>
            <w:tcW w:type="dxa" w:w="794"/>
          </w:tcPr>
          <w:p>
            <w:pPr>
              <w:spacing w:after="0"/>
            </w:pPr>
            <w:r/>
            <w:r>
              <w:rPr>
                <w:sz w:val="19"/>
              </w:rPr>
              <w:t>15%</w:t>
            </w:r>
          </w:p>
        </w:tc>
        <w:tc>
          <w:tcPr>
            <w:tcW w:type="dxa" w:w="1474"/>
          </w:tcPr>
          <w:p>
            <w:pPr>
              <w:spacing w:after="0"/>
            </w:pPr>
            <w:r/>
            <w:r>
              <w:rPr>
                <w:sz w:val="19"/>
              </w:rPr>
              <w:t>Field 13</w:t>
            </w:r>
          </w:p>
        </w:tc>
        <w:tc>
          <w:tcPr>
            <w:tcW w:type="dxa" w:w="5102"/>
          </w:tcPr>
          <w:p>
            <w:pPr>
              <w:spacing w:after="0"/>
            </w:pPr>
            <w:r/>
            <w:r>
              <w:rPr>
                <w:sz w:val="19"/>
              </w:rPr>
              <w:t>Is it in your own words: what you did, how you proved it, and what remains?</w:t>
            </w:r>
          </w:p>
        </w:tc>
      </w:tr>
      <w:tr>
        <w:tc>
          <w:tcPr>
            <w:tcW w:type="dxa" w:w="2041"/>
          </w:tcPr>
          <w:p>
            <w:pPr>
              <w:spacing w:after="0"/>
            </w:pPr>
            <w:r/>
            <w:r>
              <w:rPr>
                <w:sz w:val="19"/>
              </w:rPr>
              <w:t>Stakeholder communication</w:t>
            </w:r>
          </w:p>
        </w:tc>
        <w:tc>
          <w:tcPr>
            <w:tcW w:type="dxa" w:w="794"/>
          </w:tcPr>
          <w:p>
            <w:pPr>
              <w:spacing w:after="0"/>
            </w:pPr>
            <w:r/>
            <w:r>
              <w:rPr>
                <w:sz w:val="19"/>
              </w:rPr>
              <w:t>15%</w:t>
            </w:r>
          </w:p>
        </w:tc>
        <w:tc>
          <w:tcPr>
            <w:tcW w:type="dxa" w:w="1474"/>
          </w:tcPr>
          <w:p>
            <w:pPr>
              <w:spacing w:after="0"/>
            </w:pPr>
            <w:r/>
            <w:r>
              <w:rPr>
                <w:sz w:val="19"/>
              </w:rPr>
              <w:t>Fields 14–15, panel</w:t>
            </w:r>
          </w:p>
        </w:tc>
        <w:tc>
          <w:tcPr>
            <w:tcW w:type="dxa" w:w="5102"/>
          </w:tcPr>
          <w:p>
            <w:pPr>
              <w:spacing w:after="0"/>
            </w:pPr>
            <w:r/>
            <w:r>
              <w:rPr>
                <w:sz w:val="19"/>
              </w:rPr>
              <w:t>Do you answer the pushback without giving up a correct position, in plain language for that audience?</w:t>
            </w:r>
          </w:p>
        </w:tc>
      </w:tr>
    </w:tbl>
    <w:p>
      <w:pPr>
        <w:spacing w:after="0"/>
      </w:pPr>
    </w:p>
    <w:p>
      <w:pPr>
        <w:spacing w:after="80"/>
      </w:pPr>
      <w:r>
        <w:rPr>
          <w:b w:val="0"/>
          <w:i/>
          <w:color w:val="5A6472"/>
          <w:sz w:val="19"/>
        </w:rPr>
        <w:t>Score bands for every line: 0–39 not yet · 40–59 developing · 60–79 competent · 80–100 strong.</w:t>
      </w:r>
    </w:p>
    <w:p>
      <w:pPr>
        <w:keepNext/>
        <w:spacing w:after="60" w:before="160"/>
      </w:pPr>
      <w:r>
        <w:rPr>
          <w:b/>
          <w:i w:val="0"/>
          <w:color w:val="1F3864"/>
          <w:sz w:val="24"/>
        </w:rPr>
        <w:t>Calendar</w:t>
      </w:r>
    </w:p>
    <w:tbl>
      <w:tblPr>
        <w:tblStyle w:val="TableGrid"/>
        <w:tblW w:type="auto" w:w="0"/>
        <w:tblLook w:firstColumn="1" w:firstRow="1" w:lastColumn="0" w:lastRow="0" w:noHBand="0" w:noVBand="1" w:val="04A0"/>
      </w:tblPr>
      <w:tblGrid>
        <w:gridCol w:w="2436"/>
        <w:gridCol w:w="2436"/>
        <w:gridCol w:w="2436"/>
        <w:gridCol w:w="2436"/>
      </w:tblGrid>
      <w:tr>
        <w:tc>
          <w:tcPr>
            <w:tcW w:type="dxa" w:w="3742"/>
            <w:shd w:val="clear" w:color="auto" w:fill="1F3864"/>
          </w:tcPr>
          <w:p>
            <w:pPr>
              <w:spacing w:after="0"/>
            </w:pPr>
            <w:r/>
            <w:r>
              <w:rPr>
                <w:b/>
                <w:color w:val="FFFFFF"/>
                <w:sz w:val="19"/>
              </w:rPr>
              <w:t>Marked work</w:t>
            </w:r>
          </w:p>
        </w:tc>
        <w:tc>
          <w:tcPr>
            <w:tcW w:type="dxa" w:w="1134"/>
            <w:shd w:val="clear" w:color="auto" w:fill="1F3864"/>
          </w:tcPr>
          <w:p>
            <w:pPr>
              <w:spacing w:after="0"/>
            </w:pPr>
            <w:r/>
            <w:r>
              <w:rPr>
                <w:b/>
                <w:color w:val="FFFFFF"/>
                <w:sz w:val="19"/>
              </w:rPr>
              <w:t>Set in</w:t>
            </w:r>
          </w:p>
        </w:tc>
        <w:tc>
          <w:tcPr>
            <w:tcW w:type="dxa" w:w="3061"/>
            <w:shd w:val="clear" w:color="auto" w:fill="1F3864"/>
          </w:tcPr>
          <w:p>
            <w:pPr>
              <w:spacing w:after="0"/>
            </w:pPr>
            <w:r/>
            <w:r>
              <w:rPr>
                <w:b/>
                <w:color w:val="FFFFFF"/>
                <w:sz w:val="19"/>
              </w:rPr>
              <w:t>Submit by</w:t>
            </w:r>
          </w:p>
        </w:tc>
        <w:tc>
          <w:tcPr>
            <w:tcW w:type="dxa" w:w="1474"/>
            <w:shd w:val="clear" w:color="auto" w:fill="1F3864"/>
          </w:tcPr>
          <w:p>
            <w:pPr>
              <w:spacing w:after="0"/>
            </w:pPr>
            <w:r/>
            <w:r>
              <w:rPr>
                <w:b/>
                <w:color w:val="FFFFFF"/>
                <w:sz w:val="19"/>
              </w:rPr>
              <w:t>Returned</w:t>
            </w:r>
          </w:p>
        </w:tc>
      </w:tr>
      <w:tr>
        <w:tc>
          <w:tcPr>
            <w:tcW w:type="dxa" w:w="3742"/>
          </w:tcPr>
          <w:p>
            <w:pPr>
              <w:spacing w:after="0"/>
            </w:pPr>
            <w:r/>
            <w:r>
              <w:rPr>
                <w:sz w:val="19"/>
              </w:rPr>
              <w:t>Lab B1 — The Boundary the Matrix Didn't Explain</w:t>
            </w:r>
          </w:p>
        </w:tc>
        <w:tc>
          <w:tcPr>
            <w:tcW w:type="dxa" w:w="1134"/>
          </w:tcPr>
          <w:p>
            <w:pPr>
              <w:spacing w:after="0"/>
            </w:pPr>
            <w:r/>
            <w:r>
              <w:rPr>
                <w:sz w:val="19"/>
              </w:rPr>
              <w:t>Session 3</w:t>
            </w:r>
          </w:p>
        </w:tc>
        <w:tc>
          <w:tcPr>
            <w:tcW w:type="dxa" w:w="3061"/>
          </w:tcPr>
          <w:p>
            <w:pPr>
              <w:spacing w:after="0"/>
            </w:pPr>
            <w:r/>
            <w:r>
              <w:rPr>
                <w:sz w:val="19"/>
              </w:rPr>
              <w:t>23:59 CT on the day of session 4</w:t>
            </w:r>
          </w:p>
        </w:tc>
        <w:tc>
          <w:tcPr>
            <w:tcW w:type="dxa" w:w="1474"/>
          </w:tcPr>
          <w:p>
            <w:pPr>
              <w:spacing w:after="0"/>
            </w:pPr>
            <w:r/>
            <w:r>
              <w:rPr>
                <w:sz w:val="19"/>
              </w:rPr>
              <w:t>session 6</w:t>
            </w:r>
          </w:p>
        </w:tc>
      </w:tr>
      <w:tr>
        <w:tc>
          <w:tcPr>
            <w:tcW w:type="dxa" w:w="3742"/>
          </w:tcPr>
          <w:p>
            <w:pPr>
              <w:spacing w:after="0"/>
            </w:pPr>
            <w:r/>
            <w:r>
              <w:rPr>
                <w:sz w:val="19"/>
              </w:rPr>
              <w:t>Lab B3 — The Stage With No Way Out</w:t>
            </w:r>
          </w:p>
        </w:tc>
        <w:tc>
          <w:tcPr>
            <w:tcW w:type="dxa" w:w="1134"/>
          </w:tcPr>
          <w:p>
            <w:pPr>
              <w:spacing w:after="0"/>
            </w:pPr>
            <w:r/>
            <w:r>
              <w:rPr>
                <w:sz w:val="19"/>
              </w:rPr>
              <w:t>Session 9</w:t>
            </w:r>
          </w:p>
        </w:tc>
        <w:tc>
          <w:tcPr>
            <w:tcW w:type="dxa" w:w="3061"/>
          </w:tcPr>
          <w:p>
            <w:pPr>
              <w:spacing w:after="0"/>
            </w:pPr>
            <w:r/>
            <w:r>
              <w:rPr>
                <w:sz w:val="19"/>
              </w:rPr>
              <w:t>23:59 CT on the day of session 10</w:t>
            </w:r>
          </w:p>
        </w:tc>
        <w:tc>
          <w:tcPr>
            <w:tcW w:type="dxa" w:w="1474"/>
          </w:tcPr>
          <w:p>
            <w:pPr>
              <w:spacing w:after="0"/>
            </w:pPr>
            <w:r/>
            <w:r>
              <w:rPr>
                <w:sz w:val="19"/>
              </w:rPr>
              <w:t>session 12</w:t>
            </w:r>
          </w:p>
        </w:tc>
      </w:tr>
      <w:tr>
        <w:tc>
          <w:tcPr>
            <w:tcW w:type="dxa" w:w="3742"/>
          </w:tcPr>
          <w:p>
            <w:pPr>
              <w:spacing w:after="0"/>
            </w:pPr>
            <w:r/>
            <w:r>
              <w:rPr>
                <w:sz w:val="19"/>
              </w:rPr>
              <w:t>Lab B10 — The Tile That Opened Nothing</w:t>
            </w:r>
          </w:p>
        </w:tc>
        <w:tc>
          <w:tcPr>
            <w:tcW w:type="dxa" w:w="1134"/>
          </w:tcPr>
          <w:p>
            <w:pPr>
              <w:spacing w:after="0"/>
            </w:pPr>
            <w:r/>
            <w:r>
              <w:rPr>
                <w:sz w:val="19"/>
              </w:rPr>
              <w:t>Session 12</w:t>
            </w:r>
          </w:p>
        </w:tc>
        <w:tc>
          <w:tcPr>
            <w:tcW w:type="dxa" w:w="3061"/>
          </w:tcPr>
          <w:p>
            <w:pPr>
              <w:spacing w:after="0"/>
            </w:pPr>
            <w:r/>
            <w:r>
              <w:rPr>
                <w:sz w:val="19"/>
              </w:rPr>
              <w:t>23:59 CT on the day of session 13</w:t>
            </w:r>
          </w:p>
        </w:tc>
        <w:tc>
          <w:tcPr>
            <w:tcW w:type="dxa" w:w="1474"/>
          </w:tcPr>
          <w:p>
            <w:pPr>
              <w:spacing w:after="0"/>
            </w:pPr>
            <w:r/>
            <w:r>
              <w:rPr>
                <w:sz w:val="19"/>
              </w:rPr>
              <w:t>session 15</w:t>
            </w:r>
          </w:p>
        </w:tc>
      </w:tr>
    </w:tbl>
    <w:p>
      <w:pPr>
        <w:spacing w:after="0"/>
      </w:pPr>
    </w:p>
    <w:p>
      <w:pPr>
        <w:keepNext/>
        <w:spacing w:after="60" w:before="240"/>
      </w:pPr>
      <w:r>
        <w:rPr>
          <w:b/>
          <w:i w:val="0"/>
          <w:color w:val="1F3864"/>
          <w:sz w:val="28"/>
        </w:rPr>
        <w:t>Marked build 1 — Lab B1: The Boundary the Matrix Didn't Explain</w:t>
      </w:r>
    </w:p>
    <w:p>
      <w:pPr>
        <w:spacing w:after="120"/>
      </w:pPr>
      <w:r>
        <w:rPr>
          <w:b/>
          <w:i w:val="0"/>
          <w:color w:val="C65911"/>
          <w:sz w:val="20"/>
        </w:rPr>
        <w:t>PFCG Role Build from Role Matrix · Intermediate · taught and set in session 3 · due 23:59 CT on the day of session 4 · returned at session 6</w:t>
      </w:r>
    </w:p>
    <w:p>
      <w:pPr>
        <w:keepNext/>
        <w:spacing w:after="60" w:before="80"/>
      </w:pPr>
      <w:r>
        <w:rPr>
          <w:b/>
          <w:i w:val="0"/>
          <w:color w:val="1F3864"/>
          <w:sz w:val="22"/>
        </w:rPr>
        <w:t>The Spec (field 1)</w:t>
      </w:r>
    </w:p>
    <w:p>
      <w:pPr>
        <w:spacing w:after="80"/>
      </w:pPr>
      <w:r>
        <w:rPr>
          <w:b w:val="0"/>
          <w:i w:val="0"/>
          <w:sz w:val="21"/>
        </w:rPr>
        <w:t>The approved Role Design Standard specifies a naming convention and a role-to-job-function matrix listing all fifteen finance roles by name, type, and required authorization scope. Building the roles, you find the matrix references 'AP invoice approval up to $10K' as an authorization boundary, but the design doc never specified which authorization object or field actually enforces that dollar limit in SAP.</w:t>
      </w:r>
    </w:p>
    <w:p>
      <w:pPr>
        <w:keepNext/>
        <w:spacing w:after="60" w:before="80"/>
      </w:pPr>
      <w:r>
        <w:rPr>
          <w:b/>
          <w:i w:val="0"/>
          <w:color w:val="1F3864"/>
          <w:sz w:val="22"/>
        </w:rPr>
        <w:t>Why it matters (field 3)</w:t>
      </w:r>
    </w:p>
    <w:p>
      <w:pPr>
        <w:spacing w:after="80"/>
      </w:pPr>
      <w:r>
        <w:rPr>
          <w:b w:val="0"/>
          <w:i w:val="0"/>
          <w:sz w:val="21"/>
        </w:rPr>
        <w:t>Building roles from a matrix with an unresolved authorization gap means either guessing at the dollar-limit enforcement, risking it not actually working, or stalling the whole build until it's resolved — and fifteen roles are due before the cutover freeze.</w:t>
      </w:r>
    </w:p>
    <w:p>
      <w:pPr>
        <w:keepNext/>
        <w:spacing w:after="60" w:before="80"/>
      </w:pPr>
      <w:r>
        <w:rPr>
          <w:b/>
          <w:i w:val="0"/>
          <w:color w:val="1F3864"/>
          <w:sz w:val="22"/>
        </w:rPr>
        <w:t>Build Objective (field 4)</w:t>
      </w:r>
    </w:p>
    <w:p>
      <w:pPr>
        <w:spacing w:after="80"/>
      </w:pPr>
      <w:r>
        <w:rPr>
          <w:b w:val="0"/>
          <w:i w:val="0"/>
          <w:sz w:val="21"/>
        </w:rPr>
        <w:t>Determine the correct authorization object and field value that enforces the $10K approval boundary, build the AP invoice approval role correctly from the matrix, and use it as the template for the remaining fourteen roles.</w:t>
      </w:r>
    </w:p>
    <w:p>
      <w:pPr>
        <w:keepNext/>
        <w:spacing w:after="60" w:before="80"/>
      </w:pPr>
      <w:r>
        <w:rPr>
          <w:b/>
          <w:i w:val="0"/>
          <w:color w:val="1F3864"/>
          <w:sz w:val="22"/>
        </w:rPr>
        <w:t>What you build and capture (fields 10–12)</w:t>
      </w:r>
    </w:p>
    <w:tbl>
      <w:tblPr>
        <w:tblStyle w:val="TableGrid"/>
        <w:tblW w:type="auto" w:w="0"/>
        <w:tblLook w:firstColumn="1" w:firstRow="1" w:lastColumn="0" w:lastRow="0" w:noHBand="0" w:noVBand="1" w:val="04A0"/>
      </w:tblPr>
      <w:tblGrid>
        <w:gridCol w:w="4873"/>
        <w:gridCol w:w="4873"/>
      </w:tblGrid>
      <w:tr>
        <w:tc>
          <w:tcPr>
            <w:tcW w:type="dxa" w:w="3742"/>
            <w:shd w:val="clear" w:color="auto" w:fill="1F3864"/>
          </w:tcPr>
          <w:p>
            <w:pPr>
              <w:spacing w:after="0"/>
            </w:pPr>
            <w:r/>
            <w:r>
              <w:rPr>
                <w:b/>
                <w:color w:val="FFFFFF"/>
                <w:sz w:val="19"/>
              </w:rPr>
              <w:t>Part</w:t>
            </w:r>
          </w:p>
        </w:tc>
        <w:tc>
          <w:tcPr>
            <w:tcW w:type="dxa" w:w="5669"/>
            <w:shd w:val="clear" w:color="auto" w:fill="1F3864"/>
          </w:tcPr>
          <w:p>
            <w:pPr>
              <w:spacing w:after="0"/>
            </w:pPr>
            <w:r/>
            <w:r>
              <w:rPr>
                <w:b/>
                <w:color w:val="FFFFFF"/>
                <w:sz w:val="19"/>
              </w:rPr>
              <w:t>Capture you must upload</w:t>
            </w:r>
          </w:p>
        </w:tc>
      </w:tr>
      <w:tr>
        <w:tc>
          <w:tcPr>
            <w:tcW w:type="dxa" w:w="3742"/>
          </w:tcPr>
          <w:p>
            <w:pPr>
              <w:spacing w:after="0"/>
            </w:pPr>
            <w:r/>
            <w:r>
              <w:rPr>
                <w:sz w:val="19"/>
              </w:rPr>
              <w:t>Part A — Trace the Dollar-Limit Enforcement Mechanism</w:t>
            </w:r>
          </w:p>
        </w:tc>
        <w:tc>
          <w:tcPr>
            <w:tcW w:type="dxa" w:w="5669"/>
          </w:tcPr>
          <w:p>
            <w:pPr>
              <w:spacing w:after="0"/>
            </w:pPr>
            <w:r/>
            <w:r>
              <w:rPr>
                <w:sz w:val="19"/>
              </w:rPr>
              <w:t>The documented release-strategy-to-authorization-object mapping.</w:t>
            </w:r>
          </w:p>
        </w:tc>
      </w:tr>
      <w:tr>
        <w:tc>
          <w:tcPr>
            <w:tcW w:type="dxa" w:w="3742"/>
          </w:tcPr>
          <w:p>
            <w:pPr>
              <w:spacing w:after="0"/>
            </w:pPr>
            <w:r/>
            <w:r>
              <w:rPr>
                <w:sz w:val="19"/>
              </w:rPr>
              <w:t>Part B — Build the AP Invoice Approval Role (Training Namespace)</w:t>
            </w:r>
          </w:p>
        </w:tc>
        <w:tc>
          <w:tcPr>
            <w:tcW w:type="dxa" w:w="5669"/>
          </w:tcPr>
          <w:p>
            <w:pPr>
              <w:spacing w:after="0"/>
            </w:pPr>
            <w:r/>
            <w:r>
              <w:rPr>
                <w:sz w:val="19"/>
              </w:rPr>
              <w:t>Screenshot of the built role with its authorization objects, including the release strategy tie-in.</w:t>
            </w:r>
          </w:p>
        </w:tc>
      </w:tr>
      <w:tr>
        <w:tc>
          <w:tcPr>
            <w:tcW w:type="dxa" w:w="3742"/>
          </w:tcPr>
          <w:p>
            <w:pPr>
              <w:spacing w:after="0"/>
            </w:pPr>
            <w:r/>
            <w:r>
              <w:rPr>
                <w:sz w:val="19"/>
              </w:rPr>
              <w:t>Part C — Test at the Boundary</w:t>
            </w:r>
          </w:p>
        </w:tc>
        <w:tc>
          <w:tcPr>
            <w:tcW w:type="dxa" w:w="5669"/>
          </w:tcPr>
          <w:p>
            <w:pPr>
              <w:spacing w:after="0"/>
            </w:pPr>
            <w:r/>
            <w:r>
              <w:rPr>
                <w:sz w:val="19"/>
              </w:rPr>
              <w:t>Both test invoice routing results confirming the boundary holds.</w:t>
            </w:r>
          </w:p>
        </w:tc>
      </w:tr>
      <w:tr>
        <w:tc>
          <w:tcPr>
            <w:tcW w:type="dxa" w:w="3742"/>
          </w:tcPr>
          <w:p>
            <w:pPr>
              <w:spacing w:after="0"/>
            </w:pPr>
            <w:r/>
            <w:r>
              <w:rPr>
                <w:sz w:val="19"/>
              </w:rPr>
              <w:t>Part D — Roll the Role Out by Company Code with Derived Roles</w:t>
            </w:r>
          </w:p>
        </w:tc>
        <w:tc>
          <w:tcPr>
            <w:tcW w:type="dxa" w:w="5669"/>
          </w:tcPr>
          <w:p>
            <w:pPr>
              <w:spacing w:after="0"/>
            </w:pPr>
            <w:r/>
            <w:r>
              <w:rPr>
                <w:sz w:val="19"/>
              </w:rPr>
              <w:t>The master and derived roles with their company-code values, and the boundary test result in one derived role.</w:t>
            </w:r>
          </w:p>
        </w:tc>
      </w:tr>
    </w:tbl>
    <w:p>
      <w:pPr>
        <w:spacing w:after="0"/>
      </w:pPr>
    </w:p>
    <w:p>
      <w:pPr>
        <w:keepNext/>
        <w:spacing w:after="60" w:before="80"/>
      </w:pPr>
      <w:r>
        <w:rPr>
          <w:b/>
          <w:i w:val="0"/>
          <w:color w:val="1F3864"/>
          <w:sz w:val="22"/>
        </w:rPr>
        <w:t>Sign-off Evidence: what your evidence must prove</w:t>
      </w:r>
    </w:p>
    <w:p>
      <w:pPr>
        <w:spacing w:after="80"/>
      </w:pPr>
      <w:r>
        <w:rPr>
          <w:b w:val="0"/>
          <w:i w:val="0"/>
          <w:sz w:val="21"/>
        </w:rPr>
        <w:t>The built AP invoice approval role with its authorization objects and release strategy tie-in, a test invoice at $9K that should route to this approver, and one at $11K that should not, with both confirmed to behave correctly. Plus derived roles per company code, with the boundary test repeated in one derived role.</w:t>
      </w:r>
    </w:p>
    <w:p>
      <w:pPr>
        <w:keepNext/>
        <w:spacing w:after="60" w:before="80"/>
      </w:pPr>
      <w:r>
        <w:rPr>
          <w:b/>
          <w:i w:val="0"/>
          <w:color w:val="1F3864"/>
          <w:sz w:val="22"/>
        </w:rPr>
        <w:t>Your submission must contain</w:t>
      </w:r>
    </w:p>
    <w:p>
      <w:pPr>
        <w:spacing w:after="20"/>
        <w:ind w:left="357" w:hanging="357"/>
      </w:pPr>
      <w:r>
        <w:t>1.</w:t>
        <w:tab/>
      </w:r>
      <w:r>
        <w:t>Fields 1–9 completed in your own words: the requirement, process, impact, objective, target design, scope, scope source, scope check and your approach.</w:t>
      </w:r>
    </w:p>
    <w:p>
      <w:pPr>
        <w:spacing w:after="20"/>
        <w:ind w:left="357" w:hanging="357"/>
      </w:pPr>
      <w:r>
        <w:t>2.</w:t>
        <w:tab/>
      </w:r>
      <w:r>
        <w:t>Field 11: every part built in your ZZ_TRAIN_ namespace — never on a shared or productive object.</w:t>
      </w:r>
    </w:p>
    <w:p>
      <w:pPr>
        <w:spacing w:after="20"/>
        <w:ind w:left="357" w:hanging="357"/>
      </w:pPr>
      <w:r>
        <w:t>3.</w:t>
        <w:tab/>
      </w:r>
      <w:r>
        <w:t>Fields 10 and 12: a capture for every part in the table above (selection screen, then result), plus your evaluation of what the evidence shows.</w:t>
      </w:r>
    </w:p>
    <w:p>
      <w:pPr>
        <w:spacing w:after="20"/>
        <w:ind w:left="357" w:hanging="357"/>
      </w:pPr>
      <w:r>
        <w:t>4.</w:t>
        <w:tab/>
      </w:r>
      <w:r>
        <w:t>Field 13 (Configuration Write-up): what you did, how you proved it, and anything that remains open.</w:t>
      </w:r>
    </w:p>
    <w:p>
      <w:pPr>
        <w:spacing w:after="20"/>
        <w:ind w:left="357" w:hanging="357"/>
      </w:pPr>
      <w:r>
        <w:t>5.</w:t>
        <w:tab/>
      </w:r>
      <w:r>
        <w:t>Field 14: your answer to the pushback below.</w:t>
      </w:r>
    </w:p>
    <w:p>
      <w:pPr>
        <w:keepNext/>
        <w:spacing w:after="60" w:before="80"/>
      </w:pPr>
      <w:r>
        <w:rPr>
          <w:b/>
          <w:i w:val="0"/>
          <w:color w:val="1F3864"/>
          <w:sz w:val="22"/>
        </w:rPr>
        <w:t>The pushback you answer (field 14)</w:t>
      </w:r>
    </w:p>
    <w:p>
      <w:pPr>
        <w:spacing w:after="80"/>
      </w:pPr>
      <w:r>
        <w:rPr>
          <w:b w:val="0"/>
          <w:i/>
          <w:sz w:val="21"/>
        </w:rPr>
        <w:t>“The design team says the matrix is final and shouldn't need any changes during build. Isn't raising this ambiguity now going to reopen the whole design?”</w:t>
      </w:r>
    </w:p>
    <w:p>
      <w:pPr>
        <w:keepNext/>
        <w:spacing w:after="60" w:before="80"/>
      </w:pPr>
      <w:r>
        <w:rPr>
          <w:b/>
          <w:i w:val="0"/>
          <w:color w:val="1F3864"/>
          <w:sz w:val="22"/>
        </w:rPr>
        <w:t>The escalation question (field 15 — discussed with your instructor)</w:t>
      </w:r>
    </w:p>
    <w:p>
      <w:pPr>
        <w:spacing w:after="80"/>
      </w:pPr>
      <w:r>
        <w:rPr>
          <w:b w:val="0"/>
          <w:i/>
          <w:sz w:val="21"/>
        </w:rPr>
        <w:t>“The project timeline has no buffer for a design clarification loop — the client wants all fifteen roles built by Friday regardless. How do you handle that?”</w:t>
      </w:r>
    </w:p>
    <w:tbl>
      <w:tblPr>
        <w:tblStyle w:val="TableGrid"/>
        <w:tblW w:type="auto" w:w="0"/>
        <w:tblLook w:firstColumn="1" w:firstRow="1" w:lastColumn="0" w:lastRow="0" w:noHBand="0" w:noVBand="1" w:val="04A0"/>
      </w:tblPr>
      <w:tblGrid>
        <w:gridCol w:w="9746"/>
      </w:tblGrid>
      <w:tr>
        <w:tc>
          <w:tcPr>
            <w:tcW w:type="dxa" w:w="9746"/>
            <w:shd w:val="clear" w:color="auto" w:fill="FDF3EC"/>
          </w:tcPr>
          <w:p>
            <w:r>
              <w:rPr>
                <w:b/>
                <w:color w:val="C65911"/>
                <w:sz w:val="19"/>
              </w:rPr>
              <w:t>WHAT MARKERS RETURN MOST</w:t>
            </w:r>
          </w:p>
          <w:p>
            <w:pPr>
              <w:spacing w:after="20"/>
            </w:pPr>
            <w:r>
              <w:rPr>
                <w:sz w:val="19"/>
              </w:rPr>
              <w:t>• A capture with no selection screen, or no capture for one of the parts.</w:t>
            </w:r>
          </w:p>
          <w:p>
            <w:pPr>
              <w:spacing w:after="20"/>
            </w:pPr>
            <w:r>
              <w:rPr>
                <w:sz w:val="19"/>
              </w:rPr>
              <w:t>• No negative test: you proved it works, not that it stops what it should stop.</w:t>
            </w:r>
          </w:p>
          <w:p>
            <w:pPr>
              <w:spacing w:after="20"/>
            </w:pPr>
            <w:r>
              <w:rPr>
                <w:sz w:val="19"/>
              </w:rPr>
              <w:t>• A pushback answer that gives up a correct position to keep the stakeholder happy.</w:t>
            </w:r>
          </w:p>
        </w:tc>
      </w:tr>
    </w:tbl>
    <w:p>
      <w:pPr>
        <w:spacing w:after="0"/>
      </w:pPr>
    </w:p>
    <w:p>
      <w:pPr>
        <w:keepNext/>
        <w:spacing w:after="60" w:before="240"/>
      </w:pPr>
      <w:r>
        <w:rPr>
          <w:b/>
          <w:i w:val="0"/>
          <w:color w:val="1F3864"/>
          <w:sz w:val="28"/>
        </w:rPr>
        <w:t>Marked build 2 — Lab B3: The Stage With No Way Out</w:t>
      </w:r>
    </w:p>
    <w:p>
      <w:pPr>
        <w:spacing w:after="120"/>
      </w:pPr>
      <w:r>
        <w:rPr>
          <w:b/>
          <w:i w:val="0"/>
          <w:color w:val="C65911"/>
          <w:sz w:val="20"/>
        </w:rPr>
        <w:t>MSMP / BRF+ Workflow Technical Build · Intermediate · taught and set in session 9 · due 23:59 CT on the day of session 10 · returned at session 12</w:t>
      </w:r>
    </w:p>
    <w:p>
      <w:pPr>
        <w:keepNext/>
        <w:spacing w:after="60" w:before="80"/>
      </w:pPr>
      <w:r>
        <w:rPr>
          <w:b/>
          <w:i w:val="0"/>
          <w:color w:val="1F3864"/>
          <w:sz w:val="22"/>
        </w:rPr>
        <w:t>The Spec (field 1)</w:t>
      </w:r>
    </w:p>
    <w:p>
      <w:pPr>
        <w:spacing w:after="80"/>
      </w:pPr>
      <w:r>
        <w:rPr>
          <w:b w:val="0"/>
          <w:i w:val="0"/>
          <w:sz w:val="21"/>
        </w:rPr>
        <w:t>The approved MSMP Workflow Design for contractor access requests specifies manager approval, then compliance sign-off, with a mandatory end-date field. Building the BRF+ routing rule for the compliance sign-off stage, you find the design doesn't specify what happens if the named compliance approver is on leave — MSMP requires an agent-determination fallback to be configured, or the workflow will simply stall with no path forward.</w:t>
      </w:r>
    </w:p>
    <w:p>
      <w:pPr>
        <w:keepNext/>
        <w:spacing w:after="60" w:before="80"/>
      </w:pPr>
      <w:r>
        <w:rPr>
          <w:b/>
          <w:i w:val="0"/>
          <w:color w:val="1F3864"/>
          <w:sz w:val="22"/>
        </w:rPr>
        <w:t>Why it matters (field 3)</w:t>
      </w:r>
    </w:p>
    <w:p>
      <w:pPr>
        <w:spacing w:after="80"/>
      </w:pPr>
      <w:r>
        <w:rPr>
          <w:b w:val="0"/>
          <w:i w:val="0"/>
          <w:sz w:val="21"/>
        </w:rPr>
        <w:t>Without a fallback, any contractor request submitted while the compliance approver is out gets stuck indefinitely, with no automatic escalation — defeating the mandatory-sign-off purpose the design was built to enforce.</w:t>
      </w:r>
    </w:p>
    <w:p>
      <w:pPr>
        <w:keepNext/>
        <w:spacing w:after="60" w:before="80"/>
      </w:pPr>
      <w:r>
        <w:rPr>
          <w:b/>
          <w:i w:val="0"/>
          <w:color w:val="1F3864"/>
          <w:sz w:val="22"/>
        </w:rPr>
        <w:t>Build Objective (field 4)</w:t>
      </w:r>
    </w:p>
    <w:p>
      <w:pPr>
        <w:spacing w:after="80"/>
      </w:pPr>
      <w:r>
        <w:rPr>
          <w:b w:val="0"/>
          <w:i w:val="0"/>
          <w:sz w:val="21"/>
        </w:rPr>
        <w:t>Design and build a fallback agent-determination rule for the compliance sign-off stage that preserves the sign-off requirement, never auto-approving, while preventing an indefinite stall.</w:t>
      </w:r>
    </w:p>
    <w:p>
      <w:pPr>
        <w:keepNext/>
        <w:spacing w:after="60" w:before="80"/>
      </w:pPr>
      <w:r>
        <w:rPr>
          <w:b/>
          <w:i w:val="0"/>
          <w:color w:val="1F3864"/>
          <w:sz w:val="22"/>
        </w:rPr>
        <w:t>What you build and capture (fields 10–12)</w:t>
      </w:r>
    </w:p>
    <w:tbl>
      <w:tblPr>
        <w:tblStyle w:val="TableGrid"/>
        <w:tblW w:type="auto" w:w="0"/>
        <w:tblLook w:firstColumn="1" w:firstRow="1" w:lastColumn="0" w:lastRow="0" w:noHBand="0" w:noVBand="1" w:val="04A0"/>
      </w:tblPr>
      <w:tblGrid>
        <w:gridCol w:w="4873"/>
        <w:gridCol w:w="4873"/>
      </w:tblGrid>
      <w:tr>
        <w:tc>
          <w:tcPr>
            <w:tcW w:type="dxa" w:w="3742"/>
            <w:shd w:val="clear" w:color="auto" w:fill="1F3864"/>
          </w:tcPr>
          <w:p>
            <w:pPr>
              <w:spacing w:after="0"/>
            </w:pPr>
            <w:r/>
            <w:r>
              <w:rPr>
                <w:b/>
                <w:color w:val="FFFFFF"/>
                <w:sz w:val="19"/>
              </w:rPr>
              <w:t>Part</w:t>
            </w:r>
          </w:p>
        </w:tc>
        <w:tc>
          <w:tcPr>
            <w:tcW w:type="dxa" w:w="5669"/>
            <w:shd w:val="clear" w:color="auto" w:fill="1F3864"/>
          </w:tcPr>
          <w:p>
            <w:pPr>
              <w:spacing w:after="0"/>
            </w:pPr>
            <w:r/>
            <w:r>
              <w:rPr>
                <w:b/>
                <w:color w:val="FFFFFF"/>
                <w:sz w:val="19"/>
              </w:rPr>
              <w:t>Capture you must upload</w:t>
            </w:r>
          </w:p>
        </w:tc>
      </w:tr>
      <w:tr>
        <w:tc>
          <w:tcPr>
            <w:tcW w:type="dxa" w:w="3742"/>
          </w:tcPr>
          <w:p>
            <w:pPr>
              <w:spacing w:after="0"/>
            </w:pPr>
            <w:r/>
            <w:r>
              <w:rPr>
                <w:sz w:val="19"/>
              </w:rPr>
              <w:t>Part A — Confirm the Backup Approver and Authorization</w:t>
            </w:r>
          </w:p>
        </w:tc>
        <w:tc>
          <w:tcPr>
            <w:tcW w:type="dxa" w:w="5669"/>
          </w:tcPr>
          <w:p>
            <w:pPr>
              <w:spacing w:after="0"/>
            </w:pPr>
            <w:r/>
            <w:r>
              <w:rPr>
                <w:sz w:val="19"/>
              </w:rPr>
              <w:t>The confirmed backup approver, their authorization check, and the agreed timeout window.</w:t>
            </w:r>
          </w:p>
        </w:tc>
      </w:tr>
      <w:tr>
        <w:tc>
          <w:tcPr>
            <w:tcW w:type="dxa" w:w="3742"/>
          </w:tcPr>
          <w:p>
            <w:pPr>
              <w:spacing w:after="0"/>
            </w:pPr>
            <w:r/>
            <w:r>
              <w:rPr>
                <w:sz w:val="19"/>
              </w:rPr>
              <w:t>Part B — Build the Fallback Rule (Training Namespace)</w:t>
            </w:r>
          </w:p>
        </w:tc>
        <w:tc>
          <w:tcPr>
            <w:tcW w:type="dxa" w:w="5669"/>
          </w:tcPr>
          <w:p>
            <w:pPr>
              <w:spacing w:after="0"/>
            </w:pPr>
            <w:r/>
            <w:r>
              <w:rPr>
                <w:sz w:val="19"/>
              </w:rPr>
              <w:t>Screenshot of the configured fallback rule.</w:t>
            </w:r>
          </w:p>
        </w:tc>
      </w:tr>
      <w:tr>
        <w:tc>
          <w:tcPr>
            <w:tcW w:type="dxa" w:w="3742"/>
          </w:tcPr>
          <w:p>
            <w:pPr>
              <w:spacing w:after="0"/>
            </w:pPr>
            <w:r/>
            <w:r>
              <w:rPr>
                <w:sz w:val="19"/>
              </w:rPr>
              <w:t>Part C — Test the Full Timeout Cycle</w:t>
            </w:r>
          </w:p>
        </w:tc>
        <w:tc>
          <w:tcPr>
            <w:tcW w:type="dxa" w:w="5669"/>
          </w:tcPr>
          <w:p>
            <w:pPr>
              <w:spacing w:after="0"/>
            </w:pPr>
            <w:r/>
            <w:r>
              <w:rPr>
                <w:sz w:val="19"/>
              </w:rPr>
              <w:t>The full timeout cycle results showing correct escalation and no auto-approval.</w:t>
            </w:r>
          </w:p>
        </w:tc>
      </w:tr>
    </w:tbl>
    <w:p>
      <w:pPr>
        <w:spacing w:after="0"/>
      </w:pPr>
    </w:p>
    <w:p>
      <w:pPr>
        <w:keepNext/>
        <w:spacing w:after="60" w:before="80"/>
      </w:pPr>
      <w:r>
        <w:rPr>
          <w:b/>
          <w:i w:val="0"/>
          <w:color w:val="1F3864"/>
          <w:sz w:val="22"/>
        </w:rPr>
        <w:t>Sign-off Evidence: what your evidence must prove</w:t>
      </w:r>
    </w:p>
    <w:p>
      <w:pPr>
        <w:spacing w:after="80"/>
      </w:pPr>
      <w:r>
        <w:rPr>
          <w:b w:val="0"/>
          <w:i w:val="0"/>
          <w:sz w:val="21"/>
        </w:rPr>
        <w:t>The built BRF+ fallback rule for compliance sign-off, and a test request left unanswered by the primary approver for the full timeout window, confirmed to escalate to the backup rather than auto-approving or stalling.</w:t>
      </w:r>
    </w:p>
    <w:p>
      <w:pPr>
        <w:keepNext/>
        <w:spacing w:after="60" w:before="80"/>
      </w:pPr>
      <w:r>
        <w:rPr>
          <w:b/>
          <w:i w:val="0"/>
          <w:color w:val="1F3864"/>
          <w:sz w:val="22"/>
        </w:rPr>
        <w:t>Your submission must contain</w:t>
      </w:r>
    </w:p>
    <w:p>
      <w:pPr>
        <w:spacing w:after="20"/>
        <w:ind w:left="357" w:hanging="357"/>
      </w:pPr>
      <w:r>
        <w:t>1.</w:t>
        <w:tab/>
      </w:r>
      <w:r>
        <w:t>Fields 1–9 completed in your own words: the requirement, process, impact, objective, target design, scope, scope source, scope check and your approach.</w:t>
      </w:r>
    </w:p>
    <w:p>
      <w:pPr>
        <w:spacing w:after="20"/>
        <w:ind w:left="357" w:hanging="357"/>
      </w:pPr>
      <w:r>
        <w:t>2.</w:t>
        <w:tab/>
      </w:r>
      <w:r>
        <w:t>Field 11: every part built in your ZZ_TRAIN_ namespace — never on a shared or productive object.</w:t>
      </w:r>
    </w:p>
    <w:p>
      <w:pPr>
        <w:spacing w:after="20"/>
        <w:ind w:left="357" w:hanging="357"/>
      </w:pPr>
      <w:r>
        <w:t>3.</w:t>
        <w:tab/>
      </w:r>
      <w:r>
        <w:t>Fields 10 and 12: a capture for every part in the table above (selection screen, then result), plus your evaluation of what the evidence shows.</w:t>
      </w:r>
    </w:p>
    <w:p>
      <w:pPr>
        <w:spacing w:after="20"/>
        <w:ind w:left="357" w:hanging="357"/>
      </w:pPr>
      <w:r>
        <w:t>4.</w:t>
        <w:tab/>
      </w:r>
      <w:r>
        <w:t>Field 13 (Configuration Write-up): what you did, how you proved it, and anything that remains open.</w:t>
      </w:r>
    </w:p>
    <w:p>
      <w:pPr>
        <w:spacing w:after="20"/>
        <w:ind w:left="357" w:hanging="357"/>
      </w:pPr>
      <w:r>
        <w:t>5.</w:t>
        <w:tab/>
      </w:r>
      <w:r>
        <w:t>Field 14: your answer to the pushback below.</w:t>
      </w:r>
    </w:p>
    <w:p>
      <w:pPr>
        <w:keepNext/>
        <w:spacing w:after="60" w:before="80"/>
      </w:pPr>
      <w:r>
        <w:rPr>
          <w:b/>
          <w:i w:val="0"/>
          <w:color w:val="1F3864"/>
          <w:sz w:val="22"/>
        </w:rPr>
        <w:t>The pushback you answer (field 14)</w:t>
      </w:r>
    </w:p>
    <w:p>
      <w:pPr>
        <w:spacing w:after="80"/>
      </w:pPr>
      <w:r>
        <w:rPr>
          <w:b w:val="0"/>
          <w:i/>
          <w:sz w:val="21"/>
        </w:rPr>
        <w:t>“Won't adding a backup approver dilute the compliance sign-off — now two people can approve it instead of one accountable owner?”</w:t>
      </w:r>
    </w:p>
    <w:p>
      <w:pPr>
        <w:keepNext/>
        <w:spacing w:after="60" w:before="80"/>
      </w:pPr>
      <w:r>
        <w:rPr>
          <w:b/>
          <w:i w:val="0"/>
          <w:color w:val="1F3864"/>
          <w:sz w:val="22"/>
        </w:rPr>
        <w:t>The escalation question (field 15 — discussed with your instructor)</w:t>
      </w:r>
    </w:p>
    <w:p>
      <w:pPr>
        <w:spacing w:after="80"/>
      </w:pPr>
      <w:r>
        <w:rPr>
          <w:b w:val="0"/>
          <w:i/>
          <w:sz w:val="21"/>
        </w:rPr>
        <w:t>“The compliance team wants to skip the timeout and require every request to wait for the primary approver no matter how long it takes, to avoid any dilution of ownership. How do you respond?”</w:t>
      </w:r>
    </w:p>
    <w:tbl>
      <w:tblPr>
        <w:tblStyle w:val="TableGrid"/>
        <w:tblW w:type="auto" w:w="0"/>
        <w:tblLook w:firstColumn="1" w:firstRow="1" w:lastColumn="0" w:lastRow="0" w:noHBand="0" w:noVBand="1" w:val="04A0"/>
      </w:tblPr>
      <w:tblGrid>
        <w:gridCol w:w="9746"/>
      </w:tblGrid>
      <w:tr>
        <w:tc>
          <w:tcPr>
            <w:tcW w:type="dxa" w:w="9746"/>
            <w:shd w:val="clear" w:color="auto" w:fill="FDF3EC"/>
          </w:tcPr>
          <w:p>
            <w:r>
              <w:rPr>
                <w:b/>
                <w:color w:val="C65911"/>
                <w:sz w:val="19"/>
              </w:rPr>
              <w:t>WHAT MARKERS RETURN MOST</w:t>
            </w:r>
          </w:p>
          <w:p>
            <w:pPr>
              <w:spacing w:after="20"/>
            </w:pPr>
            <w:r>
              <w:rPr>
                <w:sz w:val="19"/>
              </w:rPr>
              <w:t>• A capture with no selection screen, or no capture for one of the parts.</w:t>
            </w:r>
          </w:p>
          <w:p>
            <w:pPr>
              <w:spacing w:after="20"/>
            </w:pPr>
            <w:r>
              <w:rPr>
                <w:sz w:val="19"/>
              </w:rPr>
              <w:t>• No negative test: you proved it works, not that it stops what it should stop.</w:t>
            </w:r>
          </w:p>
          <w:p>
            <w:pPr>
              <w:spacing w:after="20"/>
            </w:pPr>
            <w:r>
              <w:rPr>
                <w:sz w:val="19"/>
              </w:rPr>
              <w:t>• A pushback answer that gives up a correct position to keep the stakeholder happy.</w:t>
            </w:r>
          </w:p>
        </w:tc>
      </w:tr>
    </w:tbl>
    <w:p>
      <w:pPr>
        <w:spacing w:after="0"/>
      </w:pPr>
    </w:p>
    <w:p>
      <w:pPr>
        <w:keepNext/>
        <w:spacing w:after="60" w:before="240"/>
      </w:pPr>
      <w:r>
        <w:rPr>
          <w:b/>
          <w:i w:val="0"/>
          <w:color w:val="1F3864"/>
          <w:sz w:val="28"/>
        </w:rPr>
        <w:t>Marked build 3 — Lab B10: The Tile That Opened Nothing</w:t>
      </w:r>
    </w:p>
    <w:p>
      <w:pPr>
        <w:spacing w:after="120"/>
      </w:pPr>
      <w:r>
        <w:rPr>
          <w:b/>
          <w:i w:val="0"/>
          <w:color w:val="C65911"/>
          <w:sz w:val="20"/>
        </w:rPr>
        <w:t>Fiori OData Service Enablement and S_SERVICE Build · Intermediate · taught and set in session 12 · due 23:59 CT on the day of session 13 · returned at session 15</w:t>
      </w:r>
    </w:p>
    <w:p>
      <w:pPr>
        <w:keepNext/>
        <w:spacing w:after="60" w:before="80"/>
      </w:pPr>
      <w:r>
        <w:rPr>
          <w:b/>
          <w:i w:val="0"/>
          <w:color w:val="1F3864"/>
          <w:sz w:val="22"/>
        </w:rPr>
        <w:t>The Spec (field 1)</w:t>
      </w:r>
    </w:p>
    <w:p>
      <w:pPr>
        <w:spacing w:after="80"/>
      </w:pPr>
      <w:r>
        <w:rPr>
          <w:b w:val="0"/>
          <w:i w:val="0"/>
          <w:sz w:val="21"/>
        </w:rPr>
        <w:t>A new Fiori app for approving supplier invoices was added to the finance catalog and the tile now appears for the approvers. When they click it, the app shows "Service not available" for some users and "No authorization" for others. The project team says the role is finished because the tile is visible.</w:t>
      </w:r>
    </w:p>
    <w:p>
      <w:pPr>
        <w:keepNext/>
        <w:spacing w:after="60" w:before="80"/>
      </w:pPr>
      <w:r>
        <w:rPr>
          <w:b/>
          <w:i w:val="0"/>
          <w:color w:val="1F3864"/>
          <w:sz w:val="22"/>
        </w:rPr>
        <w:t>Why it matters (field 3)</w:t>
      </w:r>
    </w:p>
    <w:p>
      <w:pPr>
        <w:spacing w:after="80"/>
      </w:pPr>
      <w:r>
        <w:rPr>
          <w:b w:val="0"/>
          <w:i w:val="0"/>
          <w:sz w:val="21"/>
        </w:rPr>
        <w:t>Approvers cannot approve invoices through the new app, so they fall back to the old transaction or emailed approvals — and the project reports the role as done when it does not work.</w:t>
      </w:r>
    </w:p>
    <w:p>
      <w:pPr>
        <w:keepNext/>
        <w:spacing w:after="60" w:before="80"/>
      </w:pPr>
      <w:r>
        <w:rPr>
          <w:b/>
          <w:i w:val="0"/>
          <w:color w:val="1F3864"/>
          <w:sz w:val="22"/>
        </w:rPr>
        <w:t>Build Objective (field 4)</w:t>
      </w:r>
    </w:p>
    <w:p>
      <w:pPr>
        <w:spacing w:after="80"/>
      </w:pPr>
      <w:r>
        <w:rPr>
          <w:b w:val="0"/>
          <w:i w:val="0"/>
          <w:sz w:val="21"/>
        </w:rPr>
        <w:t>Diagnose both errors layer by layer and build the missing service authorization and back-end access so the app works end to end for every approver.</w:t>
      </w:r>
    </w:p>
    <w:p>
      <w:pPr>
        <w:keepNext/>
        <w:spacing w:after="60" w:before="80"/>
      </w:pPr>
      <w:r>
        <w:rPr>
          <w:b/>
          <w:i w:val="0"/>
          <w:color w:val="1F3864"/>
          <w:sz w:val="22"/>
        </w:rPr>
        <w:t>What you build and capture (fields 10–12)</w:t>
      </w:r>
    </w:p>
    <w:tbl>
      <w:tblPr>
        <w:tblStyle w:val="TableGrid"/>
        <w:tblW w:type="auto" w:w="0"/>
        <w:tblLook w:firstColumn="1" w:firstRow="1" w:lastColumn="0" w:lastRow="0" w:noHBand="0" w:noVBand="1" w:val="04A0"/>
      </w:tblPr>
      <w:tblGrid>
        <w:gridCol w:w="4873"/>
        <w:gridCol w:w="4873"/>
      </w:tblGrid>
      <w:tr>
        <w:tc>
          <w:tcPr>
            <w:tcW w:type="dxa" w:w="3742"/>
            <w:shd w:val="clear" w:color="auto" w:fill="1F3864"/>
          </w:tcPr>
          <w:p>
            <w:pPr>
              <w:spacing w:after="0"/>
            </w:pPr>
            <w:r/>
            <w:r>
              <w:rPr>
                <w:b/>
                <w:color w:val="FFFFFF"/>
                <w:sz w:val="19"/>
              </w:rPr>
              <w:t>Part</w:t>
            </w:r>
          </w:p>
        </w:tc>
        <w:tc>
          <w:tcPr>
            <w:tcW w:type="dxa" w:w="5669"/>
            <w:shd w:val="clear" w:color="auto" w:fill="1F3864"/>
          </w:tcPr>
          <w:p>
            <w:pPr>
              <w:spacing w:after="0"/>
            </w:pPr>
            <w:r/>
            <w:r>
              <w:rPr>
                <w:b/>
                <w:color w:val="FFFFFF"/>
                <w:sz w:val="19"/>
              </w:rPr>
              <w:t>Capture you must upload</w:t>
            </w:r>
          </w:p>
        </w:tc>
      </w:tr>
      <w:tr>
        <w:tc>
          <w:tcPr>
            <w:tcW w:type="dxa" w:w="3742"/>
          </w:tcPr>
          <w:p>
            <w:pPr>
              <w:spacing w:after="0"/>
            </w:pPr>
            <w:r/>
            <w:r>
              <w:rPr>
                <w:sz w:val="19"/>
              </w:rPr>
              <w:t>Part A — Identify What the App Needs</w:t>
            </w:r>
          </w:p>
        </w:tc>
        <w:tc>
          <w:tcPr>
            <w:tcW w:type="dxa" w:w="5669"/>
          </w:tcPr>
          <w:p>
            <w:pPr>
              <w:spacing w:after="0"/>
            </w:pPr>
            <w:r/>
            <w:r>
              <w:rPr>
                <w:sz w:val="19"/>
              </w:rPr>
              <w:t>The fact sheet and the service status.</w:t>
            </w:r>
          </w:p>
        </w:tc>
      </w:tr>
      <w:tr>
        <w:tc>
          <w:tcPr>
            <w:tcW w:type="dxa" w:w="3742"/>
          </w:tcPr>
          <w:p>
            <w:pPr>
              <w:spacing w:after="0"/>
            </w:pPr>
            <w:r/>
            <w:r>
              <w:rPr>
                <w:sz w:val="19"/>
              </w:rPr>
              <w:t>Part B — Build S_SERVICE and Back-End Access (Training Namespace)</w:t>
            </w:r>
          </w:p>
        </w:tc>
        <w:tc>
          <w:tcPr>
            <w:tcW w:type="dxa" w:w="5669"/>
          </w:tcPr>
          <w:p>
            <w:pPr>
              <w:spacing w:after="0"/>
            </w:pPr>
            <w:r/>
            <w:r>
              <w:rPr>
                <w:sz w:val="19"/>
              </w:rPr>
              <w:t>The role menu and Authorizations tab showing S_SERVICE and the added back-end objects.</w:t>
            </w:r>
          </w:p>
        </w:tc>
      </w:tr>
      <w:tr>
        <w:tc>
          <w:tcPr>
            <w:tcW w:type="dxa" w:w="3742"/>
          </w:tcPr>
          <w:p>
            <w:pPr>
              <w:spacing w:after="0"/>
            </w:pPr>
            <w:r/>
            <w:r>
              <w:rPr>
                <w:sz w:val="19"/>
              </w:rPr>
              <w:t>Part C — Test End to End</w:t>
            </w:r>
          </w:p>
        </w:tc>
        <w:tc>
          <w:tcPr>
            <w:tcW w:type="dxa" w:w="5669"/>
          </w:tcPr>
          <w:p>
            <w:pPr>
              <w:spacing w:after="0"/>
            </w:pPr>
            <w:r/>
            <w:r>
              <w:rPr>
                <w:sz w:val="19"/>
              </w:rPr>
              <w:t>Successful approval for both test users, or the log entry for any remaining failure.</w:t>
            </w:r>
          </w:p>
        </w:tc>
      </w:tr>
    </w:tbl>
    <w:p>
      <w:pPr>
        <w:spacing w:after="0"/>
      </w:pPr>
    </w:p>
    <w:p>
      <w:pPr>
        <w:keepNext/>
        <w:spacing w:after="60" w:before="80"/>
      </w:pPr>
      <w:r>
        <w:rPr>
          <w:b/>
          <w:i w:val="0"/>
          <w:color w:val="1F3864"/>
          <w:sz w:val="22"/>
        </w:rPr>
        <w:t>Sign-off Evidence: what your evidence must prove</w:t>
      </w:r>
    </w:p>
    <w:p>
      <w:pPr>
        <w:spacing w:after="80"/>
      </w:pPr>
      <w:r>
        <w:rPr>
          <w:b w:val="0"/>
          <w:i w:val="0"/>
          <w:sz w:val="21"/>
        </w:rPr>
        <w:t>The app fact sheet, the service status evidence, the role change (S_SERVICE and any back-end objects), and a successful end-to-end test approving an invoice.</w:t>
      </w:r>
    </w:p>
    <w:p>
      <w:pPr>
        <w:keepNext/>
        <w:spacing w:after="60" w:before="80"/>
      </w:pPr>
      <w:r>
        <w:rPr>
          <w:b/>
          <w:i w:val="0"/>
          <w:color w:val="1F3864"/>
          <w:sz w:val="22"/>
        </w:rPr>
        <w:t>Your submission must contain</w:t>
      </w:r>
    </w:p>
    <w:p>
      <w:pPr>
        <w:spacing w:after="20"/>
        <w:ind w:left="357" w:hanging="357"/>
      </w:pPr>
      <w:r>
        <w:t>1.</w:t>
        <w:tab/>
      </w:r>
      <w:r>
        <w:t>Fields 1–9 completed in your own words: the requirement, process, impact, objective, target design, scope, scope source, scope check and your approach.</w:t>
      </w:r>
    </w:p>
    <w:p>
      <w:pPr>
        <w:spacing w:after="20"/>
        <w:ind w:left="357" w:hanging="357"/>
      </w:pPr>
      <w:r>
        <w:t>2.</w:t>
        <w:tab/>
      </w:r>
      <w:r>
        <w:t>Field 11: every part built in your ZZ_TRAIN_ namespace — never on a shared or productive object.</w:t>
      </w:r>
    </w:p>
    <w:p>
      <w:pPr>
        <w:spacing w:after="20"/>
        <w:ind w:left="357" w:hanging="357"/>
      </w:pPr>
      <w:r>
        <w:t>3.</w:t>
        <w:tab/>
      </w:r>
      <w:r>
        <w:t>Fields 10 and 12: a capture for every part in the table above (selection screen, then result), plus your evaluation of what the evidence shows.</w:t>
      </w:r>
    </w:p>
    <w:p>
      <w:pPr>
        <w:spacing w:after="20"/>
        <w:ind w:left="357" w:hanging="357"/>
      </w:pPr>
      <w:r>
        <w:t>4.</w:t>
        <w:tab/>
      </w:r>
      <w:r>
        <w:t>Field 13 (Configuration Write-up): what you did, how you proved it, and anything that remains open.</w:t>
      </w:r>
    </w:p>
    <w:p>
      <w:pPr>
        <w:spacing w:after="20"/>
        <w:ind w:left="357" w:hanging="357"/>
      </w:pPr>
      <w:r>
        <w:t>5.</w:t>
        <w:tab/>
      </w:r>
      <w:r>
        <w:t>Field 14: your answer to the pushback below.</w:t>
      </w:r>
    </w:p>
    <w:p>
      <w:pPr>
        <w:keepNext/>
        <w:spacing w:after="60" w:before="80"/>
      </w:pPr>
      <w:r>
        <w:rPr>
          <w:b/>
          <w:i w:val="0"/>
          <w:color w:val="1F3864"/>
          <w:sz w:val="22"/>
        </w:rPr>
        <w:t>The pushback you answer (field 14)</w:t>
      </w:r>
    </w:p>
    <w:p>
      <w:pPr>
        <w:spacing w:after="80"/>
      </w:pPr>
      <w:r>
        <w:rPr>
          <w:b w:val="0"/>
          <w:i/>
          <w:sz w:val="21"/>
        </w:rPr>
        <w:t>“Can't we just give the approvers the back-end role template SAP delivers?”</w:t>
      </w:r>
    </w:p>
    <w:p>
      <w:pPr>
        <w:keepNext/>
        <w:spacing w:after="60" w:before="80"/>
      </w:pPr>
      <w:r>
        <w:rPr>
          <w:b/>
          <w:i w:val="0"/>
          <w:color w:val="1F3864"/>
          <w:sz w:val="22"/>
        </w:rPr>
        <w:t>The escalation question (field 15 — discussed with your instructor)</w:t>
      </w:r>
    </w:p>
    <w:p>
      <w:pPr>
        <w:spacing w:after="80"/>
      </w:pPr>
      <w:r>
        <w:rPr>
          <w:b w:val="0"/>
          <w:i/>
          <w:sz w:val="21"/>
        </w:rPr>
        <w:t>“Basis says activating the service needs a transport that will not reach production for two weeks, and finance wants the app now. What do you recommend?”</w:t>
      </w:r>
    </w:p>
    <w:tbl>
      <w:tblPr>
        <w:tblStyle w:val="TableGrid"/>
        <w:tblW w:type="auto" w:w="0"/>
        <w:tblLook w:firstColumn="1" w:firstRow="1" w:lastColumn="0" w:lastRow="0" w:noHBand="0" w:noVBand="1" w:val="04A0"/>
      </w:tblPr>
      <w:tblGrid>
        <w:gridCol w:w="9746"/>
      </w:tblGrid>
      <w:tr>
        <w:tc>
          <w:tcPr>
            <w:tcW w:type="dxa" w:w="9746"/>
            <w:shd w:val="clear" w:color="auto" w:fill="FDF3EC"/>
          </w:tcPr>
          <w:p>
            <w:r>
              <w:rPr>
                <w:b/>
                <w:color w:val="C65911"/>
                <w:sz w:val="19"/>
              </w:rPr>
              <w:t>WHAT MARKERS RETURN MOST</w:t>
            </w:r>
          </w:p>
          <w:p>
            <w:pPr>
              <w:spacing w:after="20"/>
            </w:pPr>
            <w:r>
              <w:rPr>
                <w:sz w:val="19"/>
              </w:rPr>
              <w:t>• A capture with no selection screen, or no capture for one of the parts.</w:t>
            </w:r>
          </w:p>
          <w:p>
            <w:pPr>
              <w:spacing w:after="20"/>
            </w:pPr>
            <w:r>
              <w:rPr>
                <w:sz w:val="19"/>
              </w:rPr>
              <w:t>• No negative test: you proved it works, not that it stops what it should stop.</w:t>
            </w:r>
          </w:p>
          <w:p>
            <w:pPr>
              <w:spacing w:after="20"/>
            </w:pPr>
            <w:r>
              <w:rPr>
                <w:sz w:val="19"/>
              </w:rPr>
              <w:t>• A pushback answer that gives up a correct position to keep the stakeholder happy.</w:t>
            </w:r>
          </w:p>
        </w:tc>
      </w:tr>
    </w:tbl>
    <w:p>
      <w:pPr>
        <w:spacing w:after="0"/>
      </w:pPr>
    </w:p>
    <w:p>
      <w:pPr>
        <w:spacing w:after="80"/>
      </w:pPr>
      <w:r>
        <w:rPr>
          <w:b w:val="0"/>
          <w:i/>
          <w:color w:val="5A6472"/>
          <w:sz w:val="19"/>
        </w:rPr>
        <w:t>Model answers stay closed until you have submitted. Questions about a brief: ask your instructor, or academy@tib-systems.com.</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2"/>
        <w:sz w:val="16"/>
      </w:rPr>
      <w:t>GRC SECURITY &amp; FIORI LABS · TIB-GRC-ASSESS-001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