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B08D57"/>
          <w:sz w:val="18"/>
        </w:rPr>
        <w:t>TIB SYSTEMS LLC · SAP SECURITY, GRC &amp; CONTROLS ACADEMY</w:t>
      </w:r>
    </w:p>
    <w:p>
      <w:pPr>
        <w:spacing w:after="40"/>
      </w:pPr>
      <w:r>
        <w:rPr>
          <w:b/>
          <w:i w:val="0"/>
          <w:color w:val="1F3864"/>
          <w:sz w:val="44"/>
        </w:rPr>
        <w:t>Marked Deliverable Briefs — Advanced</w:t>
      </w:r>
    </w:p>
    <w:p>
      <w:pPr>
        <w:spacing w:after="160"/>
      </w:pPr>
      <w:r>
        <w:rPr>
          <w:b w:val="0"/>
          <w:i/>
          <w:color w:val="5A6472"/>
          <w:sz w:val="24"/>
        </w:rPr>
        <w:t>The three deliverables you complete and submit for marking at the Advanced level</w:t>
      </w:r>
    </w:p>
    <w:tbl>
      <w:tblPr>
        <w:tblStyle w:val="TableGrid"/>
        <w:tblW w:type="auto" w:w="0"/>
        <w:tblLook w:firstColumn="1" w:firstRow="1" w:lastColumn="0" w:lastRow="0" w:noHBand="0" w:noVBand="1" w:val="04A0"/>
      </w:tblPr>
      <w:tblGrid>
        <w:gridCol w:w="4873"/>
        <w:gridCol w:w="4873"/>
      </w:tblGrid>
      <w:tr>
        <w:tc>
          <w:tcPr>
            <w:tcW w:type="dxa" w:w="2268"/>
            <w:shd w:val="clear" w:color="auto" w:fill="EEF3FA"/>
          </w:tcPr>
          <w:p>
            <w:r>
              <w:rPr>
                <w:b/>
                <w:sz w:val="19"/>
              </w:rPr>
              <w:t>Document code</w:t>
            </w:r>
          </w:p>
        </w:tc>
        <w:tc>
          <w:tcPr>
            <w:tcW w:type="dxa" w:w="7143"/>
          </w:tcPr>
          <w:p>
            <w:r>
              <w:rPr>
                <w:sz w:val="19"/>
              </w:rPr>
              <w:t>TIB-GRC-ASSESS-002</w:t>
            </w:r>
          </w:p>
        </w:tc>
      </w:tr>
      <w:tr>
        <w:tc>
          <w:tcPr>
            <w:tcW w:type="dxa" w:w="2268"/>
            <w:shd w:val="clear" w:color="auto" w:fill="EEF3FA"/>
          </w:tcPr>
          <w:p>
            <w:r>
              <w:rPr>
                <w:b/>
                <w:sz w:val="19"/>
              </w:rPr>
              <w:t>Course</w:t>
            </w:r>
          </w:p>
        </w:tc>
        <w:tc>
          <w:tcPr>
            <w:tcW w:type="dxa" w:w="7143"/>
          </w:tcPr>
          <w:p>
            <w:r>
              <w:rPr>
                <w:sz w:val="19"/>
              </w:rPr>
              <w:t>Course 2 — SAP GRC Security &amp; Fiori Labs · Advanced level</w:t>
            </w:r>
          </w:p>
        </w:tc>
      </w:tr>
      <w:tr>
        <w:tc>
          <w:tcPr>
            <w:tcW w:type="dxa" w:w="2268"/>
            <w:shd w:val="clear" w:color="auto" w:fill="EEF3FA"/>
          </w:tcPr>
          <w:p>
            <w:r>
              <w:rPr>
                <w:b/>
                <w:sz w:val="19"/>
              </w:rPr>
              <w:t>Version</w:t>
            </w:r>
          </w:p>
        </w:tc>
        <w:tc>
          <w:tcPr>
            <w:tcW w:type="dxa" w:w="7143"/>
          </w:tcPr>
          <w:p>
            <w:r>
              <w:rPr>
                <w:sz w:val="19"/>
              </w:rPr>
              <w:t>V1 — October 2026 · two-level plan</w:t>
            </w:r>
          </w:p>
        </w:tc>
      </w:tr>
      <w:tr>
        <w:tc>
          <w:tcPr>
            <w:tcW w:type="dxa" w:w="2268"/>
            <w:shd w:val="clear" w:color="auto" w:fill="EEF3FA"/>
          </w:tcPr>
          <w:p>
            <w:r>
              <w:rPr>
                <w:b/>
                <w:sz w:val="19"/>
              </w:rPr>
              <w:t>System</w:t>
            </w:r>
          </w:p>
        </w:tc>
        <w:tc>
          <w:tcPr>
            <w:tcW w:type="dxa" w:w="7143"/>
          </w:tcPr>
          <w:p>
            <w:r>
              <w:rPr>
                <w:sz w:val="19"/>
              </w:rPr>
              <w:t>S/4HANA &amp; GRC training system · your own ZZ_TRAIN_ practice namespace</w:t>
            </w:r>
          </w:p>
        </w:tc>
      </w:tr>
      <w:tr>
        <w:tc>
          <w:tcPr>
            <w:tcW w:type="dxa" w:w="2268"/>
            <w:shd w:val="clear" w:color="auto" w:fill="EEF3FA"/>
          </w:tcPr>
          <w:p>
            <w:r>
              <w:rPr>
                <w:b/>
                <w:sz w:val="19"/>
              </w:rPr>
              <w:t>Audience</w:t>
            </w:r>
          </w:p>
        </w:tc>
        <w:tc>
          <w:tcPr>
            <w:tcW w:type="dxa" w:w="7143"/>
          </w:tcPr>
          <w:p>
            <w:r>
              <w:rPr>
                <w:sz w:val="19"/>
              </w:rPr>
              <w:t>Trainees (live and self-study)</w:t>
            </w:r>
          </w:p>
        </w:tc>
      </w:tr>
    </w:tbl>
    <w:p>
      <w:pPr>
        <w:spacing w:after="0"/>
      </w:pPr>
    </w:p>
    <w:p>
      <w:pPr>
        <w:keepNext/>
        <w:spacing w:after="60" w:before="160"/>
      </w:pPr>
      <w:r>
        <w:rPr>
          <w:b/>
          <w:i w:val="0"/>
          <w:color w:val="1F3864"/>
          <w:sz w:val="28"/>
        </w:rPr>
        <w:t>How marked work works</w:t>
      </w:r>
    </w:p>
    <w:p>
      <w:pPr>
        <w:pStyle w:val="ListBullet"/>
        <w:spacing w:after="20"/>
      </w:pPr>
      <w:r>
        <w:t>There are 3 marked pieces at this level. Each is the full lab, done on your own in your ZZ_TRAIN_ namespace, after it has been taught in class.</w:t>
      </w:r>
    </w:p>
    <w:p>
      <w:pPr>
        <w:pStyle w:val="ListBullet"/>
        <w:spacing w:after="20"/>
      </w:pPr>
      <w:r>
        <w:t>Complete the lab in the Student Console, then copy fields 1–14 and a capture for every part into one Word or PDF file named with the lab code and your name (for example B1_Your-Name.docx). Submit it as your enrolment instructions say, by the deadline below.</w:t>
      </w:r>
    </w:p>
    <w:p>
      <w:pPr>
        <w:pStyle w:val="ListBullet"/>
        <w:spacing w:after="20"/>
      </w:pPr>
      <w:r>
        <w:t>TIB instructors mark every piece against the rubric below — for live and self-study trainees alike.</w:t>
      </w:r>
    </w:p>
    <w:p>
      <w:pPr>
        <w:pStyle w:val="ListBullet"/>
        <w:spacing w:after="20"/>
      </w:pPr>
      <w:r>
        <w:t>A piece passes at a weighted score of 60 or above, with no single rubric line below 40. Below that it comes back marked “resubmit” with one sentence of feedback for each weak line, and you have one week to resubmit.</w:t>
      </w:r>
    </w:p>
    <w:p>
      <w:pPr>
        <w:pStyle w:val="ListBullet"/>
        <w:spacing w:after="20"/>
      </w:pPr>
      <w:r>
        <w:rPr>
          <w:b/>
        </w:rPr>
        <w:t xml:space="preserve">Returned without marking: </w:t>
      </w:r>
      <w:r>
        <w:t>work built outside your ZZ_TRAIN_ namespace, work with no verification evidence, or a write-up copied from the model answer.</w:t>
      </w:r>
    </w:p>
    <w:p>
      <w:pPr>
        <w:pStyle w:val="ListBullet"/>
        <w:spacing w:after="20"/>
      </w:pPr>
      <w:r>
        <w:t>Passing all 3 pieces and the Advanced stakeholder panel earns the Advanced certificate.</w:t>
      </w:r>
    </w:p>
    <w:p>
      <w:pPr>
        <w:keepNext/>
        <w:spacing w:after="60" w:before="160"/>
      </w:pPr>
      <w:r>
        <w:rPr>
          <w:b/>
          <w:i w:val="0"/>
          <w:color w:val="1F3864"/>
          <w:sz w:val="24"/>
        </w:rPr>
        <w:t>The rubric</w:t>
      </w:r>
    </w:p>
    <w:tbl>
      <w:tblPr>
        <w:tblStyle w:val="TableGrid"/>
        <w:tblW w:type="auto" w:w="0"/>
        <w:tblLook w:firstColumn="1" w:firstRow="1" w:lastColumn="0" w:lastRow="0" w:noHBand="0" w:noVBand="1" w:val="04A0"/>
      </w:tblPr>
      <w:tblGrid>
        <w:gridCol w:w="2436"/>
        <w:gridCol w:w="2436"/>
        <w:gridCol w:w="2436"/>
        <w:gridCol w:w="2436"/>
      </w:tblGrid>
      <w:tr>
        <w:tc>
          <w:tcPr>
            <w:tcW w:type="dxa" w:w="2041"/>
            <w:shd w:val="clear" w:color="auto" w:fill="1F3864"/>
          </w:tcPr>
          <w:p>
            <w:pPr>
              <w:spacing w:after="0"/>
            </w:pPr>
            <w:r/>
            <w:r>
              <w:rPr>
                <w:b/>
                <w:color w:val="FFFFFF"/>
                <w:sz w:val="19"/>
              </w:rPr>
              <w:t>Rubric line</w:t>
            </w:r>
          </w:p>
        </w:tc>
        <w:tc>
          <w:tcPr>
            <w:tcW w:type="dxa" w:w="794"/>
            <w:shd w:val="clear" w:color="auto" w:fill="1F3864"/>
          </w:tcPr>
          <w:p>
            <w:pPr>
              <w:spacing w:after="0"/>
            </w:pPr>
            <w:r/>
            <w:r>
              <w:rPr>
                <w:b/>
                <w:color w:val="FFFFFF"/>
                <w:sz w:val="19"/>
              </w:rPr>
              <w:t>Weight</w:t>
            </w:r>
          </w:p>
        </w:tc>
        <w:tc>
          <w:tcPr>
            <w:tcW w:type="dxa" w:w="1474"/>
            <w:shd w:val="clear" w:color="auto" w:fill="1F3864"/>
          </w:tcPr>
          <w:p>
            <w:pPr>
              <w:spacing w:after="0"/>
            </w:pPr>
            <w:r/>
            <w:r>
              <w:rPr>
                <w:b/>
                <w:color w:val="FFFFFF"/>
                <w:sz w:val="19"/>
              </w:rPr>
              <w:t>Lab fields</w:t>
            </w:r>
          </w:p>
        </w:tc>
        <w:tc>
          <w:tcPr>
            <w:tcW w:type="dxa" w:w="5102"/>
            <w:shd w:val="clear" w:color="auto" w:fill="1F3864"/>
          </w:tcPr>
          <w:p>
            <w:pPr>
              <w:spacing w:after="0"/>
            </w:pPr>
            <w:r/>
            <w:r>
              <w:rPr>
                <w:b/>
                <w:color w:val="FFFFFF"/>
                <w:sz w:val="19"/>
              </w:rPr>
              <w:t>What the marker is asking</w:t>
            </w:r>
          </w:p>
        </w:tc>
      </w:tr>
      <w:tr>
        <w:tc>
          <w:tcPr>
            <w:tcW w:type="dxa" w:w="2041"/>
          </w:tcPr>
          <w:p>
            <w:pPr>
              <w:spacing w:after="0"/>
            </w:pPr>
            <w:r/>
            <w:r>
              <w:rPr>
                <w:sz w:val="19"/>
              </w:rPr>
              <w:t>Diagnosis &amp; scope</w:t>
            </w:r>
          </w:p>
        </w:tc>
        <w:tc>
          <w:tcPr>
            <w:tcW w:type="dxa" w:w="794"/>
          </w:tcPr>
          <w:p>
            <w:pPr>
              <w:spacing w:after="0"/>
            </w:pPr>
            <w:r/>
            <w:r>
              <w:rPr>
                <w:sz w:val="19"/>
              </w:rPr>
              <w:t>20%</w:t>
            </w:r>
          </w:p>
        </w:tc>
        <w:tc>
          <w:tcPr>
            <w:tcW w:type="dxa" w:w="1474"/>
          </w:tcPr>
          <w:p>
            <w:pPr>
              <w:spacing w:after="0"/>
            </w:pPr>
            <w:r/>
            <w:r>
              <w:rPr>
                <w:sz w:val="19"/>
              </w:rPr>
              <w:t>Fields 1–8</w:t>
            </w:r>
          </w:p>
        </w:tc>
        <w:tc>
          <w:tcPr>
            <w:tcW w:type="dxa" w:w="5102"/>
          </w:tcPr>
          <w:p>
            <w:pPr>
              <w:spacing w:after="0"/>
            </w:pPr>
            <w:r/>
            <w:r>
              <w:rPr>
                <w:sz w:val="19"/>
              </w:rPr>
              <w:t>Do you state what is broken or needed, why it matters, the full affected scope, and how you confirmed it is complete?</w:t>
            </w:r>
          </w:p>
        </w:tc>
      </w:tr>
      <w:tr>
        <w:tc>
          <w:tcPr>
            <w:tcW w:type="dxa" w:w="2041"/>
          </w:tcPr>
          <w:p>
            <w:pPr>
              <w:spacing w:after="0"/>
            </w:pPr>
            <w:r/>
            <w:r>
              <w:rPr>
                <w:sz w:val="19"/>
              </w:rPr>
              <w:t>Design / fix approach</w:t>
            </w:r>
          </w:p>
        </w:tc>
        <w:tc>
          <w:tcPr>
            <w:tcW w:type="dxa" w:w="794"/>
          </w:tcPr>
          <w:p>
            <w:pPr>
              <w:spacing w:after="0"/>
            </w:pPr>
            <w:r/>
            <w:r>
              <w:rPr>
                <w:sz w:val="19"/>
              </w:rPr>
              <w:t>15%</w:t>
            </w:r>
          </w:p>
        </w:tc>
        <w:tc>
          <w:tcPr>
            <w:tcW w:type="dxa" w:w="1474"/>
          </w:tcPr>
          <w:p>
            <w:pPr>
              <w:spacing w:after="0"/>
            </w:pPr>
            <w:r/>
            <w:r>
              <w:rPr>
                <w:sz w:val="19"/>
              </w:rPr>
              <w:t>Fields 5, 9</w:t>
            </w:r>
          </w:p>
        </w:tc>
        <w:tc>
          <w:tcPr>
            <w:tcW w:type="dxa" w:w="5102"/>
          </w:tcPr>
          <w:p>
            <w:pPr>
              <w:spacing w:after="0"/>
            </w:pPr>
            <w:r/>
            <w:r>
              <w:rPr>
                <w:sz w:val="19"/>
              </w:rPr>
              <w:t>Is the target design right, and can you justify the order you did the work in?</w:t>
            </w:r>
          </w:p>
        </w:tc>
      </w:tr>
      <w:tr>
        <w:tc>
          <w:tcPr>
            <w:tcW w:type="dxa" w:w="2041"/>
          </w:tcPr>
          <w:p>
            <w:pPr>
              <w:spacing w:after="0"/>
            </w:pPr>
            <w:r/>
            <w:r>
              <w:rPr>
                <w:sz w:val="19"/>
              </w:rPr>
              <w:t>Build accuracy</w:t>
            </w:r>
          </w:p>
        </w:tc>
        <w:tc>
          <w:tcPr>
            <w:tcW w:type="dxa" w:w="794"/>
          </w:tcPr>
          <w:p>
            <w:pPr>
              <w:spacing w:after="0"/>
            </w:pPr>
            <w:r/>
            <w:r>
              <w:rPr>
                <w:sz w:val="19"/>
              </w:rPr>
              <w:t>20%</w:t>
            </w:r>
          </w:p>
        </w:tc>
        <w:tc>
          <w:tcPr>
            <w:tcW w:type="dxa" w:w="1474"/>
          </w:tcPr>
          <w:p>
            <w:pPr>
              <w:spacing w:after="0"/>
            </w:pPr>
            <w:r/>
            <w:r>
              <w:rPr>
                <w:sz w:val="19"/>
              </w:rPr>
              <w:t>Field 11</w:t>
            </w:r>
          </w:p>
        </w:tc>
        <w:tc>
          <w:tcPr>
            <w:tcW w:type="dxa" w:w="5102"/>
          </w:tcPr>
          <w:p>
            <w:pPr>
              <w:spacing w:after="0"/>
            </w:pPr>
            <w:r/>
            <w:r>
              <w:rPr>
                <w:sz w:val="19"/>
              </w:rPr>
              <w:t>Is every part built correctly, in your own ZZ_TRAIN_ copy?</w:t>
            </w:r>
          </w:p>
        </w:tc>
      </w:tr>
      <w:tr>
        <w:tc>
          <w:tcPr>
            <w:tcW w:type="dxa" w:w="2041"/>
          </w:tcPr>
          <w:p>
            <w:pPr>
              <w:spacing w:after="0"/>
            </w:pPr>
            <w:r/>
            <w:r>
              <w:rPr>
                <w:sz w:val="19"/>
              </w:rPr>
              <w:t>Verification evidence</w:t>
            </w:r>
          </w:p>
        </w:tc>
        <w:tc>
          <w:tcPr>
            <w:tcW w:type="dxa" w:w="794"/>
          </w:tcPr>
          <w:p>
            <w:pPr>
              <w:spacing w:after="0"/>
            </w:pPr>
            <w:r/>
            <w:r>
              <w:rPr>
                <w:sz w:val="19"/>
              </w:rPr>
              <w:t>15%</w:t>
            </w:r>
          </w:p>
        </w:tc>
        <w:tc>
          <w:tcPr>
            <w:tcW w:type="dxa" w:w="1474"/>
          </w:tcPr>
          <w:p>
            <w:pPr>
              <w:spacing w:after="0"/>
            </w:pPr>
            <w:r/>
            <w:r>
              <w:rPr>
                <w:sz w:val="19"/>
              </w:rPr>
              <w:t>Fields 10, 12</w:t>
            </w:r>
          </w:p>
        </w:tc>
        <w:tc>
          <w:tcPr>
            <w:tcW w:type="dxa" w:w="5102"/>
          </w:tcPr>
          <w:p>
            <w:pPr>
              <w:spacing w:after="0"/>
            </w:pPr>
            <w:r/>
            <w:r>
              <w:rPr>
                <w:sz w:val="19"/>
              </w:rPr>
              <w:t>Does a capture for every part prove the build works, including the negative test?</w:t>
            </w:r>
          </w:p>
        </w:tc>
      </w:tr>
      <w:tr>
        <w:tc>
          <w:tcPr>
            <w:tcW w:type="dxa" w:w="2041"/>
          </w:tcPr>
          <w:p>
            <w:pPr>
              <w:spacing w:after="0"/>
            </w:pPr>
            <w:r/>
            <w:r>
              <w:rPr>
                <w:sz w:val="19"/>
              </w:rPr>
              <w:t>Write-up quality</w:t>
            </w:r>
          </w:p>
        </w:tc>
        <w:tc>
          <w:tcPr>
            <w:tcW w:type="dxa" w:w="794"/>
          </w:tcPr>
          <w:p>
            <w:pPr>
              <w:spacing w:after="0"/>
            </w:pPr>
            <w:r/>
            <w:r>
              <w:rPr>
                <w:sz w:val="19"/>
              </w:rPr>
              <w:t>15%</w:t>
            </w:r>
          </w:p>
        </w:tc>
        <w:tc>
          <w:tcPr>
            <w:tcW w:type="dxa" w:w="1474"/>
          </w:tcPr>
          <w:p>
            <w:pPr>
              <w:spacing w:after="0"/>
            </w:pPr>
            <w:r/>
            <w:r>
              <w:rPr>
                <w:sz w:val="19"/>
              </w:rPr>
              <w:t>Field 13</w:t>
            </w:r>
          </w:p>
        </w:tc>
        <w:tc>
          <w:tcPr>
            <w:tcW w:type="dxa" w:w="5102"/>
          </w:tcPr>
          <w:p>
            <w:pPr>
              <w:spacing w:after="0"/>
            </w:pPr>
            <w:r/>
            <w:r>
              <w:rPr>
                <w:sz w:val="19"/>
              </w:rPr>
              <w:t>Is it in your own words: what you did, how you proved it, and what remains?</w:t>
            </w:r>
          </w:p>
        </w:tc>
      </w:tr>
      <w:tr>
        <w:tc>
          <w:tcPr>
            <w:tcW w:type="dxa" w:w="2041"/>
          </w:tcPr>
          <w:p>
            <w:pPr>
              <w:spacing w:after="0"/>
            </w:pPr>
            <w:r/>
            <w:r>
              <w:rPr>
                <w:sz w:val="19"/>
              </w:rPr>
              <w:t>Stakeholder communication</w:t>
            </w:r>
          </w:p>
        </w:tc>
        <w:tc>
          <w:tcPr>
            <w:tcW w:type="dxa" w:w="794"/>
          </w:tcPr>
          <w:p>
            <w:pPr>
              <w:spacing w:after="0"/>
            </w:pPr>
            <w:r/>
            <w:r>
              <w:rPr>
                <w:sz w:val="19"/>
              </w:rPr>
              <w:t>15%</w:t>
            </w:r>
          </w:p>
        </w:tc>
        <w:tc>
          <w:tcPr>
            <w:tcW w:type="dxa" w:w="1474"/>
          </w:tcPr>
          <w:p>
            <w:pPr>
              <w:spacing w:after="0"/>
            </w:pPr>
            <w:r/>
            <w:r>
              <w:rPr>
                <w:sz w:val="19"/>
              </w:rPr>
              <w:t>Fields 14–15, panel</w:t>
            </w:r>
          </w:p>
        </w:tc>
        <w:tc>
          <w:tcPr>
            <w:tcW w:type="dxa" w:w="5102"/>
          </w:tcPr>
          <w:p>
            <w:pPr>
              <w:spacing w:after="0"/>
            </w:pPr>
            <w:r/>
            <w:r>
              <w:rPr>
                <w:sz w:val="19"/>
              </w:rPr>
              <w:t>Do you answer the pushback without giving up a correct position, in plain language for that audience?</w:t>
            </w:r>
          </w:p>
        </w:tc>
      </w:tr>
    </w:tbl>
    <w:p>
      <w:pPr>
        <w:spacing w:after="0"/>
      </w:pPr>
    </w:p>
    <w:p>
      <w:pPr>
        <w:spacing w:after="80"/>
      </w:pPr>
      <w:r>
        <w:rPr>
          <w:b w:val="0"/>
          <w:i/>
          <w:color w:val="5A6472"/>
          <w:sz w:val="19"/>
        </w:rPr>
        <w:t>Score bands for every line: 0–39 not yet · 40–59 developing · 60–79 competent · 80–100 strong.</w:t>
      </w:r>
    </w:p>
    <w:p>
      <w:pPr>
        <w:keepNext/>
        <w:spacing w:after="60" w:before="160"/>
      </w:pPr>
      <w:r>
        <w:rPr>
          <w:b/>
          <w:i w:val="0"/>
          <w:color w:val="1F3864"/>
          <w:sz w:val="24"/>
        </w:rPr>
        <w:t>Calendar</w:t>
      </w:r>
    </w:p>
    <w:tbl>
      <w:tblPr>
        <w:tblStyle w:val="TableGrid"/>
        <w:tblW w:type="auto" w:w="0"/>
        <w:tblLook w:firstColumn="1" w:firstRow="1" w:lastColumn="0" w:lastRow="0" w:noHBand="0" w:noVBand="1" w:val="04A0"/>
      </w:tblPr>
      <w:tblGrid>
        <w:gridCol w:w="2436"/>
        <w:gridCol w:w="2436"/>
        <w:gridCol w:w="2436"/>
        <w:gridCol w:w="2436"/>
      </w:tblGrid>
      <w:tr>
        <w:tc>
          <w:tcPr>
            <w:tcW w:type="dxa" w:w="3742"/>
            <w:shd w:val="clear" w:color="auto" w:fill="1F3864"/>
          </w:tcPr>
          <w:p>
            <w:pPr>
              <w:spacing w:after="0"/>
            </w:pPr>
            <w:r/>
            <w:r>
              <w:rPr>
                <w:b/>
                <w:color w:val="FFFFFF"/>
                <w:sz w:val="19"/>
              </w:rPr>
              <w:t>Marked work</w:t>
            </w:r>
          </w:p>
        </w:tc>
        <w:tc>
          <w:tcPr>
            <w:tcW w:type="dxa" w:w="1134"/>
            <w:shd w:val="clear" w:color="auto" w:fill="1F3864"/>
          </w:tcPr>
          <w:p>
            <w:pPr>
              <w:spacing w:after="0"/>
            </w:pPr>
            <w:r/>
            <w:r>
              <w:rPr>
                <w:b/>
                <w:color w:val="FFFFFF"/>
                <w:sz w:val="19"/>
              </w:rPr>
              <w:t>Set in</w:t>
            </w:r>
          </w:p>
        </w:tc>
        <w:tc>
          <w:tcPr>
            <w:tcW w:type="dxa" w:w="3061"/>
            <w:shd w:val="clear" w:color="auto" w:fill="1F3864"/>
          </w:tcPr>
          <w:p>
            <w:pPr>
              <w:spacing w:after="0"/>
            </w:pPr>
            <w:r/>
            <w:r>
              <w:rPr>
                <w:b/>
                <w:color w:val="FFFFFF"/>
                <w:sz w:val="19"/>
              </w:rPr>
              <w:t>Submit by</w:t>
            </w:r>
          </w:p>
        </w:tc>
        <w:tc>
          <w:tcPr>
            <w:tcW w:type="dxa" w:w="1474"/>
            <w:shd w:val="clear" w:color="auto" w:fill="1F3864"/>
          </w:tcPr>
          <w:p>
            <w:pPr>
              <w:spacing w:after="0"/>
            </w:pPr>
            <w:r/>
            <w:r>
              <w:rPr>
                <w:b/>
                <w:color w:val="FFFFFF"/>
                <w:sz w:val="19"/>
              </w:rPr>
              <w:t>Returned</w:t>
            </w:r>
          </w:p>
        </w:tc>
      </w:tr>
      <w:tr>
        <w:tc>
          <w:tcPr>
            <w:tcW w:type="dxa" w:w="3742"/>
          </w:tcPr>
          <w:p>
            <w:pPr>
              <w:spacing w:after="0"/>
            </w:pPr>
            <w:r/>
            <w:r>
              <w:rPr>
                <w:sz w:val="19"/>
              </w:rPr>
              <w:t>Lab B12 — The Log Nobody Was Writing</w:t>
            </w:r>
          </w:p>
        </w:tc>
        <w:tc>
          <w:tcPr>
            <w:tcW w:type="dxa" w:w="1134"/>
          </w:tcPr>
          <w:p>
            <w:pPr>
              <w:spacing w:after="0"/>
            </w:pPr>
            <w:r/>
            <w:r>
              <w:rPr>
                <w:sz w:val="19"/>
              </w:rPr>
              <w:t>Session 6</w:t>
            </w:r>
          </w:p>
        </w:tc>
        <w:tc>
          <w:tcPr>
            <w:tcW w:type="dxa" w:w="3061"/>
          </w:tcPr>
          <w:p>
            <w:pPr>
              <w:spacing w:after="0"/>
            </w:pPr>
            <w:r/>
            <w:r>
              <w:rPr>
                <w:sz w:val="19"/>
              </w:rPr>
              <w:t>23:59 CT on the day of session 7</w:t>
            </w:r>
          </w:p>
        </w:tc>
        <w:tc>
          <w:tcPr>
            <w:tcW w:type="dxa" w:w="1474"/>
          </w:tcPr>
          <w:p>
            <w:pPr>
              <w:spacing w:after="0"/>
            </w:pPr>
            <w:r/>
            <w:r>
              <w:rPr>
                <w:sz w:val="19"/>
              </w:rPr>
              <w:t>session 9</w:t>
            </w:r>
          </w:p>
        </w:tc>
      </w:tr>
      <w:tr>
        <w:tc>
          <w:tcPr>
            <w:tcW w:type="dxa" w:w="3742"/>
          </w:tcPr>
          <w:p>
            <w:pPr>
              <w:spacing w:after="0"/>
            </w:pPr>
            <w:r/>
            <w:r>
              <w:rPr>
                <w:sz w:val="19"/>
              </w:rPr>
              <w:t>Lab C12 — Twelve Requests by Friday</w:t>
            </w:r>
          </w:p>
        </w:tc>
        <w:tc>
          <w:tcPr>
            <w:tcW w:type="dxa" w:w="1134"/>
          </w:tcPr>
          <w:p>
            <w:pPr>
              <w:spacing w:after="0"/>
            </w:pPr>
            <w:r/>
            <w:r>
              <w:rPr>
                <w:sz w:val="19"/>
              </w:rPr>
              <w:t>Session 10</w:t>
            </w:r>
          </w:p>
        </w:tc>
        <w:tc>
          <w:tcPr>
            <w:tcW w:type="dxa" w:w="3061"/>
          </w:tcPr>
          <w:p>
            <w:pPr>
              <w:spacing w:after="0"/>
            </w:pPr>
            <w:r/>
            <w:r>
              <w:rPr>
                <w:sz w:val="19"/>
              </w:rPr>
              <w:t>23:59 CT on the day of session 11</w:t>
            </w:r>
          </w:p>
        </w:tc>
        <w:tc>
          <w:tcPr>
            <w:tcW w:type="dxa" w:w="1474"/>
          </w:tcPr>
          <w:p>
            <w:pPr>
              <w:spacing w:after="0"/>
            </w:pPr>
            <w:r/>
            <w:r>
              <w:rPr>
                <w:sz w:val="19"/>
              </w:rPr>
              <w:t>session 12</w:t>
            </w:r>
          </w:p>
        </w:tc>
      </w:tr>
      <w:tr>
        <w:tc>
          <w:tcPr>
            <w:tcW w:type="dxa" w:w="3742"/>
          </w:tcPr>
          <w:p>
            <w:pPr>
              <w:spacing w:after="0"/>
            </w:pPr>
            <w:r/>
            <w:r>
              <w:rPr>
                <w:sz w:val="19"/>
              </w:rPr>
              <w:t>Lab D7 — Resolved on the Report</w:t>
            </w:r>
          </w:p>
        </w:tc>
        <w:tc>
          <w:tcPr>
            <w:tcW w:type="dxa" w:w="1134"/>
          </w:tcPr>
          <w:p>
            <w:pPr>
              <w:spacing w:after="0"/>
            </w:pPr>
            <w:r/>
            <w:r>
              <w:rPr>
                <w:sz w:val="19"/>
              </w:rPr>
              <w:t>Session 11</w:t>
            </w:r>
          </w:p>
        </w:tc>
        <w:tc>
          <w:tcPr>
            <w:tcW w:type="dxa" w:w="3061"/>
          </w:tcPr>
          <w:p>
            <w:pPr>
              <w:spacing w:after="0"/>
            </w:pPr>
            <w:r/>
            <w:r>
              <w:rPr>
                <w:sz w:val="19"/>
              </w:rPr>
              <w:t>23:59 CT on the day of session 12</w:t>
            </w:r>
          </w:p>
        </w:tc>
        <w:tc>
          <w:tcPr>
            <w:tcW w:type="dxa" w:w="1474"/>
          </w:tcPr>
          <w:p>
            <w:pPr>
              <w:spacing w:after="0"/>
            </w:pPr>
            <w:r/>
            <w:r>
              <w:rPr>
                <w:sz w:val="19"/>
              </w:rPr>
              <w:t>within one week</w:t>
            </w:r>
          </w:p>
        </w:tc>
      </w:tr>
    </w:tbl>
    <w:p>
      <w:pPr>
        <w:spacing w:after="0"/>
      </w:pPr>
    </w:p>
    <w:p>
      <w:pPr>
        <w:keepNext/>
        <w:spacing w:after="60" w:before="240"/>
      </w:pPr>
      <w:r>
        <w:rPr>
          <w:b/>
          <w:i w:val="0"/>
          <w:color w:val="1F3864"/>
          <w:sz w:val="28"/>
        </w:rPr>
        <w:t>Marked deliverable 1 — Lab B12: The Log Nobody Was Writing</w:t>
      </w:r>
    </w:p>
    <w:p>
      <w:pPr>
        <w:spacing w:after="120"/>
      </w:pPr>
      <w:r>
        <w:rPr>
          <w:b/>
          <w:i w:val="0"/>
          <w:color w:val="C65911"/>
          <w:sz w:val="20"/>
        </w:rPr>
        <w:t>Privileged-ID Review and Security Audit Log Filter Build · Advanced · taught and set in session 6 · due 23:59 CT on the day of session 7 · returned at session 9</w:t>
      </w:r>
    </w:p>
    <w:p>
      <w:pPr>
        <w:keepNext/>
        <w:spacing w:after="60" w:before="80"/>
      </w:pPr>
      <w:r>
        <w:rPr>
          <w:b/>
          <w:i w:val="0"/>
          <w:color w:val="1F3864"/>
          <w:sz w:val="22"/>
        </w:rPr>
        <w:t>The Spec (field 1)</w:t>
      </w:r>
    </w:p>
    <w:p>
      <w:pPr>
        <w:spacing w:after="80"/>
      </w:pPr>
      <w:r>
        <w:rPr>
          <w:b w:val="0"/>
          <w:i w:val="0"/>
          <w:sz w:val="21"/>
        </w:rPr>
        <w:t>An internal audit pre-check finds that the Security Audit Log is active but its filters only record failed logons: nothing records what Firefighter IDs, SAP* or DDIC actually do. The same check finds three interface users with Dialog user type and one with S_RFC authorised for all function groups.</w:t>
      </w:r>
    </w:p>
    <w:p>
      <w:pPr>
        <w:keepNext/>
        <w:spacing w:after="60" w:before="80"/>
      </w:pPr>
      <w:r>
        <w:rPr>
          <w:b/>
          <w:i w:val="0"/>
          <w:color w:val="1F3864"/>
          <w:sz w:val="22"/>
        </w:rPr>
        <w:t>Why it matters (field 3)</w:t>
      </w:r>
    </w:p>
    <w:p>
      <w:pPr>
        <w:spacing w:after="80"/>
      </w:pPr>
      <w:r>
        <w:rPr>
          <w:b w:val="0"/>
          <w:i w:val="0"/>
          <w:sz w:val="21"/>
        </w:rPr>
        <w:t>Firefighter log reviews are reviewing incomplete evidence, and interface IDs could be used to log on interactively or call far more than they need — both likely audit findings.</w:t>
      </w:r>
    </w:p>
    <w:p>
      <w:pPr>
        <w:keepNext/>
        <w:spacing w:after="60" w:before="80"/>
      </w:pPr>
      <w:r>
        <w:rPr>
          <w:b/>
          <w:i w:val="0"/>
          <w:color w:val="1F3864"/>
          <w:sz w:val="22"/>
        </w:rPr>
        <w:t>Build Objective (field 4)</w:t>
      </w:r>
    </w:p>
    <w:p>
      <w:pPr>
        <w:spacing w:after="80"/>
      </w:pPr>
      <w:r>
        <w:rPr>
          <w:b w:val="0"/>
          <w:i w:val="0"/>
          <w:sz w:val="21"/>
        </w:rPr>
        <w:t>Design and build Security Audit Log filters that capture privileged and emergency activity, and correct the interface users' types and RFC authority without breaking the interfaces.</w:t>
      </w:r>
    </w:p>
    <w:p>
      <w:pPr>
        <w:keepNext/>
        <w:spacing w:after="60" w:before="80"/>
      </w:pPr>
      <w:r>
        <w:rPr>
          <w:b/>
          <w:i w:val="0"/>
          <w:color w:val="1F3864"/>
          <w:sz w:val="22"/>
        </w:rPr>
        <w:t>What you build and capture (fields 10–12)</w:t>
      </w:r>
    </w:p>
    <w:tbl>
      <w:tblPr>
        <w:tblStyle w:val="TableGrid"/>
        <w:tblW w:type="auto" w:w="0"/>
        <w:tblLook w:firstColumn="1" w:firstRow="1" w:lastColumn="0" w:lastRow="0" w:noHBand="0" w:noVBand="1" w:val="04A0"/>
      </w:tblPr>
      <w:tblGrid>
        <w:gridCol w:w="4873"/>
        <w:gridCol w:w="4873"/>
      </w:tblGrid>
      <w:tr>
        <w:tc>
          <w:tcPr>
            <w:tcW w:type="dxa" w:w="3742"/>
            <w:shd w:val="clear" w:color="auto" w:fill="1F3864"/>
          </w:tcPr>
          <w:p>
            <w:pPr>
              <w:spacing w:after="0"/>
            </w:pPr>
            <w:r/>
            <w:r>
              <w:rPr>
                <w:b/>
                <w:color w:val="FFFFFF"/>
                <w:sz w:val="19"/>
              </w:rPr>
              <w:t>Part</w:t>
            </w:r>
          </w:p>
        </w:tc>
        <w:tc>
          <w:tcPr>
            <w:tcW w:type="dxa" w:w="5669"/>
            <w:shd w:val="clear" w:color="auto" w:fill="1F3864"/>
          </w:tcPr>
          <w:p>
            <w:pPr>
              <w:spacing w:after="0"/>
            </w:pPr>
            <w:r/>
            <w:r>
              <w:rPr>
                <w:b/>
                <w:color w:val="FFFFFF"/>
                <w:sz w:val="19"/>
              </w:rPr>
              <w:t>Capture you must upload</w:t>
            </w:r>
          </w:p>
        </w:tc>
      </w:tr>
      <w:tr>
        <w:tc>
          <w:tcPr>
            <w:tcW w:type="dxa" w:w="3742"/>
          </w:tcPr>
          <w:p>
            <w:pPr>
              <w:spacing w:after="0"/>
            </w:pPr>
            <w:r/>
            <w:r>
              <w:rPr>
                <w:sz w:val="19"/>
              </w:rPr>
              <w:t>Part A — Design the Audit Log Filters</w:t>
            </w:r>
          </w:p>
        </w:tc>
        <w:tc>
          <w:tcPr>
            <w:tcW w:type="dxa" w:w="5669"/>
          </w:tcPr>
          <w:p>
            <w:pPr>
              <w:spacing w:after="0"/>
            </w:pPr>
            <w:r/>
            <w:r>
              <w:rPr>
                <w:sz w:val="19"/>
              </w:rPr>
              <w:t>The filter design and change request.</w:t>
            </w:r>
          </w:p>
        </w:tc>
      </w:tr>
      <w:tr>
        <w:tc>
          <w:tcPr>
            <w:tcW w:type="dxa" w:w="3742"/>
          </w:tcPr>
          <w:p>
            <w:pPr>
              <w:spacing w:after="0"/>
            </w:pPr>
            <w:r/>
            <w:r>
              <w:rPr>
                <w:sz w:val="19"/>
              </w:rPr>
              <w:t>Part B — Correct the Interface Users (Training Namespace)</w:t>
            </w:r>
          </w:p>
        </w:tc>
        <w:tc>
          <w:tcPr>
            <w:tcW w:type="dxa" w:w="5669"/>
          </w:tcPr>
          <w:p>
            <w:pPr>
              <w:spacing w:after="0"/>
            </w:pPr>
            <w:r/>
            <w:r>
              <w:rPr>
                <w:sz w:val="19"/>
              </w:rPr>
              <w:t>Before-and-after user types, the trace and the narrowed S_RFC values.</w:t>
            </w:r>
          </w:p>
        </w:tc>
      </w:tr>
      <w:tr>
        <w:tc>
          <w:tcPr>
            <w:tcW w:type="dxa" w:w="3742"/>
          </w:tcPr>
          <w:p>
            <w:pPr>
              <w:spacing w:after="0"/>
            </w:pPr>
            <w:r/>
            <w:r>
              <w:rPr>
                <w:sz w:val="19"/>
              </w:rPr>
              <w:t>Part C — Prove the Log Now Records Privileged Activity</w:t>
            </w:r>
          </w:p>
        </w:tc>
        <w:tc>
          <w:tcPr>
            <w:tcW w:type="dxa" w:w="5669"/>
          </w:tcPr>
          <w:p>
            <w:pPr>
              <w:spacing w:after="0"/>
            </w:pPr>
            <w:r/>
            <w:r>
              <w:rPr>
                <w:sz w:val="19"/>
              </w:rPr>
              <w:t>The log extract showing the test session.</w:t>
            </w:r>
          </w:p>
        </w:tc>
      </w:tr>
    </w:tbl>
    <w:p>
      <w:pPr>
        <w:spacing w:after="0"/>
      </w:pPr>
    </w:p>
    <w:p>
      <w:pPr>
        <w:keepNext/>
        <w:spacing w:after="60" w:before="80"/>
      </w:pPr>
      <w:r>
        <w:rPr>
          <w:b/>
          <w:i w:val="0"/>
          <w:color w:val="1F3864"/>
          <w:sz w:val="22"/>
        </w:rPr>
        <w:t>Sign-off Evidence: what your evidence must prove</w:t>
      </w:r>
    </w:p>
    <w:p>
      <w:pPr>
        <w:spacing w:after="80"/>
      </w:pPr>
      <w:r>
        <w:rPr>
          <w:b w:val="0"/>
          <w:i w:val="0"/>
          <w:sz w:val="21"/>
        </w:rPr>
        <w:t>The filter design and change record, before-and-after user types, the narrowed S_RFC values with trace evidence, and a sample log extract showing a Firefighter session being recorded.</w:t>
      </w:r>
    </w:p>
    <w:p>
      <w:pPr>
        <w:keepNext/>
        <w:spacing w:after="60" w:before="80"/>
      </w:pPr>
      <w:r>
        <w:rPr>
          <w:b/>
          <w:i w:val="0"/>
          <w:color w:val="1F3864"/>
          <w:sz w:val="22"/>
        </w:rPr>
        <w:t>Your submission must contain</w:t>
      </w:r>
    </w:p>
    <w:p>
      <w:pPr>
        <w:spacing w:after="20"/>
        <w:ind w:left="357" w:hanging="357"/>
      </w:pPr>
      <w:r>
        <w:t>1.</w:t>
        <w:tab/>
      </w:r>
      <w:r>
        <w:t>Fields 1–9 completed in your own words: the requirement, process, impact, objective, target design, scope, scope source, scope check and your approach.</w:t>
      </w:r>
    </w:p>
    <w:p>
      <w:pPr>
        <w:spacing w:after="20"/>
        <w:ind w:left="357" w:hanging="357"/>
      </w:pPr>
      <w:r>
        <w:t>2.</w:t>
        <w:tab/>
      </w:r>
      <w:r>
        <w:t>Field 11: every part built in your ZZ_TRAIN_ namespace — never on a shared or productive object.</w:t>
      </w:r>
    </w:p>
    <w:p>
      <w:pPr>
        <w:spacing w:after="20"/>
        <w:ind w:left="357" w:hanging="357"/>
      </w:pPr>
      <w:r>
        <w:t>3.</w:t>
        <w:tab/>
      </w:r>
      <w:r>
        <w:t>Fields 10 and 12: a capture for every part in the table above (selection screen, then result), plus your evaluation of what the evidence shows.</w:t>
      </w:r>
    </w:p>
    <w:p>
      <w:pPr>
        <w:spacing w:after="20"/>
        <w:ind w:left="357" w:hanging="357"/>
      </w:pPr>
      <w:r>
        <w:t>4.</w:t>
        <w:tab/>
      </w:r>
      <w:r>
        <w:t>Field 13 (Configuration Write-up): what you did, how you proved it, and anything that remains open.</w:t>
      </w:r>
    </w:p>
    <w:p>
      <w:pPr>
        <w:spacing w:after="20"/>
        <w:ind w:left="357" w:hanging="357"/>
      </w:pPr>
      <w:r>
        <w:t>5.</w:t>
        <w:tab/>
      </w:r>
      <w:r>
        <w:t>Field 14: your answer to the pushback below.</w:t>
      </w:r>
    </w:p>
    <w:p>
      <w:pPr>
        <w:keepNext/>
        <w:spacing w:after="60" w:before="80"/>
      </w:pPr>
      <w:r>
        <w:rPr>
          <w:b/>
          <w:i w:val="0"/>
          <w:color w:val="1F3864"/>
          <w:sz w:val="22"/>
        </w:rPr>
        <w:t>The pushback you answer (field 14)</w:t>
      </w:r>
    </w:p>
    <w:p>
      <w:pPr>
        <w:spacing w:after="80"/>
      </w:pPr>
      <w:r>
        <w:rPr>
          <w:b w:val="0"/>
          <w:i/>
          <w:sz w:val="21"/>
        </w:rPr>
        <w:t>“Recording everything those IDs do will fill the log. Can we just record logons?”</w:t>
      </w:r>
    </w:p>
    <w:p>
      <w:pPr>
        <w:keepNext/>
        <w:spacing w:after="60" w:before="80"/>
      </w:pPr>
      <w:r>
        <w:rPr>
          <w:b/>
          <w:i w:val="0"/>
          <w:color w:val="1F3864"/>
          <w:sz w:val="22"/>
        </w:rPr>
        <w:t>The escalation question (field 15 — discussed with your instructor)</w:t>
      </w:r>
    </w:p>
    <w:p>
      <w:pPr>
        <w:spacing w:after="80"/>
      </w:pPr>
      <w:r>
        <w:rPr>
          <w:b w:val="0"/>
          <w:i/>
          <w:sz w:val="21"/>
        </w:rPr>
        <w:t>“The interface owner refuses any change to their user before year-end close. What do you do?”</w:t>
      </w:r>
    </w:p>
    <w:tbl>
      <w:tblPr>
        <w:tblStyle w:val="TableGrid"/>
        <w:tblW w:type="auto" w:w="0"/>
        <w:tblLook w:firstColumn="1" w:firstRow="1" w:lastColumn="0" w:lastRow="0" w:noHBand="0" w:noVBand="1" w:val="04A0"/>
      </w:tblPr>
      <w:tblGrid>
        <w:gridCol w:w="9746"/>
      </w:tblGrid>
      <w:tr>
        <w:tc>
          <w:tcPr>
            <w:tcW w:type="dxa" w:w="9746"/>
            <w:shd w:val="clear" w:color="auto" w:fill="FDF3EC"/>
          </w:tcPr>
          <w:p>
            <w:r>
              <w:rPr>
                <w:b/>
                <w:color w:val="C65911"/>
                <w:sz w:val="19"/>
              </w:rPr>
              <w:t>WHAT MARKERS RETURN MOST</w:t>
            </w:r>
          </w:p>
          <w:p>
            <w:pPr>
              <w:spacing w:after="20"/>
            </w:pPr>
            <w:r>
              <w:rPr>
                <w:sz w:val="19"/>
              </w:rPr>
              <w:t>• A capture with no selection screen, or no capture for one of the parts.</w:t>
            </w:r>
          </w:p>
          <w:p>
            <w:pPr>
              <w:spacing w:after="20"/>
            </w:pPr>
            <w:r>
              <w:rPr>
                <w:sz w:val="19"/>
              </w:rPr>
              <w:t>• No negative test: you proved it works, not that it stops what it should stop.</w:t>
            </w:r>
          </w:p>
          <w:p>
            <w:pPr>
              <w:spacing w:after="20"/>
            </w:pPr>
            <w:r>
              <w:rPr>
                <w:sz w:val="19"/>
              </w:rPr>
              <w:t>• A pushback answer that gives up a correct position to keep the stakeholder happy.</w:t>
            </w:r>
          </w:p>
        </w:tc>
      </w:tr>
    </w:tbl>
    <w:p>
      <w:pPr>
        <w:spacing w:after="0"/>
      </w:pPr>
    </w:p>
    <w:p>
      <w:pPr>
        <w:keepNext/>
        <w:spacing w:after="60" w:before="240"/>
      </w:pPr>
      <w:r>
        <w:rPr>
          <w:b/>
          <w:i w:val="0"/>
          <w:color w:val="1F3864"/>
          <w:sz w:val="28"/>
        </w:rPr>
        <w:t>Marked deliverable 2 — Lab C12: Twelve Requests by Friday</w:t>
      </w:r>
    </w:p>
    <w:p>
      <w:pPr>
        <w:spacing w:after="120"/>
      </w:pPr>
      <w:r>
        <w:rPr>
          <w:b/>
          <w:i w:val="0"/>
          <w:color w:val="C65911"/>
          <w:sz w:val="20"/>
        </w:rPr>
        <w:t>External Auditor Evidence Request in Hypercare · Advanced · taught and set in session 10 · due 23:59 CT on the day of session 11 · returned at session 12</w:t>
      </w:r>
    </w:p>
    <w:p>
      <w:pPr>
        <w:keepNext/>
        <w:spacing w:after="60" w:before="80"/>
      </w:pPr>
      <w:r>
        <w:rPr>
          <w:b/>
          <w:i w:val="0"/>
          <w:color w:val="1F3864"/>
          <w:sz w:val="22"/>
        </w:rPr>
        <w:t>The Scenario (field 1)</w:t>
      </w:r>
    </w:p>
    <w:p>
      <w:pPr>
        <w:spacing w:after="80"/>
      </w:pPr>
      <w:r>
        <w:rPr>
          <w:b w:val="0"/>
          <w:i w:val="0"/>
          <w:sz w:val="21"/>
        </w:rPr>
        <w:t>Five weeks into hypercare, the external auditor sends a provided-by-client request for SAP access controls covering the go-live period: provisioning approvals, leavers removed, Firefighter log reviews, SoD conflicts and their mitigation, and changes to security roles. Twelve items, due Friday.</w:t>
      </w:r>
    </w:p>
    <w:p>
      <w:pPr>
        <w:keepNext/>
        <w:spacing w:after="60" w:before="80"/>
      </w:pPr>
      <w:r>
        <w:rPr>
          <w:b/>
          <w:i w:val="0"/>
          <w:color w:val="1F3864"/>
          <w:sz w:val="22"/>
        </w:rPr>
        <w:t>Why it matters (field 3)</w:t>
      </w:r>
    </w:p>
    <w:p>
      <w:pPr>
        <w:spacing w:after="80"/>
      </w:pPr>
      <w:r>
        <w:rPr>
          <w:b w:val="0"/>
          <w:i w:val="0"/>
          <w:sz w:val="21"/>
        </w:rPr>
        <w:t>Evidence assembled hastily during hypercare is often incomplete or unprovable, turning controls that worked into findings — and controls that did not work are better disclosed than discovered.</w:t>
      </w:r>
    </w:p>
    <w:p>
      <w:pPr>
        <w:keepNext/>
        <w:spacing w:after="60" w:before="80"/>
      </w:pPr>
      <w:r>
        <w:rPr>
          <w:b/>
          <w:i w:val="0"/>
          <w:color w:val="1F3864"/>
          <w:sz w:val="22"/>
        </w:rPr>
        <w:t>Cutover Objective (field 4)</w:t>
      </w:r>
    </w:p>
    <w:p>
      <w:pPr>
        <w:spacing w:after="80"/>
      </w:pPr>
      <w:r>
        <w:rPr>
          <w:b w:val="0"/>
          <w:i w:val="0"/>
          <w:sz w:val="21"/>
        </w:rPr>
        <w:t>Answer all twelve requests with complete, re-performable populations and evidence, and report honestly any control that did not operate during go-live.</w:t>
      </w:r>
    </w:p>
    <w:p>
      <w:pPr>
        <w:keepNext/>
        <w:spacing w:after="60" w:before="80"/>
      </w:pPr>
      <w:r>
        <w:rPr>
          <w:b/>
          <w:i w:val="0"/>
          <w:color w:val="1F3864"/>
          <w:sz w:val="22"/>
        </w:rPr>
        <w:t>What you build and capture (fields 10–12)</w:t>
      </w:r>
    </w:p>
    <w:tbl>
      <w:tblPr>
        <w:tblStyle w:val="TableGrid"/>
        <w:tblW w:type="auto" w:w="0"/>
        <w:tblLook w:firstColumn="1" w:firstRow="1" w:lastColumn="0" w:lastRow="0" w:noHBand="0" w:noVBand="1" w:val="04A0"/>
      </w:tblPr>
      <w:tblGrid>
        <w:gridCol w:w="4873"/>
        <w:gridCol w:w="4873"/>
      </w:tblGrid>
      <w:tr>
        <w:tc>
          <w:tcPr>
            <w:tcW w:type="dxa" w:w="3742"/>
            <w:shd w:val="clear" w:color="auto" w:fill="1F3864"/>
          </w:tcPr>
          <w:p>
            <w:pPr>
              <w:spacing w:after="0"/>
            </w:pPr>
            <w:r/>
            <w:r>
              <w:rPr>
                <w:b/>
                <w:color w:val="FFFFFF"/>
                <w:sz w:val="19"/>
              </w:rPr>
              <w:t>Part</w:t>
            </w:r>
          </w:p>
        </w:tc>
        <w:tc>
          <w:tcPr>
            <w:tcW w:type="dxa" w:w="5669"/>
            <w:shd w:val="clear" w:color="auto" w:fill="1F3864"/>
          </w:tcPr>
          <w:p>
            <w:pPr>
              <w:spacing w:after="0"/>
            </w:pPr>
            <w:r/>
            <w:r>
              <w:rPr>
                <w:b/>
                <w:color w:val="FFFFFF"/>
                <w:sz w:val="19"/>
              </w:rPr>
              <w:t>Capture you must upload</w:t>
            </w:r>
          </w:p>
        </w:tc>
      </w:tr>
      <w:tr>
        <w:tc>
          <w:tcPr>
            <w:tcW w:type="dxa" w:w="3742"/>
          </w:tcPr>
          <w:p>
            <w:pPr>
              <w:spacing w:after="0"/>
            </w:pPr>
            <w:r/>
            <w:r>
              <w:rPr>
                <w:sz w:val="19"/>
              </w:rPr>
              <w:t>Part A — Build the Tracker</w:t>
            </w:r>
          </w:p>
        </w:tc>
        <w:tc>
          <w:tcPr>
            <w:tcW w:type="dxa" w:w="5669"/>
          </w:tcPr>
          <w:p>
            <w:pPr>
              <w:spacing w:after="0"/>
            </w:pPr>
            <w:r/>
            <w:r>
              <w:rPr>
                <w:sz w:val="19"/>
              </w:rPr>
              <w:t>The request tracker.</w:t>
            </w:r>
          </w:p>
        </w:tc>
      </w:tr>
      <w:tr>
        <w:tc>
          <w:tcPr>
            <w:tcW w:type="dxa" w:w="3742"/>
          </w:tcPr>
          <w:p>
            <w:pPr>
              <w:spacing w:after="0"/>
            </w:pPr>
            <w:r/>
            <w:r>
              <w:rPr>
                <w:sz w:val="19"/>
              </w:rPr>
              <w:t>Part B — Pull Populations and Evidence</w:t>
            </w:r>
          </w:p>
        </w:tc>
        <w:tc>
          <w:tcPr>
            <w:tcW w:type="dxa" w:w="5669"/>
          </w:tcPr>
          <w:p>
            <w:pPr>
              <w:spacing w:after="0"/>
            </w:pPr>
            <w:r/>
            <w:r>
              <w:rPr>
                <w:sz w:val="19"/>
              </w:rPr>
              <w:t>Each population with selection screen, count reconciliation and sample evidence.</w:t>
            </w:r>
          </w:p>
        </w:tc>
      </w:tr>
      <w:tr>
        <w:tc>
          <w:tcPr>
            <w:tcW w:type="dxa" w:w="3742"/>
          </w:tcPr>
          <w:p>
            <w:pPr>
              <w:spacing w:after="0"/>
            </w:pPr>
            <w:r/>
            <w:r>
              <w:rPr>
                <w:sz w:val="19"/>
              </w:rPr>
              <w:t>Part C — Disclose Gaps and Submit</w:t>
            </w:r>
          </w:p>
        </w:tc>
        <w:tc>
          <w:tcPr>
            <w:tcW w:type="dxa" w:w="5669"/>
          </w:tcPr>
          <w:p>
            <w:pPr>
              <w:spacing w:after="0"/>
            </w:pPr>
            <w:r/>
            <w:r>
              <w:rPr>
                <w:sz w:val="19"/>
              </w:rPr>
              <w:t>The gap note and the submitted tracker.</w:t>
            </w:r>
          </w:p>
        </w:tc>
      </w:tr>
    </w:tbl>
    <w:p>
      <w:pPr>
        <w:spacing w:after="0"/>
      </w:pPr>
    </w:p>
    <w:p>
      <w:pPr>
        <w:keepNext/>
        <w:spacing w:after="60" w:before="80"/>
      </w:pPr>
      <w:r>
        <w:rPr>
          <w:b/>
          <w:i w:val="0"/>
          <w:color w:val="1F3864"/>
          <w:sz w:val="22"/>
        </w:rPr>
        <w:t>Proof It Worked: what your evidence must prove</w:t>
      </w:r>
    </w:p>
    <w:p>
      <w:pPr>
        <w:spacing w:after="80"/>
      </w:pPr>
      <w:r>
        <w:rPr>
          <w:b w:val="0"/>
          <w:i w:val="0"/>
          <w:sz w:val="21"/>
        </w:rPr>
        <w:t>The completed tracker, each population with its selection screen and reconciled count, the sample evidence, and the gap note to the SOX lead.</w:t>
      </w:r>
    </w:p>
    <w:p>
      <w:pPr>
        <w:keepNext/>
        <w:spacing w:after="60" w:before="80"/>
      </w:pPr>
      <w:r>
        <w:rPr>
          <w:b/>
          <w:i w:val="0"/>
          <w:color w:val="1F3864"/>
          <w:sz w:val="22"/>
        </w:rPr>
        <w:t>Your submission must contain</w:t>
      </w:r>
    </w:p>
    <w:p>
      <w:pPr>
        <w:spacing w:after="20"/>
        <w:ind w:left="357" w:hanging="357"/>
      </w:pPr>
      <w:r>
        <w:t>1.</w:t>
        <w:tab/>
      </w:r>
      <w:r>
        <w:t>Fields 1–9 completed in your own words: the requirement, process, impact, objective, target design, scope, scope source, scope check and your approach.</w:t>
      </w:r>
    </w:p>
    <w:p>
      <w:pPr>
        <w:spacing w:after="20"/>
        <w:ind w:left="357" w:hanging="357"/>
      </w:pPr>
      <w:r>
        <w:t>2.</w:t>
        <w:tab/>
      </w:r>
      <w:r>
        <w:t>Field 11: every part built in your ZZ_TRAIN_ namespace — never on a shared or productive object.</w:t>
      </w:r>
    </w:p>
    <w:p>
      <w:pPr>
        <w:spacing w:after="20"/>
        <w:ind w:left="357" w:hanging="357"/>
      </w:pPr>
      <w:r>
        <w:t>3.</w:t>
        <w:tab/>
      </w:r>
      <w:r>
        <w:t>Fields 10 and 12: a capture for every part in the table above (selection screen, then result), plus your evaluation of what the evidence shows.</w:t>
      </w:r>
    </w:p>
    <w:p>
      <w:pPr>
        <w:spacing w:after="20"/>
        <w:ind w:left="357" w:hanging="357"/>
      </w:pPr>
      <w:r>
        <w:t>4.</w:t>
        <w:tab/>
      </w:r>
      <w:r>
        <w:t>Field 13 (Outcome Write-up): what you did, how you proved it, and anything that remains open.</w:t>
      </w:r>
    </w:p>
    <w:p>
      <w:pPr>
        <w:spacing w:after="20"/>
        <w:ind w:left="357" w:hanging="357"/>
      </w:pPr>
      <w:r>
        <w:t>5.</w:t>
        <w:tab/>
      </w:r>
      <w:r>
        <w:t>Field 14: your answer to the pushback below.</w:t>
      </w:r>
    </w:p>
    <w:p>
      <w:pPr>
        <w:keepNext/>
        <w:spacing w:after="60" w:before="80"/>
      </w:pPr>
      <w:r>
        <w:rPr>
          <w:b/>
          <w:i w:val="0"/>
          <w:color w:val="1F3864"/>
          <w:sz w:val="22"/>
        </w:rPr>
        <w:t>The pushback you answer (field 14)</w:t>
      </w:r>
    </w:p>
    <w:p>
      <w:pPr>
        <w:spacing w:after="80"/>
      </w:pPr>
      <w:r>
        <w:rPr>
          <w:b w:val="0"/>
          <w:i/>
          <w:sz w:val="21"/>
        </w:rPr>
        <w:t>“Can we leave the hypercare assignments out? They were temporary.”</w:t>
      </w:r>
    </w:p>
    <w:p>
      <w:pPr>
        <w:keepNext/>
        <w:spacing w:after="60" w:before="80"/>
      </w:pPr>
      <w:r>
        <w:rPr>
          <w:b/>
          <w:i w:val="0"/>
          <w:color w:val="1F3864"/>
          <w:sz w:val="22"/>
        </w:rPr>
        <w:t>The escalation question (field 15 — discussed with your instructor)</w:t>
      </w:r>
    </w:p>
    <w:p>
      <w:pPr>
        <w:spacing w:after="80"/>
      </w:pPr>
      <w:r>
        <w:rPr>
          <w:b w:val="0"/>
          <w:i/>
          <w:sz w:val="21"/>
        </w:rPr>
        <w:t>“The SOX lead asks you to complete the two late Firefighter reviews and date them as if they were done on time. What do you do?”</w:t>
      </w:r>
    </w:p>
    <w:tbl>
      <w:tblPr>
        <w:tblStyle w:val="TableGrid"/>
        <w:tblW w:type="auto" w:w="0"/>
        <w:tblLook w:firstColumn="1" w:firstRow="1" w:lastColumn="0" w:lastRow="0" w:noHBand="0" w:noVBand="1" w:val="04A0"/>
      </w:tblPr>
      <w:tblGrid>
        <w:gridCol w:w="9746"/>
      </w:tblGrid>
      <w:tr>
        <w:tc>
          <w:tcPr>
            <w:tcW w:type="dxa" w:w="9746"/>
            <w:shd w:val="clear" w:color="auto" w:fill="FDF3EC"/>
          </w:tcPr>
          <w:p>
            <w:r>
              <w:rPr>
                <w:b/>
                <w:color w:val="C65911"/>
                <w:sz w:val="19"/>
              </w:rPr>
              <w:t>WHAT MARKERS RETURN MOST</w:t>
            </w:r>
          </w:p>
          <w:p>
            <w:pPr>
              <w:spacing w:after="20"/>
            </w:pPr>
            <w:r>
              <w:rPr>
                <w:sz w:val="19"/>
              </w:rPr>
              <w:t>• A capture with no selection screen, or no capture for one of the parts.</w:t>
            </w:r>
          </w:p>
          <w:p>
            <w:pPr>
              <w:spacing w:after="20"/>
            </w:pPr>
            <w:r>
              <w:rPr>
                <w:sz w:val="19"/>
              </w:rPr>
              <w:t>• No negative test: you proved it works, not that it stops what it should stop.</w:t>
            </w:r>
          </w:p>
          <w:p>
            <w:pPr>
              <w:spacing w:after="20"/>
            </w:pPr>
            <w:r>
              <w:rPr>
                <w:sz w:val="19"/>
              </w:rPr>
              <w:t>• A pushback answer that gives up a correct position to keep the stakeholder happy.</w:t>
            </w:r>
          </w:p>
        </w:tc>
      </w:tr>
    </w:tbl>
    <w:p>
      <w:pPr>
        <w:spacing w:after="0"/>
      </w:pPr>
    </w:p>
    <w:p>
      <w:pPr>
        <w:keepNext/>
        <w:spacing w:after="60" w:before="240"/>
      </w:pPr>
      <w:r>
        <w:rPr>
          <w:b/>
          <w:i w:val="0"/>
          <w:color w:val="1F3864"/>
          <w:sz w:val="28"/>
        </w:rPr>
        <w:t>Marked deliverable 3 — Lab D7: Resolved on the Report</w:t>
      </w:r>
    </w:p>
    <w:p>
      <w:pPr>
        <w:spacing w:after="120"/>
      </w:pPr>
      <w:r>
        <w:rPr>
          <w:b/>
          <w:i w:val="0"/>
          <w:color w:val="C65911"/>
          <w:sz w:val="20"/>
        </w:rPr>
        <w:t>SoD Remediation &amp; Mitigating Controls · Advanced · taught and set in session 11 · due 23:59 CT on the day of session 12 · returned at within one week</w:t>
      </w:r>
    </w:p>
    <w:p>
      <w:pPr>
        <w:keepNext/>
        <w:spacing w:after="60" w:before="80"/>
      </w:pPr>
      <w:r>
        <w:rPr>
          <w:b/>
          <w:i w:val="0"/>
          <w:color w:val="1F3864"/>
          <w:sz w:val="22"/>
        </w:rPr>
        <w:t>The Ticket (field 1)</w:t>
      </w:r>
    </w:p>
    <w:p>
      <w:pPr>
        <w:spacing w:after="80"/>
      </w:pPr>
      <w:r>
        <w:rPr>
          <w:b w:val="0"/>
          <w:i w:val="0"/>
          <w:sz w:val="21"/>
        </w:rPr>
        <w:t>A control owner submits a ticket asking to be removed from a mitigating-control assignment he says he never agreed to and doesn't understand. Tracing it back, he was auto-assigned when an SoD conflict was flagged months ago, with no explanation of what the review responsibility actually involved.</w:t>
      </w:r>
    </w:p>
    <w:p>
      <w:pPr>
        <w:keepNext/>
        <w:spacing w:after="60" w:before="80"/>
      </w:pPr>
      <w:r>
        <w:rPr>
          <w:b/>
          <w:i w:val="0"/>
          <w:color w:val="1F3864"/>
          <w:sz w:val="22"/>
        </w:rPr>
        <w:t>Why it matters (field 3)</w:t>
      </w:r>
    </w:p>
    <w:p>
      <w:pPr>
        <w:spacing w:after="80"/>
      </w:pPr>
      <w:r>
        <w:rPr>
          <w:b w:val="0"/>
          <w:i w:val="0"/>
          <w:sz w:val="21"/>
        </w:rPr>
        <w:t>If assigning a mitigating control in the system is treated as the end of the remediation process rather than the start of an operating control, a conflict can show as resolved indefinitely while nothing is actually reviewing it.</w:t>
      </w:r>
    </w:p>
    <w:p>
      <w:pPr>
        <w:keepNext/>
        <w:spacing w:after="60" w:before="80"/>
      </w:pPr>
      <w:r>
        <w:rPr>
          <w:b/>
          <w:i w:val="0"/>
          <w:color w:val="1F3864"/>
          <w:sz w:val="22"/>
        </w:rPr>
        <w:t>Fix Objective (field 4)</w:t>
      </w:r>
    </w:p>
    <w:p>
      <w:pPr>
        <w:spacing w:after="80"/>
      </w:pPr>
      <w:r>
        <w:rPr>
          <w:b w:val="0"/>
          <w:i w:val="0"/>
          <w:sz w:val="21"/>
        </w:rPr>
        <w:t>Confirm that every mitigating control marked as assigned is actually operating, with real evidence, and rebuild the assignment process so future mitigations can't close without an evidence requirement attached.</w:t>
      </w:r>
    </w:p>
    <w:p>
      <w:pPr>
        <w:keepNext/>
        <w:spacing w:after="60" w:before="80"/>
      </w:pPr>
      <w:r>
        <w:rPr>
          <w:b/>
          <w:i w:val="0"/>
          <w:color w:val="1F3864"/>
          <w:sz w:val="22"/>
        </w:rPr>
        <w:t>What you build and capture (fields 10–12)</w:t>
      </w:r>
    </w:p>
    <w:tbl>
      <w:tblPr>
        <w:tblStyle w:val="TableGrid"/>
        <w:tblW w:type="auto" w:w="0"/>
        <w:tblLook w:firstColumn="1" w:firstRow="1" w:lastColumn="0" w:lastRow="0" w:noHBand="0" w:noVBand="1" w:val="04A0"/>
      </w:tblPr>
      <w:tblGrid>
        <w:gridCol w:w="4873"/>
        <w:gridCol w:w="4873"/>
      </w:tblGrid>
      <w:tr>
        <w:tc>
          <w:tcPr>
            <w:tcW w:type="dxa" w:w="3742"/>
            <w:shd w:val="clear" w:color="auto" w:fill="1F3864"/>
          </w:tcPr>
          <w:p>
            <w:pPr>
              <w:spacing w:after="0"/>
            </w:pPr>
            <w:r/>
            <w:r>
              <w:rPr>
                <w:b/>
                <w:color w:val="FFFFFF"/>
                <w:sz w:val="19"/>
              </w:rPr>
              <w:t>Part</w:t>
            </w:r>
          </w:p>
        </w:tc>
        <w:tc>
          <w:tcPr>
            <w:tcW w:type="dxa" w:w="5669"/>
            <w:shd w:val="clear" w:color="auto" w:fill="1F3864"/>
          </w:tcPr>
          <w:p>
            <w:pPr>
              <w:spacing w:after="0"/>
            </w:pPr>
            <w:r/>
            <w:r>
              <w:rPr>
                <w:b/>
                <w:color w:val="FFFFFF"/>
                <w:sz w:val="19"/>
              </w:rPr>
              <w:t>Capture you must upload</w:t>
            </w:r>
          </w:p>
        </w:tc>
      </w:tr>
      <w:tr>
        <w:tc>
          <w:tcPr>
            <w:tcW w:type="dxa" w:w="3742"/>
          </w:tcPr>
          <w:p>
            <w:pPr>
              <w:spacing w:after="0"/>
            </w:pPr>
            <w:r/>
            <w:r>
              <w:rPr>
                <w:sz w:val="19"/>
              </w:rPr>
              <w:t>Part A — Pull the Mitigated-Risk List</w:t>
            </w:r>
          </w:p>
        </w:tc>
        <w:tc>
          <w:tcPr>
            <w:tcW w:type="dxa" w:w="5669"/>
          </w:tcPr>
          <w:p>
            <w:pPr>
              <w:spacing w:after="0"/>
            </w:pPr>
            <w:r/>
            <w:r>
              <w:rPr>
                <w:sz w:val="19"/>
              </w:rPr>
              <w:t>Sample list with mitigation description, assignment date, and control owner per conflict.</w:t>
            </w:r>
          </w:p>
        </w:tc>
      </w:tr>
      <w:tr>
        <w:tc>
          <w:tcPr>
            <w:tcW w:type="dxa" w:w="3742"/>
          </w:tcPr>
          <w:p>
            <w:pPr>
              <w:spacing w:after="0"/>
            </w:pPr>
            <w:r/>
            <w:r>
              <w:rPr>
                <w:sz w:val="19"/>
              </w:rPr>
              <w:t>Part B — Request Evidence From Each Control Owner</w:t>
            </w:r>
          </w:p>
        </w:tc>
        <w:tc>
          <w:tcPr>
            <w:tcW w:type="dxa" w:w="5669"/>
          </w:tcPr>
          <w:p>
            <w:pPr>
              <w:spacing w:after="0"/>
            </w:pPr>
            <w:r/>
            <w:r>
              <w:rPr>
                <w:sz w:val="19"/>
              </w:rPr>
              <w:t>Evidence-provided vs. evidence-absent count, and control owner awareness for each absent case.</w:t>
            </w:r>
          </w:p>
        </w:tc>
      </w:tr>
      <w:tr>
        <w:tc>
          <w:tcPr>
            <w:tcW w:type="dxa" w:w="3742"/>
          </w:tcPr>
          <w:p>
            <w:pPr>
              <w:spacing w:after="0"/>
            </w:pPr>
            <w:r/>
            <w:r>
              <w:rPr>
                <w:sz w:val="19"/>
              </w:rPr>
              <w:t>Part C — Build the Evidence-Requirement Template (Training Namespace)</w:t>
            </w:r>
          </w:p>
        </w:tc>
        <w:tc>
          <w:tcPr>
            <w:tcW w:type="dxa" w:w="5669"/>
          </w:tcPr>
          <w:p>
            <w:pPr>
              <w:spacing w:after="0"/>
            </w:pPr>
            <w:r/>
            <w:r>
              <w:rPr>
                <w:sz w:val="19"/>
              </w:rPr>
              <w:t>The evidence template, the configured acknowledgment step, and the completed test assignment showing the requirement enforced.</w:t>
            </w:r>
          </w:p>
        </w:tc>
      </w:tr>
    </w:tbl>
    <w:p>
      <w:pPr>
        <w:spacing w:after="0"/>
      </w:pPr>
    </w:p>
    <w:p>
      <w:pPr>
        <w:keepNext/>
        <w:spacing w:after="60" w:before="80"/>
      </w:pPr>
      <w:r>
        <w:rPr>
          <w:b/>
          <w:i w:val="0"/>
          <w:color w:val="1F3864"/>
          <w:sz w:val="22"/>
        </w:rPr>
        <w:t>Verification Evidence: what your evidence must prove</w:t>
      </w:r>
    </w:p>
    <w:p>
      <w:pPr>
        <w:spacing w:after="80"/>
      </w:pPr>
      <w:r>
        <w:rPr>
          <w:b w:val="0"/>
          <w:i w:val="0"/>
          <w:sz w:val="21"/>
        </w:rPr>
        <w:t>The corrected assignment (or reassignment) for the reported control owner with his acknowledgment, and the check-sample results from the handful of other assignments reviewed.</w:t>
      </w:r>
    </w:p>
    <w:p>
      <w:pPr>
        <w:keepNext/>
        <w:spacing w:after="60" w:before="80"/>
      </w:pPr>
      <w:r>
        <w:rPr>
          <w:b/>
          <w:i w:val="0"/>
          <w:color w:val="1F3864"/>
          <w:sz w:val="22"/>
        </w:rPr>
        <w:t>Your submission must contain</w:t>
      </w:r>
    </w:p>
    <w:p>
      <w:pPr>
        <w:spacing w:after="20"/>
        <w:ind w:left="357" w:hanging="357"/>
      </w:pPr>
      <w:r>
        <w:t>1.</w:t>
        <w:tab/>
      </w:r>
      <w:r>
        <w:t>Fields 1–9 completed in your own words: the requirement, process, impact, objective, target design, scope, scope source, scope check and your approach.</w:t>
      </w:r>
    </w:p>
    <w:p>
      <w:pPr>
        <w:spacing w:after="20"/>
        <w:ind w:left="357" w:hanging="357"/>
      </w:pPr>
      <w:r>
        <w:t>2.</w:t>
        <w:tab/>
      </w:r>
      <w:r>
        <w:t>Field 11: every part built in your ZZ_TRAIN_ namespace — never on a shared or productive object.</w:t>
      </w:r>
    </w:p>
    <w:p>
      <w:pPr>
        <w:spacing w:after="20"/>
        <w:ind w:left="357" w:hanging="357"/>
      </w:pPr>
      <w:r>
        <w:t>3.</w:t>
        <w:tab/>
      </w:r>
      <w:r>
        <w:t>Fields 10 and 12: a capture for every part in the table above (selection screen, then result), plus your evaluation of what the evidence shows.</w:t>
      </w:r>
    </w:p>
    <w:p>
      <w:pPr>
        <w:spacing w:after="20"/>
        <w:ind w:left="357" w:hanging="357"/>
      </w:pPr>
      <w:r>
        <w:t>4.</w:t>
        <w:tab/>
      </w:r>
      <w:r>
        <w:t>Field 13 (Resolution): what you did, how you proved it, and anything that remains open.</w:t>
      </w:r>
    </w:p>
    <w:p>
      <w:pPr>
        <w:spacing w:after="20"/>
        <w:ind w:left="357" w:hanging="357"/>
      </w:pPr>
      <w:r>
        <w:t>5.</w:t>
        <w:tab/>
      </w:r>
      <w:r>
        <w:t>Field 14: your answer to the pushback below.</w:t>
      </w:r>
    </w:p>
    <w:p>
      <w:pPr>
        <w:keepNext/>
        <w:spacing w:after="60" w:before="80"/>
      </w:pPr>
      <w:r>
        <w:rPr>
          <w:b/>
          <w:i w:val="0"/>
          <w:color w:val="1F3864"/>
          <w:sz w:val="22"/>
        </w:rPr>
        <w:t>The pushback you answer (field 14)</w:t>
      </w:r>
    </w:p>
    <w:p>
      <w:pPr>
        <w:spacing w:after="80"/>
      </w:pPr>
      <w:r>
        <w:rPr>
          <w:b w:val="0"/>
          <w:i/>
          <w:sz w:val="21"/>
        </w:rPr>
        <w:t>“I assigned the mitigating control and the system marked the finding closed. Wasn't that the correct process at the time?”</w:t>
      </w:r>
    </w:p>
    <w:p>
      <w:pPr>
        <w:keepNext/>
        <w:spacing w:after="60" w:before="80"/>
      </w:pPr>
      <w:r>
        <w:rPr>
          <w:b/>
          <w:i w:val="0"/>
          <w:color w:val="1F3864"/>
          <w:sz w:val="22"/>
        </w:rPr>
        <w:t>The escalation question (field 15 — discussed with your instructor)</w:t>
      </w:r>
    </w:p>
    <w:p>
      <w:pPr>
        <w:spacing w:after="80"/>
      </w:pPr>
      <w:r>
        <w:rPr>
          <w:b w:val="0"/>
          <w:i/>
          <w:sz w:val="21"/>
        </w:rPr>
        <w:t>“The CFO wants to know how many other 'resolved' findings across the whole GRC system might have the same problem. What do you tell him before you've checked every mitigated conflict?”</w:t>
      </w:r>
    </w:p>
    <w:tbl>
      <w:tblPr>
        <w:tblStyle w:val="TableGrid"/>
        <w:tblW w:type="auto" w:w="0"/>
        <w:tblLook w:firstColumn="1" w:firstRow="1" w:lastColumn="0" w:lastRow="0" w:noHBand="0" w:noVBand="1" w:val="04A0"/>
      </w:tblPr>
      <w:tblGrid>
        <w:gridCol w:w="9746"/>
      </w:tblGrid>
      <w:tr>
        <w:tc>
          <w:tcPr>
            <w:tcW w:type="dxa" w:w="9746"/>
            <w:shd w:val="clear" w:color="auto" w:fill="FDF3EC"/>
          </w:tcPr>
          <w:p>
            <w:r>
              <w:rPr>
                <w:b/>
                <w:color w:val="C65911"/>
                <w:sz w:val="19"/>
              </w:rPr>
              <w:t>WHAT MARKERS RETURN MOST</w:t>
            </w:r>
          </w:p>
          <w:p>
            <w:pPr>
              <w:spacing w:after="20"/>
            </w:pPr>
            <w:r>
              <w:rPr>
                <w:sz w:val="19"/>
              </w:rPr>
              <w:t>• A capture with no selection screen, or no capture for one of the parts.</w:t>
            </w:r>
          </w:p>
          <w:p>
            <w:pPr>
              <w:spacing w:after="20"/>
            </w:pPr>
            <w:r>
              <w:rPr>
                <w:sz w:val="19"/>
              </w:rPr>
              <w:t>• No negative test: you proved it works, not that it stops what it should stop.</w:t>
            </w:r>
          </w:p>
          <w:p>
            <w:pPr>
              <w:spacing w:after="20"/>
            </w:pPr>
            <w:r>
              <w:rPr>
                <w:sz w:val="19"/>
              </w:rPr>
              <w:t>• A pushback answer that gives up a correct position to keep the stakeholder happy.</w:t>
            </w:r>
          </w:p>
        </w:tc>
      </w:tr>
    </w:tbl>
    <w:p>
      <w:pPr>
        <w:spacing w:after="0"/>
      </w:pPr>
    </w:p>
    <w:p>
      <w:pPr>
        <w:spacing w:after="80"/>
      </w:pPr>
      <w:r>
        <w:rPr>
          <w:b w:val="0"/>
          <w:i/>
          <w:color w:val="5A6472"/>
          <w:sz w:val="19"/>
        </w:rPr>
        <w:t>Model answers stay closed until you have submitted. Questions about a brief: ask your instructor, or academy@tib-systems.com.</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2"/>
        <w:sz w:val="16"/>
      </w:rPr>
      <w:t>GRC SECURITY &amp; FIORI LABS · TIB-GRC-ASSESS-002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