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B08D57"/>
          <w:sz w:val="18"/>
        </w:rPr>
        <w:t>TIB SYSTEMS LLC · SAP SECURITY, GRC &amp; CONTROLS ACADEMY</w:t>
      </w:r>
    </w:p>
    <w:p>
      <w:pPr>
        <w:spacing w:after="40"/>
      </w:pPr>
      <w:r>
        <w:rPr>
          <w:b/>
          <w:i w:val="0"/>
          <w:color w:val="1F3864"/>
          <w:sz w:val="44"/>
        </w:rPr>
        <w:t>Stakeholder Panel Brief</w:t>
      </w:r>
    </w:p>
    <w:p>
      <w:pPr>
        <w:spacing w:after="160"/>
      </w:pPr>
      <w:r>
        <w:rPr>
          <w:b w:val="0"/>
          <w:i/>
          <w:color w:val="5A6472"/>
          <w:sz w:val="24"/>
        </w:rPr>
        <w:t>The graded panel that closes each level — one piece of your work, three audiences</w:t>
      </w:r>
    </w:p>
    <w:tbl>
      <w:tblPr>
        <w:tblStyle w:val="TableGrid"/>
        <w:tblW w:type="auto" w:w="0"/>
        <w:tblLook w:firstColumn="1" w:firstRow="1" w:lastColumn="0" w:lastRow="0" w:noHBand="0" w:noVBand="1" w:val="04A0"/>
      </w:tblPr>
      <w:tblGrid>
        <w:gridCol w:w="4873"/>
        <w:gridCol w:w="4873"/>
      </w:tblGrid>
      <w:tr>
        <w:tc>
          <w:tcPr>
            <w:tcW w:type="dxa" w:w="2268"/>
            <w:shd w:val="clear" w:color="auto" w:fill="EEF3FA"/>
          </w:tcPr>
          <w:p>
            <w:r>
              <w:rPr>
                <w:b/>
                <w:sz w:val="19"/>
              </w:rPr>
              <w:t>Document code</w:t>
            </w:r>
          </w:p>
        </w:tc>
        <w:tc>
          <w:tcPr>
            <w:tcW w:type="dxa" w:w="7143"/>
          </w:tcPr>
          <w:p>
            <w:r>
              <w:rPr>
                <w:sz w:val="19"/>
              </w:rPr>
              <w:t>TIB-GRC-ASSESS-005</w:t>
            </w:r>
          </w:p>
        </w:tc>
      </w:tr>
      <w:tr>
        <w:tc>
          <w:tcPr>
            <w:tcW w:type="dxa" w:w="2268"/>
            <w:shd w:val="clear" w:color="auto" w:fill="EEF3FA"/>
          </w:tcPr>
          <w:p>
            <w:r>
              <w:rPr>
                <w:b/>
                <w:sz w:val="19"/>
              </w:rPr>
              <w:t>Course</w:t>
            </w:r>
          </w:p>
        </w:tc>
        <w:tc>
          <w:tcPr>
            <w:tcW w:type="dxa" w:w="7143"/>
          </w:tcPr>
          <w:p>
            <w:r>
              <w:rPr>
                <w:sz w:val="19"/>
              </w:rPr>
              <w:t>Course 2 — SAP GRC Security &amp; Fiori Labs · Intermediate and Advanced levels</w:t>
            </w:r>
          </w:p>
        </w:tc>
      </w:tr>
      <w:tr>
        <w:tc>
          <w:tcPr>
            <w:tcW w:type="dxa" w:w="2268"/>
            <w:shd w:val="clear" w:color="auto" w:fill="EEF3FA"/>
          </w:tcPr>
          <w:p>
            <w:r>
              <w:rPr>
                <w:b/>
                <w:sz w:val="19"/>
              </w:rPr>
              <w:t>Version</w:t>
            </w:r>
          </w:p>
        </w:tc>
        <w:tc>
          <w:tcPr>
            <w:tcW w:type="dxa" w:w="7143"/>
          </w:tcPr>
          <w:p>
            <w:r>
              <w:rPr>
                <w:sz w:val="19"/>
              </w:rPr>
              <w:t>V1 — October 2026 · two-level plan</w:t>
            </w:r>
          </w:p>
        </w:tc>
      </w:tr>
      <w:tr>
        <w:tc>
          <w:tcPr>
            <w:tcW w:type="dxa" w:w="2268"/>
            <w:shd w:val="clear" w:color="auto" w:fill="EEF3FA"/>
          </w:tcPr>
          <w:p>
            <w:r>
              <w:rPr>
                <w:b/>
                <w:sz w:val="19"/>
              </w:rPr>
              <w:t>System</w:t>
            </w:r>
          </w:p>
        </w:tc>
        <w:tc>
          <w:tcPr>
            <w:tcW w:type="dxa" w:w="7143"/>
          </w:tcPr>
          <w:p>
            <w:r>
              <w:rPr>
                <w:sz w:val="19"/>
              </w:rPr>
              <w:t>S/4HANA &amp; GRC training system · your own ZZ_TRAIN_ practice namespace</w:t>
            </w:r>
          </w:p>
        </w:tc>
      </w:tr>
      <w:tr>
        <w:tc>
          <w:tcPr>
            <w:tcW w:type="dxa" w:w="2268"/>
            <w:shd w:val="clear" w:color="auto" w:fill="EEF3FA"/>
          </w:tcPr>
          <w:p>
            <w:r>
              <w:rPr>
                <w:b/>
                <w:sz w:val="19"/>
              </w:rPr>
              <w:t>Audience</w:t>
            </w:r>
          </w:p>
        </w:tc>
        <w:tc>
          <w:tcPr>
            <w:tcW w:type="dxa" w:w="7143"/>
          </w:tcPr>
          <w:p>
            <w:r>
              <w:rPr>
                <w:sz w:val="19"/>
              </w:rPr>
              <w:t>Trainees (live and self-study)</w:t>
            </w:r>
          </w:p>
        </w:tc>
      </w:tr>
    </w:tbl>
    <w:p>
      <w:pPr>
        <w:spacing w:after="0"/>
      </w:pPr>
    </w:p>
    <w:p>
      <w:pPr>
        <w:keepNext/>
        <w:spacing w:after="60" w:before="160"/>
      </w:pPr>
      <w:r>
        <w:rPr>
          <w:b/>
          <w:i w:val="0"/>
          <w:color w:val="1F3864"/>
          <w:sz w:val="28"/>
        </w:rPr>
        <w:t>What the panel is</w:t>
      </w:r>
    </w:p>
    <w:p>
      <w:pPr>
        <w:spacing w:after="80"/>
      </w:pPr>
      <w:r>
        <w:rPr>
          <w:b w:val="0"/>
          <w:i w:val="0"/>
          <w:sz w:val="21"/>
        </w:rPr>
        <w:t>You present one piece of your own lab work to three instructors, each playing a different stakeholder. It tests what the job tests: whether you can explain an access decision to an auditor, a developer and a business owner without changing your conclusion for any of them. Passing the panel, together with your marked work, earns the certificate for that level.</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1F3864"/>
          </w:tcPr>
          <w:p>
            <w:pPr>
              <w:spacing w:after="0"/>
            </w:pPr>
            <w:r/>
            <w:r>
              <w:rPr>
                <w:b/>
                <w:color w:val="FFFFFF"/>
                <w:sz w:val="19"/>
              </w:rPr>
            </w:r>
          </w:p>
        </w:tc>
        <w:tc>
          <w:tcPr>
            <w:tcW w:type="dxa" w:w="3855"/>
            <w:shd w:val="clear" w:color="auto" w:fill="1F3864"/>
          </w:tcPr>
          <w:p>
            <w:pPr>
              <w:spacing w:after="0"/>
            </w:pPr>
            <w:r/>
            <w:r>
              <w:rPr>
                <w:b/>
                <w:color w:val="FFFFFF"/>
                <w:sz w:val="19"/>
              </w:rPr>
              <w:t>Intermediate panel</w:t>
            </w:r>
          </w:p>
        </w:tc>
        <w:tc>
          <w:tcPr>
            <w:tcW w:type="dxa" w:w="3855"/>
            <w:shd w:val="clear" w:color="auto" w:fill="1F3864"/>
          </w:tcPr>
          <w:p>
            <w:pPr>
              <w:spacing w:after="0"/>
            </w:pPr>
            <w:r/>
            <w:r>
              <w:rPr>
                <w:b/>
                <w:color w:val="FFFFFF"/>
                <w:sz w:val="19"/>
              </w:rPr>
              <w:t>Advanced panel</w:t>
            </w:r>
          </w:p>
        </w:tc>
      </w:tr>
      <w:tr>
        <w:tc>
          <w:tcPr>
            <w:tcW w:type="dxa" w:w="1701"/>
          </w:tcPr>
          <w:p>
            <w:pPr>
              <w:spacing w:after="0"/>
            </w:pPr>
            <w:r/>
            <w:r>
              <w:rPr>
                <w:sz w:val="19"/>
              </w:rPr>
              <w:t>When</w:t>
            </w:r>
          </w:p>
        </w:tc>
        <w:tc>
          <w:tcPr>
            <w:tcW w:type="dxa" w:w="3855"/>
          </w:tcPr>
          <w:p>
            <w:pPr>
              <w:spacing w:after="0"/>
            </w:pPr>
            <w:r/>
            <w:r>
              <w:rPr>
                <w:sz w:val="19"/>
              </w:rPr>
              <w:t>Session 16 (in class)</w:t>
            </w:r>
          </w:p>
        </w:tc>
        <w:tc>
          <w:tcPr>
            <w:tcW w:type="dxa" w:w="3855"/>
          </w:tcPr>
          <w:p>
            <w:pPr>
              <w:spacing w:after="0"/>
            </w:pPr>
            <w:r/>
            <w:r>
              <w:rPr>
                <w:sz w:val="19"/>
              </w:rPr>
              <w:t>Session 12 (in class)</w:t>
            </w:r>
          </w:p>
        </w:tc>
      </w:tr>
      <w:tr>
        <w:tc>
          <w:tcPr>
            <w:tcW w:type="dxa" w:w="1701"/>
          </w:tcPr>
          <w:p>
            <w:pPr>
              <w:spacing w:after="0"/>
            </w:pPr>
            <w:r/>
            <w:r>
              <w:rPr>
                <w:sz w:val="19"/>
              </w:rPr>
              <w:t>Brief given</w:t>
            </w:r>
          </w:p>
        </w:tc>
        <w:tc>
          <w:tcPr>
            <w:tcW w:type="dxa" w:w="3855"/>
          </w:tcPr>
          <w:p>
            <w:pPr>
              <w:spacing w:after="0"/>
            </w:pPr>
            <w:r/>
            <w:r>
              <w:rPr>
                <w:sz w:val="19"/>
              </w:rPr>
              <w:t>End of session 15</w:t>
            </w:r>
          </w:p>
        </w:tc>
        <w:tc>
          <w:tcPr>
            <w:tcW w:type="dxa" w:w="3855"/>
          </w:tcPr>
          <w:p>
            <w:pPr>
              <w:spacing w:after="0"/>
            </w:pPr>
            <w:r/>
            <w:r>
              <w:rPr>
                <w:sz w:val="19"/>
              </w:rPr>
              <w:t>End of session 11</w:t>
            </w:r>
          </w:p>
        </w:tc>
      </w:tr>
      <w:tr>
        <w:tc>
          <w:tcPr>
            <w:tcW w:type="dxa" w:w="1701"/>
          </w:tcPr>
          <w:p>
            <w:pPr>
              <w:spacing w:after="0"/>
            </w:pPr>
            <w:r/>
            <w:r>
              <w:rPr>
                <w:sz w:val="19"/>
              </w:rPr>
              <w:t>What you present</w:t>
            </w:r>
          </w:p>
        </w:tc>
        <w:tc>
          <w:tcPr>
            <w:tcW w:type="dxa" w:w="3855"/>
          </w:tcPr>
          <w:p>
            <w:pPr>
              <w:spacing w:after="0"/>
            </w:pPr>
            <w:r/>
            <w:r>
              <w:rPr>
                <w:sz w:val="19"/>
              </w:rPr>
              <w:t>One design lab and its build — for example A1 → B1</w:t>
            </w:r>
          </w:p>
        </w:tc>
        <w:tc>
          <w:tcPr>
            <w:tcW w:type="dxa" w:w="3855"/>
          </w:tcPr>
          <w:p>
            <w:pPr>
              <w:spacing w:after="0"/>
            </w:pPr>
            <w:r/>
            <w:r>
              <w:rPr>
                <w:sz w:val="19"/>
              </w:rPr>
              <w:t>One go-live or support resolution from your Advanced labs</w:t>
            </w:r>
          </w:p>
        </w:tc>
      </w:tr>
      <w:tr>
        <w:tc>
          <w:tcPr>
            <w:tcW w:type="dxa" w:w="1701"/>
          </w:tcPr>
          <w:p>
            <w:pPr>
              <w:spacing w:after="0"/>
            </w:pPr>
            <w:r/>
            <w:r>
              <w:rPr>
                <w:sz w:val="19"/>
              </w:rPr>
              <w:t>Certificate</w:t>
            </w:r>
          </w:p>
        </w:tc>
        <w:tc>
          <w:tcPr>
            <w:tcW w:type="dxa" w:w="3855"/>
          </w:tcPr>
          <w:p>
            <w:pPr>
              <w:spacing w:after="0"/>
            </w:pPr>
            <w:r/>
            <w:r>
              <w:rPr>
                <w:sz w:val="19"/>
              </w:rPr>
              <w:t>Intermediate: B1, B3, B10 + this panel passed</w:t>
            </w:r>
          </w:p>
        </w:tc>
        <w:tc>
          <w:tcPr>
            <w:tcW w:type="dxa" w:w="3855"/>
          </w:tcPr>
          <w:p>
            <w:pPr>
              <w:spacing w:after="0"/>
            </w:pPr>
            <w:r/>
            <w:r>
              <w:rPr>
                <w:sz w:val="19"/>
              </w:rPr>
              <w:t>Advanced: B12, C12, D7 + this panel passed</w:t>
            </w:r>
          </w:p>
        </w:tc>
      </w:tr>
    </w:tbl>
    <w:p>
      <w:pPr>
        <w:spacing w:after="0"/>
      </w:pPr>
    </w:p>
    <w:p>
      <w:pPr>
        <w:keepNext/>
        <w:spacing w:after="60" w:before="160"/>
      </w:pPr>
      <w:r>
        <w:rPr>
          <w:b/>
          <w:i w:val="0"/>
          <w:color w:val="1F3864"/>
          <w:sz w:val="28"/>
        </w:rPr>
        <w:t>Prepare these four things</w:t>
      </w:r>
    </w:p>
    <w:p>
      <w:pPr>
        <w:spacing w:after="20"/>
        <w:ind w:left="357" w:hanging="357"/>
      </w:pPr>
      <w:r>
        <w:t>1.</w:t>
        <w:tab/>
      </w:r>
      <w:r>
        <w:rPr>
          <w:b/>
        </w:rPr>
        <w:t xml:space="preserve">Your conclusion, in one sentence. </w:t>
      </w:r>
      <w:r>
        <w:t>Write it down. You will say the same sentence to all three panellists.</w:t>
      </w:r>
    </w:p>
    <w:p>
      <w:pPr>
        <w:spacing w:after="20"/>
        <w:ind w:left="357" w:hanging="357"/>
      </w:pPr>
      <w:r>
        <w:t>2.</w:t>
        <w:tab/>
      </w:r>
      <w:r>
        <w:rPr>
          <w:b/>
        </w:rPr>
        <w:t xml:space="preserve">The business impact, in one sentence with no SAP terms. </w:t>
      </w:r>
      <w:r>
        <w:t>What changes for the people who use the system?</w:t>
      </w:r>
    </w:p>
    <w:p>
      <w:pPr>
        <w:spacing w:after="20"/>
        <w:ind w:left="357" w:hanging="357"/>
      </w:pPr>
      <w:r>
        <w:t>3.</w:t>
        <w:tab/>
      </w:r>
      <w:r>
        <w:rPr>
          <w:b/>
        </w:rPr>
        <w:t xml:space="preserve">The exact fix and its owner. </w:t>
      </w:r>
      <w:r>
        <w:t>What was built or changed, in which objects, and who owns it from now on.</w:t>
      </w:r>
    </w:p>
    <w:p>
      <w:pPr>
        <w:spacing w:after="20"/>
        <w:ind w:left="357" w:hanging="357"/>
      </w:pPr>
      <w:r>
        <w:t>4.</w:t>
        <w:tab/>
      </w:r>
      <w:r>
        <w:rPr>
          <w:b/>
        </w:rPr>
        <w:t xml:space="preserve">Your evidence. </w:t>
      </w:r>
      <w:r>
        <w:t>The captures from the lab that prove it works, including the negative test. Have them open, in order.</w:t>
      </w:r>
    </w:p>
    <w:p>
      <w:pPr>
        <w:keepNext/>
        <w:spacing w:after="60" w:before="160"/>
      </w:pPr>
      <w:r>
        <w:rPr>
          <w:b/>
          <w:i w:val="0"/>
          <w:color w:val="1F3864"/>
          <w:sz w:val="28"/>
        </w:rPr>
        <w:t>How the 10 minutes run</w:t>
      </w:r>
    </w:p>
    <w:tbl>
      <w:tblPr>
        <w:tblStyle w:val="TableGrid"/>
        <w:tblW w:type="auto" w:w="0"/>
        <w:tblLook w:firstColumn="1" w:firstRow="1" w:lastColumn="0" w:lastRow="0" w:noHBand="0" w:noVBand="1" w:val="04A0"/>
      </w:tblPr>
      <w:tblGrid>
        <w:gridCol w:w="3249"/>
        <w:gridCol w:w="3249"/>
        <w:gridCol w:w="3249"/>
      </w:tblGrid>
      <w:tr>
        <w:tc>
          <w:tcPr>
            <w:tcW w:type="dxa" w:w="1020"/>
            <w:shd w:val="clear" w:color="auto" w:fill="1F3864"/>
          </w:tcPr>
          <w:p>
            <w:pPr>
              <w:spacing w:after="0"/>
            </w:pPr>
            <w:r/>
            <w:r>
              <w:rPr>
                <w:b/>
                <w:color w:val="FFFFFF"/>
                <w:sz w:val="19"/>
              </w:rPr>
              <w:t>Minutes</w:t>
            </w:r>
          </w:p>
        </w:tc>
        <w:tc>
          <w:tcPr>
            <w:tcW w:type="dxa" w:w="2494"/>
            <w:shd w:val="clear" w:color="auto" w:fill="1F3864"/>
          </w:tcPr>
          <w:p>
            <w:pPr>
              <w:spacing w:after="0"/>
            </w:pPr>
            <w:r/>
            <w:r>
              <w:rPr>
                <w:b/>
                <w:color w:val="FFFFFF"/>
                <w:sz w:val="19"/>
              </w:rPr>
              <w:t>Panellist</w:t>
            </w:r>
          </w:p>
        </w:tc>
        <w:tc>
          <w:tcPr>
            <w:tcW w:type="dxa" w:w="5896"/>
            <w:shd w:val="clear" w:color="auto" w:fill="1F3864"/>
          </w:tcPr>
          <w:p>
            <w:pPr>
              <w:spacing w:after="0"/>
            </w:pPr>
            <w:r/>
            <w:r>
              <w:rPr>
                <w:b/>
                <w:color w:val="FFFFFF"/>
                <w:sz w:val="19"/>
              </w:rPr>
              <w:t>What they will ask</w:t>
            </w:r>
          </w:p>
        </w:tc>
      </w:tr>
      <w:tr>
        <w:tc>
          <w:tcPr>
            <w:tcW w:type="dxa" w:w="1020"/>
          </w:tcPr>
          <w:p>
            <w:pPr>
              <w:spacing w:after="0"/>
            </w:pPr>
            <w:r/>
            <w:r>
              <w:rPr>
                <w:sz w:val="19"/>
              </w:rPr>
              <w:t>3</w:t>
            </w:r>
          </w:p>
        </w:tc>
        <w:tc>
          <w:tcPr>
            <w:tcW w:type="dxa" w:w="2494"/>
          </w:tcPr>
          <w:p>
            <w:pPr>
              <w:spacing w:after="0"/>
            </w:pPr>
            <w:r/>
            <w:r>
              <w:rPr>
                <w:sz w:val="19"/>
              </w:rPr>
              <w:t>External auditor</w:t>
            </w:r>
          </w:p>
        </w:tc>
        <w:tc>
          <w:tcPr>
            <w:tcW w:type="dxa" w:w="5896"/>
          </w:tcPr>
          <w:p>
            <w:pPr>
              <w:spacing w:after="0"/>
            </w:pPr>
            <w:r/>
            <w:r>
              <w:rPr>
                <w:sz w:val="19"/>
              </w:rPr>
              <w:t>Is the access design controlled and evidenced? How do you know the scope is complete?</w:t>
            </w:r>
          </w:p>
        </w:tc>
      </w:tr>
      <w:tr>
        <w:tc>
          <w:tcPr>
            <w:tcW w:type="dxa" w:w="1020"/>
          </w:tcPr>
          <w:p>
            <w:pPr>
              <w:spacing w:after="0"/>
            </w:pPr>
            <w:r/>
            <w:r>
              <w:rPr>
                <w:sz w:val="19"/>
              </w:rPr>
              <w:t>3</w:t>
            </w:r>
          </w:p>
        </w:tc>
        <w:tc>
          <w:tcPr>
            <w:tcW w:type="dxa" w:w="2494"/>
          </w:tcPr>
          <w:p>
            <w:pPr>
              <w:spacing w:after="0"/>
            </w:pPr>
            <w:r/>
            <w:r>
              <w:rPr>
                <w:sz w:val="19"/>
              </w:rPr>
              <w:t>SAP developer / security lead</w:t>
            </w:r>
          </w:p>
        </w:tc>
        <w:tc>
          <w:tcPr>
            <w:tcW w:type="dxa" w:w="5896"/>
          </w:tcPr>
          <w:p>
            <w:pPr>
              <w:spacing w:after="0"/>
            </w:pPr>
            <w:r/>
            <w:r>
              <w:rPr>
                <w:sz w:val="19"/>
              </w:rPr>
              <w:t>What exactly was built, in which objects and roles? What would break it?</w:t>
            </w:r>
          </w:p>
        </w:tc>
      </w:tr>
      <w:tr>
        <w:tc>
          <w:tcPr>
            <w:tcW w:type="dxa" w:w="1020"/>
          </w:tcPr>
          <w:p>
            <w:pPr>
              <w:spacing w:after="0"/>
            </w:pPr>
            <w:r/>
            <w:r>
              <w:rPr>
                <w:sz w:val="19"/>
              </w:rPr>
              <w:t>3</w:t>
            </w:r>
          </w:p>
        </w:tc>
        <w:tc>
          <w:tcPr>
            <w:tcW w:type="dxa" w:w="2494"/>
          </w:tcPr>
          <w:p>
            <w:pPr>
              <w:spacing w:after="0"/>
            </w:pPr>
            <w:r/>
            <w:r>
              <w:rPr>
                <w:sz w:val="19"/>
              </w:rPr>
              <w:t>Business owner</w:t>
            </w:r>
          </w:p>
        </w:tc>
        <w:tc>
          <w:tcPr>
            <w:tcW w:type="dxa" w:w="5896"/>
          </w:tcPr>
          <w:p>
            <w:pPr>
              <w:spacing w:after="0"/>
            </w:pPr>
            <w:r/>
            <w:r>
              <w:rPr>
                <w:sz w:val="19"/>
              </w:rPr>
              <w:t>What changes for my team, in plain words? Why can't we just do it the quick way?</w:t>
            </w:r>
          </w:p>
        </w:tc>
      </w:tr>
      <w:tr>
        <w:tc>
          <w:tcPr>
            <w:tcW w:type="dxa" w:w="1020"/>
          </w:tcPr>
          <w:p>
            <w:pPr>
              <w:spacing w:after="0"/>
            </w:pPr>
            <w:r/>
            <w:r>
              <w:rPr>
                <w:sz w:val="19"/>
              </w:rPr>
              <w:t>1</w:t>
            </w:r>
          </w:p>
        </w:tc>
        <w:tc>
          <w:tcPr>
            <w:tcW w:type="dxa" w:w="2494"/>
          </w:tcPr>
          <w:p>
            <w:pPr>
              <w:spacing w:after="0"/>
            </w:pPr>
            <w:r/>
            <w:r>
              <w:rPr>
                <w:sz w:val="19"/>
              </w:rPr>
              <w:t>Any panellist</w:t>
            </w:r>
          </w:p>
        </w:tc>
        <w:tc>
          <w:tcPr>
            <w:tcW w:type="dxa" w:w="5896"/>
          </w:tcPr>
          <w:p>
            <w:pPr>
              <w:spacing w:after="0"/>
            </w:pPr>
            <w:r/>
            <w:r>
              <w:rPr>
                <w:sz w:val="19"/>
              </w:rPr>
              <w:t>One last question.</w:t>
            </w:r>
          </w:p>
        </w:tc>
      </w:tr>
    </w:tbl>
    <w:p>
      <w:pPr>
        <w:spacing w:after="0"/>
      </w:pPr>
    </w:p>
    <w:p>
      <w:pPr>
        <w:spacing w:after="80"/>
      </w:pPr>
      <w:r>
        <w:rPr>
          <w:b w:val="0"/>
          <w:i w:val="0"/>
          <w:sz w:val="21"/>
        </w:rPr>
        <w:t>You present in the class running order (A to E). Each panellist will push back the way a real stakeholder would — expect to be told your answer is wrong, too slow or too cautious.</w:t>
      </w:r>
    </w:p>
    <w:p>
      <w:pPr>
        <w:keepNext/>
        <w:spacing w:after="60" w:before="160"/>
      </w:pPr>
      <w:r>
        <w:rPr>
          <w:b/>
          <w:i w:val="0"/>
          <w:color w:val="1F3864"/>
          <w:sz w:val="28"/>
        </w:rPr>
        <w:t>How the panel is marked</w:t>
      </w:r>
    </w:p>
    <w:p>
      <w:pPr>
        <w:pStyle w:val="ListBullet"/>
        <w:spacing w:after="20"/>
      </w:pPr>
      <w:r>
        <w:t>The panel is marked on the same six-line rubric as your marked work. The stakeholder communication line is the average of the three panellists' scores.</w:t>
      </w:r>
    </w:p>
    <w:p>
      <w:pPr>
        <w:pStyle w:val="ListBullet"/>
        <w:spacing w:after="20"/>
      </w:pPr>
      <w:r>
        <w:t>It passes at a weighted 60 or above with no single line below 40.</w:t>
      </w:r>
    </w:p>
    <w:p>
      <w:pPr>
        <w:pStyle w:val="ListBullet"/>
        <w:spacing w:after="20"/>
      </w:pPr>
      <w:r>
        <w:rPr>
          <w:b/>
        </w:rPr>
        <w:t xml:space="preserve">Automatic resubmit: </w:t>
      </w:r>
      <w:r>
        <w:t>if your conclusion changes between audiences. Holding a correct position under pressure is the point of the panel.</w:t>
      </w:r>
    </w:p>
    <w:p>
      <w:pPr>
        <w:pStyle w:val="ListBullet"/>
        <w:spacing w:after="20"/>
      </w:pPr>
      <w:r>
        <w:t>A panel marked “resubmit” is re-sat with three TIB instructors; resubmissions are due within one week of the result.</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1F3864"/>
          </w:tcPr>
          <w:p>
            <w:pPr>
              <w:spacing w:after="0"/>
            </w:pPr>
            <w:r/>
            <w:r>
              <w:rPr>
                <w:b/>
                <w:color w:val="FFFFFF"/>
                <w:sz w:val="19"/>
              </w:rPr>
              <w:t>Rubric line</w:t>
            </w:r>
          </w:p>
        </w:tc>
        <w:tc>
          <w:tcPr>
            <w:tcW w:type="dxa" w:w="794"/>
            <w:shd w:val="clear" w:color="auto" w:fill="1F3864"/>
          </w:tcPr>
          <w:p>
            <w:pPr>
              <w:spacing w:after="0"/>
            </w:pPr>
            <w:r/>
            <w:r>
              <w:rPr>
                <w:b/>
                <w:color w:val="FFFFFF"/>
                <w:sz w:val="19"/>
              </w:rPr>
              <w:t>Weight</w:t>
            </w:r>
          </w:p>
        </w:tc>
        <w:tc>
          <w:tcPr>
            <w:tcW w:type="dxa" w:w="6463"/>
            <w:shd w:val="clear" w:color="auto" w:fill="1F3864"/>
          </w:tcPr>
          <w:p>
            <w:pPr>
              <w:spacing w:after="0"/>
            </w:pPr>
            <w:r/>
            <w:r>
              <w:rPr>
                <w:b/>
                <w:color w:val="FFFFFF"/>
                <w:sz w:val="19"/>
              </w:rPr>
              <w:t>What the panel is listening for</w:t>
            </w:r>
          </w:p>
        </w:tc>
      </w:tr>
      <w:tr>
        <w:tc>
          <w:tcPr>
            <w:tcW w:type="dxa" w:w="2154"/>
          </w:tcPr>
          <w:p>
            <w:pPr>
              <w:spacing w:after="0"/>
            </w:pPr>
            <w:r/>
            <w:r>
              <w:rPr>
                <w:sz w:val="19"/>
              </w:rPr>
              <w:t>Diagnosis &amp; scope</w:t>
            </w:r>
          </w:p>
        </w:tc>
        <w:tc>
          <w:tcPr>
            <w:tcW w:type="dxa" w:w="794"/>
          </w:tcPr>
          <w:p>
            <w:pPr>
              <w:spacing w:after="0"/>
            </w:pPr>
            <w:r/>
            <w:r>
              <w:rPr>
                <w:sz w:val="19"/>
              </w:rPr>
              <w:t>20%</w:t>
            </w:r>
          </w:p>
        </w:tc>
        <w:tc>
          <w:tcPr>
            <w:tcW w:type="dxa" w:w="6463"/>
          </w:tcPr>
          <w:p>
            <w:pPr>
              <w:spacing w:after="0"/>
            </w:pPr>
            <w:r/>
            <w:r>
              <w:rPr>
                <w:sz w:val="19"/>
              </w:rPr>
              <w:t>You can say what was wrong or needed and how you confirmed the full scope.</w:t>
            </w:r>
          </w:p>
        </w:tc>
      </w:tr>
      <w:tr>
        <w:tc>
          <w:tcPr>
            <w:tcW w:type="dxa" w:w="2154"/>
          </w:tcPr>
          <w:p>
            <w:pPr>
              <w:spacing w:after="0"/>
            </w:pPr>
            <w:r/>
            <w:r>
              <w:rPr>
                <w:sz w:val="19"/>
              </w:rPr>
              <w:t>Design / fix approach</w:t>
            </w:r>
          </w:p>
        </w:tc>
        <w:tc>
          <w:tcPr>
            <w:tcW w:type="dxa" w:w="794"/>
          </w:tcPr>
          <w:p>
            <w:pPr>
              <w:spacing w:after="0"/>
            </w:pPr>
            <w:r/>
            <w:r>
              <w:rPr>
                <w:sz w:val="19"/>
              </w:rPr>
              <w:t>15%</w:t>
            </w:r>
          </w:p>
        </w:tc>
        <w:tc>
          <w:tcPr>
            <w:tcW w:type="dxa" w:w="6463"/>
          </w:tcPr>
          <w:p>
            <w:pPr>
              <w:spacing w:after="0"/>
            </w:pPr>
            <w:r/>
            <w:r>
              <w:rPr>
                <w:sz w:val="19"/>
              </w:rPr>
              <w:t>You can explain why the design is right and why you worked in that order.</w:t>
            </w:r>
          </w:p>
        </w:tc>
      </w:tr>
      <w:tr>
        <w:tc>
          <w:tcPr>
            <w:tcW w:type="dxa" w:w="2154"/>
          </w:tcPr>
          <w:p>
            <w:pPr>
              <w:spacing w:after="0"/>
            </w:pPr>
            <w:r/>
            <w:r>
              <w:rPr>
                <w:sz w:val="19"/>
              </w:rPr>
              <w:t>Build accuracy</w:t>
            </w:r>
          </w:p>
        </w:tc>
        <w:tc>
          <w:tcPr>
            <w:tcW w:type="dxa" w:w="794"/>
          </w:tcPr>
          <w:p>
            <w:pPr>
              <w:spacing w:after="0"/>
            </w:pPr>
            <w:r/>
            <w:r>
              <w:rPr>
                <w:sz w:val="19"/>
              </w:rPr>
              <w:t>20%</w:t>
            </w:r>
          </w:p>
        </w:tc>
        <w:tc>
          <w:tcPr>
            <w:tcW w:type="dxa" w:w="6463"/>
          </w:tcPr>
          <w:p>
            <w:pPr>
              <w:spacing w:after="0"/>
            </w:pPr>
            <w:r/>
            <w:r>
              <w:rPr>
                <w:sz w:val="19"/>
              </w:rPr>
              <w:t>The developer can tell exactly what was built, and it is correct.</w:t>
            </w:r>
          </w:p>
        </w:tc>
      </w:tr>
      <w:tr>
        <w:tc>
          <w:tcPr>
            <w:tcW w:type="dxa" w:w="2154"/>
          </w:tcPr>
          <w:p>
            <w:pPr>
              <w:spacing w:after="0"/>
            </w:pPr>
            <w:r/>
            <w:r>
              <w:rPr>
                <w:sz w:val="19"/>
              </w:rPr>
              <w:t>Verification evidence</w:t>
            </w:r>
          </w:p>
        </w:tc>
        <w:tc>
          <w:tcPr>
            <w:tcW w:type="dxa" w:w="794"/>
          </w:tcPr>
          <w:p>
            <w:pPr>
              <w:spacing w:after="0"/>
            </w:pPr>
            <w:r/>
            <w:r>
              <w:rPr>
                <w:sz w:val="19"/>
              </w:rPr>
              <w:t>15%</w:t>
            </w:r>
          </w:p>
        </w:tc>
        <w:tc>
          <w:tcPr>
            <w:tcW w:type="dxa" w:w="6463"/>
          </w:tcPr>
          <w:p>
            <w:pPr>
              <w:spacing w:after="0"/>
            </w:pPr>
            <w:r/>
            <w:r>
              <w:rPr>
                <w:sz w:val="19"/>
              </w:rPr>
              <w:t>Your captures prove it works, including what it now stops.</w:t>
            </w:r>
          </w:p>
        </w:tc>
      </w:tr>
      <w:tr>
        <w:tc>
          <w:tcPr>
            <w:tcW w:type="dxa" w:w="2154"/>
          </w:tcPr>
          <w:p>
            <w:pPr>
              <w:spacing w:after="0"/>
            </w:pPr>
            <w:r/>
            <w:r>
              <w:rPr>
                <w:sz w:val="19"/>
              </w:rPr>
              <w:t>Write-up quality</w:t>
            </w:r>
          </w:p>
        </w:tc>
        <w:tc>
          <w:tcPr>
            <w:tcW w:type="dxa" w:w="794"/>
          </w:tcPr>
          <w:p>
            <w:pPr>
              <w:spacing w:after="0"/>
            </w:pPr>
            <w:r/>
            <w:r>
              <w:rPr>
                <w:sz w:val="19"/>
              </w:rPr>
              <w:t>15%</w:t>
            </w:r>
          </w:p>
        </w:tc>
        <w:tc>
          <w:tcPr>
            <w:tcW w:type="dxa" w:w="6463"/>
          </w:tcPr>
          <w:p>
            <w:pPr>
              <w:spacing w:after="0"/>
            </w:pPr>
            <w:r/>
            <w:r>
              <w:rPr>
                <w:sz w:val="19"/>
              </w:rPr>
              <w:t>Your one-sentence conclusion and impact are clear and in your own words.</w:t>
            </w:r>
          </w:p>
        </w:tc>
      </w:tr>
      <w:tr>
        <w:tc>
          <w:tcPr>
            <w:tcW w:type="dxa" w:w="2154"/>
          </w:tcPr>
          <w:p>
            <w:pPr>
              <w:spacing w:after="0"/>
            </w:pPr>
            <w:r/>
            <w:r>
              <w:rPr>
                <w:sz w:val="19"/>
              </w:rPr>
              <w:t>Stakeholder communication</w:t>
            </w:r>
          </w:p>
        </w:tc>
        <w:tc>
          <w:tcPr>
            <w:tcW w:type="dxa" w:w="794"/>
          </w:tcPr>
          <w:p>
            <w:pPr>
              <w:spacing w:after="0"/>
            </w:pPr>
            <w:r/>
            <w:r>
              <w:rPr>
                <w:sz w:val="19"/>
              </w:rPr>
              <w:t>15%</w:t>
            </w:r>
          </w:p>
        </w:tc>
        <w:tc>
          <w:tcPr>
            <w:tcW w:type="dxa" w:w="6463"/>
          </w:tcPr>
          <w:p>
            <w:pPr>
              <w:spacing w:after="0"/>
            </w:pPr>
            <w:r/>
            <w:r>
              <w:rPr>
                <w:sz w:val="19"/>
              </w:rPr>
              <w:t>Plain language for each audience; the same conclusion to all three.</w:t>
            </w:r>
          </w:p>
        </w:tc>
      </w:tr>
    </w:tbl>
    <w:p>
      <w:pPr>
        <w:spacing w:after="0"/>
      </w:pPr>
    </w:p>
    <w:tbl>
      <w:tblPr>
        <w:tblStyle w:val="TableGrid"/>
        <w:tblW w:type="auto" w:w="0"/>
        <w:tblLook w:firstColumn="1" w:firstRow="1" w:lastColumn="0" w:lastRow="0" w:noHBand="0" w:noVBand="1" w:val="04A0"/>
      </w:tblPr>
      <w:tblGrid>
        <w:gridCol w:w="9746"/>
      </w:tblGrid>
      <w:tr>
        <w:tc>
          <w:tcPr>
            <w:tcW w:type="dxa" w:w="9746"/>
            <w:shd w:val="clear" w:color="auto" w:fill="FDF3EC"/>
          </w:tcPr>
          <w:p>
            <w:r>
              <w:rPr>
                <w:b/>
                <w:color w:val="C65911"/>
                <w:sz w:val="19"/>
              </w:rPr>
              <w:t>WHAT SINKS PANELS MOST</w:t>
            </w:r>
          </w:p>
          <w:p>
            <w:pPr>
              <w:spacing w:after="20"/>
            </w:pPr>
            <w:r>
              <w:rPr>
                <w:sz w:val="19"/>
              </w:rPr>
              <w:t>• Softening the conclusion for the business owner, then restating it for the auditor.</w:t>
            </w:r>
          </w:p>
          <w:p>
            <w:pPr>
              <w:spacing w:after="20"/>
            </w:pPr>
            <w:r>
              <w:rPr>
                <w:sz w:val="19"/>
              </w:rPr>
              <w:t>• Answering the developer in business language and the business owner in transaction codes.</w:t>
            </w:r>
          </w:p>
          <w:p>
            <w:pPr>
              <w:spacing w:after="20"/>
            </w:pPr>
            <w:r>
              <w:rPr>
                <w:sz w:val="19"/>
              </w:rPr>
              <w:t>• Evidence that is not open and in order when the auditor asks for it.</w:t>
            </w:r>
          </w:p>
        </w:tc>
      </w:tr>
    </w:tbl>
    <w:p>
      <w:pPr>
        <w:spacing w:after="0"/>
      </w:pPr>
    </w:p>
    <w:p>
      <w:pPr>
        <w:keepNext/>
        <w:spacing w:after="60" w:before="160"/>
      </w:pPr>
      <w:r>
        <w:rPr>
          <w:b/>
          <w:i w:val="0"/>
          <w:color w:val="1F3864"/>
          <w:sz w:val="28"/>
        </w:rPr>
        <w:t>Self-study trainees</w:t>
      </w:r>
    </w:p>
    <w:p>
      <w:pPr>
        <w:spacing w:after="80"/>
      </w:pPr>
      <w:r>
        <w:rPr>
          <w:b w:val="0"/>
          <w:i w:val="0"/>
          <w:sz w:val="21"/>
        </w:rPr>
        <w:t>You sit the same panel with three TIB instructors by video call. Book it with your instructor once your marked work for the level is submitted. Share your screen for the evidence.</w:t>
      </w:r>
    </w:p>
    <w:p>
      <w:pPr>
        <w:spacing w:after="80"/>
      </w:pPr>
      <w:r>
        <w:rPr>
          <w:b w:val="0"/>
          <w:i/>
          <w:color w:val="5A6472"/>
          <w:sz w:val="19"/>
        </w:rPr>
        <w:t>Questions: academy@tib-systems.com</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2"/>
        <w:sz w:val="16"/>
      </w:rPr>
      <w:t>GRC SECURITY &amp; FIORI LABS · TIB-GRC-ASSESS-005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